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25201">
      <w:pPr>
        <w:pStyle w:val="25"/>
        <w:jc w:val="center"/>
        <w:rPr>
          <w:rFonts w:hint="eastAsia" w:ascii="宋体" w:hAnsi="宋体" w:eastAsia="宋体" w:cs="宋体"/>
          <w:color w:val="auto"/>
          <w:spacing w:val="30"/>
          <w:kern w:val="52"/>
          <w:sz w:val="64"/>
          <w:szCs w:val="64"/>
          <w:highlight w:val="none"/>
        </w:rPr>
      </w:pPr>
      <w:r>
        <w:rPr>
          <w:rFonts w:hint="eastAsia" w:ascii="宋体" w:hAnsi="宋体" w:eastAsia="宋体" w:cs="宋体"/>
          <w:color w:val="auto"/>
          <w:sz w:val="52"/>
          <w:szCs w:val="52"/>
          <w:highlight w:val="none"/>
        </w:rPr>
        <w:drawing>
          <wp:inline distT="0" distB="0" distL="114300" distR="114300">
            <wp:extent cx="1405255" cy="1443990"/>
            <wp:effectExtent l="0" t="0" r="4445" b="3810"/>
            <wp:docPr id="4" name="图片 1" descr="761a3e6b9e68ba6d39cf1e2500798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761a3e6b9e68ba6d39cf1e25007982c"/>
                    <pic:cNvPicPr>
                      <a:picLocks noChangeAspect="1"/>
                    </pic:cNvPicPr>
                  </pic:nvPicPr>
                  <pic:blipFill>
                    <a:blip r:embed="rId18"/>
                    <a:stretch>
                      <a:fillRect/>
                    </a:stretch>
                  </pic:blipFill>
                  <pic:spPr>
                    <a:xfrm>
                      <a:off x="0" y="0"/>
                      <a:ext cx="1405255" cy="1443990"/>
                    </a:xfrm>
                    <a:prstGeom prst="rect">
                      <a:avLst/>
                    </a:prstGeom>
                    <a:noFill/>
                    <a:ln>
                      <a:noFill/>
                    </a:ln>
                  </pic:spPr>
                </pic:pic>
              </a:graphicData>
            </a:graphic>
          </wp:inline>
        </w:drawing>
      </w:r>
    </w:p>
    <w:p w14:paraId="717E9FE7">
      <w:pPr>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eastAsia" w:ascii="宋体" w:hAnsi="宋体" w:eastAsia="宋体" w:cs="宋体"/>
          <w:color w:val="auto"/>
          <w:sz w:val="120"/>
          <w:szCs w:val="120"/>
          <w:highlight w:val="none"/>
        </w:rPr>
      </w:pPr>
    </w:p>
    <w:p w14:paraId="65182B1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招 标 文 件</w:t>
      </w:r>
    </w:p>
    <w:p w14:paraId="172AD69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方正小标宋_GBK" w:hAnsi="方正小标宋_GBK" w:eastAsia="方正小标宋_GBK" w:cs="方正小标宋_GBK"/>
          <w:color w:val="auto"/>
          <w:sz w:val="44"/>
          <w:szCs w:val="44"/>
          <w:highlight w:val="none"/>
        </w:rPr>
      </w:pPr>
      <w:bookmarkStart w:id="0" w:name="_Toc15774"/>
      <w:bookmarkStart w:id="1" w:name="_Toc12306"/>
      <w:r>
        <w:rPr>
          <w:rFonts w:hint="eastAsia" w:ascii="方正小标宋_GBK" w:hAnsi="方正小标宋_GBK" w:eastAsia="方正小标宋_GBK" w:cs="方正小标宋_GBK"/>
          <w:color w:val="auto"/>
          <w:sz w:val="44"/>
          <w:szCs w:val="44"/>
          <w:highlight w:val="none"/>
        </w:rPr>
        <w:t>（全流程电子化评标）</w:t>
      </w:r>
      <w:bookmarkEnd w:id="0"/>
      <w:bookmarkEnd w:id="1"/>
    </w:p>
    <w:p w14:paraId="3000C08E">
      <w:pPr>
        <w:pStyle w:val="25"/>
        <w:snapToGrid w:val="0"/>
        <w:spacing w:line="360" w:lineRule="auto"/>
        <w:outlineLvl w:val="9"/>
        <w:rPr>
          <w:rFonts w:hint="eastAsia" w:ascii="宋体" w:hAnsi="宋体" w:eastAsia="宋体" w:cs="宋体"/>
          <w:b/>
          <w:bCs/>
          <w:color w:val="auto"/>
          <w:w w:val="95"/>
          <w:sz w:val="30"/>
          <w:szCs w:val="30"/>
          <w:highlight w:val="none"/>
        </w:rPr>
      </w:pPr>
    </w:p>
    <w:p w14:paraId="55E61DFA">
      <w:pPr>
        <w:pStyle w:val="25"/>
        <w:snapToGrid w:val="0"/>
        <w:spacing w:line="360" w:lineRule="auto"/>
        <w:outlineLvl w:val="9"/>
        <w:rPr>
          <w:rFonts w:hint="eastAsia" w:ascii="宋体" w:hAnsi="宋体" w:eastAsia="宋体" w:cs="宋体"/>
          <w:b/>
          <w:bCs/>
          <w:color w:val="auto"/>
          <w:w w:val="95"/>
          <w:sz w:val="21"/>
          <w:szCs w:val="21"/>
          <w:highlight w:val="none"/>
        </w:rPr>
      </w:pPr>
      <w:bookmarkStart w:id="2" w:name="_Toc7661"/>
      <w:bookmarkStart w:id="3" w:name="_Toc15108"/>
    </w:p>
    <w:p w14:paraId="129AE880">
      <w:pPr>
        <w:pStyle w:val="25"/>
        <w:snapToGrid w:val="0"/>
        <w:spacing w:line="360" w:lineRule="auto"/>
        <w:outlineLvl w:val="9"/>
        <w:rPr>
          <w:rFonts w:hint="eastAsia" w:ascii="宋体" w:hAnsi="宋体" w:eastAsia="宋体" w:cs="宋体"/>
          <w:b/>
          <w:bCs/>
          <w:color w:val="auto"/>
          <w:w w:val="95"/>
          <w:sz w:val="21"/>
          <w:szCs w:val="21"/>
          <w:highlight w:val="none"/>
        </w:rPr>
      </w:pPr>
    </w:p>
    <w:p w14:paraId="7B3601F5">
      <w:pPr>
        <w:pStyle w:val="25"/>
        <w:snapToGrid w:val="0"/>
        <w:spacing w:line="360" w:lineRule="auto"/>
        <w:outlineLvl w:val="9"/>
        <w:rPr>
          <w:rFonts w:hint="eastAsia" w:ascii="宋体" w:hAnsi="宋体" w:eastAsia="宋体" w:cs="宋体"/>
          <w:b/>
          <w:bCs/>
          <w:color w:val="auto"/>
          <w:w w:val="95"/>
          <w:sz w:val="32"/>
          <w:szCs w:val="32"/>
          <w:highlight w:val="none"/>
          <w:lang w:eastAsia="zh-CN"/>
        </w:rPr>
      </w:pPr>
      <w:r>
        <w:rPr>
          <w:rFonts w:hint="eastAsia" w:ascii="宋体" w:hAnsi="宋体" w:eastAsia="宋体" w:cs="宋体"/>
          <w:b/>
          <w:bCs/>
          <w:color w:val="auto"/>
          <w:w w:val="95"/>
          <w:sz w:val="32"/>
          <w:szCs w:val="32"/>
          <w:highlight w:val="none"/>
        </w:rPr>
        <w:t>项目名称：</w:t>
      </w:r>
      <w:bookmarkEnd w:id="2"/>
      <w:bookmarkEnd w:id="3"/>
      <w:r>
        <w:rPr>
          <w:rFonts w:hint="eastAsia" w:hAnsi="宋体" w:cs="宋体"/>
          <w:b/>
          <w:bCs/>
          <w:color w:val="auto"/>
          <w:w w:val="95"/>
          <w:sz w:val="32"/>
          <w:szCs w:val="32"/>
          <w:highlight w:val="none"/>
          <w:lang w:eastAsia="zh-CN"/>
        </w:rPr>
        <w:t>广西涉重金属突发环境事件应急监测能力建设项目</w:t>
      </w:r>
    </w:p>
    <w:p w14:paraId="7EBE0600">
      <w:pPr>
        <w:pStyle w:val="25"/>
        <w:snapToGrid w:val="0"/>
        <w:spacing w:line="360" w:lineRule="auto"/>
        <w:outlineLvl w:val="9"/>
        <w:rPr>
          <w:rFonts w:hint="eastAsia" w:ascii="宋体" w:hAnsi="宋体" w:eastAsia="宋体" w:cs="宋体"/>
          <w:b/>
          <w:bCs/>
          <w:color w:val="auto"/>
          <w:w w:val="95"/>
          <w:sz w:val="32"/>
          <w:szCs w:val="32"/>
          <w:highlight w:val="none"/>
          <w:lang w:eastAsia="zh-CN"/>
        </w:rPr>
      </w:pPr>
      <w:r>
        <w:rPr>
          <w:rFonts w:hint="eastAsia" w:ascii="宋体" w:hAnsi="宋体" w:eastAsia="宋体" w:cs="宋体"/>
          <w:b/>
          <w:bCs/>
          <w:color w:val="auto"/>
          <w:w w:val="95"/>
          <w:sz w:val="32"/>
          <w:szCs w:val="32"/>
          <w:highlight w:val="none"/>
        </w:rPr>
        <w:t>项目编号：</w:t>
      </w:r>
      <w:r>
        <w:rPr>
          <w:rFonts w:hint="eastAsia" w:ascii="宋体" w:hAnsi="宋体" w:eastAsia="宋体" w:cs="宋体"/>
          <w:b/>
          <w:bCs/>
          <w:color w:val="auto"/>
          <w:w w:val="95"/>
          <w:sz w:val="32"/>
          <w:szCs w:val="32"/>
          <w:highlight w:val="none"/>
          <w:lang w:eastAsia="zh-CN"/>
        </w:rPr>
        <w:t>GXZC2026-G1-001201-GXRD</w:t>
      </w:r>
    </w:p>
    <w:p w14:paraId="603BDFFE">
      <w:pPr>
        <w:pStyle w:val="25"/>
        <w:snapToGrid w:val="0"/>
        <w:spacing w:line="360" w:lineRule="auto"/>
        <w:jc w:val="left"/>
        <w:outlineLvl w:val="9"/>
        <w:rPr>
          <w:rFonts w:hint="eastAsia" w:ascii="宋体" w:hAnsi="宋体" w:eastAsia="宋体" w:cs="宋体"/>
          <w:b/>
          <w:bCs/>
          <w:color w:val="auto"/>
          <w:w w:val="95"/>
          <w:sz w:val="32"/>
          <w:szCs w:val="32"/>
          <w:highlight w:val="none"/>
        </w:rPr>
      </w:pPr>
    </w:p>
    <w:p w14:paraId="77C59825">
      <w:pPr>
        <w:pStyle w:val="25"/>
        <w:snapToGrid w:val="0"/>
        <w:spacing w:line="360" w:lineRule="auto"/>
        <w:outlineLvl w:val="9"/>
        <w:rPr>
          <w:rFonts w:hint="eastAsia" w:ascii="宋体" w:hAnsi="宋体" w:eastAsia="宋体" w:cs="宋体"/>
          <w:b/>
          <w:bCs/>
          <w:color w:val="auto"/>
          <w:w w:val="95"/>
          <w:sz w:val="32"/>
          <w:szCs w:val="32"/>
          <w:highlight w:val="none"/>
        </w:rPr>
      </w:pPr>
      <w:bookmarkStart w:id="4" w:name="_Toc21718"/>
      <w:bookmarkStart w:id="5" w:name="_Toc21940"/>
    </w:p>
    <w:p w14:paraId="090C1715">
      <w:pPr>
        <w:pStyle w:val="25"/>
        <w:snapToGrid w:val="0"/>
        <w:spacing w:line="360" w:lineRule="auto"/>
        <w:outlineLvl w:val="9"/>
        <w:rPr>
          <w:rFonts w:hint="eastAsia" w:ascii="宋体" w:hAnsi="宋体" w:eastAsia="宋体" w:cs="宋体"/>
          <w:b/>
          <w:bCs/>
          <w:color w:val="auto"/>
          <w:w w:val="95"/>
          <w:sz w:val="32"/>
          <w:szCs w:val="32"/>
          <w:highlight w:val="none"/>
        </w:rPr>
      </w:pPr>
    </w:p>
    <w:p w14:paraId="3A98538E">
      <w:pPr>
        <w:pStyle w:val="25"/>
        <w:snapToGrid w:val="0"/>
        <w:spacing w:line="360" w:lineRule="auto"/>
        <w:ind w:firstLine="916" w:firstLineChars="300"/>
        <w:jc w:val="both"/>
        <w:outlineLvl w:val="9"/>
        <w:rPr>
          <w:rFonts w:hint="eastAsia" w:ascii="宋体" w:hAnsi="宋体" w:eastAsia="宋体" w:cs="宋体"/>
          <w:b/>
          <w:bCs/>
          <w:color w:val="auto"/>
          <w:w w:val="95"/>
          <w:sz w:val="32"/>
          <w:szCs w:val="32"/>
          <w:highlight w:val="none"/>
          <w:lang w:eastAsia="zh-CN"/>
        </w:rPr>
      </w:pPr>
      <w:r>
        <w:rPr>
          <w:rFonts w:hint="eastAsia" w:ascii="宋体" w:hAnsi="宋体" w:eastAsia="宋体" w:cs="宋体"/>
          <w:b/>
          <w:bCs/>
          <w:color w:val="auto"/>
          <w:w w:val="95"/>
          <w:sz w:val="32"/>
          <w:szCs w:val="32"/>
          <w:highlight w:val="none"/>
        </w:rPr>
        <w:t xml:space="preserve">采 </w:t>
      </w:r>
      <w:r>
        <w:rPr>
          <w:rFonts w:hint="eastAsia" w:ascii="宋体" w:hAnsi="宋体" w:eastAsia="宋体" w:cs="宋体"/>
          <w:b/>
          <w:bCs/>
          <w:color w:val="auto"/>
          <w:w w:val="95"/>
          <w:sz w:val="32"/>
          <w:szCs w:val="32"/>
          <w:highlight w:val="none"/>
          <w:lang w:val="en-US" w:eastAsia="zh-CN"/>
        </w:rPr>
        <w:t xml:space="preserve">  </w:t>
      </w:r>
      <w:r>
        <w:rPr>
          <w:rFonts w:hint="eastAsia" w:ascii="宋体" w:hAnsi="宋体" w:eastAsia="宋体" w:cs="宋体"/>
          <w:b/>
          <w:bCs/>
          <w:color w:val="auto"/>
          <w:w w:val="95"/>
          <w:sz w:val="32"/>
          <w:szCs w:val="32"/>
          <w:highlight w:val="none"/>
        </w:rPr>
        <w:t xml:space="preserve">购 </w:t>
      </w:r>
      <w:r>
        <w:rPr>
          <w:rFonts w:hint="eastAsia" w:ascii="宋体" w:hAnsi="宋体" w:eastAsia="宋体" w:cs="宋体"/>
          <w:b/>
          <w:bCs/>
          <w:color w:val="auto"/>
          <w:w w:val="95"/>
          <w:sz w:val="32"/>
          <w:szCs w:val="32"/>
          <w:highlight w:val="none"/>
          <w:lang w:val="en-US" w:eastAsia="zh-CN"/>
        </w:rPr>
        <w:t xml:space="preserve">  </w:t>
      </w:r>
      <w:r>
        <w:rPr>
          <w:rFonts w:hint="eastAsia" w:ascii="宋体" w:hAnsi="宋体" w:eastAsia="宋体" w:cs="宋体"/>
          <w:b/>
          <w:bCs/>
          <w:color w:val="auto"/>
          <w:w w:val="95"/>
          <w:sz w:val="32"/>
          <w:szCs w:val="32"/>
          <w:highlight w:val="none"/>
        </w:rPr>
        <w:t>人：</w:t>
      </w:r>
      <w:r>
        <w:rPr>
          <w:rFonts w:hint="eastAsia" w:ascii="宋体" w:hAnsi="宋体" w:eastAsia="宋体" w:cs="宋体"/>
          <w:b/>
          <w:bCs/>
          <w:color w:val="auto"/>
          <w:w w:val="95"/>
          <w:sz w:val="32"/>
          <w:szCs w:val="32"/>
          <w:highlight w:val="none"/>
          <w:lang w:eastAsia="zh-CN"/>
        </w:rPr>
        <w:t>广西壮族自治区生态环境厅</w:t>
      </w:r>
      <w:bookmarkEnd w:id="4"/>
      <w:bookmarkEnd w:id="5"/>
    </w:p>
    <w:p w14:paraId="294A6DD6">
      <w:pPr>
        <w:pStyle w:val="25"/>
        <w:snapToGrid w:val="0"/>
        <w:spacing w:line="360" w:lineRule="auto"/>
        <w:jc w:val="center"/>
        <w:outlineLvl w:val="9"/>
        <w:rPr>
          <w:rFonts w:hint="eastAsia" w:ascii="宋体" w:hAnsi="宋体" w:eastAsia="宋体" w:cs="宋体"/>
          <w:b/>
          <w:bCs/>
          <w:color w:val="auto"/>
          <w:w w:val="95"/>
          <w:sz w:val="32"/>
          <w:szCs w:val="32"/>
          <w:highlight w:val="none"/>
        </w:rPr>
      </w:pPr>
      <w:r>
        <w:rPr>
          <w:rFonts w:hint="eastAsia" w:ascii="宋体" w:hAnsi="宋体" w:eastAsia="宋体" w:cs="宋体"/>
          <w:b/>
          <w:bCs/>
          <w:color w:val="auto"/>
          <w:w w:val="95"/>
          <w:sz w:val="32"/>
          <w:szCs w:val="32"/>
          <w:highlight w:val="none"/>
        </w:rPr>
        <w:t>采购代理机构：</w:t>
      </w:r>
      <w:r>
        <w:rPr>
          <w:rFonts w:hint="eastAsia" w:ascii="宋体" w:hAnsi="宋体" w:eastAsia="宋体" w:cs="宋体"/>
          <w:b/>
          <w:bCs/>
          <w:color w:val="auto"/>
          <w:w w:val="95"/>
          <w:sz w:val="32"/>
          <w:szCs w:val="32"/>
          <w:highlight w:val="none"/>
          <w:lang w:eastAsia="zh-CN"/>
        </w:rPr>
        <w:t>广西润德工程技术咨询有限公司</w:t>
      </w:r>
    </w:p>
    <w:p w14:paraId="3E49E6FE">
      <w:pPr>
        <w:pStyle w:val="25"/>
        <w:snapToGrid w:val="0"/>
        <w:spacing w:line="360" w:lineRule="auto"/>
        <w:jc w:val="center"/>
        <w:outlineLvl w:val="9"/>
        <w:rPr>
          <w:rFonts w:hint="eastAsia" w:ascii="宋体" w:hAnsi="宋体" w:eastAsia="宋体" w:cs="宋体"/>
          <w:color w:val="auto"/>
          <w:sz w:val="32"/>
          <w:szCs w:val="32"/>
          <w:highlight w:val="none"/>
          <w:lang w:val="en-US" w:eastAsia="zh-CN"/>
        </w:rPr>
        <w:sectPr>
          <w:footerReference r:id="rId5" w:type="first"/>
          <w:headerReference r:id="rId3" w:type="default"/>
          <w:footerReference r:id="rId4" w:type="default"/>
          <w:pgSz w:w="11906" w:h="16838"/>
          <w:pgMar w:top="1440" w:right="1803" w:bottom="1440" w:left="1803" w:header="851" w:footer="567" w:gutter="0"/>
          <w:pgNumType w:fmt="decimal" w:start="1"/>
          <w:cols w:space="0" w:num="1"/>
          <w:rtlGutter w:val="0"/>
          <w:docGrid w:linePitch="312" w:charSpace="0"/>
        </w:sectPr>
      </w:pPr>
      <w:r>
        <w:rPr>
          <w:rFonts w:hint="eastAsia" w:ascii="宋体" w:hAnsi="宋体" w:eastAsia="宋体" w:cs="宋体"/>
          <w:b/>
          <w:bCs/>
          <w:color w:val="auto"/>
          <w:w w:val="95"/>
          <w:sz w:val="32"/>
          <w:szCs w:val="32"/>
          <w:highlight w:val="none"/>
          <w:lang w:eastAsia="zh-CN"/>
        </w:rPr>
        <w:t>20</w:t>
      </w:r>
      <w:r>
        <w:rPr>
          <w:rFonts w:hint="eastAsia" w:hAnsi="宋体" w:cs="宋体"/>
          <w:b/>
          <w:bCs/>
          <w:color w:val="auto"/>
          <w:w w:val="95"/>
          <w:sz w:val="32"/>
          <w:szCs w:val="32"/>
          <w:highlight w:val="none"/>
          <w:lang w:val="en-US" w:eastAsia="zh-CN"/>
        </w:rPr>
        <w:t>26</w:t>
      </w:r>
      <w:r>
        <w:rPr>
          <w:rFonts w:hint="eastAsia" w:ascii="宋体" w:hAnsi="宋体" w:eastAsia="宋体" w:cs="宋体"/>
          <w:b/>
          <w:bCs/>
          <w:color w:val="auto"/>
          <w:w w:val="95"/>
          <w:sz w:val="32"/>
          <w:szCs w:val="32"/>
          <w:highlight w:val="none"/>
          <w:lang w:eastAsia="zh-CN"/>
        </w:rPr>
        <w:t>年</w:t>
      </w:r>
      <w:r>
        <w:rPr>
          <w:rFonts w:hint="eastAsia" w:hAnsi="宋体" w:cs="宋体"/>
          <w:b/>
          <w:bCs/>
          <w:color w:val="auto"/>
          <w:w w:val="95"/>
          <w:sz w:val="32"/>
          <w:szCs w:val="32"/>
          <w:highlight w:val="none"/>
          <w:lang w:val="en-US" w:eastAsia="zh-CN"/>
        </w:rPr>
        <w:t>5</w:t>
      </w:r>
      <w:r>
        <w:rPr>
          <w:rFonts w:hint="eastAsia" w:ascii="宋体" w:hAnsi="宋体" w:eastAsia="宋体" w:cs="宋体"/>
          <w:b/>
          <w:bCs/>
          <w:color w:val="auto"/>
          <w:w w:val="95"/>
          <w:sz w:val="32"/>
          <w:szCs w:val="32"/>
          <w:highlight w:val="none"/>
          <w:lang w:eastAsia="zh-CN"/>
        </w:rPr>
        <w:t>月</w:t>
      </w:r>
    </w:p>
    <w:p w14:paraId="4F3B17E2">
      <w:pPr>
        <w:rPr>
          <w:rFonts w:hint="eastAsia" w:ascii="宋体" w:hAnsi="宋体" w:eastAsia="宋体" w:cs="宋体"/>
          <w:color w:val="auto"/>
          <w:highlight w:val="none"/>
        </w:rPr>
      </w:pPr>
    </w:p>
    <w:p w14:paraId="288E30E0">
      <w:pPr>
        <w:rPr>
          <w:rFonts w:hint="eastAsia" w:ascii="宋体" w:hAnsi="宋体" w:eastAsia="宋体" w:cs="宋体"/>
          <w:color w:val="auto"/>
          <w:highlight w:val="none"/>
        </w:rPr>
      </w:pPr>
    </w:p>
    <w:sdt>
      <w:sdtPr>
        <w:rPr>
          <w:rFonts w:hint="eastAsia" w:ascii="宋体" w:hAnsi="宋体" w:eastAsia="宋体" w:cs="宋体"/>
          <w:color w:val="auto"/>
          <w:kern w:val="2"/>
          <w:sz w:val="21"/>
          <w:szCs w:val="24"/>
          <w:highlight w:val="none"/>
          <w:lang w:val="en-US" w:eastAsia="zh-CN" w:bidi="ar-SA"/>
        </w:rPr>
        <w:id w:val="147482826"/>
        <w15:color w:val="DBDBDB"/>
        <w:docPartObj>
          <w:docPartGallery w:val="Table of Contents"/>
          <w:docPartUnique/>
        </w:docPartObj>
      </w:sdtPr>
      <w:sdtEndPr>
        <w:rPr>
          <w:rFonts w:hint="eastAsia" w:ascii="宋体" w:hAnsi="宋体" w:eastAsia="宋体" w:cs="宋体"/>
          <w:b/>
          <w:color w:val="auto"/>
          <w:kern w:val="2"/>
          <w:sz w:val="21"/>
          <w:szCs w:val="24"/>
          <w:highlight w:val="none"/>
          <w:lang w:val="en-US" w:eastAsia="zh-CN" w:bidi="ar-SA"/>
        </w:rPr>
      </w:sdtEndPr>
      <w:sdtContent>
        <w:p w14:paraId="5C477781">
          <w:pPr>
            <w:keepNext w:val="0"/>
            <w:keepLines w:val="0"/>
            <w:pageBreakBefore w:val="0"/>
            <w:widowControl w:val="0"/>
            <w:kinsoku/>
            <w:wordWrap/>
            <w:overflowPunct/>
            <w:topLinePunct w:val="0"/>
            <w:autoSpaceDE/>
            <w:autoSpaceDN/>
            <w:bidi w:val="0"/>
            <w:adjustRightInd/>
            <w:snapToGrid/>
            <w:spacing w:after="0" w:line="380" w:lineRule="exact"/>
            <w:ind w:left="0" w:leftChars="0" w:right="0" w:rightChars="0" w:firstLine="0" w:firstLineChars="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0"/>
              <w:szCs w:val="30"/>
              <w:highlight w:val="none"/>
            </w:rPr>
            <w:t>目</w:t>
          </w:r>
          <w:r>
            <w:rPr>
              <w:rFonts w:hint="eastAsia" w:ascii="宋体" w:hAnsi="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录</w:t>
          </w:r>
        </w:p>
        <w:p w14:paraId="7CEF22A0">
          <w:pPr>
            <w:pStyle w:val="33"/>
            <w:keepNext w:val="0"/>
            <w:keepLines w:val="0"/>
            <w:pageBreakBefore w:val="0"/>
            <w:widowControl w:val="0"/>
            <w:tabs>
              <w:tab w:val="right" w:leader="dot" w:pos="8634"/>
              <w:tab w:val="clear" w:pos="8398"/>
            </w:tabs>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TOC \o "1-2" \h \u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_Toc15485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 xml:space="preserve">第一章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_Toc15485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50CE58B">
          <w:pPr>
            <w:pStyle w:val="33"/>
            <w:keepNext w:val="0"/>
            <w:keepLines w:val="0"/>
            <w:pageBreakBefore w:val="0"/>
            <w:widowControl w:val="0"/>
            <w:tabs>
              <w:tab w:val="right" w:leader="dot" w:pos="8634"/>
              <w:tab w:val="clear" w:pos="8398"/>
            </w:tabs>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_Toc4241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第二章  采购需求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_Toc4241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D26941C">
          <w:pPr>
            <w:pStyle w:val="39"/>
            <w:keepNext w:val="0"/>
            <w:keepLines w:val="0"/>
            <w:pageBreakBefore w:val="0"/>
            <w:widowControl w:val="0"/>
            <w:tabs>
              <w:tab w:val="right" w:leader="dot" w:pos="8634"/>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_Toc26450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lang w:val="en-US" w:eastAsia="zh-CN"/>
            </w:rPr>
            <w:t>一、</w:t>
          </w:r>
          <w:r>
            <w:rPr>
              <w:rFonts w:hint="eastAsia" w:ascii="宋体" w:hAnsi="宋体" w:eastAsia="宋体" w:cs="宋体"/>
              <w:bCs/>
              <w:color w:val="auto"/>
              <w:sz w:val="21"/>
              <w:szCs w:val="21"/>
              <w:highlight w:val="none"/>
            </w:rPr>
            <w:t>技术要求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_Toc26450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8B47C89">
          <w:pPr>
            <w:pStyle w:val="39"/>
            <w:keepNext w:val="0"/>
            <w:keepLines w:val="0"/>
            <w:pageBreakBefore w:val="0"/>
            <w:widowControl w:val="0"/>
            <w:tabs>
              <w:tab w:val="right" w:leader="dot" w:pos="8634"/>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_Toc1022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0"/>
              <w:sz w:val="21"/>
              <w:szCs w:val="21"/>
              <w:highlight w:val="none"/>
              <w:lang w:val="en-US" w:eastAsia="zh-CN" w:bidi="ar-SA"/>
            </w:rPr>
            <w:t>（一）标项一（分包1）的技术要求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_Toc1022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2F32DD9">
          <w:pPr>
            <w:pStyle w:val="39"/>
            <w:keepNext w:val="0"/>
            <w:keepLines w:val="0"/>
            <w:pageBreakBefore w:val="0"/>
            <w:widowControl w:val="0"/>
            <w:tabs>
              <w:tab w:val="right" w:leader="dot" w:pos="8634"/>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_Toc7518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0"/>
              <w:sz w:val="21"/>
              <w:szCs w:val="21"/>
              <w:highlight w:val="none"/>
              <w:lang w:val="en-US" w:eastAsia="zh-CN" w:bidi="ar-SA"/>
            </w:rPr>
            <w:t>（二）标项二（分包2）的技术要求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_Toc7518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C47F89D">
          <w:pPr>
            <w:pStyle w:val="39"/>
            <w:keepNext w:val="0"/>
            <w:keepLines w:val="0"/>
            <w:pageBreakBefore w:val="0"/>
            <w:widowControl w:val="0"/>
            <w:tabs>
              <w:tab w:val="right" w:leader="dot" w:pos="8634"/>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_Toc19588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0"/>
              <w:sz w:val="21"/>
              <w:szCs w:val="21"/>
              <w:highlight w:val="none"/>
              <w:lang w:val="en-US" w:eastAsia="zh-CN" w:bidi="ar-SA"/>
            </w:rPr>
            <w:t>（三）标项三（分包3）的技术要求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_Toc19588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6E0A08D">
          <w:pPr>
            <w:pStyle w:val="39"/>
            <w:keepNext w:val="0"/>
            <w:keepLines w:val="0"/>
            <w:pageBreakBefore w:val="0"/>
            <w:widowControl w:val="0"/>
            <w:tabs>
              <w:tab w:val="right" w:leader="dot" w:pos="8634"/>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_Toc12531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0"/>
              <w:sz w:val="21"/>
              <w:szCs w:val="21"/>
              <w:highlight w:val="none"/>
              <w:lang w:val="en-US" w:eastAsia="zh-CN" w:bidi="ar-SA"/>
            </w:rPr>
            <w:t>（四）标项四（分包4）的技术要求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_Toc12531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E24BB88">
          <w:pPr>
            <w:pStyle w:val="39"/>
            <w:keepNext w:val="0"/>
            <w:keepLines w:val="0"/>
            <w:pageBreakBefore w:val="0"/>
            <w:widowControl w:val="0"/>
            <w:tabs>
              <w:tab w:val="right" w:leader="dot" w:pos="8634"/>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_Toc17139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0"/>
              <w:sz w:val="21"/>
              <w:szCs w:val="21"/>
              <w:highlight w:val="none"/>
              <w:lang w:val="en-US" w:eastAsia="zh-CN" w:bidi="ar-SA"/>
            </w:rPr>
            <w:t>（五）标项五（分包5）的技术要求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_Toc17139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C15BF95">
          <w:pPr>
            <w:pStyle w:val="39"/>
            <w:keepNext w:val="0"/>
            <w:keepLines w:val="0"/>
            <w:pageBreakBefore w:val="0"/>
            <w:widowControl w:val="0"/>
            <w:tabs>
              <w:tab w:val="right" w:leader="dot" w:pos="8634"/>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_Toc20536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0"/>
              <w:sz w:val="21"/>
              <w:szCs w:val="21"/>
              <w:highlight w:val="none"/>
              <w:lang w:val="en-US" w:eastAsia="zh-CN" w:bidi="ar-SA"/>
            </w:rPr>
            <w:t>（六）标项六（分包6）的技术要求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_Toc20536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BB6144A">
          <w:pPr>
            <w:pStyle w:val="39"/>
            <w:keepNext w:val="0"/>
            <w:keepLines w:val="0"/>
            <w:pageBreakBefore w:val="0"/>
            <w:widowControl w:val="0"/>
            <w:tabs>
              <w:tab w:val="right" w:leader="dot" w:pos="8634"/>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_Toc6925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2"/>
              <w:sz w:val="21"/>
              <w:szCs w:val="21"/>
              <w:highlight w:val="none"/>
              <w:lang w:val="en-US" w:eastAsia="zh-CN" w:bidi="ar-SA"/>
            </w:rPr>
            <w:t>二、</w:t>
          </w:r>
          <w:r>
            <w:rPr>
              <w:rFonts w:hint="eastAsia" w:ascii="宋体" w:hAnsi="宋体" w:eastAsia="宋体" w:cs="宋体"/>
              <w:bCs/>
              <w:color w:val="auto"/>
              <w:sz w:val="21"/>
              <w:szCs w:val="21"/>
              <w:highlight w:val="none"/>
              <w:lang w:val="en-US" w:eastAsia="zh-CN"/>
            </w:rPr>
            <w:t>商务要求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_Toc6925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820D513">
          <w:pPr>
            <w:pStyle w:val="39"/>
            <w:keepNext w:val="0"/>
            <w:keepLines w:val="0"/>
            <w:pageBreakBefore w:val="0"/>
            <w:widowControl w:val="0"/>
            <w:tabs>
              <w:tab w:val="right" w:leader="dot" w:pos="8634"/>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_Toc27989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0"/>
              <w:sz w:val="21"/>
              <w:szCs w:val="21"/>
              <w:highlight w:val="none"/>
              <w:lang w:val="en-US" w:eastAsia="zh-CN" w:bidi="ar-SA"/>
            </w:rPr>
            <w:t>（一）标项一（分包1）的商务要求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_Toc27989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37F8964">
          <w:pPr>
            <w:pStyle w:val="39"/>
            <w:keepNext w:val="0"/>
            <w:keepLines w:val="0"/>
            <w:pageBreakBefore w:val="0"/>
            <w:widowControl w:val="0"/>
            <w:tabs>
              <w:tab w:val="right" w:leader="dot" w:pos="8634"/>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_Toc13860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0"/>
              <w:sz w:val="21"/>
              <w:szCs w:val="21"/>
              <w:highlight w:val="none"/>
              <w:lang w:val="en-US" w:eastAsia="zh-CN" w:bidi="ar-SA"/>
            </w:rPr>
            <w:t>（二）标项二（分包2）的商务要求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_Toc13860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783E066">
          <w:pPr>
            <w:pStyle w:val="39"/>
            <w:keepNext w:val="0"/>
            <w:keepLines w:val="0"/>
            <w:pageBreakBefore w:val="0"/>
            <w:widowControl w:val="0"/>
            <w:tabs>
              <w:tab w:val="right" w:leader="dot" w:pos="8634"/>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_Toc20185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0"/>
              <w:sz w:val="21"/>
              <w:szCs w:val="21"/>
              <w:highlight w:val="none"/>
              <w:lang w:val="en-US" w:eastAsia="zh-CN" w:bidi="ar-SA"/>
            </w:rPr>
            <w:t>（三）标项三（分包3）的商务要求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_Toc20185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A5E5B96">
          <w:pPr>
            <w:pStyle w:val="39"/>
            <w:keepNext w:val="0"/>
            <w:keepLines w:val="0"/>
            <w:pageBreakBefore w:val="0"/>
            <w:widowControl w:val="0"/>
            <w:tabs>
              <w:tab w:val="right" w:leader="dot" w:pos="8634"/>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_Toc18366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0"/>
              <w:sz w:val="21"/>
              <w:szCs w:val="21"/>
              <w:highlight w:val="none"/>
              <w:lang w:val="en-US" w:eastAsia="zh-CN" w:bidi="ar-SA"/>
            </w:rPr>
            <w:t>（四）标项四（分包4）的商务要求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_Toc18366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90D4A35">
          <w:pPr>
            <w:pStyle w:val="39"/>
            <w:keepNext w:val="0"/>
            <w:keepLines w:val="0"/>
            <w:pageBreakBefore w:val="0"/>
            <w:widowControl w:val="0"/>
            <w:tabs>
              <w:tab w:val="right" w:leader="dot" w:pos="8634"/>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_Toc25255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0"/>
              <w:sz w:val="21"/>
              <w:szCs w:val="21"/>
              <w:highlight w:val="none"/>
              <w:lang w:val="en-US" w:eastAsia="zh-CN" w:bidi="ar-SA"/>
            </w:rPr>
            <w:t>（五）标项五（分包5）的商务要求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_Toc25255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3A54493">
          <w:pPr>
            <w:pStyle w:val="39"/>
            <w:keepNext w:val="0"/>
            <w:keepLines w:val="0"/>
            <w:pageBreakBefore w:val="0"/>
            <w:widowControl w:val="0"/>
            <w:tabs>
              <w:tab w:val="right" w:leader="dot" w:pos="8634"/>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_Toc5357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0"/>
              <w:sz w:val="21"/>
              <w:szCs w:val="21"/>
              <w:highlight w:val="none"/>
              <w:lang w:val="en-US" w:eastAsia="zh-CN" w:bidi="ar-SA"/>
            </w:rPr>
            <w:t>（六）标项六（分包6）的商务要求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_Toc5357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CEC1108">
          <w:pPr>
            <w:pStyle w:val="39"/>
            <w:keepNext w:val="0"/>
            <w:keepLines w:val="0"/>
            <w:pageBreakBefore w:val="0"/>
            <w:widowControl w:val="0"/>
            <w:tabs>
              <w:tab w:val="right" w:leader="dot" w:pos="8634"/>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_Toc1998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2"/>
              <w:sz w:val="21"/>
              <w:szCs w:val="21"/>
              <w:highlight w:val="none"/>
              <w:lang w:val="en-US" w:eastAsia="zh-CN" w:bidi="ar-SA"/>
            </w:rPr>
            <w:t>三、</w:t>
          </w:r>
          <w:r>
            <w:rPr>
              <w:rFonts w:hint="eastAsia" w:ascii="宋体" w:hAnsi="宋体" w:eastAsia="宋体" w:cs="宋体"/>
              <w:bCs/>
              <w:color w:val="auto"/>
              <w:sz w:val="21"/>
              <w:szCs w:val="21"/>
              <w:highlight w:val="none"/>
              <w:lang w:val="en-US" w:eastAsia="zh-CN"/>
            </w:rPr>
            <w:t>其他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_Toc1998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A5F569A">
          <w:pPr>
            <w:pStyle w:val="33"/>
            <w:keepNext w:val="0"/>
            <w:keepLines w:val="0"/>
            <w:pageBreakBefore w:val="0"/>
            <w:widowControl w:val="0"/>
            <w:tabs>
              <w:tab w:val="right" w:leader="dot" w:pos="8634"/>
              <w:tab w:val="clear" w:pos="8398"/>
            </w:tabs>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_Toc15391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第三章  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_Toc15391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8728B42">
          <w:pPr>
            <w:pStyle w:val="39"/>
            <w:keepNext w:val="0"/>
            <w:keepLines w:val="0"/>
            <w:pageBreakBefore w:val="0"/>
            <w:widowControl w:val="0"/>
            <w:tabs>
              <w:tab w:val="right" w:leader="dot" w:pos="8634"/>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_Toc21423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投标人须知前附表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_Toc21423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64B4D90">
          <w:pPr>
            <w:pStyle w:val="39"/>
            <w:keepNext w:val="0"/>
            <w:keepLines w:val="0"/>
            <w:pageBreakBefore w:val="0"/>
            <w:widowControl w:val="0"/>
            <w:tabs>
              <w:tab w:val="right" w:leader="dot" w:pos="8634"/>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_Toc19238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投标人须知正文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_Toc19238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3944D6C">
          <w:pPr>
            <w:pStyle w:val="39"/>
            <w:keepNext w:val="0"/>
            <w:keepLines w:val="0"/>
            <w:pageBreakBefore w:val="0"/>
            <w:widowControl w:val="0"/>
            <w:tabs>
              <w:tab w:val="right" w:leader="dot" w:pos="8634"/>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_Toc22335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一、总  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_Toc22335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3110118">
          <w:pPr>
            <w:pStyle w:val="39"/>
            <w:keepNext w:val="0"/>
            <w:keepLines w:val="0"/>
            <w:pageBreakBefore w:val="0"/>
            <w:widowControl w:val="0"/>
            <w:tabs>
              <w:tab w:val="right" w:leader="dot" w:pos="8634"/>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_Toc19361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二、招标文件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_Toc19361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D07687A">
          <w:pPr>
            <w:pStyle w:val="39"/>
            <w:keepNext w:val="0"/>
            <w:keepLines w:val="0"/>
            <w:pageBreakBefore w:val="0"/>
            <w:widowControl w:val="0"/>
            <w:tabs>
              <w:tab w:val="right" w:leader="dot" w:pos="8634"/>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_Toc23476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三、投标文件的编制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_Toc23476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847A5B7">
          <w:pPr>
            <w:pStyle w:val="39"/>
            <w:keepNext w:val="0"/>
            <w:keepLines w:val="0"/>
            <w:pageBreakBefore w:val="0"/>
            <w:widowControl w:val="0"/>
            <w:tabs>
              <w:tab w:val="right" w:leader="dot" w:pos="8634"/>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_Toc17572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四、开  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_Toc17572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AD3B9B1">
          <w:pPr>
            <w:pStyle w:val="39"/>
            <w:keepNext w:val="0"/>
            <w:keepLines w:val="0"/>
            <w:pageBreakBefore w:val="0"/>
            <w:widowControl w:val="0"/>
            <w:tabs>
              <w:tab w:val="right" w:leader="dot" w:pos="8634"/>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_Toc22155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五、资格审查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_Toc22155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B0DF7BC">
          <w:pPr>
            <w:pStyle w:val="39"/>
            <w:keepNext w:val="0"/>
            <w:keepLines w:val="0"/>
            <w:pageBreakBefore w:val="0"/>
            <w:widowControl w:val="0"/>
            <w:tabs>
              <w:tab w:val="right" w:leader="dot" w:pos="8634"/>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_Toc12834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六、评  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_Toc12834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3535060">
          <w:pPr>
            <w:pStyle w:val="39"/>
            <w:keepNext w:val="0"/>
            <w:keepLines w:val="0"/>
            <w:pageBreakBefore w:val="0"/>
            <w:widowControl w:val="0"/>
            <w:tabs>
              <w:tab w:val="right" w:leader="dot" w:pos="8634"/>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_Toc17709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七、中标和合同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_Toc17709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D4DDC06">
          <w:pPr>
            <w:pStyle w:val="39"/>
            <w:keepNext w:val="0"/>
            <w:keepLines w:val="0"/>
            <w:pageBreakBefore w:val="0"/>
            <w:widowControl w:val="0"/>
            <w:tabs>
              <w:tab w:val="right" w:leader="dot" w:pos="8634"/>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_Toc19851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八、其他事项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_Toc19851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8405FA1">
          <w:pPr>
            <w:pStyle w:val="33"/>
            <w:keepNext w:val="0"/>
            <w:keepLines w:val="0"/>
            <w:pageBreakBefore w:val="0"/>
            <w:widowControl w:val="0"/>
            <w:tabs>
              <w:tab w:val="right" w:leader="dot" w:pos="8634"/>
              <w:tab w:val="clear" w:pos="8398"/>
            </w:tabs>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_Toc5921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第四章  评标方法及评标标准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_Toc5921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5E75540">
          <w:pPr>
            <w:pStyle w:val="39"/>
            <w:keepNext w:val="0"/>
            <w:keepLines w:val="0"/>
            <w:pageBreakBefore w:val="0"/>
            <w:widowControl w:val="0"/>
            <w:tabs>
              <w:tab w:val="right" w:leader="dot" w:pos="8634"/>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_Toc23742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一、评标方法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_Toc23742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DAC78C3">
          <w:pPr>
            <w:pStyle w:val="39"/>
            <w:keepNext w:val="0"/>
            <w:keepLines w:val="0"/>
            <w:pageBreakBefore w:val="0"/>
            <w:widowControl w:val="0"/>
            <w:tabs>
              <w:tab w:val="right" w:leader="dot" w:pos="8634"/>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_Toc1397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二、评标程序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_Toc1397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D551E76">
          <w:pPr>
            <w:pStyle w:val="39"/>
            <w:keepNext w:val="0"/>
            <w:keepLines w:val="0"/>
            <w:pageBreakBefore w:val="0"/>
            <w:widowControl w:val="0"/>
            <w:tabs>
              <w:tab w:val="right" w:leader="dot" w:pos="8634"/>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_Toc15508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三、评标标准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_Toc15508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550884C">
          <w:pPr>
            <w:pStyle w:val="39"/>
            <w:keepNext w:val="0"/>
            <w:keepLines w:val="0"/>
            <w:pageBreakBefore w:val="0"/>
            <w:widowControl w:val="0"/>
            <w:tabs>
              <w:tab w:val="right" w:leader="dot" w:pos="8634"/>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_Toc30917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一</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kern w:val="0"/>
              <w:sz w:val="21"/>
              <w:szCs w:val="21"/>
              <w:highlight w:val="none"/>
              <w:lang w:val="en-US" w:eastAsia="zh-CN" w:bidi="ar-SA"/>
            </w:rPr>
            <w:t>标项一（分包1）</w:t>
          </w:r>
          <w:r>
            <w:rPr>
              <w:rFonts w:hint="eastAsia" w:ascii="宋体" w:hAnsi="宋体" w:eastAsia="宋体" w:cs="宋体"/>
              <w:bCs/>
              <w:color w:val="auto"/>
              <w:sz w:val="21"/>
              <w:szCs w:val="21"/>
              <w:highlight w:val="none"/>
            </w:rPr>
            <w:t>评标标准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_Toc30917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11A4E50">
          <w:pPr>
            <w:pStyle w:val="39"/>
            <w:keepNext w:val="0"/>
            <w:keepLines w:val="0"/>
            <w:pageBreakBefore w:val="0"/>
            <w:widowControl w:val="0"/>
            <w:tabs>
              <w:tab w:val="right" w:leader="dot" w:pos="8634"/>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_Toc22644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二</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kern w:val="0"/>
              <w:sz w:val="21"/>
              <w:szCs w:val="21"/>
              <w:highlight w:val="none"/>
              <w:lang w:val="en-US" w:eastAsia="zh-CN" w:bidi="ar-SA"/>
            </w:rPr>
            <w:t>标项二（分包2）</w:t>
          </w:r>
          <w:r>
            <w:rPr>
              <w:rFonts w:hint="eastAsia" w:ascii="宋体" w:hAnsi="宋体" w:eastAsia="宋体" w:cs="宋体"/>
              <w:bCs/>
              <w:color w:val="auto"/>
              <w:sz w:val="21"/>
              <w:szCs w:val="21"/>
              <w:highlight w:val="none"/>
            </w:rPr>
            <w:t>评标标准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_Toc22644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CB0E188">
          <w:pPr>
            <w:pStyle w:val="39"/>
            <w:keepNext w:val="0"/>
            <w:keepLines w:val="0"/>
            <w:pageBreakBefore w:val="0"/>
            <w:widowControl w:val="0"/>
            <w:tabs>
              <w:tab w:val="right" w:leader="dot" w:pos="8634"/>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_Toc31954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三</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kern w:val="0"/>
              <w:sz w:val="21"/>
              <w:szCs w:val="21"/>
              <w:highlight w:val="none"/>
              <w:lang w:val="en-US" w:eastAsia="zh-CN" w:bidi="ar-SA"/>
            </w:rPr>
            <w:t>标项三（分包3）</w:t>
          </w:r>
          <w:r>
            <w:rPr>
              <w:rFonts w:hint="eastAsia" w:ascii="宋体" w:hAnsi="宋体" w:eastAsia="宋体" w:cs="宋体"/>
              <w:bCs/>
              <w:color w:val="auto"/>
              <w:sz w:val="21"/>
              <w:szCs w:val="21"/>
              <w:highlight w:val="none"/>
            </w:rPr>
            <w:t>评标标准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_Toc31954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29AE5DE">
          <w:pPr>
            <w:pStyle w:val="39"/>
            <w:keepNext w:val="0"/>
            <w:keepLines w:val="0"/>
            <w:pageBreakBefore w:val="0"/>
            <w:widowControl w:val="0"/>
            <w:tabs>
              <w:tab w:val="right" w:leader="dot" w:pos="8634"/>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_Toc3649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四</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kern w:val="0"/>
              <w:sz w:val="21"/>
              <w:szCs w:val="21"/>
              <w:highlight w:val="none"/>
              <w:lang w:val="en-US" w:eastAsia="zh-CN" w:bidi="ar-SA"/>
            </w:rPr>
            <w:t>标项四（分包4）</w:t>
          </w:r>
          <w:r>
            <w:rPr>
              <w:rFonts w:hint="eastAsia" w:ascii="宋体" w:hAnsi="宋体" w:eastAsia="宋体" w:cs="宋体"/>
              <w:bCs/>
              <w:color w:val="auto"/>
              <w:sz w:val="21"/>
              <w:szCs w:val="21"/>
              <w:highlight w:val="none"/>
            </w:rPr>
            <w:t>评标标准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_Toc3649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9D6AFA9">
          <w:pPr>
            <w:pStyle w:val="39"/>
            <w:keepNext w:val="0"/>
            <w:keepLines w:val="0"/>
            <w:pageBreakBefore w:val="0"/>
            <w:widowControl w:val="0"/>
            <w:tabs>
              <w:tab w:val="right" w:leader="dot" w:pos="8634"/>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_Toc4306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五</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kern w:val="0"/>
              <w:sz w:val="21"/>
              <w:szCs w:val="21"/>
              <w:highlight w:val="none"/>
              <w:lang w:val="en-US" w:eastAsia="zh-CN" w:bidi="ar-SA"/>
            </w:rPr>
            <w:t>标项五（分包5）</w:t>
          </w:r>
          <w:r>
            <w:rPr>
              <w:rFonts w:hint="eastAsia" w:ascii="宋体" w:hAnsi="宋体" w:eastAsia="宋体" w:cs="宋体"/>
              <w:bCs/>
              <w:color w:val="auto"/>
              <w:sz w:val="21"/>
              <w:szCs w:val="21"/>
              <w:highlight w:val="none"/>
            </w:rPr>
            <w:t>评标标准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_Toc4306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EB28AC6">
          <w:pPr>
            <w:pStyle w:val="39"/>
            <w:keepNext w:val="0"/>
            <w:keepLines w:val="0"/>
            <w:pageBreakBefore w:val="0"/>
            <w:widowControl w:val="0"/>
            <w:tabs>
              <w:tab w:val="right" w:leader="dot" w:pos="8634"/>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_Toc6095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六</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kern w:val="0"/>
              <w:sz w:val="21"/>
              <w:szCs w:val="21"/>
              <w:highlight w:val="none"/>
              <w:lang w:val="en-US" w:eastAsia="zh-CN" w:bidi="ar-SA"/>
            </w:rPr>
            <w:t>标项六（分包6）</w:t>
          </w:r>
          <w:r>
            <w:rPr>
              <w:rFonts w:hint="eastAsia" w:ascii="宋体" w:hAnsi="宋体" w:eastAsia="宋体" w:cs="宋体"/>
              <w:bCs/>
              <w:color w:val="auto"/>
              <w:sz w:val="21"/>
              <w:szCs w:val="21"/>
              <w:highlight w:val="none"/>
            </w:rPr>
            <w:t>评标标准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_Toc6095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BE9F52D">
          <w:pPr>
            <w:pStyle w:val="39"/>
            <w:keepNext w:val="0"/>
            <w:keepLines w:val="0"/>
            <w:pageBreakBefore w:val="0"/>
            <w:widowControl w:val="0"/>
            <w:tabs>
              <w:tab w:val="right" w:leader="dot" w:pos="8634"/>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_Toc14949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四、中标候选人推荐原则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_Toc14949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2A2EE29">
          <w:pPr>
            <w:pStyle w:val="33"/>
            <w:keepNext w:val="0"/>
            <w:keepLines w:val="0"/>
            <w:pageBreakBefore w:val="0"/>
            <w:widowControl w:val="0"/>
            <w:tabs>
              <w:tab w:val="right" w:leader="dot" w:pos="8634"/>
              <w:tab w:val="clear" w:pos="8398"/>
            </w:tabs>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_Toc16074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第五章  拟签订的合同文本</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_Toc16074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8FAD428">
          <w:pPr>
            <w:pStyle w:val="33"/>
            <w:keepNext w:val="0"/>
            <w:keepLines w:val="0"/>
            <w:pageBreakBefore w:val="0"/>
            <w:widowControl w:val="0"/>
            <w:tabs>
              <w:tab w:val="right" w:leader="dot" w:pos="8634"/>
              <w:tab w:val="clear" w:pos="8398"/>
            </w:tabs>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_Toc8082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第六章  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_Toc8082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F729B03">
          <w:pPr>
            <w:pStyle w:val="39"/>
            <w:keepNext w:val="0"/>
            <w:keepLines w:val="0"/>
            <w:pageBreakBefore w:val="0"/>
            <w:widowControl w:val="0"/>
            <w:tabs>
              <w:tab w:val="right" w:leader="dot" w:pos="8634"/>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_Toc16963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一、报价文件格式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_Toc16963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D352907">
          <w:pPr>
            <w:pStyle w:val="39"/>
            <w:keepNext w:val="0"/>
            <w:keepLines w:val="0"/>
            <w:pageBreakBefore w:val="0"/>
            <w:widowControl w:val="0"/>
            <w:tabs>
              <w:tab w:val="right" w:leader="dot" w:pos="8634"/>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_Toc7744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二、资格证明文件格式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_Toc7744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D41FC46">
          <w:pPr>
            <w:pStyle w:val="39"/>
            <w:keepNext w:val="0"/>
            <w:keepLines w:val="0"/>
            <w:pageBreakBefore w:val="0"/>
            <w:widowControl w:val="0"/>
            <w:tabs>
              <w:tab w:val="right" w:leader="dot" w:pos="8634"/>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_Toc20365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及技术</w:t>
          </w:r>
          <w:r>
            <w:rPr>
              <w:rFonts w:hint="eastAsia" w:ascii="宋体" w:hAnsi="宋体" w:eastAsia="宋体" w:cs="宋体"/>
              <w:color w:val="auto"/>
              <w:sz w:val="21"/>
              <w:szCs w:val="21"/>
              <w:highlight w:val="none"/>
            </w:rPr>
            <w:t>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_Toc20365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6C02A7F">
          <w:pPr>
            <w:pStyle w:val="39"/>
            <w:keepNext w:val="0"/>
            <w:keepLines w:val="0"/>
            <w:pageBreakBefore w:val="0"/>
            <w:widowControl w:val="0"/>
            <w:tabs>
              <w:tab w:val="right" w:leader="dot" w:pos="8634"/>
            </w:tabs>
            <w:kinsoku/>
            <w:wordWrap/>
            <w:overflowPunct/>
            <w:topLinePunct w:val="0"/>
            <w:autoSpaceDE/>
            <w:autoSpaceDN/>
            <w:bidi w:val="0"/>
            <w:adjustRightInd/>
            <w:snapToGrid/>
            <w:spacing w:line="400" w:lineRule="exact"/>
            <w:ind w:left="0" w:leftChars="0" w:firstLine="0" w:firstLineChars="0"/>
            <w:textAlignment w:val="auto"/>
            <w:rPr>
              <w:color w:val="auto"/>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_Toc28362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、其他文书、文件格式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_Toc28362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A4D723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color w:val="auto"/>
              <w:kern w:val="2"/>
              <w:sz w:val="21"/>
              <w:szCs w:val="24"/>
              <w:highlight w:val="none"/>
              <w:lang w:val="en-US" w:eastAsia="zh-CN" w:bidi="ar-SA"/>
            </w:rPr>
          </w:pPr>
          <w:r>
            <w:rPr>
              <w:rFonts w:hint="eastAsia" w:ascii="宋体" w:hAnsi="宋体" w:eastAsia="宋体" w:cs="宋体"/>
              <w:color w:val="auto"/>
              <w:highlight w:val="none"/>
            </w:rPr>
            <w:fldChar w:fldCharType="end"/>
          </w:r>
        </w:p>
      </w:sdtContent>
    </w:sdt>
    <w:p w14:paraId="09F9928B">
      <w:pPr>
        <w:pStyle w:val="2"/>
        <w:keepNext w:val="0"/>
        <w:keepLines w:val="0"/>
        <w:tabs>
          <w:tab w:val="left" w:pos="0"/>
          <w:tab w:val="left" w:pos="3165"/>
          <w:tab w:val="center" w:pos="4153"/>
        </w:tabs>
        <w:autoSpaceDE w:val="0"/>
        <w:autoSpaceDN w:val="0"/>
        <w:adjustRightInd w:val="0"/>
        <w:spacing w:before="0" w:after="0" w:line="360" w:lineRule="auto"/>
        <w:jc w:val="center"/>
        <w:outlineLvl w:val="9"/>
        <w:rPr>
          <w:rFonts w:hint="eastAsia" w:ascii="宋体" w:hAnsi="宋体" w:eastAsia="宋体" w:cs="宋体"/>
          <w:color w:val="auto"/>
          <w:highlight w:val="none"/>
        </w:rPr>
        <w:sectPr>
          <w:pgSz w:w="12240" w:h="15840"/>
          <w:pgMar w:top="1440" w:right="1803" w:bottom="1440" w:left="1803" w:header="720" w:footer="720" w:gutter="0"/>
          <w:lnNumType w:countBy="0" w:distance="360"/>
          <w:pgNumType w:fmt="decimal"/>
          <w:cols w:space="0" w:num="1"/>
          <w:rtlGutter w:val="0"/>
          <w:docGrid w:type="linesAndChars" w:linePitch="312" w:charSpace="0"/>
        </w:sectPr>
      </w:pPr>
      <w:bookmarkStart w:id="6" w:name="_Toc254970489"/>
      <w:bookmarkStart w:id="7" w:name="_Toc254970630"/>
      <w:bookmarkStart w:id="8" w:name="_Toc74320800"/>
    </w:p>
    <w:p w14:paraId="3FA1632B">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color w:val="auto"/>
          <w:sz w:val="28"/>
          <w:szCs w:val="28"/>
          <w:highlight w:val="none"/>
        </w:rPr>
      </w:pPr>
      <w:bookmarkStart w:id="9" w:name="_Toc10224"/>
      <w:bookmarkStart w:id="10" w:name="_Toc27115"/>
      <w:bookmarkStart w:id="11" w:name="_Toc15485"/>
      <w:r>
        <w:rPr>
          <w:rFonts w:hint="eastAsia" w:ascii="方正小标宋_GBK" w:hAnsi="方正小标宋_GBK" w:eastAsia="方正小标宋_GBK" w:cs="方正小标宋_GBK"/>
          <w:color w:val="auto"/>
          <w:sz w:val="28"/>
          <w:szCs w:val="28"/>
          <w:highlight w:val="none"/>
        </w:rPr>
        <w:t>第一章</w:t>
      </w:r>
      <w:bookmarkEnd w:id="6"/>
      <w:bookmarkEnd w:id="7"/>
      <w:bookmarkStart w:id="12" w:name="_Toc35393789"/>
      <w:bookmarkStart w:id="13" w:name="_Toc28359001"/>
      <w:r>
        <w:rPr>
          <w:rFonts w:hint="eastAsia" w:ascii="方正小标宋_GBK" w:hAnsi="方正小标宋_GBK" w:eastAsia="方正小标宋_GBK" w:cs="方正小标宋_GBK"/>
          <w:color w:val="auto"/>
          <w:sz w:val="28"/>
          <w:szCs w:val="28"/>
          <w:highlight w:val="none"/>
        </w:rPr>
        <w:t xml:space="preserve"> </w:t>
      </w:r>
      <w:r>
        <w:rPr>
          <w:rFonts w:hint="eastAsia" w:ascii="方正小标宋_GBK" w:hAnsi="方正小标宋_GBK" w:eastAsia="方正小标宋_GBK" w:cs="方正小标宋_GBK"/>
          <w:color w:val="auto"/>
          <w:sz w:val="28"/>
          <w:szCs w:val="28"/>
          <w:highlight w:val="none"/>
          <w:lang w:val="en-US" w:eastAsia="zh-CN"/>
        </w:rPr>
        <w:t xml:space="preserve"> </w:t>
      </w:r>
      <w:r>
        <w:rPr>
          <w:rFonts w:hint="eastAsia" w:ascii="方正小标宋_GBK" w:hAnsi="方正小标宋_GBK" w:eastAsia="方正小标宋_GBK" w:cs="方正小标宋_GBK"/>
          <w:color w:val="auto"/>
          <w:sz w:val="28"/>
          <w:szCs w:val="28"/>
          <w:highlight w:val="none"/>
        </w:rPr>
        <w:t>招标公告</w:t>
      </w:r>
      <w:bookmarkEnd w:id="8"/>
      <w:bookmarkEnd w:id="9"/>
      <w:bookmarkEnd w:id="10"/>
      <w:bookmarkEnd w:id="11"/>
      <w:bookmarkEnd w:id="12"/>
      <w:bookmarkEnd w:id="13"/>
    </w:p>
    <w:p w14:paraId="783D67D5">
      <w:pPr>
        <w:keepNext w:val="0"/>
        <w:keepLines w:val="0"/>
        <w:pageBreakBefore w:val="0"/>
        <w:pBdr>
          <w:top w:val="single" w:color="auto" w:sz="4" w:space="1"/>
          <w:left w:val="single" w:color="auto" w:sz="4" w:space="4"/>
          <w:bottom w:val="single" w:color="auto" w:sz="4" w:space="1"/>
          <w:right w:val="single" w:color="auto" w:sz="4" w:space="14"/>
        </w:pBdr>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59E0F0A8">
      <w:pPr>
        <w:keepNext w:val="0"/>
        <w:keepLines w:val="0"/>
        <w:pageBreakBefore w:val="0"/>
        <w:pBdr>
          <w:top w:val="single" w:color="auto" w:sz="4" w:space="1"/>
          <w:left w:val="single" w:color="auto" w:sz="4" w:space="4"/>
          <w:bottom w:val="single" w:color="auto" w:sz="4" w:space="1"/>
          <w:right w:val="single" w:color="auto" w:sz="4" w:space="14"/>
        </w:pBdr>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eastAsia="zh-CN"/>
        </w:rPr>
        <w:t>广西涉重金属突发环境事件应急监测能力建设项目</w:t>
      </w:r>
      <w:r>
        <w:rPr>
          <w:rFonts w:hint="eastAsia" w:ascii="宋体" w:hAnsi="宋体" w:eastAsia="宋体" w:cs="宋体"/>
          <w:color w:val="auto"/>
          <w:sz w:val="21"/>
          <w:szCs w:val="21"/>
          <w:highlight w:val="none"/>
        </w:rPr>
        <w:t>的潜在供应商应在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//www.gcy.zfcg.gxzf.gov.cn/</w:t>
      </w:r>
      <w:r>
        <w:rPr>
          <w:rFonts w:hint="eastAsia" w:ascii="宋体" w:hAnsi="宋体" w:eastAsia="宋体" w:cs="宋体"/>
          <w:color w:val="auto"/>
          <w:sz w:val="21"/>
          <w:szCs w:val="21"/>
          <w:highlight w:val="none"/>
        </w:rPr>
        <w:t>）获取(下载)招标文件，并于</w:t>
      </w:r>
      <w:r>
        <w:rPr>
          <w:rFonts w:hint="eastAsia" w:ascii="宋体" w:hAnsi="宋体" w:eastAsia="宋体" w:cs="宋体"/>
          <w:color w:val="auto"/>
          <w:sz w:val="21"/>
          <w:szCs w:val="21"/>
          <w:highlight w:val="none"/>
          <w:u w:val="single"/>
          <w:lang w:eastAsia="zh-CN"/>
        </w:rPr>
        <w:t>20</w:t>
      </w:r>
      <w:r>
        <w:rPr>
          <w:rFonts w:hint="eastAsia" w:ascii="宋体" w:hAnsi="宋体" w:cs="宋体"/>
          <w:color w:val="auto"/>
          <w:sz w:val="21"/>
          <w:szCs w:val="21"/>
          <w:highlight w:val="none"/>
          <w:u w:val="single"/>
          <w:lang w:val="en-US" w:eastAsia="zh-CN"/>
        </w:rPr>
        <w:t>26</w:t>
      </w:r>
      <w:r>
        <w:rPr>
          <w:rFonts w:hint="eastAsia" w:ascii="宋体" w:hAnsi="宋体" w:eastAsia="宋体" w:cs="宋体"/>
          <w:color w:val="auto"/>
          <w:sz w:val="21"/>
          <w:szCs w:val="21"/>
          <w:highlight w:val="none"/>
          <w:u w:val="single"/>
          <w:lang w:eastAsia="zh-CN"/>
        </w:rPr>
        <w:t>年</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lang w:eastAsia="zh-CN"/>
        </w:rPr>
        <w:t>月</w:t>
      </w:r>
      <w:r>
        <w:rPr>
          <w:rFonts w:hint="eastAsia" w:ascii="宋体" w:hAnsi="宋体" w:cs="宋体"/>
          <w:color w:val="auto"/>
          <w:sz w:val="21"/>
          <w:szCs w:val="21"/>
          <w:highlight w:val="none"/>
          <w:u w:val="single"/>
          <w:lang w:val="en-US" w:eastAsia="zh-CN"/>
        </w:rPr>
        <w:t>11</w:t>
      </w:r>
      <w:r>
        <w:rPr>
          <w:rFonts w:hint="eastAsia" w:ascii="宋体" w:hAnsi="宋体" w:eastAsia="宋体" w:cs="宋体"/>
          <w:color w:val="auto"/>
          <w:sz w:val="21"/>
          <w:szCs w:val="21"/>
          <w:highlight w:val="none"/>
          <w:u w:val="single"/>
          <w:lang w:eastAsia="zh-CN"/>
        </w:rPr>
        <w:t>日</w:t>
      </w:r>
      <w:r>
        <w:rPr>
          <w:rFonts w:hint="eastAsia" w:ascii="宋体" w:hAnsi="宋体" w:cs="宋体"/>
          <w:color w:val="auto"/>
          <w:sz w:val="21"/>
          <w:szCs w:val="21"/>
          <w:highlight w:val="none"/>
          <w:u w:val="single"/>
          <w:lang w:val="en-US" w:eastAsia="zh-CN"/>
        </w:rPr>
        <w:t>11</w:t>
      </w:r>
      <w:r>
        <w:rPr>
          <w:rFonts w:hint="eastAsia" w:ascii="宋体" w:hAnsi="宋体" w:eastAsia="宋体" w:cs="宋体"/>
          <w:color w:val="auto"/>
          <w:sz w:val="21"/>
          <w:szCs w:val="21"/>
          <w:highlight w:val="none"/>
          <w:u w:val="single"/>
          <w:lang w:val="en-US" w:eastAsia="zh-CN"/>
        </w:rPr>
        <w:t>时</w:t>
      </w:r>
      <w:r>
        <w:rPr>
          <w:rFonts w:hint="eastAsia" w:ascii="宋体" w:hAnsi="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0分</w:t>
      </w:r>
      <w:r>
        <w:rPr>
          <w:rFonts w:hint="eastAsia" w:ascii="宋体" w:hAnsi="宋体" w:eastAsia="宋体" w:cs="宋体"/>
          <w:color w:val="auto"/>
          <w:sz w:val="21"/>
          <w:szCs w:val="21"/>
          <w:highlight w:val="none"/>
        </w:rPr>
        <w:t>（北京时间）前提交投标文件。</w:t>
      </w:r>
    </w:p>
    <w:p w14:paraId="4BFF29EF">
      <w:pPr>
        <w:keepNext w:val="0"/>
        <w:keepLines w:val="0"/>
        <w:pageBreakBefore w:val="0"/>
        <w:widowControl w:val="0"/>
        <w:kinsoku/>
        <w:wordWrap/>
        <w:overflowPunct/>
        <w:topLinePunct w:val="0"/>
        <w:autoSpaceDE/>
        <w:autoSpaceDN/>
        <w:bidi w:val="0"/>
        <w:adjustRightInd/>
        <w:snapToGrid/>
        <w:spacing w:line="400" w:lineRule="exact"/>
        <w:ind w:left="0" w:firstLine="422" w:firstLineChars="200"/>
        <w:jc w:val="both"/>
        <w:textAlignment w:val="auto"/>
        <w:outlineLvl w:val="1"/>
        <w:rPr>
          <w:rFonts w:hint="eastAsia" w:ascii="宋体" w:hAnsi="宋体" w:eastAsia="宋体" w:cs="宋体"/>
          <w:b/>
          <w:bCs/>
          <w:color w:val="auto"/>
          <w:sz w:val="21"/>
          <w:szCs w:val="21"/>
          <w:highlight w:val="none"/>
        </w:rPr>
      </w:pPr>
      <w:bookmarkStart w:id="14" w:name="_Toc35393790"/>
      <w:bookmarkStart w:id="15" w:name="_Toc28359079"/>
      <w:bookmarkStart w:id="16" w:name="_Toc27678"/>
      <w:bookmarkStart w:id="17" w:name="_Toc22713"/>
      <w:bookmarkStart w:id="18" w:name="_Toc28359002"/>
      <w:bookmarkStart w:id="19" w:name="_Toc20249"/>
      <w:bookmarkStart w:id="20" w:name="_Toc35393621"/>
      <w:bookmarkStart w:id="21" w:name="_Toc4847"/>
      <w:bookmarkStart w:id="22" w:name="_Toc14838"/>
      <w:bookmarkStart w:id="23" w:name="_Hlk24379207"/>
      <w:r>
        <w:rPr>
          <w:rFonts w:hint="eastAsia" w:ascii="宋体" w:hAnsi="宋体" w:eastAsia="宋体" w:cs="宋体"/>
          <w:b/>
          <w:bCs/>
          <w:color w:val="auto"/>
          <w:sz w:val="21"/>
          <w:szCs w:val="21"/>
          <w:highlight w:val="none"/>
        </w:rPr>
        <w:t>一、项目基本情况</w:t>
      </w:r>
      <w:bookmarkEnd w:id="14"/>
      <w:bookmarkEnd w:id="15"/>
      <w:bookmarkEnd w:id="16"/>
      <w:bookmarkEnd w:id="17"/>
      <w:bookmarkEnd w:id="18"/>
      <w:bookmarkEnd w:id="19"/>
      <w:bookmarkEnd w:id="20"/>
      <w:bookmarkEnd w:id="21"/>
      <w:bookmarkEnd w:id="22"/>
    </w:p>
    <w:bookmarkEnd w:id="23"/>
    <w:p w14:paraId="317813B8">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项目编号：GXZC2026-G1-001201-GXRD</w:t>
      </w:r>
      <w:bookmarkStart w:id="703" w:name="_GoBack"/>
      <w:bookmarkEnd w:id="703"/>
    </w:p>
    <w:p w14:paraId="1434B1F1">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广西涉重金属突发环境事件应急监测能力建设项目</w:t>
      </w:r>
    </w:p>
    <w:p w14:paraId="0FA7375C">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预算总金额（元）：</w:t>
      </w:r>
      <w:r>
        <w:rPr>
          <w:rFonts w:hint="eastAsia" w:ascii="宋体" w:hAnsi="宋体" w:eastAsia="宋体" w:cs="宋体"/>
          <w:color w:val="auto"/>
          <w:sz w:val="21"/>
          <w:szCs w:val="21"/>
          <w:highlight w:val="none"/>
          <w:lang w:val="en-US" w:eastAsia="zh-CN"/>
        </w:rPr>
        <w:t>2531</w:t>
      </w:r>
      <w:r>
        <w:rPr>
          <w:rFonts w:hint="eastAsia" w:ascii="宋体" w:hAnsi="宋体" w:cs="宋体"/>
          <w:color w:val="auto"/>
          <w:sz w:val="21"/>
          <w:szCs w:val="21"/>
          <w:highlight w:val="none"/>
          <w:lang w:val="en-US" w:eastAsia="zh-CN"/>
        </w:rPr>
        <w:t>0000</w:t>
      </w:r>
    </w:p>
    <w:p w14:paraId="027F0C6A">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采购需求：</w:t>
      </w:r>
    </w:p>
    <w:p w14:paraId="2BA51940">
      <w:pPr>
        <w:pStyle w:val="18"/>
        <w:keepNext w:val="0"/>
        <w:keepLines w:val="0"/>
        <w:pageBreakBefore w:val="0"/>
        <w:widowControl w:val="0"/>
        <w:kinsoku/>
        <w:wordWrap/>
        <w:overflowPunct/>
        <w:topLinePunct w:val="0"/>
        <w:autoSpaceDE/>
        <w:autoSpaceDN/>
        <w:bidi w:val="0"/>
        <w:adjustRightInd/>
        <w:snapToGrid/>
        <w:spacing w:line="400" w:lineRule="exact"/>
        <w:ind w:left="0" w:firstLine="422" w:firstLineChars="20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标项一</w:t>
      </w:r>
    </w:p>
    <w:p w14:paraId="126A220D">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rPr>
        <w:t>标项名称：</w:t>
      </w:r>
      <w:r>
        <w:rPr>
          <w:rFonts w:hint="eastAsia" w:ascii="宋体" w:hAnsi="宋体" w:eastAsia="宋体" w:cs="宋体"/>
          <w:color w:val="auto"/>
          <w:kern w:val="2"/>
          <w:sz w:val="21"/>
          <w:szCs w:val="21"/>
          <w:highlight w:val="none"/>
          <w:lang w:eastAsia="zh-CN"/>
        </w:rPr>
        <w:t>便携式X射线荧光光谱仪</w:t>
      </w:r>
      <w:r>
        <w:rPr>
          <w:rFonts w:hint="eastAsia" w:ascii="宋体" w:hAnsi="宋体" w:cs="宋体"/>
          <w:color w:val="auto"/>
          <w:kern w:val="2"/>
          <w:sz w:val="21"/>
          <w:szCs w:val="21"/>
          <w:highlight w:val="none"/>
          <w:lang w:eastAsia="zh-CN"/>
        </w:rPr>
        <w:t>、便携式流速测量仪、</w:t>
      </w:r>
      <w:r>
        <w:rPr>
          <w:rFonts w:hint="eastAsia" w:ascii="宋体" w:hAnsi="宋体" w:eastAsia="宋体" w:cs="宋体"/>
          <w:b w:val="0"/>
          <w:bCs w:val="0"/>
          <w:color w:val="auto"/>
          <w:kern w:val="2"/>
          <w:sz w:val="21"/>
          <w:szCs w:val="21"/>
          <w:highlight w:val="none"/>
          <w:lang w:eastAsia="zh-CN"/>
        </w:rPr>
        <w:t>便携式测深仪</w:t>
      </w:r>
    </w:p>
    <w:p w14:paraId="06634A3A">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数量：</w:t>
      </w:r>
      <w:r>
        <w:rPr>
          <w:rFonts w:hint="eastAsia" w:ascii="宋体" w:hAnsi="宋体" w:cs="宋体"/>
          <w:color w:val="auto"/>
          <w:kern w:val="2"/>
          <w:sz w:val="21"/>
          <w:szCs w:val="21"/>
          <w:highlight w:val="none"/>
          <w:lang w:val="en-US" w:eastAsia="zh-CN"/>
        </w:rPr>
        <w:t>41</w:t>
      </w:r>
    </w:p>
    <w:p w14:paraId="3FA6C2DB">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预算金额（元）：</w:t>
      </w:r>
      <w:r>
        <w:rPr>
          <w:rFonts w:hint="eastAsia" w:ascii="宋体" w:hAnsi="宋体" w:cs="宋体"/>
          <w:color w:val="auto"/>
          <w:sz w:val="21"/>
          <w:szCs w:val="21"/>
          <w:highlight w:val="none"/>
          <w:lang w:val="en-US" w:eastAsia="zh-CN"/>
        </w:rPr>
        <w:t>388</w:t>
      </w:r>
      <w:r>
        <w:rPr>
          <w:rFonts w:hint="eastAsia" w:ascii="宋体" w:hAnsi="宋体" w:eastAsia="宋体" w:cs="宋体"/>
          <w:color w:val="auto"/>
          <w:sz w:val="21"/>
          <w:szCs w:val="21"/>
          <w:highlight w:val="none"/>
          <w:lang w:val="en-US" w:eastAsia="zh-CN"/>
        </w:rPr>
        <w:t>0000</w:t>
      </w:r>
    </w:p>
    <w:p w14:paraId="254C2DC1">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简要规格描述或项目基本概况介绍、用途：</w:t>
      </w:r>
      <w:r>
        <w:rPr>
          <w:rFonts w:hint="eastAsia" w:ascii="宋体" w:hAnsi="宋体" w:eastAsia="宋体" w:cs="宋体"/>
          <w:color w:val="auto"/>
          <w:kern w:val="2"/>
          <w:sz w:val="21"/>
          <w:szCs w:val="21"/>
          <w:highlight w:val="none"/>
          <w:lang w:val="en-US" w:eastAsia="zh-CN"/>
        </w:rPr>
        <w:t>采购便携式X射线荧光光谱仪10台、便携式流速测量仪15台、便携式测深仪16台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具体</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详见《采购需求》。</w:t>
      </w:r>
    </w:p>
    <w:p w14:paraId="6FF7206B">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w:t>
      </w:r>
      <w:r>
        <w:rPr>
          <w:rFonts w:hint="eastAsia" w:ascii="宋体" w:hAnsi="宋体" w:cs="宋体"/>
          <w:color w:val="auto"/>
          <w:sz w:val="21"/>
          <w:szCs w:val="21"/>
          <w:highlight w:val="none"/>
          <w:lang w:val="en-US" w:eastAsia="zh-CN"/>
        </w:rPr>
        <w:t>388</w:t>
      </w:r>
      <w:r>
        <w:rPr>
          <w:rFonts w:hint="eastAsia" w:ascii="宋体" w:hAnsi="宋体" w:eastAsia="宋体" w:cs="宋体"/>
          <w:color w:val="auto"/>
          <w:sz w:val="21"/>
          <w:szCs w:val="21"/>
          <w:highlight w:val="none"/>
          <w:lang w:val="en-US" w:eastAsia="zh-CN"/>
        </w:rPr>
        <w:t>0000</w:t>
      </w:r>
    </w:p>
    <w:p w14:paraId="53849FBF">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合同履约期限：</w:t>
      </w:r>
      <w:r>
        <w:rPr>
          <w:rFonts w:hint="eastAsia" w:ascii="宋体" w:hAnsi="宋体" w:eastAsia="宋体" w:cs="宋体"/>
          <w:color w:val="auto"/>
          <w:sz w:val="21"/>
          <w:szCs w:val="21"/>
          <w:highlight w:val="none"/>
          <w:lang w:val="en-US" w:eastAsia="zh-CN"/>
        </w:rPr>
        <w:t>国产仪器设备</w:t>
      </w:r>
      <w:r>
        <w:rPr>
          <w:rFonts w:hint="eastAsia" w:ascii="宋体" w:hAnsi="宋体" w:eastAsia="宋体" w:cs="宋体"/>
          <w:color w:val="auto"/>
          <w:sz w:val="21"/>
          <w:szCs w:val="21"/>
          <w:highlight w:val="none"/>
        </w:rPr>
        <w:t>自签订合同之日起</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日内交货并完成安装调试</w:t>
      </w:r>
      <w:r>
        <w:rPr>
          <w:rFonts w:hint="eastAsia" w:ascii="宋体" w:hAnsi="宋体" w:eastAsia="宋体" w:cs="宋体"/>
          <w:color w:val="auto"/>
          <w:sz w:val="21"/>
          <w:szCs w:val="21"/>
          <w:highlight w:val="none"/>
          <w:lang w:eastAsia="zh-CN"/>
        </w:rPr>
        <w:t>。</w:t>
      </w:r>
    </w:p>
    <w:p w14:paraId="56AA756C">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本标项（</w:t>
      </w:r>
      <w:r>
        <w:rPr>
          <w:rFonts w:hint="eastAsia" w:ascii="宋体" w:hAnsi="宋体" w:eastAsia="宋体" w:cs="宋体"/>
          <w:color w:val="auto"/>
          <w:kern w:val="2"/>
          <w:sz w:val="21"/>
          <w:szCs w:val="21"/>
          <w:highlight w:val="none"/>
          <w:lang w:val="en-US" w:eastAsia="zh-CN"/>
        </w:rPr>
        <w:t>否</w:t>
      </w:r>
      <w:r>
        <w:rPr>
          <w:rFonts w:hint="eastAsia" w:ascii="宋体" w:hAnsi="宋体" w:eastAsia="宋体" w:cs="宋体"/>
          <w:color w:val="auto"/>
          <w:kern w:val="2"/>
          <w:sz w:val="21"/>
          <w:szCs w:val="21"/>
          <w:highlight w:val="none"/>
        </w:rPr>
        <w:t>）接受联合体投标。</w:t>
      </w:r>
    </w:p>
    <w:p w14:paraId="3297E90E">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p w14:paraId="503ED522">
      <w:pPr>
        <w:pStyle w:val="18"/>
        <w:keepNext w:val="0"/>
        <w:keepLines w:val="0"/>
        <w:pageBreakBefore w:val="0"/>
        <w:widowControl w:val="0"/>
        <w:kinsoku/>
        <w:wordWrap/>
        <w:overflowPunct/>
        <w:topLinePunct w:val="0"/>
        <w:autoSpaceDE/>
        <w:autoSpaceDN/>
        <w:bidi w:val="0"/>
        <w:adjustRightInd/>
        <w:snapToGrid/>
        <w:spacing w:line="400" w:lineRule="exact"/>
        <w:ind w:left="0" w:firstLine="422" w:firstLineChars="200"/>
        <w:jc w:val="both"/>
        <w:textAlignment w:val="auto"/>
        <w:rPr>
          <w:rFonts w:hint="eastAsia"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rPr>
        <w:t>标项</w:t>
      </w:r>
      <w:r>
        <w:rPr>
          <w:rFonts w:hint="eastAsia" w:ascii="宋体" w:hAnsi="宋体" w:eastAsia="宋体" w:cs="宋体"/>
          <w:b/>
          <w:bCs/>
          <w:color w:val="auto"/>
          <w:kern w:val="2"/>
          <w:sz w:val="21"/>
          <w:szCs w:val="21"/>
          <w:highlight w:val="none"/>
          <w:lang w:val="en-US" w:eastAsia="zh-CN"/>
        </w:rPr>
        <w:t>二</w:t>
      </w:r>
    </w:p>
    <w:p w14:paraId="36C325D2">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标项名称：</w:t>
      </w:r>
      <w:r>
        <w:rPr>
          <w:rFonts w:hint="eastAsia" w:ascii="宋体" w:hAnsi="宋体" w:eastAsia="宋体" w:cs="宋体"/>
          <w:color w:val="auto"/>
          <w:kern w:val="2"/>
          <w:sz w:val="21"/>
          <w:szCs w:val="21"/>
          <w:highlight w:val="none"/>
          <w:lang w:val="en-US" w:eastAsia="zh-CN"/>
        </w:rPr>
        <w:t>多接收电感耦合等离子体质谱仪</w:t>
      </w:r>
    </w:p>
    <w:p w14:paraId="377DD760">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数量：</w:t>
      </w:r>
      <w:r>
        <w:rPr>
          <w:rFonts w:hint="eastAsia" w:ascii="宋体" w:hAnsi="宋体" w:cs="宋体"/>
          <w:color w:val="auto"/>
          <w:kern w:val="2"/>
          <w:sz w:val="21"/>
          <w:szCs w:val="21"/>
          <w:highlight w:val="none"/>
          <w:lang w:val="en-US" w:eastAsia="zh-CN"/>
        </w:rPr>
        <w:t>1</w:t>
      </w:r>
    </w:p>
    <w:p w14:paraId="7BBA860A">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预算金额（元）：</w:t>
      </w:r>
      <w:r>
        <w:rPr>
          <w:rFonts w:hint="eastAsia" w:ascii="宋体" w:hAnsi="宋体" w:eastAsia="宋体" w:cs="宋体"/>
          <w:color w:val="auto"/>
          <w:sz w:val="21"/>
          <w:szCs w:val="21"/>
          <w:highlight w:val="none"/>
          <w:lang w:val="en-US" w:eastAsia="zh-CN"/>
        </w:rPr>
        <w:t>8</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00000</w:t>
      </w:r>
    </w:p>
    <w:p w14:paraId="2A192821">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简要规格描述或项目基本概况介绍、用途：</w:t>
      </w:r>
      <w:r>
        <w:rPr>
          <w:rFonts w:hint="eastAsia" w:ascii="宋体" w:hAnsi="宋体" w:eastAsia="宋体" w:cs="宋体"/>
          <w:color w:val="auto"/>
          <w:kern w:val="2"/>
          <w:sz w:val="21"/>
          <w:szCs w:val="21"/>
          <w:highlight w:val="none"/>
          <w:lang w:val="en-US" w:eastAsia="zh-CN"/>
        </w:rPr>
        <w:t>采购多接</w:t>
      </w:r>
      <w:r>
        <w:rPr>
          <w:rFonts w:hint="eastAsia" w:ascii="宋体" w:hAnsi="宋体" w:eastAsia="宋体" w:cs="宋体"/>
          <w:color w:val="auto"/>
          <w:kern w:val="2"/>
          <w:sz w:val="21"/>
          <w:szCs w:val="21"/>
          <w:highlight w:val="none"/>
        </w:rPr>
        <w:t>收</w:t>
      </w:r>
      <w:r>
        <w:rPr>
          <w:rFonts w:hint="eastAsia" w:ascii="宋体" w:hAnsi="宋体" w:eastAsia="宋体" w:cs="宋体"/>
          <w:color w:val="auto"/>
          <w:kern w:val="2"/>
          <w:sz w:val="21"/>
          <w:szCs w:val="21"/>
          <w:highlight w:val="none"/>
          <w:lang w:val="en-US" w:eastAsia="zh-CN"/>
        </w:rPr>
        <w:t>电感耦合等离子体质谱仪（MC-ICP-MS）1台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具体</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详见《采购需求》。</w:t>
      </w:r>
    </w:p>
    <w:p w14:paraId="2CCE0A4B">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最高限价（如有）：</w:t>
      </w:r>
      <w:r>
        <w:rPr>
          <w:rFonts w:hint="eastAsia" w:ascii="宋体" w:hAnsi="宋体" w:eastAsia="宋体" w:cs="宋体"/>
          <w:color w:val="auto"/>
          <w:sz w:val="21"/>
          <w:szCs w:val="21"/>
          <w:highlight w:val="none"/>
          <w:lang w:val="en-US" w:eastAsia="zh-CN"/>
        </w:rPr>
        <w:t>8</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00000</w:t>
      </w:r>
    </w:p>
    <w:p w14:paraId="25B81029">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合同履约期限：</w:t>
      </w:r>
      <w:r>
        <w:rPr>
          <w:rFonts w:hint="eastAsia" w:ascii="宋体" w:hAnsi="宋体" w:eastAsia="宋体" w:cs="宋体"/>
          <w:color w:val="auto"/>
          <w:sz w:val="21"/>
          <w:szCs w:val="21"/>
          <w:highlight w:val="none"/>
          <w:lang w:val="en-US" w:eastAsia="zh-CN"/>
        </w:rPr>
        <w:t>国产仪器设备</w:t>
      </w:r>
      <w:r>
        <w:rPr>
          <w:rFonts w:hint="eastAsia" w:ascii="宋体" w:hAnsi="宋体" w:eastAsia="宋体" w:cs="宋体"/>
          <w:color w:val="auto"/>
          <w:sz w:val="21"/>
          <w:szCs w:val="21"/>
          <w:highlight w:val="none"/>
        </w:rPr>
        <w:t>自签订合同之日起</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日内交货并完成安装调试。</w:t>
      </w:r>
      <w:r>
        <w:rPr>
          <w:rFonts w:hint="eastAsia" w:ascii="宋体" w:hAnsi="宋体" w:eastAsia="宋体" w:cs="宋体"/>
          <w:color w:val="auto"/>
          <w:sz w:val="21"/>
          <w:szCs w:val="21"/>
          <w:highlight w:val="none"/>
          <w:lang w:val="en-US" w:eastAsia="zh-CN"/>
        </w:rPr>
        <w:t>进口仪器设备</w:t>
      </w:r>
      <w:r>
        <w:rPr>
          <w:rFonts w:hint="eastAsia" w:ascii="宋体" w:hAnsi="宋体" w:eastAsia="宋体" w:cs="宋体"/>
          <w:color w:val="auto"/>
          <w:sz w:val="21"/>
          <w:szCs w:val="21"/>
          <w:highlight w:val="none"/>
        </w:rPr>
        <w:t>自签订合同之日起</w:t>
      </w:r>
      <w:r>
        <w:rPr>
          <w:rFonts w:hint="eastAsia" w:ascii="宋体" w:hAnsi="宋体" w:eastAsia="宋体" w:cs="宋体"/>
          <w:color w:val="auto"/>
          <w:sz w:val="21"/>
          <w:szCs w:val="21"/>
          <w:highlight w:val="none"/>
          <w:lang w:val="en-US" w:eastAsia="zh-CN"/>
        </w:rPr>
        <w:t>240</w:t>
      </w:r>
      <w:r>
        <w:rPr>
          <w:rFonts w:hint="eastAsia" w:ascii="宋体" w:hAnsi="宋体" w:eastAsia="宋体" w:cs="宋体"/>
          <w:color w:val="auto"/>
          <w:sz w:val="21"/>
          <w:szCs w:val="21"/>
          <w:highlight w:val="none"/>
        </w:rPr>
        <w:t>日内交货并完成安装调试。</w:t>
      </w:r>
    </w:p>
    <w:p w14:paraId="10BE5171">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本标项（</w:t>
      </w:r>
      <w:r>
        <w:rPr>
          <w:rFonts w:hint="eastAsia" w:ascii="宋体" w:hAnsi="宋体" w:eastAsia="宋体" w:cs="宋体"/>
          <w:color w:val="auto"/>
          <w:kern w:val="2"/>
          <w:sz w:val="21"/>
          <w:szCs w:val="21"/>
          <w:highlight w:val="none"/>
          <w:lang w:val="en-US" w:eastAsia="zh-CN"/>
        </w:rPr>
        <w:t>否</w:t>
      </w:r>
      <w:r>
        <w:rPr>
          <w:rFonts w:hint="eastAsia" w:ascii="宋体" w:hAnsi="宋体" w:eastAsia="宋体" w:cs="宋体"/>
          <w:color w:val="auto"/>
          <w:kern w:val="2"/>
          <w:sz w:val="21"/>
          <w:szCs w:val="21"/>
          <w:highlight w:val="none"/>
        </w:rPr>
        <w:t>）接受联合体投标。</w:t>
      </w:r>
    </w:p>
    <w:p w14:paraId="1F735757">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p w14:paraId="21747D3C">
      <w:pPr>
        <w:pStyle w:val="18"/>
        <w:keepNext w:val="0"/>
        <w:keepLines w:val="0"/>
        <w:pageBreakBefore w:val="0"/>
        <w:widowControl w:val="0"/>
        <w:kinsoku/>
        <w:wordWrap/>
        <w:overflowPunct/>
        <w:topLinePunct w:val="0"/>
        <w:autoSpaceDE/>
        <w:autoSpaceDN/>
        <w:bidi w:val="0"/>
        <w:adjustRightInd/>
        <w:snapToGrid/>
        <w:spacing w:line="400" w:lineRule="exact"/>
        <w:ind w:left="0" w:firstLine="422" w:firstLineChars="200"/>
        <w:jc w:val="both"/>
        <w:textAlignment w:val="auto"/>
        <w:rPr>
          <w:rFonts w:hint="default"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rPr>
        <w:t>标项</w:t>
      </w:r>
      <w:r>
        <w:rPr>
          <w:rFonts w:hint="eastAsia" w:ascii="宋体" w:hAnsi="宋体" w:eastAsia="宋体" w:cs="宋体"/>
          <w:b/>
          <w:bCs/>
          <w:color w:val="auto"/>
          <w:kern w:val="2"/>
          <w:sz w:val="21"/>
          <w:szCs w:val="21"/>
          <w:highlight w:val="none"/>
          <w:lang w:val="en-US" w:eastAsia="zh-CN"/>
        </w:rPr>
        <w:t>三</w:t>
      </w:r>
    </w:p>
    <w:p w14:paraId="01B486ED">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rPr>
        <w:t>标项名称：</w:t>
      </w:r>
      <w:r>
        <w:rPr>
          <w:rFonts w:hint="eastAsia" w:ascii="宋体" w:hAnsi="宋体" w:eastAsia="宋体" w:cs="宋体"/>
          <w:color w:val="auto"/>
          <w:kern w:val="2"/>
          <w:sz w:val="21"/>
          <w:szCs w:val="21"/>
          <w:highlight w:val="none"/>
          <w:lang w:val="en-US" w:eastAsia="zh-CN"/>
        </w:rPr>
        <w:t>地下水洗井采样设备</w:t>
      </w:r>
    </w:p>
    <w:p w14:paraId="36A9B004">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数量：</w:t>
      </w:r>
      <w:r>
        <w:rPr>
          <w:rFonts w:hint="eastAsia" w:ascii="宋体" w:hAnsi="宋体" w:cs="宋体"/>
          <w:color w:val="auto"/>
          <w:kern w:val="2"/>
          <w:sz w:val="21"/>
          <w:szCs w:val="21"/>
          <w:highlight w:val="none"/>
          <w:lang w:val="en-US" w:eastAsia="zh-CN"/>
        </w:rPr>
        <w:t>24</w:t>
      </w:r>
    </w:p>
    <w:p w14:paraId="77350A9C">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预算金额（元）：</w:t>
      </w:r>
      <w:r>
        <w:rPr>
          <w:rFonts w:hint="eastAsia" w:ascii="宋体" w:hAnsi="宋体" w:cs="宋体"/>
          <w:color w:val="auto"/>
          <w:sz w:val="21"/>
          <w:szCs w:val="21"/>
          <w:highlight w:val="none"/>
          <w:lang w:val="en-US" w:eastAsia="zh-CN"/>
        </w:rPr>
        <w:t>4080000</w:t>
      </w:r>
    </w:p>
    <w:p w14:paraId="2A9925C2">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简要规格描述或项目基本概况介绍、用途：</w:t>
      </w:r>
      <w:r>
        <w:rPr>
          <w:rFonts w:hint="eastAsia" w:ascii="宋体" w:hAnsi="宋体" w:eastAsia="宋体" w:cs="宋体"/>
          <w:color w:val="auto"/>
          <w:kern w:val="2"/>
          <w:sz w:val="21"/>
          <w:szCs w:val="21"/>
          <w:highlight w:val="none"/>
          <w:lang w:val="en-US" w:eastAsia="zh-CN"/>
        </w:rPr>
        <w:t>采购地下水洗井采样设备24套</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具体</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详见《采购需求》。</w:t>
      </w:r>
    </w:p>
    <w:p w14:paraId="3048672F">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最高限价（如有）：</w:t>
      </w:r>
      <w:r>
        <w:rPr>
          <w:rFonts w:hint="eastAsia" w:ascii="宋体" w:hAnsi="宋体" w:cs="宋体"/>
          <w:color w:val="auto"/>
          <w:sz w:val="21"/>
          <w:szCs w:val="21"/>
          <w:highlight w:val="none"/>
          <w:lang w:val="en-US" w:eastAsia="zh-CN"/>
        </w:rPr>
        <w:t>4080000</w:t>
      </w:r>
    </w:p>
    <w:p w14:paraId="48CC9C33">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合同履约期限：</w:t>
      </w:r>
      <w:r>
        <w:rPr>
          <w:rFonts w:hint="eastAsia" w:ascii="宋体" w:hAnsi="宋体" w:eastAsia="宋体" w:cs="宋体"/>
          <w:color w:val="auto"/>
          <w:sz w:val="21"/>
          <w:szCs w:val="21"/>
          <w:highlight w:val="none"/>
          <w:lang w:val="en-US" w:eastAsia="zh-CN"/>
        </w:rPr>
        <w:t>国产仪器设备</w:t>
      </w:r>
      <w:r>
        <w:rPr>
          <w:rFonts w:hint="eastAsia" w:ascii="宋体" w:hAnsi="宋体" w:eastAsia="宋体" w:cs="宋体"/>
          <w:color w:val="auto"/>
          <w:sz w:val="21"/>
          <w:szCs w:val="21"/>
          <w:highlight w:val="none"/>
        </w:rPr>
        <w:t>自签订合同之日起</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日内交货并完成安装调试。</w:t>
      </w:r>
    </w:p>
    <w:p w14:paraId="3998D6BA">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本标项（</w:t>
      </w:r>
      <w:r>
        <w:rPr>
          <w:rFonts w:hint="eastAsia" w:ascii="宋体" w:hAnsi="宋体" w:eastAsia="宋体" w:cs="宋体"/>
          <w:color w:val="auto"/>
          <w:kern w:val="2"/>
          <w:sz w:val="21"/>
          <w:szCs w:val="21"/>
          <w:highlight w:val="none"/>
          <w:lang w:val="en-US" w:eastAsia="zh-CN"/>
        </w:rPr>
        <w:t>否</w:t>
      </w:r>
      <w:r>
        <w:rPr>
          <w:rFonts w:hint="eastAsia" w:ascii="宋体" w:hAnsi="宋体" w:eastAsia="宋体" w:cs="宋体"/>
          <w:color w:val="auto"/>
          <w:kern w:val="2"/>
          <w:sz w:val="21"/>
          <w:szCs w:val="21"/>
          <w:highlight w:val="none"/>
        </w:rPr>
        <w:t>）接受联合体投标。</w:t>
      </w:r>
    </w:p>
    <w:p w14:paraId="1DCC82E8">
      <w:pPr>
        <w:pStyle w:val="18"/>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p w14:paraId="4A81B0B6">
      <w:pPr>
        <w:pStyle w:val="18"/>
        <w:keepNext w:val="0"/>
        <w:keepLines w:val="0"/>
        <w:pageBreakBefore w:val="0"/>
        <w:widowControl w:val="0"/>
        <w:kinsoku/>
        <w:wordWrap/>
        <w:overflowPunct/>
        <w:topLinePunct w:val="0"/>
        <w:autoSpaceDE/>
        <w:autoSpaceDN/>
        <w:bidi w:val="0"/>
        <w:adjustRightInd/>
        <w:snapToGrid/>
        <w:spacing w:line="400" w:lineRule="exact"/>
        <w:ind w:left="0" w:firstLine="422" w:firstLineChars="200"/>
        <w:jc w:val="both"/>
        <w:textAlignment w:val="auto"/>
        <w:rPr>
          <w:rFonts w:hint="default" w:ascii="宋体" w:hAnsi="宋体" w:eastAsia="宋体" w:cs="宋体"/>
          <w:b/>
          <w:bCs/>
          <w:color w:val="auto"/>
          <w:kern w:val="2"/>
          <w:sz w:val="21"/>
          <w:szCs w:val="21"/>
          <w:highlight w:val="none"/>
          <w:lang w:val="en-US" w:eastAsia="zh-CN"/>
        </w:rPr>
      </w:pPr>
      <w:bookmarkStart w:id="24" w:name="_Toc35393622"/>
      <w:bookmarkStart w:id="25" w:name="_Toc28359080"/>
      <w:bookmarkStart w:id="26" w:name="_Toc35393791"/>
      <w:bookmarkStart w:id="27" w:name="_Toc3411"/>
      <w:bookmarkStart w:id="28" w:name="_Toc1306"/>
      <w:bookmarkStart w:id="29" w:name="_Toc28359003"/>
      <w:bookmarkStart w:id="30" w:name="_Toc25388"/>
      <w:r>
        <w:rPr>
          <w:rFonts w:hint="eastAsia" w:ascii="宋体" w:hAnsi="宋体" w:eastAsia="宋体" w:cs="宋体"/>
          <w:b/>
          <w:bCs/>
          <w:color w:val="auto"/>
          <w:kern w:val="2"/>
          <w:sz w:val="21"/>
          <w:szCs w:val="21"/>
          <w:highlight w:val="none"/>
        </w:rPr>
        <w:t>标项</w:t>
      </w:r>
      <w:r>
        <w:rPr>
          <w:rFonts w:hint="eastAsia" w:ascii="宋体" w:hAnsi="宋体" w:eastAsia="宋体" w:cs="宋体"/>
          <w:b/>
          <w:bCs/>
          <w:color w:val="auto"/>
          <w:kern w:val="2"/>
          <w:sz w:val="21"/>
          <w:szCs w:val="21"/>
          <w:highlight w:val="none"/>
          <w:lang w:val="en-US" w:eastAsia="zh-CN"/>
        </w:rPr>
        <w:t>四</w:t>
      </w:r>
    </w:p>
    <w:p w14:paraId="4333CF8C">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rPr>
        <w:t>标项名称：三重四极杆电感耦合等离子体质谱仪</w:t>
      </w:r>
    </w:p>
    <w:p w14:paraId="68459436">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数量：</w:t>
      </w:r>
      <w:r>
        <w:rPr>
          <w:rFonts w:hint="eastAsia" w:ascii="宋体" w:hAnsi="宋体" w:cs="宋体"/>
          <w:color w:val="auto"/>
          <w:kern w:val="2"/>
          <w:sz w:val="21"/>
          <w:szCs w:val="21"/>
          <w:highlight w:val="none"/>
          <w:lang w:val="en-US" w:eastAsia="zh-CN"/>
        </w:rPr>
        <w:t>1</w:t>
      </w:r>
    </w:p>
    <w:p w14:paraId="29E3D7C0">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预算金额（元）：</w:t>
      </w:r>
      <w:r>
        <w:rPr>
          <w:rFonts w:hint="eastAsia" w:ascii="宋体" w:hAnsi="宋体" w:cs="宋体"/>
          <w:color w:val="auto"/>
          <w:sz w:val="21"/>
          <w:szCs w:val="21"/>
          <w:highlight w:val="none"/>
          <w:lang w:val="en-US" w:eastAsia="zh-CN"/>
        </w:rPr>
        <w:t>2250000</w:t>
      </w:r>
    </w:p>
    <w:p w14:paraId="28DD9888">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简要规格描述或项目基本概况介绍、用途：</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rPr>
        <w:t>三重四极杆电感耦合等离子体质谱仪</w:t>
      </w:r>
      <w:r>
        <w:rPr>
          <w:rFonts w:hint="eastAsia" w:ascii="宋体" w:hAnsi="宋体" w:eastAsia="宋体" w:cs="宋体"/>
          <w:color w:val="auto"/>
          <w:kern w:val="2"/>
          <w:sz w:val="21"/>
          <w:szCs w:val="21"/>
          <w:highlight w:val="none"/>
          <w:lang w:val="en-US" w:eastAsia="zh-CN"/>
        </w:rPr>
        <w:t>1台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具体</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详见《采购需求》。</w:t>
      </w:r>
    </w:p>
    <w:p w14:paraId="1596B489">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最高限价（如有）：</w:t>
      </w:r>
      <w:r>
        <w:rPr>
          <w:rFonts w:hint="eastAsia" w:ascii="宋体" w:hAnsi="宋体" w:cs="宋体"/>
          <w:color w:val="auto"/>
          <w:sz w:val="21"/>
          <w:szCs w:val="21"/>
          <w:highlight w:val="none"/>
          <w:lang w:val="en-US" w:eastAsia="zh-CN"/>
        </w:rPr>
        <w:t>2250000</w:t>
      </w:r>
    </w:p>
    <w:p w14:paraId="2C5554D2">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合同履约期限：</w:t>
      </w:r>
      <w:r>
        <w:rPr>
          <w:rFonts w:hint="eastAsia" w:ascii="宋体" w:hAnsi="宋体" w:eastAsia="宋体" w:cs="宋体"/>
          <w:color w:val="auto"/>
          <w:sz w:val="21"/>
          <w:szCs w:val="21"/>
          <w:highlight w:val="none"/>
          <w:lang w:val="en-US" w:eastAsia="zh-CN"/>
        </w:rPr>
        <w:t>国产仪器设备</w:t>
      </w:r>
      <w:r>
        <w:rPr>
          <w:rFonts w:hint="eastAsia" w:ascii="宋体" w:hAnsi="宋体" w:eastAsia="宋体" w:cs="宋体"/>
          <w:color w:val="auto"/>
          <w:sz w:val="21"/>
          <w:szCs w:val="21"/>
          <w:highlight w:val="none"/>
        </w:rPr>
        <w:t>自签订合同之日起</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日内交货并完成安装调试。</w:t>
      </w:r>
      <w:r>
        <w:rPr>
          <w:rFonts w:hint="eastAsia" w:ascii="宋体" w:hAnsi="宋体" w:eastAsia="宋体" w:cs="宋体"/>
          <w:color w:val="auto"/>
          <w:sz w:val="21"/>
          <w:szCs w:val="21"/>
          <w:highlight w:val="none"/>
          <w:lang w:val="en-US" w:eastAsia="zh-CN"/>
        </w:rPr>
        <w:t>进口仪器设备</w:t>
      </w:r>
      <w:r>
        <w:rPr>
          <w:rFonts w:hint="eastAsia" w:ascii="宋体" w:hAnsi="宋体" w:eastAsia="宋体" w:cs="宋体"/>
          <w:color w:val="auto"/>
          <w:sz w:val="21"/>
          <w:szCs w:val="21"/>
          <w:highlight w:val="none"/>
        </w:rPr>
        <w:t>自签订合同之日起</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日内交货并完成安装调试。</w:t>
      </w:r>
    </w:p>
    <w:p w14:paraId="6343C4D7">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本标项（</w:t>
      </w:r>
      <w:r>
        <w:rPr>
          <w:rFonts w:hint="eastAsia" w:ascii="宋体" w:hAnsi="宋体" w:eastAsia="宋体" w:cs="宋体"/>
          <w:color w:val="auto"/>
          <w:kern w:val="2"/>
          <w:sz w:val="21"/>
          <w:szCs w:val="21"/>
          <w:highlight w:val="none"/>
          <w:lang w:val="en-US" w:eastAsia="zh-CN"/>
        </w:rPr>
        <w:t>否</w:t>
      </w:r>
      <w:r>
        <w:rPr>
          <w:rFonts w:hint="eastAsia" w:ascii="宋体" w:hAnsi="宋体" w:eastAsia="宋体" w:cs="宋体"/>
          <w:color w:val="auto"/>
          <w:kern w:val="2"/>
          <w:sz w:val="21"/>
          <w:szCs w:val="21"/>
          <w:highlight w:val="none"/>
        </w:rPr>
        <w:t>）接受联合体投标。</w:t>
      </w:r>
    </w:p>
    <w:p w14:paraId="4615081E">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p w14:paraId="4174EEDD">
      <w:pPr>
        <w:pStyle w:val="18"/>
        <w:keepNext w:val="0"/>
        <w:keepLines w:val="0"/>
        <w:pageBreakBefore w:val="0"/>
        <w:widowControl w:val="0"/>
        <w:kinsoku/>
        <w:wordWrap/>
        <w:overflowPunct/>
        <w:topLinePunct w:val="0"/>
        <w:autoSpaceDE/>
        <w:autoSpaceDN/>
        <w:bidi w:val="0"/>
        <w:adjustRightInd/>
        <w:snapToGrid/>
        <w:spacing w:line="400" w:lineRule="exact"/>
        <w:ind w:left="0" w:firstLine="422" w:firstLineChars="200"/>
        <w:jc w:val="both"/>
        <w:textAlignment w:val="auto"/>
        <w:rPr>
          <w:rFonts w:hint="default"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rPr>
        <w:t>标项</w:t>
      </w:r>
      <w:r>
        <w:rPr>
          <w:rFonts w:hint="eastAsia" w:ascii="宋体" w:hAnsi="宋体" w:eastAsia="宋体" w:cs="宋体"/>
          <w:b/>
          <w:bCs/>
          <w:color w:val="auto"/>
          <w:kern w:val="2"/>
          <w:sz w:val="21"/>
          <w:szCs w:val="21"/>
          <w:highlight w:val="none"/>
          <w:lang w:val="en-US" w:eastAsia="zh-CN"/>
        </w:rPr>
        <w:t>五</w:t>
      </w:r>
    </w:p>
    <w:p w14:paraId="06AEF8AC">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rPr>
        <w:t>标项名称：电感耦合等离子体质谱仪</w:t>
      </w:r>
      <w:r>
        <w:rPr>
          <w:rFonts w:hint="eastAsia" w:ascii="宋体" w:hAnsi="宋体" w:eastAsia="宋体" w:cs="宋体"/>
          <w:color w:val="auto"/>
          <w:kern w:val="2"/>
          <w:sz w:val="21"/>
          <w:szCs w:val="21"/>
          <w:highlight w:val="none"/>
          <w:lang w:eastAsia="zh-CN"/>
        </w:rPr>
        <w:t>、电感耦合等离子体发射光谱仪、</w:t>
      </w:r>
      <w:r>
        <w:rPr>
          <w:rFonts w:hint="eastAsia" w:ascii="宋体" w:hAnsi="宋体" w:eastAsia="宋体" w:cs="宋体"/>
          <w:color w:val="auto"/>
          <w:kern w:val="2"/>
          <w:sz w:val="21"/>
          <w:szCs w:val="21"/>
          <w:highlight w:val="none"/>
          <w:lang w:val="en-US" w:eastAsia="zh-CN"/>
        </w:rPr>
        <w:t>原子吸收光谱仪、超级微波消解仪</w:t>
      </w:r>
    </w:p>
    <w:p w14:paraId="508AAEED">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数量：</w:t>
      </w:r>
      <w:r>
        <w:rPr>
          <w:rFonts w:hint="eastAsia" w:ascii="宋体" w:hAnsi="宋体" w:cs="宋体"/>
          <w:color w:val="auto"/>
          <w:kern w:val="2"/>
          <w:sz w:val="21"/>
          <w:szCs w:val="21"/>
          <w:highlight w:val="none"/>
          <w:lang w:val="en-US" w:eastAsia="zh-CN"/>
        </w:rPr>
        <w:t>5</w:t>
      </w:r>
    </w:p>
    <w:p w14:paraId="258A70CC">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预算金额（元）：</w:t>
      </w:r>
      <w:r>
        <w:rPr>
          <w:rFonts w:hint="eastAsia" w:ascii="宋体" w:hAnsi="宋体" w:eastAsia="宋体" w:cs="宋体"/>
          <w:color w:val="auto"/>
          <w:sz w:val="21"/>
          <w:szCs w:val="21"/>
          <w:highlight w:val="none"/>
          <w:lang w:val="en-US" w:eastAsia="zh-CN"/>
        </w:rPr>
        <w:t>3795000</w:t>
      </w:r>
    </w:p>
    <w:p w14:paraId="436C4B22">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简要规格描述或项目基本概况介绍、用途：</w:t>
      </w:r>
      <w:r>
        <w:rPr>
          <w:rFonts w:hint="eastAsia" w:ascii="宋体" w:hAnsi="宋体" w:eastAsia="宋体" w:cs="宋体"/>
          <w:color w:val="auto"/>
          <w:kern w:val="2"/>
          <w:sz w:val="21"/>
          <w:szCs w:val="21"/>
          <w:highlight w:val="none"/>
          <w:lang w:val="en-US" w:eastAsia="zh-CN"/>
        </w:rPr>
        <w:t>采购电感耦合等离子体质谱仪2台、电感耦合等离子体发射光谱仪1台、原子吸收光谱仪1台、超级微波消解仪1台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具体</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详见《采购需求》。</w:t>
      </w:r>
    </w:p>
    <w:p w14:paraId="38DF842C">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最高限价（如有）：</w:t>
      </w:r>
      <w:r>
        <w:rPr>
          <w:rFonts w:hint="eastAsia" w:ascii="宋体" w:hAnsi="宋体" w:eastAsia="宋体" w:cs="宋体"/>
          <w:color w:val="auto"/>
          <w:sz w:val="21"/>
          <w:szCs w:val="21"/>
          <w:highlight w:val="none"/>
          <w:lang w:val="en-US" w:eastAsia="zh-CN"/>
        </w:rPr>
        <w:t>3795000</w:t>
      </w:r>
    </w:p>
    <w:p w14:paraId="7AD2F4B1">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合同履约期限：</w:t>
      </w:r>
      <w:r>
        <w:rPr>
          <w:rFonts w:hint="eastAsia" w:ascii="宋体" w:hAnsi="宋体" w:eastAsia="宋体" w:cs="宋体"/>
          <w:color w:val="auto"/>
          <w:sz w:val="21"/>
          <w:szCs w:val="21"/>
          <w:highlight w:val="none"/>
          <w:lang w:val="en-US" w:eastAsia="zh-CN"/>
        </w:rPr>
        <w:t>国产仪器设备</w:t>
      </w:r>
      <w:r>
        <w:rPr>
          <w:rFonts w:hint="eastAsia" w:ascii="宋体" w:hAnsi="宋体" w:eastAsia="宋体" w:cs="宋体"/>
          <w:color w:val="auto"/>
          <w:sz w:val="21"/>
          <w:szCs w:val="21"/>
          <w:highlight w:val="none"/>
        </w:rPr>
        <w:t>自签订合同之日起</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日内交货并完成安装调试。</w:t>
      </w:r>
    </w:p>
    <w:p w14:paraId="09D5A86A">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本标项（</w:t>
      </w:r>
      <w:r>
        <w:rPr>
          <w:rFonts w:hint="eastAsia" w:ascii="宋体" w:hAnsi="宋体" w:eastAsia="宋体" w:cs="宋体"/>
          <w:color w:val="auto"/>
          <w:kern w:val="2"/>
          <w:sz w:val="21"/>
          <w:szCs w:val="21"/>
          <w:highlight w:val="none"/>
          <w:lang w:val="en-US" w:eastAsia="zh-CN"/>
        </w:rPr>
        <w:t>否</w:t>
      </w:r>
      <w:r>
        <w:rPr>
          <w:rFonts w:hint="eastAsia" w:ascii="宋体" w:hAnsi="宋体" w:eastAsia="宋体" w:cs="宋体"/>
          <w:color w:val="auto"/>
          <w:kern w:val="2"/>
          <w:sz w:val="21"/>
          <w:szCs w:val="21"/>
          <w:highlight w:val="none"/>
        </w:rPr>
        <w:t>）接受联合体投标。</w:t>
      </w:r>
    </w:p>
    <w:p w14:paraId="78EBD5F9">
      <w:pPr>
        <w:pStyle w:val="18"/>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p w14:paraId="70B08FDB">
      <w:pPr>
        <w:pStyle w:val="18"/>
        <w:keepNext w:val="0"/>
        <w:keepLines w:val="0"/>
        <w:pageBreakBefore w:val="0"/>
        <w:widowControl w:val="0"/>
        <w:kinsoku/>
        <w:wordWrap/>
        <w:overflowPunct/>
        <w:topLinePunct w:val="0"/>
        <w:autoSpaceDE/>
        <w:autoSpaceDN/>
        <w:bidi w:val="0"/>
        <w:adjustRightInd/>
        <w:snapToGrid/>
        <w:spacing w:line="400" w:lineRule="exact"/>
        <w:ind w:left="0" w:firstLine="422" w:firstLineChars="200"/>
        <w:jc w:val="both"/>
        <w:textAlignment w:val="auto"/>
        <w:rPr>
          <w:rFonts w:hint="default"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rPr>
        <w:t>标项</w:t>
      </w:r>
      <w:r>
        <w:rPr>
          <w:rFonts w:hint="eastAsia" w:ascii="宋体" w:hAnsi="宋体" w:eastAsia="宋体" w:cs="宋体"/>
          <w:b/>
          <w:bCs/>
          <w:color w:val="auto"/>
          <w:kern w:val="2"/>
          <w:sz w:val="21"/>
          <w:szCs w:val="21"/>
          <w:highlight w:val="none"/>
          <w:lang w:val="en-US" w:eastAsia="zh-CN"/>
        </w:rPr>
        <w:t>六</w:t>
      </w:r>
    </w:p>
    <w:p w14:paraId="07D962D7">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rPr>
        <w:t>标项名称：</w:t>
      </w:r>
      <w:r>
        <w:rPr>
          <w:rFonts w:hint="eastAsia" w:ascii="宋体" w:hAnsi="宋体" w:eastAsia="宋体" w:cs="宋体"/>
          <w:color w:val="auto"/>
          <w:kern w:val="2"/>
          <w:sz w:val="21"/>
          <w:szCs w:val="21"/>
          <w:highlight w:val="none"/>
          <w:lang w:val="en-US" w:eastAsia="zh-CN"/>
        </w:rPr>
        <w:t>遥感影像接收处理工作站</w:t>
      </w:r>
    </w:p>
    <w:p w14:paraId="495AC35B">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数量：</w:t>
      </w:r>
      <w:r>
        <w:rPr>
          <w:rFonts w:hint="eastAsia" w:ascii="宋体" w:hAnsi="宋体" w:cs="宋体"/>
          <w:color w:val="auto"/>
          <w:kern w:val="2"/>
          <w:sz w:val="21"/>
          <w:szCs w:val="21"/>
          <w:highlight w:val="none"/>
          <w:lang w:val="en-US" w:eastAsia="zh-CN"/>
        </w:rPr>
        <w:t>1</w:t>
      </w:r>
    </w:p>
    <w:p w14:paraId="2877947B">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预算金额（元）：</w:t>
      </w:r>
      <w:r>
        <w:rPr>
          <w:rFonts w:hint="eastAsia" w:ascii="宋体" w:hAnsi="宋体" w:eastAsia="宋体" w:cs="宋体"/>
          <w:color w:val="auto"/>
          <w:sz w:val="21"/>
          <w:szCs w:val="21"/>
          <w:highlight w:val="none"/>
          <w:lang w:val="en-US" w:eastAsia="zh-CN"/>
        </w:rPr>
        <w:t>2805000</w:t>
      </w:r>
    </w:p>
    <w:p w14:paraId="3D6441E1">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简要规格描述或项目基本概况介绍、用途：</w:t>
      </w:r>
      <w:r>
        <w:rPr>
          <w:rFonts w:hint="eastAsia" w:ascii="宋体" w:hAnsi="宋体" w:eastAsia="宋体" w:cs="宋体"/>
          <w:color w:val="auto"/>
          <w:kern w:val="2"/>
          <w:sz w:val="21"/>
          <w:szCs w:val="21"/>
          <w:highlight w:val="none"/>
          <w:lang w:val="en-US" w:eastAsia="zh-CN"/>
        </w:rPr>
        <w:t>采购遥感影像接收处理工作站1套</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具体</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详见《采购需求》。</w:t>
      </w:r>
    </w:p>
    <w:p w14:paraId="31EC1AA6">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最高限价（如有）：</w:t>
      </w:r>
      <w:r>
        <w:rPr>
          <w:rFonts w:hint="eastAsia" w:ascii="宋体" w:hAnsi="宋体" w:eastAsia="宋体" w:cs="宋体"/>
          <w:color w:val="auto"/>
          <w:sz w:val="21"/>
          <w:szCs w:val="21"/>
          <w:highlight w:val="none"/>
          <w:lang w:val="en-US" w:eastAsia="zh-CN"/>
        </w:rPr>
        <w:t>2805000</w:t>
      </w:r>
    </w:p>
    <w:p w14:paraId="39C2B44B">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合同履约期限：</w:t>
      </w:r>
      <w:r>
        <w:rPr>
          <w:rFonts w:hint="eastAsia" w:ascii="宋体" w:hAnsi="宋体" w:eastAsia="宋体" w:cs="宋体"/>
          <w:color w:val="auto"/>
          <w:sz w:val="21"/>
          <w:szCs w:val="21"/>
          <w:highlight w:val="none"/>
          <w:lang w:val="en-US" w:eastAsia="zh-CN"/>
        </w:rPr>
        <w:t>国产仪器设备</w:t>
      </w:r>
      <w:r>
        <w:rPr>
          <w:rFonts w:hint="eastAsia" w:ascii="宋体" w:hAnsi="宋体" w:eastAsia="宋体" w:cs="宋体"/>
          <w:color w:val="auto"/>
          <w:sz w:val="21"/>
          <w:szCs w:val="21"/>
          <w:highlight w:val="none"/>
        </w:rPr>
        <w:t>自签订合同之日起</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日内交货并完成安装调试。</w:t>
      </w:r>
    </w:p>
    <w:p w14:paraId="554F398D">
      <w:pPr>
        <w:pStyle w:val="18"/>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本标项（</w:t>
      </w:r>
      <w:r>
        <w:rPr>
          <w:rFonts w:hint="eastAsia" w:ascii="宋体" w:hAnsi="宋体" w:eastAsia="宋体" w:cs="宋体"/>
          <w:color w:val="auto"/>
          <w:kern w:val="2"/>
          <w:sz w:val="21"/>
          <w:szCs w:val="21"/>
          <w:highlight w:val="none"/>
          <w:lang w:val="en-US" w:eastAsia="zh-CN"/>
        </w:rPr>
        <w:t>否</w:t>
      </w:r>
      <w:r>
        <w:rPr>
          <w:rFonts w:hint="eastAsia" w:ascii="宋体" w:hAnsi="宋体" w:eastAsia="宋体" w:cs="宋体"/>
          <w:color w:val="auto"/>
          <w:kern w:val="2"/>
          <w:sz w:val="21"/>
          <w:szCs w:val="21"/>
          <w:highlight w:val="none"/>
        </w:rPr>
        <w:t>）接受联合体投标。</w:t>
      </w:r>
    </w:p>
    <w:p w14:paraId="0EC9987D">
      <w:pPr>
        <w:pStyle w:val="18"/>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p w14:paraId="350707C8">
      <w:pPr>
        <w:keepNext w:val="0"/>
        <w:keepLines w:val="0"/>
        <w:pageBreakBefore w:val="0"/>
        <w:widowControl w:val="0"/>
        <w:kinsoku/>
        <w:wordWrap/>
        <w:overflowPunct/>
        <w:topLinePunct w:val="0"/>
        <w:autoSpaceDE/>
        <w:autoSpaceDN/>
        <w:bidi w:val="0"/>
        <w:adjustRightInd/>
        <w:snapToGrid/>
        <w:spacing w:line="400" w:lineRule="exact"/>
        <w:ind w:left="0" w:firstLine="422" w:firstLineChars="200"/>
        <w:jc w:val="both"/>
        <w:textAlignment w:val="auto"/>
        <w:outlineLvl w:val="1"/>
        <w:rPr>
          <w:rFonts w:hint="eastAsia" w:ascii="宋体" w:hAnsi="宋体" w:eastAsia="宋体" w:cs="宋体"/>
          <w:b/>
          <w:bCs/>
          <w:color w:val="auto"/>
          <w:sz w:val="21"/>
          <w:szCs w:val="21"/>
          <w:highlight w:val="none"/>
        </w:rPr>
      </w:pPr>
      <w:bookmarkStart w:id="31" w:name="_Toc4151"/>
      <w:bookmarkStart w:id="32" w:name="_Toc18061"/>
      <w:r>
        <w:rPr>
          <w:rFonts w:hint="eastAsia" w:ascii="宋体" w:hAnsi="宋体" w:eastAsia="宋体" w:cs="宋体"/>
          <w:b/>
          <w:bCs/>
          <w:color w:val="auto"/>
          <w:sz w:val="21"/>
          <w:szCs w:val="21"/>
          <w:highlight w:val="none"/>
        </w:rPr>
        <w:t>二、申请人的资格要求：</w:t>
      </w:r>
      <w:bookmarkEnd w:id="24"/>
      <w:bookmarkEnd w:id="25"/>
      <w:bookmarkEnd w:id="26"/>
      <w:bookmarkEnd w:id="27"/>
      <w:bookmarkEnd w:id="28"/>
      <w:bookmarkEnd w:id="29"/>
      <w:bookmarkEnd w:id="30"/>
      <w:bookmarkEnd w:id="31"/>
      <w:bookmarkEnd w:id="32"/>
    </w:p>
    <w:p w14:paraId="43623A23">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bookmarkStart w:id="33" w:name="_Hlk51746371"/>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满足《中华人民共和国政府采购法》第二十二条规定；</w:t>
      </w:r>
    </w:p>
    <w:p w14:paraId="717A222F">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bookmarkStart w:id="34" w:name="_Toc28359081"/>
      <w:bookmarkStart w:id="35" w:name="_Toc28359004"/>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落实政府采购政策需满足的资格要求：</w:t>
      </w:r>
      <w:r>
        <w:rPr>
          <w:rFonts w:hint="eastAsia" w:ascii="宋体" w:hAnsi="宋体" w:cs="宋体"/>
          <w:color w:val="auto"/>
          <w:sz w:val="21"/>
          <w:szCs w:val="21"/>
          <w:highlight w:val="none"/>
          <w:lang w:val="en-US" w:eastAsia="zh-CN"/>
        </w:rPr>
        <w:t>分标1、3：</w:t>
      </w:r>
      <w:r>
        <w:rPr>
          <w:rFonts w:hint="eastAsia" w:ascii="宋体" w:hAnsi="宋体" w:eastAsia="宋体" w:cs="宋体"/>
          <w:color w:val="auto"/>
          <w:sz w:val="21"/>
          <w:szCs w:val="21"/>
          <w:highlight w:val="none"/>
        </w:rPr>
        <w:t>专门面向中小企业采购的项目（提供的货物全部由符合政策要求的中小微企业或监狱企业或残疾人福利性单位制造</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分标2、4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无。</w:t>
      </w:r>
    </w:p>
    <w:p w14:paraId="624414E8">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本项目的特定资格要求：</w:t>
      </w:r>
      <w:bookmarkEnd w:id="33"/>
      <w:bookmarkStart w:id="36" w:name="_Toc35393792"/>
      <w:bookmarkStart w:id="37" w:name="_Toc35393623"/>
    </w:p>
    <w:p w14:paraId="352B51DE">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依据《放射性同位素与射线装置安全许可管理办法》第二条“在中华人民共和国境内生产、销售、使用放射性同位素与射线装置的单位，应当依照本办法的规定，取得辐射安全许可证”、《关于规范放射性同位素与射线装置豁免备案管理工作的通知》（环办辐射〔2018〕49号）</w:t>
      </w:r>
      <w:r>
        <w:rPr>
          <w:rFonts w:hint="eastAsia" w:ascii="宋体" w:hAnsi="宋体" w:cs="宋体"/>
          <w:color w:val="auto"/>
          <w:sz w:val="21"/>
          <w:szCs w:val="21"/>
          <w:highlight w:val="none"/>
          <w:lang w:val="en-US" w:eastAsia="zh-CN"/>
        </w:rPr>
        <w:t>文件</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分标1须满足以下条件之一：</w:t>
      </w:r>
    </w:p>
    <w:p w14:paraId="54AFC77D">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fldChar w:fldCharType="begin"/>
      </w:r>
      <w:r>
        <w:rPr>
          <w:rFonts w:hint="eastAsia" w:ascii="宋体" w:hAnsi="宋体" w:cs="宋体"/>
          <w:color w:val="auto"/>
          <w:sz w:val="21"/>
          <w:szCs w:val="21"/>
          <w:highlight w:val="none"/>
          <w:lang w:val="en-US" w:eastAsia="zh-CN"/>
        </w:rPr>
        <w:instrText xml:space="preserve"> = 1 \* GB3 \* MERGEFORMAT </w:instrText>
      </w:r>
      <w:r>
        <w:rPr>
          <w:rFonts w:hint="eastAsia" w:ascii="宋体" w:hAnsi="宋体" w:cs="宋体"/>
          <w:color w:val="auto"/>
          <w:sz w:val="21"/>
          <w:szCs w:val="21"/>
          <w:highlight w:val="none"/>
          <w:lang w:val="en-US" w:eastAsia="zh-CN"/>
        </w:rPr>
        <w:fldChar w:fldCharType="separate"/>
      </w:r>
      <w:r>
        <w:rPr>
          <w:rFonts w:hint="eastAsia" w:ascii="宋体" w:hAnsi="宋体" w:cs="宋体"/>
          <w:color w:val="auto"/>
          <w:szCs w:val="21"/>
          <w:highlight w:val="none"/>
        </w:rPr>
        <w:t>①</w:t>
      </w:r>
      <w:r>
        <w:rPr>
          <w:rFonts w:hint="eastAsia" w:ascii="宋体" w:hAnsi="宋体" w:cs="宋体"/>
          <w:color w:val="auto"/>
          <w:sz w:val="21"/>
          <w:szCs w:val="21"/>
          <w:highlight w:val="none"/>
          <w:lang w:val="en-US" w:eastAsia="zh-CN"/>
        </w:rPr>
        <w:fldChar w:fldCharType="end"/>
      </w:r>
      <w:r>
        <w:rPr>
          <w:rFonts w:hint="eastAsia" w:ascii="宋体" w:hAnsi="宋体" w:cs="宋体"/>
          <w:color w:val="auto"/>
          <w:sz w:val="21"/>
          <w:szCs w:val="21"/>
          <w:highlight w:val="none"/>
          <w:lang w:val="en-US" w:eastAsia="zh-CN"/>
        </w:rPr>
        <w:t>投标人为（便携式X射线荧光光谱仪）制造商的须具备有效的《辐射安全许可证》（许可种类和范围至少包含生产、销售）；</w:t>
      </w:r>
    </w:p>
    <w:p w14:paraId="4015E781">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fldChar w:fldCharType="begin"/>
      </w:r>
      <w:r>
        <w:rPr>
          <w:rFonts w:hint="eastAsia" w:ascii="宋体" w:hAnsi="宋体" w:cs="宋体"/>
          <w:color w:val="auto"/>
          <w:sz w:val="21"/>
          <w:szCs w:val="21"/>
          <w:highlight w:val="none"/>
          <w:lang w:val="en-US" w:eastAsia="zh-CN"/>
        </w:rPr>
        <w:instrText xml:space="preserve"> = 3 \* GB3 \* MERGEFORMAT </w:instrText>
      </w:r>
      <w:r>
        <w:rPr>
          <w:rFonts w:hint="eastAsia" w:ascii="宋体" w:hAnsi="宋体" w:cs="宋体"/>
          <w:color w:val="auto"/>
          <w:sz w:val="21"/>
          <w:szCs w:val="21"/>
          <w:highlight w:val="none"/>
          <w:lang w:val="en-US" w:eastAsia="zh-CN"/>
        </w:rPr>
        <w:fldChar w:fldCharType="separate"/>
      </w:r>
      <w:r>
        <w:rPr>
          <w:rFonts w:hint="eastAsia" w:ascii="宋体" w:hAnsi="宋体" w:cs="宋体"/>
          <w:color w:val="auto"/>
          <w:szCs w:val="21"/>
          <w:highlight w:val="none"/>
        </w:rPr>
        <w:t>③</w:t>
      </w:r>
      <w:r>
        <w:rPr>
          <w:rFonts w:hint="eastAsia" w:ascii="宋体" w:hAnsi="宋体" w:cs="宋体"/>
          <w:color w:val="auto"/>
          <w:sz w:val="21"/>
          <w:szCs w:val="21"/>
          <w:highlight w:val="none"/>
          <w:lang w:val="en-US" w:eastAsia="zh-CN"/>
        </w:rPr>
        <w:fldChar w:fldCharType="end"/>
      </w:r>
      <w:r>
        <w:rPr>
          <w:rFonts w:hint="eastAsia" w:ascii="宋体" w:hAnsi="宋体" w:cs="宋体"/>
          <w:color w:val="auto"/>
          <w:sz w:val="21"/>
          <w:szCs w:val="21"/>
          <w:highlight w:val="none"/>
          <w:lang w:val="en-US" w:eastAsia="zh-CN"/>
        </w:rPr>
        <w:t>投标人为（便携式X射线荧光光谱仪）经销商的须具备有效的《辐射安全许可证》（许可种类和范围至少包含销售）。</w:t>
      </w:r>
    </w:p>
    <w:p w14:paraId="753F65C7">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fldChar w:fldCharType="begin"/>
      </w:r>
      <w:r>
        <w:rPr>
          <w:rFonts w:hint="eastAsia" w:ascii="宋体" w:hAnsi="宋体" w:cs="宋体"/>
          <w:color w:val="auto"/>
          <w:sz w:val="21"/>
          <w:szCs w:val="21"/>
          <w:highlight w:val="none"/>
          <w:lang w:val="en-US" w:eastAsia="zh-CN"/>
        </w:rPr>
        <w:instrText xml:space="preserve"> = 3 \* GB3 \* MERGEFORMAT </w:instrText>
      </w:r>
      <w:r>
        <w:rPr>
          <w:rFonts w:hint="eastAsia" w:ascii="宋体" w:hAnsi="宋体" w:cs="宋体"/>
          <w:color w:val="auto"/>
          <w:sz w:val="21"/>
          <w:szCs w:val="21"/>
          <w:highlight w:val="none"/>
          <w:lang w:val="en-US" w:eastAsia="zh-CN"/>
        </w:rPr>
        <w:fldChar w:fldCharType="separate"/>
      </w:r>
      <w:r>
        <w:rPr>
          <w:rFonts w:hint="eastAsia" w:ascii="宋体" w:hAnsi="宋体" w:cs="宋体"/>
          <w:color w:val="auto"/>
          <w:szCs w:val="21"/>
          <w:highlight w:val="none"/>
        </w:rPr>
        <w:t>③</w:t>
      </w:r>
      <w:r>
        <w:rPr>
          <w:rFonts w:hint="eastAsia" w:ascii="宋体" w:hAnsi="宋体" w:cs="宋体"/>
          <w:color w:val="auto"/>
          <w:sz w:val="21"/>
          <w:szCs w:val="21"/>
          <w:highlight w:val="none"/>
          <w:lang w:val="en-US" w:eastAsia="zh-CN"/>
        </w:rPr>
        <w:fldChar w:fldCharType="end"/>
      </w:r>
      <w:r>
        <w:rPr>
          <w:rFonts w:hint="eastAsia" w:ascii="宋体" w:hAnsi="宋体" w:cs="宋体"/>
          <w:color w:val="auto"/>
          <w:sz w:val="21"/>
          <w:szCs w:val="21"/>
          <w:highlight w:val="none"/>
          <w:lang w:val="en-US" w:eastAsia="zh-CN"/>
        </w:rPr>
        <w:t>投标人若所投产品（便携式X射线荧光光谱仪）已进行豁免备案，仅需提供所投产品（便携式X射线荧光光谱仪）的豁免备案证明文件。</w:t>
      </w:r>
    </w:p>
    <w:p w14:paraId="04E025CD">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（2）分标2、3、4、5、6：无要求。</w:t>
      </w:r>
    </w:p>
    <w:p w14:paraId="7514EEC0">
      <w:pPr>
        <w:keepNext w:val="0"/>
        <w:keepLines w:val="0"/>
        <w:pageBreakBefore w:val="0"/>
        <w:widowControl w:val="0"/>
        <w:kinsoku/>
        <w:wordWrap/>
        <w:overflowPunct/>
        <w:topLinePunct w:val="0"/>
        <w:autoSpaceDE/>
        <w:autoSpaceDN/>
        <w:bidi w:val="0"/>
        <w:adjustRightInd/>
        <w:snapToGrid/>
        <w:spacing w:line="400" w:lineRule="exact"/>
        <w:ind w:left="0" w:firstLine="422" w:firstLineChars="200"/>
        <w:jc w:val="both"/>
        <w:textAlignment w:val="auto"/>
        <w:outlineLvl w:val="1"/>
        <w:rPr>
          <w:rFonts w:hint="eastAsia" w:ascii="宋体" w:hAnsi="宋体" w:eastAsia="宋体" w:cs="宋体"/>
          <w:b/>
          <w:bCs/>
          <w:color w:val="auto"/>
          <w:sz w:val="21"/>
          <w:szCs w:val="21"/>
          <w:highlight w:val="none"/>
        </w:rPr>
      </w:pPr>
      <w:bookmarkStart w:id="38" w:name="_Toc344"/>
      <w:bookmarkStart w:id="39" w:name="_Toc20804"/>
      <w:bookmarkStart w:id="40" w:name="_Toc28143"/>
      <w:bookmarkStart w:id="41" w:name="_Toc30447"/>
      <w:bookmarkStart w:id="42" w:name="_Toc2824"/>
      <w:r>
        <w:rPr>
          <w:rFonts w:hint="eastAsia" w:ascii="宋体" w:hAnsi="宋体" w:eastAsia="宋体" w:cs="宋体"/>
          <w:b/>
          <w:bCs/>
          <w:color w:val="auto"/>
          <w:sz w:val="21"/>
          <w:szCs w:val="21"/>
          <w:highlight w:val="none"/>
        </w:rPr>
        <w:t>三、获取招标文件</w:t>
      </w:r>
      <w:bookmarkEnd w:id="34"/>
      <w:bookmarkEnd w:id="35"/>
      <w:bookmarkEnd w:id="36"/>
      <w:bookmarkEnd w:id="37"/>
      <w:bookmarkEnd w:id="38"/>
      <w:bookmarkEnd w:id="39"/>
      <w:bookmarkEnd w:id="40"/>
      <w:bookmarkEnd w:id="41"/>
      <w:bookmarkEnd w:id="42"/>
    </w:p>
    <w:p w14:paraId="45C4797A">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bCs/>
          <w:color w:val="auto"/>
          <w:kern w:val="0"/>
          <w:sz w:val="21"/>
          <w:szCs w:val="21"/>
          <w:highlight w:val="none"/>
        </w:rPr>
      </w:pPr>
      <w:bookmarkStart w:id="43" w:name="_Toc28359082"/>
      <w:bookmarkStart w:id="44" w:name="_Toc28359005"/>
      <w:bookmarkStart w:id="45" w:name="_Toc35393793"/>
      <w:bookmarkStart w:id="46" w:name="_Toc35393624"/>
      <w:r>
        <w:rPr>
          <w:rFonts w:hint="eastAsia" w:ascii="宋体" w:hAnsi="宋体" w:eastAsia="宋体" w:cs="宋体"/>
          <w:bCs/>
          <w:color w:val="auto"/>
          <w:kern w:val="0"/>
          <w:sz w:val="21"/>
          <w:szCs w:val="21"/>
          <w:highlight w:val="none"/>
        </w:rPr>
        <w:t>时间：20</w:t>
      </w:r>
      <w:r>
        <w:rPr>
          <w:rFonts w:hint="eastAsia" w:ascii="宋体" w:hAnsi="宋体" w:cs="宋体"/>
          <w:bCs/>
          <w:color w:val="auto"/>
          <w:kern w:val="0"/>
          <w:sz w:val="21"/>
          <w:szCs w:val="21"/>
          <w:highlight w:val="none"/>
          <w:lang w:val="en-US" w:eastAsia="zh-CN"/>
        </w:rPr>
        <w:t>26</w:t>
      </w:r>
      <w:r>
        <w:rPr>
          <w:rFonts w:hint="eastAsia" w:ascii="宋体" w:hAnsi="宋体" w:eastAsia="宋体" w:cs="宋体"/>
          <w:bCs/>
          <w:color w:val="auto"/>
          <w:kern w:val="0"/>
          <w:sz w:val="21"/>
          <w:szCs w:val="21"/>
          <w:highlight w:val="none"/>
        </w:rPr>
        <w:t>年</w:t>
      </w:r>
      <w:r>
        <w:rPr>
          <w:rFonts w:hint="eastAsia" w:ascii="宋体" w:hAnsi="宋体" w:cs="宋体"/>
          <w:color w:val="auto"/>
          <w:sz w:val="21"/>
          <w:szCs w:val="21"/>
          <w:highlight w:val="none"/>
          <w:u w:val="single"/>
          <w:lang w:val="en-US" w:eastAsia="zh-CN"/>
        </w:rPr>
        <w:t>5</w:t>
      </w:r>
      <w:r>
        <w:rPr>
          <w:rFonts w:hint="eastAsia" w:ascii="宋体" w:hAnsi="宋体" w:eastAsia="宋体" w:cs="宋体"/>
          <w:bCs/>
          <w:color w:val="auto"/>
          <w:kern w:val="0"/>
          <w:sz w:val="21"/>
          <w:szCs w:val="21"/>
          <w:highlight w:val="none"/>
        </w:rPr>
        <w:t>月</w:t>
      </w:r>
      <w:r>
        <w:rPr>
          <w:rFonts w:hint="eastAsia" w:ascii="宋体" w:hAnsi="宋体" w:cs="宋体"/>
          <w:color w:val="auto"/>
          <w:sz w:val="21"/>
          <w:szCs w:val="21"/>
          <w:highlight w:val="none"/>
          <w:u w:val="single"/>
          <w:lang w:val="en-US" w:eastAsia="zh-CN"/>
        </w:rPr>
        <w:t>21</w:t>
      </w:r>
      <w:r>
        <w:rPr>
          <w:rFonts w:hint="eastAsia" w:ascii="宋体" w:hAnsi="宋体" w:eastAsia="宋体" w:cs="宋体"/>
          <w:bCs/>
          <w:color w:val="auto"/>
          <w:kern w:val="0"/>
          <w:sz w:val="21"/>
          <w:szCs w:val="21"/>
          <w:highlight w:val="none"/>
        </w:rPr>
        <w:t>日至20</w:t>
      </w:r>
      <w:r>
        <w:rPr>
          <w:rFonts w:hint="eastAsia" w:ascii="宋体" w:hAnsi="宋体" w:cs="宋体"/>
          <w:bCs/>
          <w:color w:val="auto"/>
          <w:kern w:val="0"/>
          <w:sz w:val="21"/>
          <w:szCs w:val="21"/>
          <w:highlight w:val="none"/>
          <w:lang w:val="en-US" w:eastAsia="zh-CN"/>
        </w:rPr>
        <w:t>26</w:t>
      </w:r>
      <w:r>
        <w:rPr>
          <w:rFonts w:hint="eastAsia" w:ascii="宋体" w:hAnsi="宋体" w:eastAsia="宋体" w:cs="宋体"/>
          <w:bCs/>
          <w:color w:val="auto"/>
          <w:kern w:val="0"/>
          <w:sz w:val="21"/>
          <w:szCs w:val="21"/>
          <w:highlight w:val="none"/>
        </w:rPr>
        <w:t>年</w:t>
      </w:r>
      <w:r>
        <w:rPr>
          <w:rFonts w:hint="eastAsia" w:ascii="宋体" w:hAnsi="宋体" w:cs="宋体"/>
          <w:color w:val="auto"/>
          <w:sz w:val="21"/>
          <w:szCs w:val="21"/>
          <w:highlight w:val="none"/>
          <w:u w:val="single"/>
          <w:lang w:val="en-US" w:eastAsia="zh-CN"/>
        </w:rPr>
        <w:t>5</w:t>
      </w:r>
      <w:r>
        <w:rPr>
          <w:rFonts w:hint="eastAsia" w:ascii="宋体" w:hAnsi="宋体" w:eastAsia="宋体" w:cs="宋体"/>
          <w:bCs/>
          <w:color w:val="auto"/>
          <w:kern w:val="0"/>
          <w:sz w:val="21"/>
          <w:szCs w:val="21"/>
          <w:highlight w:val="none"/>
        </w:rPr>
        <w:t>月</w:t>
      </w:r>
      <w:r>
        <w:rPr>
          <w:rFonts w:hint="eastAsia" w:ascii="宋体" w:hAnsi="宋体" w:cs="宋体"/>
          <w:color w:val="auto"/>
          <w:sz w:val="21"/>
          <w:szCs w:val="21"/>
          <w:highlight w:val="none"/>
          <w:u w:val="single"/>
          <w:lang w:val="en-US" w:eastAsia="zh-CN"/>
        </w:rPr>
        <w:t>28</w:t>
      </w:r>
      <w:r>
        <w:rPr>
          <w:rFonts w:hint="eastAsia" w:ascii="宋体" w:hAnsi="宋体" w:eastAsia="宋体" w:cs="宋体"/>
          <w:bCs/>
          <w:color w:val="auto"/>
          <w:kern w:val="0"/>
          <w:sz w:val="21"/>
          <w:szCs w:val="21"/>
          <w:highlight w:val="none"/>
        </w:rPr>
        <w:t>日</w:t>
      </w:r>
      <w:r>
        <w:rPr>
          <w:rFonts w:hint="eastAsia" w:ascii="宋体" w:hAnsi="宋体" w:eastAsia="宋体" w:cs="宋体"/>
          <w:color w:val="auto"/>
          <w:sz w:val="21"/>
          <w:szCs w:val="21"/>
          <w:highlight w:val="none"/>
        </w:rPr>
        <w:t>，每天上午00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00-12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00；下午12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00-23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59（北京时间）</w:t>
      </w:r>
    </w:p>
    <w:p w14:paraId="4B5FA824">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地点：</w:t>
      </w:r>
      <w:r>
        <w:rPr>
          <w:rFonts w:hint="eastAsia" w:ascii="宋体" w:hAnsi="宋体" w:eastAsia="宋体" w:cs="宋体"/>
          <w:bCs/>
          <w:color w:val="auto"/>
          <w:kern w:val="0"/>
          <w:sz w:val="21"/>
          <w:szCs w:val="21"/>
          <w:highlight w:val="none"/>
          <w:lang w:eastAsia="zh-CN"/>
        </w:rPr>
        <w:t>广西政府采购云平台</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eastAsia="zh-CN"/>
        </w:rPr>
        <w:t>https</w:t>
      </w:r>
      <w:r>
        <w:rPr>
          <w:rFonts w:hint="eastAsia" w:ascii="宋体" w:hAnsi="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eastAsia="zh-CN"/>
        </w:rPr>
        <w:t>//www.gcy.zfcg.gxzf.gov.cn/</w:t>
      </w:r>
      <w:r>
        <w:rPr>
          <w:rFonts w:hint="eastAsia" w:ascii="宋体" w:hAnsi="宋体" w:eastAsia="宋体" w:cs="宋体"/>
          <w:bCs/>
          <w:color w:val="auto"/>
          <w:kern w:val="0"/>
          <w:sz w:val="21"/>
          <w:szCs w:val="21"/>
          <w:highlight w:val="none"/>
        </w:rPr>
        <w:t>）</w:t>
      </w:r>
    </w:p>
    <w:p w14:paraId="08933183">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方式：网上下载。本项目不发放纸质文件，供应商应自行在</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0"/>
          <w:sz w:val="21"/>
          <w:szCs w:val="21"/>
          <w:highlight w:val="none"/>
          <w:lang w:eastAsia="zh-CN"/>
        </w:rPr>
        <w:t>广西政府采购云平台</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eastAsia="zh-CN"/>
        </w:rPr>
        <w:t>https</w:t>
      </w:r>
      <w:r>
        <w:rPr>
          <w:rFonts w:hint="eastAsia" w:ascii="宋体" w:hAnsi="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eastAsia="zh-CN"/>
        </w:rPr>
        <w:t>//www.gcy.zfcg.gxzf.gov.cn/</w:t>
      </w:r>
      <w:r>
        <w:rPr>
          <w:rFonts w:hint="eastAsia" w:ascii="宋体" w:hAnsi="宋体" w:eastAsia="宋体" w:cs="宋体"/>
          <w:bCs/>
          <w:color w:val="auto"/>
          <w:kern w:val="0"/>
          <w:sz w:val="21"/>
          <w:szCs w:val="21"/>
          <w:highlight w:val="none"/>
        </w:rPr>
        <w:t>）下载招标文件（操作路径：登录</w:t>
      </w:r>
      <w:r>
        <w:rPr>
          <w:rFonts w:hint="eastAsia" w:ascii="宋体" w:hAnsi="宋体" w:eastAsia="宋体" w:cs="宋体"/>
          <w:bCs/>
          <w:color w:val="auto"/>
          <w:kern w:val="0"/>
          <w:sz w:val="21"/>
          <w:szCs w:val="21"/>
          <w:highlight w:val="none"/>
          <w:lang w:eastAsia="zh-CN"/>
        </w:rPr>
        <w:t>广西政府采购云平台</w:t>
      </w:r>
      <w:r>
        <w:rPr>
          <w:rFonts w:hint="eastAsia" w:ascii="宋体" w:hAnsi="宋体" w:eastAsia="宋体" w:cs="宋体"/>
          <w:bCs/>
          <w:color w:val="auto"/>
          <w:kern w:val="0"/>
          <w:sz w:val="21"/>
          <w:szCs w:val="21"/>
          <w:highlight w:val="none"/>
        </w:rPr>
        <w:t>-项目采购-获取采购文件-找到本项目-点击“申请获取采购文件”），电子投标文件制作需要基于</w:t>
      </w:r>
      <w:r>
        <w:rPr>
          <w:rFonts w:hint="eastAsia" w:ascii="宋体" w:hAnsi="宋体" w:eastAsia="宋体" w:cs="宋体"/>
          <w:bCs/>
          <w:color w:val="auto"/>
          <w:kern w:val="0"/>
          <w:sz w:val="21"/>
          <w:szCs w:val="21"/>
          <w:highlight w:val="none"/>
          <w:lang w:eastAsia="zh-CN"/>
        </w:rPr>
        <w:t>广西政府采购云平台</w:t>
      </w:r>
      <w:r>
        <w:rPr>
          <w:rFonts w:hint="eastAsia" w:ascii="宋体" w:hAnsi="宋体" w:eastAsia="宋体" w:cs="宋体"/>
          <w:bCs/>
          <w:color w:val="auto"/>
          <w:kern w:val="0"/>
          <w:sz w:val="21"/>
          <w:szCs w:val="21"/>
          <w:highlight w:val="none"/>
        </w:rPr>
        <w:t>获取的招标文件编制。</w:t>
      </w:r>
    </w:p>
    <w:p w14:paraId="45640B22">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售价：0元。</w:t>
      </w:r>
    </w:p>
    <w:p w14:paraId="3ACA43B9">
      <w:pPr>
        <w:keepNext w:val="0"/>
        <w:keepLines w:val="0"/>
        <w:pageBreakBefore w:val="0"/>
        <w:widowControl w:val="0"/>
        <w:kinsoku/>
        <w:wordWrap/>
        <w:overflowPunct/>
        <w:topLinePunct w:val="0"/>
        <w:autoSpaceDE/>
        <w:autoSpaceDN/>
        <w:bidi w:val="0"/>
        <w:adjustRightInd/>
        <w:snapToGrid/>
        <w:spacing w:line="400" w:lineRule="exact"/>
        <w:ind w:left="0" w:firstLine="422" w:firstLineChars="200"/>
        <w:jc w:val="both"/>
        <w:textAlignment w:val="auto"/>
        <w:outlineLvl w:val="1"/>
        <w:rPr>
          <w:rFonts w:hint="eastAsia" w:ascii="宋体" w:hAnsi="宋体" w:eastAsia="宋体" w:cs="宋体"/>
          <w:b/>
          <w:bCs/>
          <w:color w:val="auto"/>
          <w:sz w:val="21"/>
          <w:szCs w:val="21"/>
          <w:highlight w:val="none"/>
        </w:rPr>
      </w:pPr>
      <w:bookmarkStart w:id="47" w:name="_Toc1072"/>
      <w:bookmarkStart w:id="48" w:name="_Toc15799"/>
      <w:bookmarkStart w:id="49" w:name="_Toc21252"/>
      <w:bookmarkStart w:id="50" w:name="_Toc6896"/>
      <w:bookmarkStart w:id="51" w:name="_Toc13549"/>
      <w:r>
        <w:rPr>
          <w:rFonts w:hint="eastAsia" w:ascii="宋体" w:hAnsi="宋体" w:eastAsia="宋体" w:cs="宋体"/>
          <w:b/>
          <w:bCs/>
          <w:color w:val="auto"/>
          <w:sz w:val="21"/>
          <w:szCs w:val="21"/>
          <w:highlight w:val="none"/>
        </w:rPr>
        <w:t>四、提交投标文件</w:t>
      </w:r>
      <w:bookmarkEnd w:id="43"/>
      <w:bookmarkEnd w:id="44"/>
      <w:r>
        <w:rPr>
          <w:rFonts w:hint="eastAsia" w:ascii="宋体" w:hAnsi="宋体" w:eastAsia="宋体" w:cs="宋体"/>
          <w:b/>
          <w:bCs/>
          <w:color w:val="auto"/>
          <w:sz w:val="21"/>
          <w:szCs w:val="21"/>
          <w:highlight w:val="none"/>
        </w:rPr>
        <w:t>截止时间、开标时间和地点</w:t>
      </w:r>
      <w:bookmarkEnd w:id="45"/>
      <w:bookmarkEnd w:id="46"/>
      <w:bookmarkEnd w:id="47"/>
      <w:bookmarkEnd w:id="48"/>
      <w:bookmarkEnd w:id="49"/>
      <w:bookmarkEnd w:id="50"/>
      <w:bookmarkEnd w:id="51"/>
    </w:p>
    <w:p w14:paraId="4A5E1CFE">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bookmarkStart w:id="52" w:name="_Toc28359084"/>
      <w:bookmarkStart w:id="53" w:name="_Toc35393794"/>
      <w:bookmarkStart w:id="54" w:name="_Toc35393625"/>
      <w:bookmarkStart w:id="55" w:name="_Toc28359007"/>
      <w:r>
        <w:rPr>
          <w:rFonts w:hint="eastAsia" w:ascii="宋体" w:hAnsi="宋体" w:eastAsia="宋体" w:cs="宋体"/>
          <w:color w:val="auto"/>
          <w:sz w:val="21"/>
          <w:szCs w:val="21"/>
          <w:highlight w:val="none"/>
        </w:rPr>
        <w:t>提交投标文件截止时间：20</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11</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时</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（北京时间）</w:t>
      </w:r>
    </w:p>
    <w:p w14:paraId="22DB28E0">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投标地点（网址）：通过“广西政府采购云平台”在线提交投标文件。</w:t>
      </w:r>
    </w:p>
    <w:p w14:paraId="5E2AB60C">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开标时间：20</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11</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时</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分</w:t>
      </w:r>
    </w:p>
    <w:p w14:paraId="19E04E00">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开标地点：通过“广西政府采购云平台”在线开启投标文件。</w:t>
      </w:r>
    </w:p>
    <w:p w14:paraId="331978F3">
      <w:pPr>
        <w:keepNext w:val="0"/>
        <w:keepLines w:val="0"/>
        <w:pageBreakBefore w:val="0"/>
        <w:widowControl w:val="0"/>
        <w:kinsoku/>
        <w:wordWrap/>
        <w:overflowPunct/>
        <w:topLinePunct w:val="0"/>
        <w:autoSpaceDE/>
        <w:autoSpaceDN/>
        <w:bidi w:val="0"/>
        <w:adjustRightInd/>
        <w:snapToGrid/>
        <w:spacing w:line="400" w:lineRule="exact"/>
        <w:ind w:left="0" w:firstLine="422" w:firstLineChars="200"/>
        <w:jc w:val="both"/>
        <w:textAlignment w:val="auto"/>
        <w:outlineLvl w:val="1"/>
        <w:rPr>
          <w:rFonts w:hint="eastAsia" w:ascii="宋体" w:hAnsi="宋体" w:eastAsia="宋体" w:cs="宋体"/>
          <w:b/>
          <w:bCs/>
          <w:color w:val="auto"/>
          <w:sz w:val="21"/>
          <w:szCs w:val="21"/>
          <w:highlight w:val="none"/>
        </w:rPr>
      </w:pPr>
      <w:bookmarkStart w:id="56" w:name="_Toc163"/>
      <w:bookmarkStart w:id="57" w:name="_Toc29470"/>
      <w:bookmarkStart w:id="58" w:name="_Toc24695"/>
      <w:bookmarkStart w:id="59" w:name="_Toc29412"/>
      <w:bookmarkStart w:id="60" w:name="_Toc23538"/>
      <w:r>
        <w:rPr>
          <w:rFonts w:hint="eastAsia" w:ascii="宋体" w:hAnsi="宋体" w:eastAsia="宋体" w:cs="宋体"/>
          <w:b/>
          <w:bCs/>
          <w:color w:val="auto"/>
          <w:sz w:val="21"/>
          <w:szCs w:val="21"/>
          <w:highlight w:val="none"/>
        </w:rPr>
        <w:t>五、公告期限</w:t>
      </w:r>
      <w:bookmarkEnd w:id="52"/>
      <w:bookmarkEnd w:id="53"/>
      <w:bookmarkEnd w:id="54"/>
      <w:bookmarkEnd w:id="55"/>
      <w:bookmarkEnd w:id="56"/>
      <w:bookmarkEnd w:id="57"/>
      <w:bookmarkEnd w:id="58"/>
      <w:bookmarkEnd w:id="59"/>
      <w:bookmarkEnd w:id="60"/>
    </w:p>
    <w:p w14:paraId="485E7741">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自本公告发布之日起5个工作日。</w:t>
      </w:r>
    </w:p>
    <w:p w14:paraId="736102FC">
      <w:pPr>
        <w:keepNext w:val="0"/>
        <w:keepLines w:val="0"/>
        <w:pageBreakBefore w:val="0"/>
        <w:widowControl w:val="0"/>
        <w:kinsoku/>
        <w:wordWrap/>
        <w:overflowPunct/>
        <w:topLinePunct w:val="0"/>
        <w:autoSpaceDE/>
        <w:autoSpaceDN/>
        <w:bidi w:val="0"/>
        <w:adjustRightInd/>
        <w:snapToGrid/>
        <w:spacing w:line="400" w:lineRule="exact"/>
        <w:ind w:left="0" w:firstLine="422" w:firstLineChars="200"/>
        <w:jc w:val="both"/>
        <w:textAlignment w:val="auto"/>
        <w:outlineLvl w:val="1"/>
        <w:rPr>
          <w:rFonts w:hint="eastAsia" w:ascii="宋体" w:hAnsi="宋体" w:eastAsia="宋体" w:cs="宋体"/>
          <w:b/>
          <w:bCs/>
          <w:color w:val="auto"/>
          <w:sz w:val="21"/>
          <w:szCs w:val="21"/>
          <w:highlight w:val="none"/>
        </w:rPr>
      </w:pPr>
      <w:bookmarkStart w:id="61" w:name="_Toc12681"/>
      <w:bookmarkStart w:id="62" w:name="_Toc17883"/>
      <w:bookmarkStart w:id="63" w:name="_Toc35393626"/>
      <w:bookmarkStart w:id="64" w:name="_Toc22357"/>
      <w:bookmarkStart w:id="65" w:name="_Toc35393795"/>
      <w:bookmarkStart w:id="66" w:name="_Toc22232"/>
      <w:bookmarkStart w:id="67" w:name="_Toc31186"/>
      <w:r>
        <w:rPr>
          <w:rFonts w:hint="eastAsia" w:ascii="宋体" w:hAnsi="宋体" w:eastAsia="宋体" w:cs="宋体"/>
          <w:b/>
          <w:bCs/>
          <w:color w:val="auto"/>
          <w:sz w:val="21"/>
          <w:szCs w:val="21"/>
          <w:highlight w:val="none"/>
        </w:rPr>
        <w:t>六、其他补充事宜</w:t>
      </w:r>
      <w:bookmarkEnd w:id="61"/>
      <w:bookmarkEnd w:id="62"/>
      <w:bookmarkEnd w:id="63"/>
      <w:bookmarkEnd w:id="64"/>
      <w:bookmarkEnd w:id="65"/>
      <w:bookmarkEnd w:id="66"/>
      <w:bookmarkEnd w:id="67"/>
    </w:p>
    <w:p w14:paraId="0EAA8563">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rPr>
      </w:pPr>
      <w:bookmarkStart w:id="68" w:name="_Hlk37429674"/>
      <w:bookmarkStart w:id="69" w:name="_Toc28359085"/>
      <w:bookmarkStart w:id="70" w:name="_Toc35393796"/>
      <w:bookmarkStart w:id="71" w:name="_Toc35393627"/>
      <w:bookmarkStart w:id="72" w:name="_Toc28359008"/>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投标保证金</w:t>
      </w:r>
      <w:r>
        <w:rPr>
          <w:rFonts w:hint="eastAsia" w:ascii="宋体" w:hAnsi="宋体" w:cs="宋体"/>
          <w:color w:val="auto"/>
          <w:kern w:val="0"/>
          <w:sz w:val="21"/>
          <w:szCs w:val="21"/>
          <w:highlight w:val="none"/>
          <w:lang w:eastAsia="zh-CN"/>
        </w:rPr>
        <w:t>（</w:t>
      </w:r>
      <w:r>
        <w:rPr>
          <w:rFonts w:hint="eastAsia" w:ascii="宋体" w:hAnsi="宋体" w:eastAsia="宋体" w:cs="宋体"/>
          <w:color w:val="auto"/>
          <w:sz w:val="21"/>
          <w:szCs w:val="21"/>
          <w:highlight w:val="none"/>
          <w:lang w:val="en-US" w:eastAsia="zh-CN"/>
        </w:rPr>
        <w:t>人民币</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分包1</w:t>
      </w:r>
      <w:r>
        <w:rPr>
          <w:rFonts w:hint="eastAsia" w:ascii="宋体" w:hAnsi="宋体" w:cs="宋体"/>
          <w:color w:val="auto"/>
          <w:sz w:val="21"/>
          <w:szCs w:val="21"/>
          <w:highlight w:val="none"/>
          <w:lang w:val="en-US" w:eastAsia="zh-CN"/>
        </w:rPr>
        <w:t>：贰万伍仟元整</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en-US" w:eastAsia="zh-CN"/>
        </w:rPr>
        <w:t>,000.00）；分包</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柒万元整（¥70,000.00）</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分包3</w:t>
      </w:r>
      <w:r>
        <w:rPr>
          <w:rFonts w:hint="eastAsia" w:ascii="宋体" w:hAnsi="宋体" w:cs="宋体"/>
          <w:color w:val="auto"/>
          <w:sz w:val="21"/>
          <w:szCs w:val="21"/>
          <w:highlight w:val="none"/>
          <w:lang w:val="en-US" w:eastAsia="zh-CN"/>
        </w:rPr>
        <w:t>：叁</w:t>
      </w:r>
      <w:r>
        <w:rPr>
          <w:rFonts w:hint="eastAsia" w:ascii="宋体" w:hAnsi="宋体" w:eastAsia="宋体" w:cs="宋体"/>
          <w:color w:val="auto"/>
          <w:sz w:val="21"/>
          <w:szCs w:val="21"/>
          <w:highlight w:val="none"/>
          <w:lang w:val="en-US" w:eastAsia="zh-CN"/>
        </w:rPr>
        <w:t>万元整（¥</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0,000.00）</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分包4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壹万元整（¥10,000.00）</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分包5：贰万元整（¥20,000.00）</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分包6：壹万伍仟元整（¥15,000.00）。</w:t>
      </w:r>
      <w:r>
        <w:rPr>
          <w:rFonts w:hint="eastAsia" w:ascii="宋体" w:hAnsi="宋体" w:cs="宋体"/>
          <w:color w:val="auto"/>
          <w:sz w:val="21"/>
          <w:szCs w:val="21"/>
          <w:highlight w:val="none"/>
          <w:lang w:val="en-US" w:eastAsia="zh-CN"/>
        </w:rPr>
        <w:t>（必须足额交纳，交纳注意事项详见投标人须知前附表。）</w:t>
      </w:r>
    </w:p>
    <w:p w14:paraId="09613909">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网上查询地址：</w:t>
      </w:r>
      <w:r>
        <w:rPr>
          <w:rFonts w:hint="eastAsia" w:ascii="宋体" w:hAnsi="宋体" w:eastAsia="宋体" w:cs="宋体"/>
          <w:i w:val="0"/>
          <w:iCs/>
          <w:color w:val="auto"/>
          <w:kern w:val="0"/>
          <w:sz w:val="21"/>
          <w:szCs w:val="21"/>
          <w:highlight w:val="none"/>
        </w:rPr>
        <w:t>中国政府采购网</w:t>
      </w:r>
      <w:r>
        <w:rPr>
          <w:rFonts w:hint="eastAsia" w:ascii="宋体" w:hAnsi="宋体" w:eastAsia="宋体" w:cs="宋体"/>
          <w:i w:val="0"/>
          <w:iCs/>
          <w:color w:val="auto"/>
          <w:kern w:val="0"/>
          <w:sz w:val="21"/>
          <w:szCs w:val="21"/>
          <w:highlight w:val="none"/>
          <w:lang w:eastAsia="zh-CN"/>
        </w:rPr>
        <w:t>（</w:t>
      </w:r>
      <w:r>
        <w:rPr>
          <w:rFonts w:hint="eastAsia" w:ascii="宋体" w:hAnsi="宋体" w:eastAsia="宋体" w:cs="宋体"/>
          <w:i w:val="0"/>
          <w:iCs/>
          <w:color w:val="auto"/>
          <w:kern w:val="0"/>
          <w:sz w:val="21"/>
          <w:szCs w:val="21"/>
          <w:highlight w:val="none"/>
        </w:rPr>
        <w:t>http://www.ccgp.gov.cn</w:t>
      </w:r>
      <w:r>
        <w:rPr>
          <w:rFonts w:hint="eastAsia" w:ascii="宋体" w:hAnsi="宋体" w:eastAsia="宋体" w:cs="宋体"/>
          <w:i w:val="0"/>
          <w:iCs/>
          <w:color w:val="auto"/>
          <w:kern w:val="0"/>
          <w:sz w:val="21"/>
          <w:szCs w:val="21"/>
          <w:highlight w:val="none"/>
          <w:lang w:eastAsia="zh-CN"/>
        </w:rPr>
        <w:t>）</w:t>
      </w:r>
      <w:r>
        <w:rPr>
          <w:rFonts w:hint="eastAsia" w:ascii="宋体" w:hAnsi="宋体" w:eastAsia="宋体" w:cs="宋体"/>
          <w:i w:val="0"/>
          <w:iCs/>
          <w:color w:val="auto"/>
          <w:kern w:val="0"/>
          <w:sz w:val="21"/>
          <w:szCs w:val="21"/>
          <w:highlight w:val="none"/>
        </w:rPr>
        <w:t>、广西壮族自治区政府采购网</w:t>
      </w:r>
      <w:r>
        <w:rPr>
          <w:rFonts w:hint="eastAsia" w:ascii="宋体" w:hAnsi="宋体" w:eastAsia="宋体" w:cs="宋体"/>
          <w:i w:val="0"/>
          <w:iCs/>
          <w:color w:val="auto"/>
          <w:kern w:val="0"/>
          <w:sz w:val="21"/>
          <w:szCs w:val="21"/>
          <w:highlight w:val="none"/>
          <w:lang w:eastAsia="zh-CN"/>
        </w:rPr>
        <w:t>（</w:t>
      </w:r>
      <w:r>
        <w:rPr>
          <w:rFonts w:hint="eastAsia" w:ascii="宋体" w:hAnsi="宋体" w:eastAsia="宋体" w:cs="宋体"/>
          <w:i w:val="0"/>
          <w:iCs/>
          <w:color w:val="auto"/>
          <w:kern w:val="0"/>
          <w:sz w:val="21"/>
          <w:szCs w:val="21"/>
          <w:highlight w:val="none"/>
        </w:rPr>
        <w:t>http://zfcg.gxzf.gov.cn</w:t>
      </w:r>
      <w:r>
        <w:rPr>
          <w:rFonts w:hint="eastAsia" w:ascii="宋体" w:hAnsi="宋体" w:eastAsia="宋体" w:cs="宋体"/>
          <w:i w:val="0"/>
          <w:iCs/>
          <w:color w:val="auto"/>
          <w:kern w:val="0"/>
          <w:sz w:val="21"/>
          <w:szCs w:val="21"/>
          <w:highlight w:val="none"/>
          <w:lang w:eastAsia="zh-CN"/>
        </w:rPr>
        <w:t>）、</w:t>
      </w:r>
      <w:r>
        <w:rPr>
          <w:rFonts w:hint="eastAsia" w:ascii="宋体" w:hAnsi="宋体" w:eastAsia="宋体" w:cs="宋体"/>
          <w:i w:val="0"/>
          <w:iCs/>
          <w:color w:val="auto"/>
          <w:kern w:val="0"/>
          <w:sz w:val="21"/>
          <w:szCs w:val="21"/>
          <w:highlight w:val="none"/>
        </w:rPr>
        <w:t>广西壮族自治区公共资源交易中心（http://gxggzy.gxzf.gov.cn</w:t>
      </w:r>
      <w:r>
        <w:rPr>
          <w:rFonts w:hint="eastAsia" w:ascii="宋体" w:hAnsi="宋体" w:eastAsia="宋体" w:cs="宋体"/>
          <w:i w:val="0"/>
          <w:iCs/>
          <w:color w:val="auto"/>
          <w:kern w:val="0"/>
          <w:sz w:val="21"/>
          <w:szCs w:val="21"/>
          <w:highlight w:val="none"/>
          <w:lang w:eastAsia="zh-CN"/>
        </w:rPr>
        <w:t>）、</w:t>
      </w:r>
      <w:r>
        <w:rPr>
          <w:rFonts w:hint="eastAsia" w:ascii="宋体" w:hAnsi="宋体" w:eastAsia="宋体" w:cs="宋体"/>
          <w:color w:val="auto"/>
          <w:kern w:val="0"/>
          <w:sz w:val="21"/>
          <w:szCs w:val="21"/>
          <w:highlight w:val="none"/>
          <w:lang w:eastAsia="zh-CN"/>
        </w:rPr>
        <w:t>广西壮族自治区生态环境厅网站（http://sthjt.gxzf.gov.cn/）。</w:t>
      </w:r>
    </w:p>
    <w:p w14:paraId="0301A779">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1BE0CE5">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0E0536B0">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本项目需要落实的政府采购政策：</w:t>
      </w:r>
    </w:p>
    <w:p w14:paraId="771484E2">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（1）政府采购促进中小企业发展</w:t>
      </w:r>
      <w:r>
        <w:rPr>
          <w:rFonts w:hint="eastAsia" w:ascii="宋体" w:hAnsi="宋体" w:cs="宋体"/>
          <w:color w:val="auto"/>
          <w:kern w:val="0"/>
          <w:sz w:val="21"/>
          <w:szCs w:val="21"/>
          <w:highlight w:val="none"/>
          <w:lang w:eastAsia="zh-CN"/>
        </w:rPr>
        <w:t>；</w:t>
      </w:r>
    </w:p>
    <w:p w14:paraId="02724231">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（2）政府采购支持采用本国产品的政策</w:t>
      </w:r>
      <w:r>
        <w:rPr>
          <w:rFonts w:hint="eastAsia" w:ascii="宋体" w:hAnsi="宋体" w:cs="宋体"/>
          <w:color w:val="auto"/>
          <w:kern w:val="0"/>
          <w:sz w:val="21"/>
          <w:szCs w:val="21"/>
          <w:highlight w:val="none"/>
          <w:lang w:eastAsia="zh-CN"/>
        </w:rPr>
        <w:t>；</w:t>
      </w:r>
    </w:p>
    <w:p w14:paraId="04C89042">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（3）强制采购节能产品；优先采购节能产品、环境标志产品</w:t>
      </w:r>
      <w:r>
        <w:rPr>
          <w:rFonts w:hint="eastAsia" w:ascii="宋体" w:hAnsi="宋体" w:cs="宋体"/>
          <w:color w:val="auto"/>
          <w:kern w:val="0"/>
          <w:sz w:val="21"/>
          <w:szCs w:val="21"/>
          <w:highlight w:val="none"/>
          <w:lang w:eastAsia="zh-CN"/>
        </w:rPr>
        <w:t>；</w:t>
      </w:r>
    </w:p>
    <w:p w14:paraId="720F798E">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（4）政府采购促进残疾人就业政策</w:t>
      </w:r>
      <w:r>
        <w:rPr>
          <w:rFonts w:hint="eastAsia" w:ascii="宋体" w:hAnsi="宋体" w:cs="宋体"/>
          <w:color w:val="auto"/>
          <w:kern w:val="0"/>
          <w:sz w:val="21"/>
          <w:szCs w:val="21"/>
          <w:highlight w:val="none"/>
          <w:lang w:eastAsia="zh-CN"/>
        </w:rPr>
        <w:t>；</w:t>
      </w:r>
    </w:p>
    <w:p w14:paraId="1A26A029">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（5）政府采购支持监狱企业发展</w:t>
      </w:r>
      <w:r>
        <w:rPr>
          <w:rFonts w:hint="eastAsia" w:ascii="宋体" w:hAnsi="宋体" w:cs="宋体"/>
          <w:color w:val="auto"/>
          <w:kern w:val="0"/>
          <w:sz w:val="21"/>
          <w:szCs w:val="21"/>
          <w:highlight w:val="none"/>
          <w:lang w:eastAsia="zh-CN"/>
        </w:rPr>
        <w:t>；</w:t>
      </w:r>
    </w:p>
    <w:p w14:paraId="3E3B6A99">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（6）扶持不发达地区和少数民族地区政策。</w:t>
      </w:r>
    </w:p>
    <w:p w14:paraId="686F523F">
      <w:pPr>
        <w:keepNext w:val="0"/>
        <w:keepLines w:val="0"/>
        <w:pageBreakBefore w:val="0"/>
        <w:widowControl/>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投标注意事项：</w:t>
      </w:r>
    </w:p>
    <w:p w14:paraId="2DD02B17">
      <w:pPr>
        <w:keepNext w:val="0"/>
        <w:keepLines w:val="0"/>
        <w:pageBreakBefore w:val="0"/>
        <w:widowControl/>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（1）投标文件提交方式：本项目为全流程电子化政府采购项目，通过</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//www.gcy.zfcg.gxzf.gov.cn/</w:t>
      </w:r>
      <w:r>
        <w:rPr>
          <w:rFonts w:hint="eastAsia" w:ascii="宋体" w:hAnsi="宋体" w:eastAsia="宋体" w:cs="宋体"/>
          <w:color w:val="auto"/>
          <w:sz w:val="21"/>
          <w:szCs w:val="21"/>
          <w:highlight w:val="none"/>
        </w:rPr>
        <w:t>）实行在线电子投标，供应商应先安装“</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电子交易客户端”（请自行前往</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进行下载），并按照本项目招标文件和</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的要求编制、加密后在投标截止时间前通过网络上传至</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供应商在</w:t>
      </w:r>
      <w:r>
        <w:rPr>
          <w:rFonts w:hint="eastAsia" w:ascii="宋体" w:hAnsi="宋体" w:eastAsia="宋体" w:cs="宋体"/>
          <w:b/>
          <w:color w:val="auto"/>
          <w:sz w:val="21"/>
          <w:szCs w:val="21"/>
          <w:highlight w:val="none"/>
          <w:lang w:eastAsia="zh-CN"/>
        </w:rPr>
        <w:t>广西政府采购云平台</w:t>
      </w:r>
      <w:r>
        <w:rPr>
          <w:rFonts w:hint="eastAsia" w:ascii="宋体" w:hAnsi="宋体" w:eastAsia="宋体" w:cs="宋体"/>
          <w:b/>
          <w:color w:val="auto"/>
          <w:sz w:val="21"/>
          <w:szCs w:val="21"/>
          <w:highlight w:val="none"/>
        </w:rPr>
        <w:t>提交电子版投标文件时，请填写参加远程开标活动经办人联系方式。</w:t>
      </w:r>
      <w:r>
        <w:rPr>
          <w:rFonts w:hint="eastAsia" w:ascii="宋体" w:hAnsi="宋体" w:eastAsia="宋体" w:cs="宋体"/>
          <w:b w:val="0"/>
          <w:bCs/>
          <w:color w:val="auto"/>
          <w:sz w:val="21"/>
          <w:szCs w:val="21"/>
          <w:highlight w:val="none"/>
        </w:rPr>
        <w:t>投标人登录广西政府采购云平台，依次进入“服务中心-项目采购-操作流程-电子招投标-政府采购项目电子交易管理操作指南-供应商”查看电子投标具体操作流程。</w:t>
      </w:r>
    </w:p>
    <w:p w14:paraId="0FA23196">
      <w:pPr>
        <w:keepNext w:val="0"/>
        <w:keepLines w:val="0"/>
        <w:pageBreakBefore w:val="0"/>
        <w:widowControl/>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w:t>
      </w:r>
    </w:p>
    <w:p w14:paraId="7E200A5D">
      <w:pPr>
        <w:keepNext w:val="0"/>
        <w:keepLines w:val="0"/>
        <w:pageBreakBefore w:val="0"/>
        <w:widowControl/>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）为确保网上操作合法、有效和安全，请投标人确保在电子投标过程中能够对相关数据电文进行加密和使用电子签章，妥善保管CA数字证书并使用有效的CA数字证书参与整个采购活动。</w:t>
      </w:r>
    </w:p>
    <w:p w14:paraId="65D415C9">
      <w:pPr>
        <w:keepNext w:val="0"/>
        <w:keepLines w:val="0"/>
        <w:pageBreakBefore w:val="0"/>
        <w:kinsoku/>
        <w:wordWrap/>
        <w:overflowPunct/>
        <w:topLinePunct w:val="0"/>
        <w:autoSpaceDE/>
        <w:autoSpaceDN/>
        <w:bidi w:val="0"/>
        <w:adjustRightInd/>
        <w:spacing w:line="400" w:lineRule="exact"/>
        <w:ind w:left="0"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eastAsia="宋体" w:cs="宋体"/>
          <w:b/>
          <w:bCs/>
          <w:color w:val="auto"/>
          <w:sz w:val="21"/>
          <w:szCs w:val="21"/>
          <w:highlight w:val="none"/>
          <w:lang w:eastAsia="zh-CN"/>
        </w:rPr>
        <w:t>广西政府采购云平台</w:t>
      </w:r>
      <w:r>
        <w:rPr>
          <w:rFonts w:hint="eastAsia" w:ascii="宋体" w:hAnsi="宋体" w:eastAsia="宋体" w:cs="宋体"/>
          <w:b/>
          <w:bCs/>
          <w:color w:val="auto"/>
          <w:sz w:val="21"/>
          <w:szCs w:val="21"/>
          <w:highlight w:val="none"/>
        </w:rPr>
        <w:t>将予以拒收。</w:t>
      </w:r>
    </w:p>
    <w:p w14:paraId="11F3DB1C">
      <w:pPr>
        <w:keepNext w:val="0"/>
        <w:keepLines w:val="0"/>
        <w:pageBreakBefore w:val="0"/>
        <w:kinsoku/>
        <w:wordWrap/>
        <w:overflowPunct/>
        <w:topLinePunct w:val="0"/>
        <w:autoSpaceDE/>
        <w:autoSpaceDN/>
        <w:bidi w:val="0"/>
        <w:adjustRightInd/>
        <w:snapToGrid w:val="0"/>
        <w:spacing w:line="400" w:lineRule="exact"/>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CA证书在线解密：供应商投标时，需携带制作投标文件时用来加密的有效数字证书（CA认证）登录</w:t>
      </w:r>
      <w:r>
        <w:rPr>
          <w:rFonts w:hint="eastAsia" w:ascii="宋体" w:hAnsi="宋体" w:eastAsia="宋体" w:cs="宋体"/>
          <w:color w:val="auto"/>
          <w:kern w:val="0"/>
          <w:sz w:val="21"/>
          <w:szCs w:val="21"/>
          <w:highlight w:val="none"/>
          <w:lang w:eastAsia="zh-CN"/>
        </w:rPr>
        <w:t>广西政府采购云平台</w:t>
      </w:r>
      <w:r>
        <w:rPr>
          <w:rFonts w:hint="eastAsia" w:ascii="宋体" w:hAnsi="宋体" w:eastAsia="宋体" w:cs="宋体"/>
          <w:color w:val="auto"/>
          <w:kern w:val="0"/>
          <w:sz w:val="21"/>
          <w:szCs w:val="21"/>
          <w:highlight w:val="none"/>
        </w:rPr>
        <w:t>电子开标大厅现场按规定时间对加密的投标文件进行解密，否则后果自负。</w:t>
      </w:r>
    </w:p>
    <w:p w14:paraId="2C5B0227">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若对项目采购电子交易系统操作有疑问，可登录</w:t>
      </w:r>
      <w:r>
        <w:rPr>
          <w:rFonts w:hint="eastAsia" w:ascii="宋体" w:hAnsi="宋体" w:eastAsia="宋体" w:cs="宋体"/>
          <w:color w:val="auto"/>
          <w:kern w:val="0"/>
          <w:sz w:val="21"/>
          <w:szCs w:val="21"/>
          <w:highlight w:val="none"/>
          <w:lang w:eastAsia="zh-CN"/>
        </w:rPr>
        <w:t>广西政府采购云平台</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https</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CN"/>
        </w:rPr>
        <w:t>//www.gcy.zfcg.gxzf.gov.cn/</w:t>
      </w:r>
      <w:r>
        <w:rPr>
          <w:rFonts w:hint="eastAsia" w:ascii="宋体" w:hAnsi="宋体" w:eastAsia="宋体" w:cs="宋体"/>
          <w:color w:val="auto"/>
          <w:kern w:val="0"/>
          <w:sz w:val="21"/>
          <w:szCs w:val="21"/>
          <w:highlight w:val="none"/>
        </w:rPr>
        <w:t>），点击右侧咨询小采，获取采小蜜智能服务管家帮助，或拨打</w:t>
      </w:r>
      <w:r>
        <w:rPr>
          <w:rFonts w:hint="eastAsia" w:ascii="宋体" w:hAnsi="宋体" w:eastAsia="宋体" w:cs="宋体"/>
          <w:color w:val="auto"/>
          <w:kern w:val="0"/>
          <w:sz w:val="21"/>
          <w:szCs w:val="21"/>
          <w:highlight w:val="none"/>
          <w:lang w:eastAsia="zh-CN"/>
        </w:rPr>
        <w:t>广西政府采购云平台</w:t>
      </w:r>
      <w:r>
        <w:rPr>
          <w:rFonts w:hint="eastAsia" w:ascii="宋体" w:hAnsi="宋体" w:eastAsia="宋体" w:cs="宋体"/>
          <w:color w:val="auto"/>
          <w:kern w:val="0"/>
          <w:sz w:val="21"/>
          <w:szCs w:val="21"/>
          <w:highlight w:val="none"/>
        </w:rPr>
        <w:t>服务热线</w:t>
      </w:r>
      <w:r>
        <w:rPr>
          <w:rFonts w:hint="eastAsia" w:ascii="宋体" w:hAnsi="宋体" w:eastAsia="宋体" w:cs="宋体"/>
          <w:color w:val="auto"/>
          <w:kern w:val="0"/>
          <w:sz w:val="21"/>
          <w:szCs w:val="21"/>
          <w:highlight w:val="none"/>
          <w:lang w:val="en-US" w:eastAsia="zh-CN"/>
        </w:rPr>
        <w:t>95763</w:t>
      </w:r>
      <w:r>
        <w:rPr>
          <w:rFonts w:hint="eastAsia" w:ascii="宋体" w:hAnsi="宋体" w:eastAsia="宋体" w:cs="宋体"/>
          <w:color w:val="auto"/>
          <w:kern w:val="0"/>
          <w:sz w:val="21"/>
          <w:szCs w:val="21"/>
          <w:highlight w:val="none"/>
        </w:rPr>
        <w:t>获取热线服务帮助。</w:t>
      </w:r>
    </w:p>
    <w:bookmarkEnd w:id="68"/>
    <w:p w14:paraId="1DD99260">
      <w:pPr>
        <w:keepNext w:val="0"/>
        <w:keepLines w:val="0"/>
        <w:pageBreakBefore w:val="0"/>
        <w:widowControl w:val="0"/>
        <w:kinsoku/>
        <w:wordWrap/>
        <w:overflowPunct/>
        <w:topLinePunct w:val="0"/>
        <w:autoSpaceDE/>
        <w:autoSpaceDN/>
        <w:bidi w:val="0"/>
        <w:adjustRightInd/>
        <w:snapToGrid/>
        <w:spacing w:line="400" w:lineRule="exact"/>
        <w:ind w:left="0" w:firstLine="422" w:firstLineChars="200"/>
        <w:jc w:val="both"/>
        <w:textAlignment w:val="auto"/>
        <w:outlineLvl w:val="1"/>
        <w:rPr>
          <w:rFonts w:hint="eastAsia" w:ascii="宋体" w:hAnsi="宋体" w:eastAsia="宋体" w:cs="宋体"/>
          <w:b/>
          <w:bCs/>
          <w:color w:val="auto"/>
          <w:sz w:val="21"/>
          <w:szCs w:val="21"/>
          <w:highlight w:val="none"/>
        </w:rPr>
      </w:pPr>
      <w:bookmarkStart w:id="73" w:name="_Toc24832"/>
      <w:bookmarkStart w:id="74" w:name="_Toc4619"/>
      <w:bookmarkStart w:id="75" w:name="_Toc2873"/>
      <w:bookmarkStart w:id="76" w:name="_Toc26774"/>
      <w:bookmarkStart w:id="77" w:name="_Toc27317"/>
      <w:r>
        <w:rPr>
          <w:rFonts w:hint="eastAsia" w:ascii="宋体" w:hAnsi="宋体" w:eastAsia="宋体" w:cs="宋体"/>
          <w:b/>
          <w:bCs/>
          <w:color w:val="auto"/>
          <w:sz w:val="21"/>
          <w:szCs w:val="21"/>
          <w:highlight w:val="none"/>
        </w:rPr>
        <w:t>七、对本次招标提出询问，请按以下方式联系。</w:t>
      </w:r>
      <w:bookmarkEnd w:id="69"/>
      <w:bookmarkEnd w:id="70"/>
      <w:bookmarkEnd w:id="71"/>
      <w:bookmarkEnd w:id="72"/>
      <w:bookmarkEnd w:id="73"/>
      <w:bookmarkEnd w:id="74"/>
      <w:bookmarkEnd w:id="75"/>
      <w:bookmarkEnd w:id="76"/>
      <w:bookmarkEnd w:id="77"/>
    </w:p>
    <w:p w14:paraId="107E8764">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1.采购人信息</w:t>
      </w:r>
    </w:p>
    <w:p w14:paraId="153BDF22">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广西壮族自治区生态环境厅</w:t>
      </w:r>
    </w:p>
    <w:p w14:paraId="4B84083C">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广西南宁市佛子岭路</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lang w:eastAsia="zh-CN"/>
        </w:rPr>
        <w:t>号</w:t>
      </w:r>
    </w:p>
    <w:p w14:paraId="40317810">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lang w:val="en-US" w:eastAsia="zh-CN"/>
        </w:rPr>
        <w:t>黄工</w:t>
      </w:r>
    </w:p>
    <w:p w14:paraId="5EC0DC6F">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联系电话：0771-531</w:t>
      </w:r>
      <w:r>
        <w:rPr>
          <w:rFonts w:hint="eastAsia" w:ascii="宋体" w:hAnsi="宋体" w:eastAsia="宋体" w:cs="宋体"/>
          <w:color w:val="auto"/>
          <w:sz w:val="21"/>
          <w:szCs w:val="21"/>
          <w:highlight w:val="none"/>
          <w:lang w:val="en-US" w:eastAsia="zh-CN"/>
        </w:rPr>
        <w:t>8290</w:t>
      </w:r>
    </w:p>
    <w:p w14:paraId="4B7F3938">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2.采购代理机构信息</w:t>
      </w:r>
    </w:p>
    <w:p w14:paraId="78860DBB">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名称：广西润德工程技术咨询有限公司</w:t>
      </w:r>
    </w:p>
    <w:p w14:paraId="6A12598F">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地址：南宁市青秀区东葛路165号绿地中央广场C2栋1118室</w:t>
      </w:r>
    </w:p>
    <w:p w14:paraId="337C8794">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项目联系人：</w:t>
      </w:r>
      <w:r>
        <w:rPr>
          <w:rFonts w:hint="eastAsia" w:ascii="宋体" w:hAnsi="宋体" w:eastAsia="宋体" w:cs="宋体"/>
          <w:color w:val="auto"/>
          <w:sz w:val="21"/>
          <w:szCs w:val="21"/>
          <w:highlight w:val="none"/>
          <w:lang w:val="en-US" w:eastAsia="zh-CN"/>
        </w:rPr>
        <w:t>黄秋玉、钟嘉炜、陆世栋、邓英卓</w:t>
      </w:r>
    </w:p>
    <w:p w14:paraId="30CD2D89">
      <w:pPr>
        <w:keepNext w:val="0"/>
        <w:keepLines w:val="0"/>
        <w:pageBreakBefore w:val="0"/>
        <w:kinsoku/>
        <w:wordWrap/>
        <w:overflowPunct/>
        <w:topLinePunct w:val="0"/>
        <w:autoSpaceDE/>
        <w:autoSpaceDN/>
        <w:bidi w:val="0"/>
        <w:adjustRightInd/>
        <w:spacing w:line="400" w:lineRule="exact"/>
        <w:ind w:lef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联系方式：</w:t>
      </w:r>
      <w:bookmarkStart w:id="78" w:name="_Toc28359087"/>
      <w:bookmarkStart w:id="79" w:name="_Toc28359010"/>
      <w:r>
        <w:rPr>
          <w:rFonts w:hint="eastAsia" w:ascii="宋体" w:hAnsi="宋体" w:eastAsia="宋体" w:cs="宋体"/>
          <w:color w:val="auto"/>
          <w:sz w:val="21"/>
          <w:szCs w:val="21"/>
          <w:highlight w:val="none"/>
          <w:lang w:eastAsia="zh-CN"/>
        </w:rPr>
        <w:t>0771-</w:t>
      </w:r>
      <w:r>
        <w:rPr>
          <w:rFonts w:hint="eastAsia" w:ascii="宋体" w:hAnsi="宋体" w:eastAsia="宋体" w:cs="宋体"/>
          <w:color w:val="auto"/>
          <w:sz w:val="21"/>
          <w:szCs w:val="21"/>
          <w:highlight w:val="none"/>
          <w:lang w:val="en-US" w:eastAsia="zh-CN"/>
        </w:rPr>
        <w:t>5703815</w:t>
      </w:r>
    </w:p>
    <w:bookmarkEnd w:id="78"/>
    <w:bookmarkEnd w:id="79"/>
    <w:p w14:paraId="4E8BA9F5">
      <w:pPr>
        <w:snapToGrid w:val="0"/>
        <w:spacing w:line="320" w:lineRule="exact"/>
        <w:rPr>
          <w:rFonts w:hint="eastAsia" w:ascii="宋体" w:hAnsi="宋体" w:eastAsia="宋体" w:cs="宋体"/>
          <w:color w:val="auto"/>
          <w:sz w:val="24"/>
          <w:szCs w:val="20"/>
          <w:highlight w:val="none"/>
        </w:rPr>
      </w:pPr>
    </w:p>
    <w:p w14:paraId="2C4AC7F0">
      <w:pPr>
        <w:rPr>
          <w:rFonts w:hint="eastAsia" w:ascii="方正小标宋_GBK" w:hAnsi="方正小标宋_GBK" w:eastAsia="方正小标宋_GBK" w:cs="方正小标宋_GBK"/>
          <w:color w:val="auto"/>
          <w:sz w:val="28"/>
          <w:szCs w:val="28"/>
          <w:highlight w:val="none"/>
        </w:rPr>
      </w:pPr>
      <w:bookmarkStart w:id="80" w:name="_Toc74320801"/>
      <w:bookmarkStart w:id="81" w:name="_Toc9918"/>
      <w:r>
        <w:rPr>
          <w:rFonts w:hint="eastAsia" w:ascii="方正小标宋_GBK" w:hAnsi="方正小标宋_GBK" w:eastAsia="方正小标宋_GBK" w:cs="方正小标宋_GBK"/>
          <w:color w:val="auto"/>
          <w:sz w:val="28"/>
          <w:szCs w:val="28"/>
          <w:highlight w:val="none"/>
        </w:rPr>
        <w:br w:type="page"/>
      </w:r>
    </w:p>
    <w:p w14:paraId="6A60E27D">
      <w:pPr>
        <w:pStyle w:val="2"/>
        <w:jc w:val="center"/>
        <w:rPr>
          <w:rFonts w:hint="eastAsia" w:ascii="方正小标宋_GBK" w:hAnsi="方正小标宋_GBK" w:eastAsia="方正小标宋_GBK" w:cs="方正小标宋_GBK"/>
          <w:color w:val="auto"/>
          <w:sz w:val="28"/>
          <w:szCs w:val="28"/>
          <w:highlight w:val="none"/>
        </w:rPr>
      </w:pPr>
      <w:bookmarkStart w:id="82" w:name="_Toc16847"/>
      <w:bookmarkStart w:id="83" w:name="_Toc4241"/>
      <w:r>
        <w:rPr>
          <w:rFonts w:hint="eastAsia" w:ascii="方正小标宋_GBK" w:hAnsi="方正小标宋_GBK" w:eastAsia="方正小标宋_GBK" w:cs="方正小标宋_GBK"/>
          <w:color w:val="auto"/>
          <w:sz w:val="28"/>
          <w:szCs w:val="28"/>
          <w:highlight w:val="none"/>
        </w:rPr>
        <w:t>第二章  采购需求</w:t>
      </w:r>
      <w:bookmarkEnd w:id="80"/>
      <w:bookmarkEnd w:id="81"/>
      <w:bookmarkEnd w:id="82"/>
      <w:bookmarkEnd w:id="83"/>
    </w:p>
    <w:p w14:paraId="5A400A5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auto"/>
          <w:sz w:val="21"/>
          <w:szCs w:val="21"/>
          <w:highlight w:val="none"/>
        </w:rPr>
      </w:pPr>
      <w:bookmarkStart w:id="84" w:name="_Toc254970490"/>
      <w:bookmarkStart w:id="85" w:name="_Toc254970631"/>
      <w:r>
        <w:rPr>
          <w:rFonts w:hint="eastAsia" w:ascii="宋体" w:hAnsi="宋体" w:eastAsia="宋体" w:cs="宋体"/>
          <w:b/>
          <w:color w:val="auto"/>
          <w:sz w:val="21"/>
          <w:szCs w:val="21"/>
          <w:highlight w:val="none"/>
        </w:rPr>
        <w:t>说明：</w:t>
      </w:r>
    </w:p>
    <w:p w14:paraId="4810547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z w:val="21"/>
          <w:szCs w:val="21"/>
          <w:highlight w:val="none"/>
          <w:u w:val="none"/>
        </w:rPr>
      </w:pPr>
      <w:bookmarkStart w:id="86" w:name="_Toc31539"/>
      <w:bookmarkStart w:id="87" w:name="_Toc4762"/>
      <w:r>
        <w:rPr>
          <w:rFonts w:hint="eastAsia" w:ascii="宋体" w:hAnsi="宋体" w:eastAsia="宋体" w:cs="宋体"/>
          <w:b w:val="0"/>
          <w:bCs w:val="0"/>
          <w:color w:val="auto"/>
          <w:sz w:val="21"/>
          <w:szCs w:val="21"/>
          <w:highlight w:val="none"/>
          <w:u w:val="none"/>
        </w:rPr>
        <w:t>1</w:t>
      </w:r>
      <w:r>
        <w:rPr>
          <w:rFonts w:hint="eastAsia" w:ascii="宋体"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rPr>
        <w:t>为落实政府采购政策需满足的要求</w:t>
      </w:r>
      <w:bookmarkEnd w:id="86"/>
      <w:bookmarkEnd w:id="87"/>
    </w:p>
    <w:p w14:paraId="2F279BE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（1）本招标文件所称中小企业必须符合《政府采购促进中小企业发展管理办法》（财库〔2020〕46号）的规定。</w:t>
      </w:r>
    </w:p>
    <w:p w14:paraId="3BA4CC4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（2）所属行业依照《中小企业划型标准规定》（工信部联企业〔2011〕300号）及《国民经济行业分类》（GB/T4754-2017）的有关规定执行。</w:t>
      </w:r>
    </w:p>
    <w:p w14:paraId="4B1A085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（3）采购标的对应的中小企业划分标准所属行业：</w:t>
      </w:r>
    </w:p>
    <w:tbl>
      <w:tblPr>
        <w:tblStyle w:val="49"/>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6528"/>
        <w:gridCol w:w="1523"/>
      </w:tblGrid>
      <w:tr w14:paraId="662C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3DF5D11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分包</w:t>
            </w:r>
          </w:p>
        </w:tc>
        <w:tc>
          <w:tcPr>
            <w:tcW w:w="6528" w:type="dxa"/>
            <w:vAlign w:val="center"/>
          </w:tcPr>
          <w:p w14:paraId="6CEF427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cs="宋体"/>
                <w:b w:val="0"/>
                <w:bCs w:val="0"/>
                <w:color w:val="auto"/>
                <w:sz w:val="21"/>
                <w:szCs w:val="21"/>
                <w:highlight w:val="none"/>
                <w:u w:val="none"/>
                <w:vertAlign w:val="baseline"/>
                <w:lang w:val="en-US" w:eastAsia="zh-CN"/>
              </w:rPr>
              <w:t>标的名称（货物</w:t>
            </w:r>
            <w:r>
              <w:rPr>
                <w:rFonts w:hint="eastAsia" w:ascii="宋体" w:hAnsi="宋体" w:eastAsia="宋体" w:cs="宋体"/>
                <w:b w:val="0"/>
                <w:bCs w:val="0"/>
                <w:color w:val="auto"/>
                <w:sz w:val="21"/>
                <w:szCs w:val="21"/>
                <w:highlight w:val="none"/>
                <w:u w:val="none"/>
                <w:vertAlign w:val="baseline"/>
                <w:lang w:val="en-US" w:eastAsia="zh-CN"/>
              </w:rPr>
              <w:t>名称</w:t>
            </w:r>
            <w:r>
              <w:rPr>
                <w:rFonts w:hint="eastAsia" w:ascii="宋体" w:hAnsi="宋体" w:cs="宋体"/>
                <w:b w:val="0"/>
                <w:bCs w:val="0"/>
                <w:color w:val="auto"/>
                <w:sz w:val="21"/>
                <w:szCs w:val="21"/>
                <w:highlight w:val="none"/>
                <w:u w:val="none"/>
                <w:vertAlign w:val="baseline"/>
                <w:lang w:val="en-US" w:eastAsia="zh-CN"/>
              </w:rPr>
              <w:t>）</w:t>
            </w:r>
          </w:p>
        </w:tc>
        <w:tc>
          <w:tcPr>
            <w:tcW w:w="1523" w:type="dxa"/>
            <w:vAlign w:val="center"/>
          </w:tcPr>
          <w:p w14:paraId="0A75BFC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所属行业</w:t>
            </w:r>
          </w:p>
        </w:tc>
      </w:tr>
      <w:tr w14:paraId="710A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Merge w:val="restart"/>
            <w:vAlign w:val="center"/>
          </w:tcPr>
          <w:p w14:paraId="71D96E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分包1</w:t>
            </w:r>
          </w:p>
        </w:tc>
        <w:tc>
          <w:tcPr>
            <w:tcW w:w="6528" w:type="dxa"/>
            <w:vAlign w:val="center"/>
          </w:tcPr>
          <w:p w14:paraId="3C6A3E2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便携式X射线荧光光谱仪</w:t>
            </w:r>
          </w:p>
        </w:tc>
        <w:tc>
          <w:tcPr>
            <w:tcW w:w="1523" w:type="dxa"/>
            <w:vAlign w:val="center"/>
          </w:tcPr>
          <w:p w14:paraId="624B3B3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7B7D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Merge w:val="continue"/>
            <w:vAlign w:val="center"/>
          </w:tcPr>
          <w:p w14:paraId="659B8C5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p>
        </w:tc>
        <w:tc>
          <w:tcPr>
            <w:tcW w:w="6528" w:type="dxa"/>
            <w:vAlign w:val="center"/>
          </w:tcPr>
          <w:p w14:paraId="7D5D159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便携式流速测量仪</w:t>
            </w:r>
          </w:p>
        </w:tc>
        <w:tc>
          <w:tcPr>
            <w:tcW w:w="1523" w:type="dxa"/>
            <w:vAlign w:val="center"/>
          </w:tcPr>
          <w:p w14:paraId="286220D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5C7E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Merge w:val="continue"/>
            <w:vAlign w:val="center"/>
          </w:tcPr>
          <w:p w14:paraId="3B8F939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p>
        </w:tc>
        <w:tc>
          <w:tcPr>
            <w:tcW w:w="6528" w:type="dxa"/>
            <w:vAlign w:val="center"/>
          </w:tcPr>
          <w:p w14:paraId="36EE2DE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便携式测深仪</w:t>
            </w:r>
          </w:p>
        </w:tc>
        <w:tc>
          <w:tcPr>
            <w:tcW w:w="1523" w:type="dxa"/>
            <w:vAlign w:val="center"/>
          </w:tcPr>
          <w:p w14:paraId="7F29B57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044C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1ECF651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分包2</w:t>
            </w:r>
          </w:p>
        </w:tc>
        <w:tc>
          <w:tcPr>
            <w:tcW w:w="6528" w:type="dxa"/>
            <w:vAlign w:val="center"/>
          </w:tcPr>
          <w:p w14:paraId="3AE84F1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多接收电感耦合等离子体质谱仪</w:t>
            </w:r>
          </w:p>
        </w:tc>
        <w:tc>
          <w:tcPr>
            <w:tcW w:w="1523" w:type="dxa"/>
            <w:vAlign w:val="center"/>
          </w:tcPr>
          <w:p w14:paraId="71292F8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70B1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99" w:type="dxa"/>
            <w:vAlign w:val="center"/>
          </w:tcPr>
          <w:p w14:paraId="4036BFE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分包3</w:t>
            </w:r>
          </w:p>
        </w:tc>
        <w:tc>
          <w:tcPr>
            <w:tcW w:w="6528" w:type="dxa"/>
            <w:vAlign w:val="center"/>
          </w:tcPr>
          <w:p w14:paraId="15EE8EF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地下水洗井采样设备</w:t>
            </w:r>
          </w:p>
        </w:tc>
        <w:tc>
          <w:tcPr>
            <w:tcW w:w="1523" w:type="dxa"/>
            <w:vAlign w:val="center"/>
          </w:tcPr>
          <w:p w14:paraId="062B468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3141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668A9BB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分包4</w:t>
            </w:r>
          </w:p>
        </w:tc>
        <w:tc>
          <w:tcPr>
            <w:tcW w:w="6528" w:type="dxa"/>
            <w:vAlign w:val="center"/>
          </w:tcPr>
          <w:p w14:paraId="7368805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三重四极杆电感耦合等离子体质谱仪</w:t>
            </w:r>
          </w:p>
        </w:tc>
        <w:tc>
          <w:tcPr>
            <w:tcW w:w="1523" w:type="dxa"/>
            <w:vAlign w:val="center"/>
          </w:tcPr>
          <w:p w14:paraId="01A4CB5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5FB1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Merge w:val="restart"/>
            <w:vAlign w:val="center"/>
          </w:tcPr>
          <w:p w14:paraId="066ECE2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分包5</w:t>
            </w:r>
          </w:p>
        </w:tc>
        <w:tc>
          <w:tcPr>
            <w:tcW w:w="6528" w:type="dxa"/>
            <w:vAlign w:val="center"/>
          </w:tcPr>
          <w:p w14:paraId="76F48D7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电感耦合等离子体发射光谱仪</w:t>
            </w:r>
          </w:p>
        </w:tc>
        <w:tc>
          <w:tcPr>
            <w:tcW w:w="1523" w:type="dxa"/>
            <w:vAlign w:val="center"/>
          </w:tcPr>
          <w:p w14:paraId="1236C75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3EEA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Merge w:val="continue"/>
            <w:vAlign w:val="center"/>
          </w:tcPr>
          <w:p w14:paraId="7BCA546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p>
        </w:tc>
        <w:tc>
          <w:tcPr>
            <w:tcW w:w="6528" w:type="dxa"/>
            <w:vAlign w:val="center"/>
          </w:tcPr>
          <w:p w14:paraId="12A8328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电感耦合等离子体质谱仪</w:t>
            </w:r>
          </w:p>
        </w:tc>
        <w:tc>
          <w:tcPr>
            <w:tcW w:w="1523" w:type="dxa"/>
            <w:vAlign w:val="center"/>
          </w:tcPr>
          <w:p w14:paraId="7407F65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33B2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Merge w:val="continue"/>
            <w:vAlign w:val="center"/>
          </w:tcPr>
          <w:p w14:paraId="1185DC5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p>
        </w:tc>
        <w:tc>
          <w:tcPr>
            <w:tcW w:w="6528" w:type="dxa"/>
            <w:vAlign w:val="center"/>
          </w:tcPr>
          <w:p w14:paraId="06F22AE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原子吸收光谱仪</w:t>
            </w:r>
          </w:p>
        </w:tc>
        <w:tc>
          <w:tcPr>
            <w:tcW w:w="1523" w:type="dxa"/>
            <w:vAlign w:val="center"/>
          </w:tcPr>
          <w:p w14:paraId="4A41E18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255D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Merge w:val="continue"/>
            <w:vAlign w:val="center"/>
          </w:tcPr>
          <w:p w14:paraId="5B6F8BB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p>
        </w:tc>
        <w:tc>
          <w:tcPr>
            <w:tcW w:w="6528" w:type="dxa"/>
            <w:vAlign w:val="center"/>
          </w:tcPr>
          <w:p w14:paraId="5CD19CE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超级微波消解仪</w:t>
            </w:r>
          </w:p>
        </w:tc>
        <w:tc>
          <w:tcPr>
            <w:tcW w:w="1523" w:type="dxa"/>
            <w:vAlign w:val="center"/>
          </w:tcPr>
          <w:p w14:paraId="588E9C2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r w14:paraId="5042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4596DEE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分包6</w:t>
            </w:r>
          </w:p>
        </w:tc>
        <w:tc>
          <w:tcPr>
            <w:tcW w:w="6528" w:type="dxa"/>
            <w:vAlign w:val="center"/>
          </w:tcPr>
          <w:p w14:paraId="272A9D9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遥感影像接收处理工作站</w:t>
            </w:r>
          </w:p>
        </w:tc>
        <w:tc>
          <w:tcPr>
            <w:tcW w:w="1523" w:type="dxa"/>
            <w:vAlign w:val="center"/>
          </w:tcPr>
          <w:p w14:paraId="4CEDAED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工业</w:t>
            </w:r>
          </w:p>
        </w:tc>
      </w:tr>
    </w:tbl>
    <w:p w14:paraId="044B81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kern w:val="2"/>
          <w:sz w:val="21"/>
          <w:szCs w:val="21"/>
          <w:highlight w:val="none"/>
          <w:u w:val="none"/>
          <w:lang w:val="en-US" w:eastAsia="zh-CN" w:bidi="ar-SA"/>
        </w:rPr>
        <w:t>（</w:t>
      </w:r>
      <w:r>
        <w:rPr>
          <w:rFonts w:hint="eastAsia" w:ascii="宋体" w:hAnsi="宋体" w:cs="宋体"/>
          <w:b w:val="0"/>
          <w:bCs w:val="0"/>
          <w:color w:val="auto"/>
          <w:kern w:val="2"/>
          <w:sz w:val="21"/>
          <w:szCs w:val="21"/>
          <w:highlight w:val="none"/>
          <w:u w:val="none"/>
          <w:lang w:val="en-US" w:eastAsia="zh-CN" w:bidi="ar-SA"/>
        </w:rPr>
        <w:t>4</w:t>
      </w:r>
      <w:r>
        <w:rPr>
          <w:rFonts w:hint="eastAsia" w:ascii="宋体" w:hAnsi="宋体" w:eastAsia="宋体" w:cs="宋体"/>
          <w:b w:val="0"/>
          <w:bCs w:val="0"/>
          <w:color w:val="auto"/>
          <w:kern w:val="2"/>
          <w:sz w:val="21"/>
          <w:szCs w:val="21"/>
          <w:highlight w:val="none"/>
          <w:u w:val="none"/>
          <w:lang w:val="en-US" w:eastAsia="zh-CN" w:bidi="ar-SA"/>
        </w:rPr>
        <w:t>）</w:t>
      </w:r>
      <w:r>
        <w:rPr>
          <w:rFonts w:hint="eastAsia" w:ascii="宋体" w:hAnsi="宋体" w:eastAsia="宋体" w:cs="宋体"/>
          <w:b w:val="0"/>
          <w:bCs w:val="0"/>
          <w:color w:val="auto"/>
          <w:sz w:val="21"/>
          <w:szCs w:val="21"/>
          <w:highlight w:val="none"/>
          <w:u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投标货物必须使用政府强制采购的节能产品，否则投标文件作无效处理；属于品目清单内非标注“★”的产品时，应优先采购。详见本章后附的节能产品政府采购品目清单</w:t>
      </w:r>
      <w:r>
        <w:rPr>
          <w:rFonts w:hint="eastAsia" w:ascii="宋体" w:hAnsi="宋体" w:eastAsia="宋体" w:cs="宋体"/>
          <w:b w:val="0"/>
          <w:bCs w:val="0"/>
          <w:color w:val="auto"/>
          <w:sz w:val="21"/>
          <w:szCs w:val="21"/>
          <w:highlight w:val="none"/>
          <w:u w:val="none"/>
          <w:lang w:eastAsia="zh-CN"/>
        </w:rPr>
        <w:t>。</w:t>
      </w:r>
    </w:p>
    <w:p w14:paraId="5FA0F99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cs="宋体"/>
          <w:b w:val="0"/>
          <w:bCs w:val="0"/>
          <w:color w:val="auto"/>
          <w:kern w:val="2"/>
          <w:sz w:val="21"/>
          <w:szCs w:val="21"/>
          <w:highlight w:val="none"/>
          <w:u w:val="none"/>
          <w:lang w:val="en-US" w:eastAsia="zh-CN" w:bidi="ar-SA"/>
        </w:rPr>
        <w:t>（5）</w:t>
      </w:r>
      <w:r>
        <w:rPr>
          <w:rFonts w:hint="eastAsia" w:ascii="宋体" w:hAnsi="宋体" w:eastAsia="宋体" w:cs="宋体"/>
          <w:b w:val="0"/>
          <w:bCs w:val="0"/>
          <w:color w:val="auto"/>
          <w:kern w:val="2"/>
          <w:sz w:val="21"/>
          <w:szCs w:val="21"/>
          <w:highlight w:val="none"/>
          <w:u w:val="none"/>
          <w:lang w:val="en-US" w:eastAsia="zh-CN" w:bidi="ar-SA"/>
        </w:rPr>
        <w:t>根据《关于调整网络安全专用产品安全管理有关事项的公告》（2023年</w:t>
      </w:r>
      <w:r>
        <w:rPr>
          <w:rFonts w:hint="eastAsia" w:ascii="宋体" w:hAnsi="宋体" w:cs="宋体"/>
          <w:b w:val="0"/>
          <w:bCs w:val="0"/>
          <w:color w:val="auto"/>
          <w:kern w:val="2"/>
          <w:sz w:val="21"/>
          <w:szCs w:val="21"/>
          <w:highlight w:val="none"/>
          <w:u w:val="none"/>
          <w:lang w:val="en-US" w:eastAsia="zh-CN" w:bidi="ar-SA"/>
        </w:rPr>
        <w:t>第</w:t>
      </w:r>
      <w:r>
        <w:rPr>
          <w:rFonts w:hint="eastAsia" w:ascii="宋体" w:hAnsi="宋体" w:eastAsia="宋体" w:cs="宋体"/>
          <w:b w:val="0"/>
          <w:bCs w:val="0"/>
          <w:color w:val="auto"/>
          <w:kern w:val="2"/>
          <w:sz w:val="21"/>
          <w:szCs w:val="21"/>
          <w:highlight w:val="none"/>
          <w:u w:val="none"/>
          <w:lang w:val="en-US" w:eastAsia="zh-CN" w:bidi="ar-SA"/>
        </w:rPr>
        <w:t>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t>
      </w:r>
      <w:r>
        <w:rPr>
          <w:rFonts w:hint="eastAsia" w:ascii="宋体" w:hAnsi="宋体" w:cs="宋体"/>
          <w:b w:val="0"/>
          <w:bCs w:val="0"/>
          <w:color w:val="auto"/>
          <w:kern w:val="2"/>
          <w:sz w:val="21"/>
          <w:szCs w:val="21"/>
          <w:highlight w:val="none"/>
          <w:u w:val="none"/>
          <w:lang w:val="en-US" w:eastAsia="zh-CN" w:bidi="ar-SA"/>
        </w:rPr>
        <w:t>：</w:t>
      </w:r>
      <w:r>
        <w:rPr>
          <w:rFonts w:hint="eastAsia" w:ascii="宋体" w:hAnsi="宋体" w:eastAsia="宋体" w:cs="宋体"/>
          <w:b w:val="0"/>
          <w:bCs w:val="0"/>
          <w:color w:val="auto"/>
          <w:kern w:val="2"/>
          <w:sz w:val="21"/>
          <w:szCs w:val="21"/>
          <w:highlight w:val="none"/>
          <w:u w:val="none"/>
          <w:lang w:val="en-US" w:eastAsia="zh-CN" w:bidi="ar-SA"/>
        </w:rPr>
        <w:t>//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按无效投标处理。如属于《网络关键设备和网络安全专用产品目录》中“二、网络安全专用产品”内“产品类别”中的所描述的产品，但不属于所列“产品描述”情形的，应提供相应的说明及证明材料。</w:t>
      </w:r>
    </w:p>
    <w:p w14:paraId="2720B42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kern w:val="2"/>
          <w:sz w:val="21"/>
          <w:szCs w:val="21"/>
          <w:highlight w:val="none"/>
          <w:u w:val="none"/>
          <w:lang w:val="en-US" w:eastAsia="zh-CN" w:bidi="ar-SA"/>
        </w:rPr>
        <w:t>2.采购需求中如出现品牌、型号或者生产厂家等均仅起参考作用，不属于指定品牌、型号或者生产厂家的情形，投标人可参照或者选用其他相当的品牌、型号或者生产供应商替代。</w:t>
      </w:r>
    </w:p>
    <w:p w14:paraId="5A602F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kern w:val="2"/>
          <w:sz w:val="21"/>
          <w:szCs w:val="21"/>
          <w:highlight w:val="none"/>
          <w:u w:val="none"/>
          <w:lang w:val="en-US" w:eastAsia="zh-CN" w:bidi="ar-SA"/>
        </w:rPr>
        <w:t>3.如投标人投标产品存在侵犯他人的知识产权或者专利成果行为的，由投标人自行承担相应法律责任。</w:t>
      </w:r>
    </w:p>
    <w:p w14:paraId="61E7B6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z w:val="21"/>
          <w:szCs w:val="21"/>
          <w:highlight w:val="none"/>
          <w:u w:val="none"/>
        </w:rPr>
      </w:pPr>
      <w:r>
        <w:rPr>
          <w:rFonts w:hint="eastAsia" w:ascii="宋体" w:hAnsi="宋体" w:cs="宋体"/>
          <w:b w:val="0"/>
          <w:bCs w:val="0"/>
          <w:color w:val="auto"/>
          <w:sz w:val="21"/>
          <w:szCs w:val="21"/>
          <w:highlight w:val="none"/>
          <w:u w:val="none"/>
          <w:lang w:val="en-US" w:eastAsia="zh-CN"/>
        </w:rPr>
        <w:t>4.</w:t>
      </w:r>
      <w:r>
        <w:rPr>
          <w:rFonts w:hint="eastAsia" w:ascii="宋体" w:hAnsi="宋体" w:eastAsia="宋体" w:cs="宋体"/>
          <w:b w:val="0"/>
          <w:bCs w:val="0"/>
          <w:color w:val="auto"/>
          <w:sz w:val="21"/>
          <w:szCs w:val="21"/>
          <w:highlight w:val="none"/>
          <w:u w:val="none"/>
        </w:rPr>
        <w:t>“实质性要求”是指招标文件中已经指明不满足则投标无效的条款，或者不能负偏离的条款，或者采购需求中带“▲”的条款。</w:t>
      </w:r>
    </w:p>
    <w:p w14:paraId="54C5038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（1）本采购需求中凡标注“▲”的条款或要求不响应或不满足的，投标文件即作无效处理。</w:t>
      </w:r>
    </w:p>
    <w:p w14:paraId="43E9103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（2）“技术要求”中</w:t>
      </w:r>
      <w:r>
        <w:rPr>
          <w:rFonts w:hint="eastAsia" w:ascii="宋体" w:hAnsi="宋体" w:eastAsia="宋体" w:cs="宋体"/>
          <w:b w:val="0"/>
          <w:bCs w:val="0"/>
          <w:color w:val="auto"/>
          <w:sz w:val="21"/>
          <w:szCs w:val="21"/>
          <w:highlight w:val="none"/>
          <w:u w:val="none"/>
          <w:lang w:val="en-US" w:eastAsia="zh-CN"/>
        </w:rPr>
        <w:t>未</w:t>
      </w:r>
      <w:r>
        <w:rPr>
          <w:rFonts w:hint="eastAsia" w:ascii="宋体" w:hAnsi="宋体" w:eastAsia="宋体" w:cs="宋体"/>
          <w:b w:val="0"/>
          <w:bCs w:val="0"/>
          <w:color w:val="auto"/>
          <w:sz w:val="21"/>
          <w:szCs w:val="21"/>
          <w:highlight w:val="none"/>
          <w:u w:val="none"/>
        </w:rPr>
        <w:t>标注“▲”的条款或要求仅作为评审依据进行考核，具体见本招标文件第四章。</w:t>
      </w:r>
    </w:p>
    <w:p w14:paraId="1245EF1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kern w:val="2"/>
          <w:sz w:val="21"/>
          <w:szCs w:val="21"/>
          <w:highlight w:val="none"/>
          <w:u w:val="none"/>
          <w:lang w:val="en-US" w:eastAsia="zh-CN"/>
        </w:rPr>
        <w:t>5.本项目采购需求中要求提供的证明文件材料或承诺书的，请在《技术要求偏离表》或《商务要求偏离表》中应答时，注明相关文件材料或承诺书放置的页码。</w:t>
      </w:r>
    </w:p>
    <w:p w14:paraId="2946735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2" w:firstLineChars="200"/>
        <w:jc w:val="both"/>
        <w:textAlignment w:val="auto"/>
        <w:outlineLvl w:val="9"/>
        <w:rPr>
          <w:rFonts w:hint="eastAsia" w:ascii="宋体" w:hAnsi="宋体" w:eastAsia="宋体" w:cs="宋体"/>
          <w:b/>
          <w:bCs/>
          <w:color w:val="auto"/>
          <w:sz w:val="21"/>
          <w:szCs w:val="21"/>
          <w:highlight w:val="none"/>
          <w:u w:val="none"/>
        </w:rPr>
      </w:pPr>
      <w:r>
        <w:rPr>
          <w:rFonts w:hint="eastAsia" w:ascii="宋体" w:hAnsi="宋体" w:eastAsia="宋体" w:cs="宋体"/>
          <w:b/>
          <w:bCs/>
          <w:color w:val="auto"/>
          <w:kern w:val="2"/>
          <w:sz w:val="21"/>
          <w:szCs w:val="21"/>
          <w:highlight w:val="none"/>
          <w:u w:val="none"/>
          <w:lang w:val="en-US" w:eastAsia="zh-CN"/>
        </w:rPr>
        <w:t>6.投标人对所投产品的技术指标应做到真实响应，如发现有虚假应标情形的，除投标无效外，还将报财政监管部门处理。投标人提供假冒伪劣产品的，将依照政府采购法第七十七条第一款的规定追究法律责任。</w:t>
      </w:r>
    </w:p>
    <w:p w14:paraId="5EE72F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宋体" w:hAnsi="宋体" w:eastAsia="宋体" w:cs="宋体"/>
          <w:b w:val="0"/>
          <w:bCs w:val="0"/>
          <w:color w:val="auto"/>
          <w:kern w:val="2"/>
          <w:sz w:val="21"/>
          <w:szCs w:val="21"/>
          <w:highlight w:val="none"/>
          <w:u w:val="none"/>
          <w:lang w:val="en-US" w:eastAsia="zh-CN"/>
        </w:rPr>
      </w:pPr>
      <w:bookmarkStart w:id="88" w:name="_Toc23682"/>
      <w:bookmarkStart w:id="89" w:name="_Toc5156"/>
      <w:r>
        <w:rPr>
          <w:rFonts w:hint="eastAsia" w:ascii="宋体" w:hAnsi="宋体" w:cs="宋体"/>
          <w:b w:val="0"/>
          <w:bCs w:val="0"/>
          <w:color w:val="auto"/>
          <w:kern w:val="2"/>
          <w:sz w:val="21"/>
          <w:szCs w:val="21"/>
          <w:highlight w:val="none"/>
          <w:u w:val="none"/>
          <w:lang w:val="en-US" w:eastAsia="zh-CN"/>
        </w:rPr>
        <w:t>7</w:t>
      </w:r>
      <w:r>
        <w:rPr>
          <w:rFonts w:hint="eastAsia" w:ascii="宋体" w:hAnsi="宋体" w:eastAsia="宋体" w:cs="宋体"/>
          <w:b w:val="0"/>
          <w:bCs w:val="0"/>
          <w:color w:val="auto"/>
          <w:kern w:val="2"/>
          <w:sz w:val="21"/>
          <w:szCs w:val="21"/>
          <w:highlight w:val="none"/>
          <w:u w:val="none"/>
          <w:lang w:val="en-US" w:eastAsia="zh-CN"/>
        </w:rPr>
        <w:t>.采购需求中涉及的国家标准规范如有最新版的按最新版执行。</w:t>
      </w:r>
      <w:bookmarkEnd w:id="88"/>
      <w:bookmarkEnd w:id="89"/>
      <w:r>
        <w:rPr>
          <w:rFonts w:hint="eastAsia" w:ascii="宋体" w:hAnsi="宋体" w:eastAsia="宋体" w:cs="宋体"/>
          <w:b w:val="0"/>
          <w:bCs w:val="0"/>
          <w:color w:val="auto"/>
          <w:kern w:val="2"/>
          <w:sz w:val="21"/>
          <w:szCs w:val="21"/>
          <w:highlight w:val="none"/>
          <w:u w:val="none"/>
          <w:lang w:val="en-US" w:eastAsia="zh-CN"/>
        </w:rPr>
        <w:t>所投产品如国家有强制性规定的，必须满足该强制性规定，否则其投标无效。中标后如发现产品不满足国家强制性规定，采购人有权取消其中标资格并追究其法律责任。</w:t>
      </w:r>
    </w:p>
    <w:p w14:paraId="67175F8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2"/>
          <w:sz w:val="21"/>
          <w:szCs w:val="21"/>
          <w:highlight w:val="none"/>
          <w:u w:val="none"/>
          <w:lang w:val="en-US" w:eastAsia="zh-CN"/>
        </w:rPr>
      </w:pPr>
      <w:r>
        <w:rPr>
          <w:rFonts w:hint="eastAsia" w:ascii="宋体" w:hAnsi="宋体" w:cs="宋体"/>
          <w:b w:val="0"/>
          <w:bCs w:val="0"/>
          <w:color w:val="auto"/>
          <w:kern w:val="2"/>
          <w:sz w:val="21"/>
          <w:szCs w:val="21"/>
          <w:highlight w:val="none"/>
          <w:u w:val="none"/>
          <w:lang w:val="en-US" w:eastAsia="zh-CN"/>
        </w:rPr>
        <w:t>8</w:t>
      </w:r>
      <w:r>
        <w:rPr>
          <w:rFonts w:hint="eastAsia" w:ascii="宋体" w:hAnsi="宋体" w:eastAsia="宋体" w:cs="宋体"/>
          <w:b w:val="0"/>
          <w:bCs w:val="0"/>
          <w:color w:val="auto"/>
          <w:kern w:val="2"/>
          <w:sz w:val="21"/>
          <w:szCs w:val="21"/>
          <w:highlight w:val="none"/>
          <w:u w:val="none"/>
          <w:lang w:val="en-US" w:eastAsia="zh-CN"/>
        </w:rPr>
        <w:t>.核心产品</w:t>
      </w:r>
    </w:p>
    <w:p w14:paraId="09089BE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kern w:val="2"/>
          <w:sz w:val="21"/>
          <w:szCs w:val="21"/>
          <w:highlight w:val="none"/>
          <w:u w:val="none"/>
          <w:lang w:val="en-US" w:eastAsia="zh-CN"/>
        </w:rPr>
        <w:t>（1）标项一（分包1）为非单一产品采购</w:t>
      </w:r>
      <w:r>
        <w:rPr>
          <w:rFonts w:hint="eastAsia" w:ascii="宋体" w:hAnsi="宋体" w:cs="宋体"/>
          <w:b w:val="0"/>
          <w:bCs w:val="0"/>
          <w:color w:val="auto"/>
          <w:kern w:val="2"/>
          <w:sz w:val="21"/>
          <w:szCs w:val="21"/>
          <w:highlight w:val="none"/>
          <w:u w:val="none"/>
          <w:lang w:val="en-US" w:eastAsia="zh-CN"/>
        </w:rPr>
        <w:t>标项</w:t>
      </w:r>
      <w:r>
        <w:rPr>
          <w:rFonts w:hint="eastAsia" w:ascii="宋体" w:hAnsi="宋体" w:eastAsia="宋体" w:cs="宋体"/>
          <w:b w:val="0"/>
          <w:bCs w:val="0"/>
          <w:color w:val="auto"/>
          <w:kern w:val="2"/>
          <w:sz w:val="21"/>
          <w:szCs w:val="21"/>
          <w:highlight w:val="none"/>
          <w:u w:val="none"/>
          <w:lang w:val="en-US" w:eastAsia="zh-CN"/>
        </w:rPr>
        <w:t>，核心产品：便携式X射线荧光光谱仪；</w:t>
      </w:r>
    </w:p>
    <w:p w14:paraId="26A0C3D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kern w:val="2"/>
          <w:sz w:val="21"/>
          <w:szCs w:val="21"/>
          <w:highlight w:val="none"/>
          <w:u w:val="none"/>
          <w:lang w:val="en-US" w:eastAsia="zh-CN"/>
        </w:rPr>
        <w:t>（2）标项二（分包2）为单一产品采购</w:t>
      </w:r>
      <w:r>
        <w:rPr>
          <w:rFonts w:hint="eastAsia" w:ascii="宋体" w:hAnsi="宋体" w:cs="宋体"/>
          <w:b w:val="0"/>
          <w:bCs w:val="0"/>
          <w:color w:val="auto"/>
          <w:kern w:val="2"/>
          <w:sz w:val="21"/>
          <w:szCs w:val="21"/>
          <w:highlight w:val="none"/>
          <w:u w:val="none"/>
          <w:lang w:val="en-US" w:eastAsia="zh-CN"/>
        </w:rPr>
        <w:t>标项，</w:t>
      </w:r>
      <w:r>
        <w:rPr>
          <w:rFonts w:hint="eastAsia" w:ascii="宋体" w:hAnsi="宋体" w:eastAsia="宋体" w:cs="宋体"/>
          <w:b w:val="0"/>
          <w:bCs w:val="0"/>
          <w:color w:val="auto"/>
          <w:kern w:val="2"/>
          <w:sz w:val="21"/>
          <w:szCs w:val="21"/>
          <w:highlight w:val="none"/>
          <w:u w:val="none"/>
          <w:lang w:val="en-US" w:eastAsia="zh-CN"/>
        </w:rPr>
        <w:t>单一产品：多接收电感耦合等离子体质谱仪；</w:t>
      </w:r>
    </w:p>
    <w:p w14:paraId="254D434C">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kern w:val="2"/>
          <w:sz w:val="21"/>
          <w:szCs w:val="21"/>
          <w:highlight w:val="none"/>
          <w:u w:val="none"/>
          <w:lang w:val="en-US" w:eastAsia="zh-CN"/>
        </w:rPr>
        <w:t>（3）标项三（分包3）为单一产品采购</w:t>
      </w:r>
      <w:r>
        <w:rPr>
          <w:rFonts w:hint="eastAsia" w:ascii="宋体" w:hAnsi="宋体" w:cs="宋体"/>
          <w:b w:val="0"/>
          <w:bCs w:val="0"/>
          <w:color w:val="auto"/>
          <w:kern w:val="2"/>
          <w:sz w:val="21"/>
          <w:szCs w:val="21"/>
          <w:highlight w:val="none"/>
          <w:u w:val="none"/>
          <w:lang w:val="en-US" w:eastAsia="zh-CN"/>
        </w:rPr>
        <w:t>标项，</w:t>
      </w:r>
      <w:r>
        <w:rPr>
          <w:rFonts w:hint="eastAsia" w:ascii="宋体" w:hAnsi="宋体" w:eastAsia="宋体" w:cs="宋体"/>
          <w:b w:val="0"/>
          <w:bCs w:val="0"/>
          <w:color w:val="auto"/>
          <w:kern w:val="2"/>
          <w:sz w:val="21"/>
          <w:szCs w:val="21"/>
          <w:highlight w:val="none"/>
          <w:u w:val="none"/>
          <w:lang w:val="en-US" w:eastAsia="zh-CN"/>
        </w:rPr>
        <w:t>单一产品：地下水洗井采样设备；</w:t>
      </w:r>
    </w:p>
    <w:p w14:paraId="64E9707B">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eastAsia"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kern w:val="2"/>
          <w:sz w:val="21"/>
          <w:szCs w:val="21"/>
          <w:highlight w:val="none"/>
          <w:u w:val="none"/>
          <w:lang w:val="en-US" w:eastAsia="zh-CN"/>
        </w:rPr>
        <w:t>（4）标项四（分包4）为单一产品采购</w:t>
      </w:r>
      <w:r>
        <w:rPr>
          <w:rFonts w:hint="eastAsia" w:ascii="宋体" w:hAnsi="宋体" w:cs="宋体"/>
          <w:b w:val="0"/>
          <w:bCs w:val="0"/>
          <w:color w:val="auto"/>
          <w:kern w:val="2"/>
          <w:sz w:val="21"/>
          <w:szCs w:val="21"/>
          <w:highlight w:val="none"/>
          <w:u w:val="none"/>
          <w:lang w:val="en-US" w:eastAsia="zh-CN"/>
        </w:rPr>
        <w:t>标项，</w:t>
      </w:r>
      <w:r>
        <w:rPr>
          <w:rFonts w:hint="eastAsia" w:ascii="宋体" w:hAnsi="宋体" w:eastAsia="宋体" w:cs="宋体"/>
          <w:b w:val="0"/>
          <w:bCs w:val="0"/>
          <w:color w:val="auto"/>
          <w:kern w:val="2"/>
          <w:sz w:val="21"/>
          <w:szCs w:val="21"/>
          <w:highlight w:val="none"/>
          <w:u w:val="none"/>
          <w:lang w:val="en-US" w:eastAsia="zh-CN"/>
        </w:rPr>
        <w:t>单一产品：三重四极杆电感耦合等离子体质谱仪；</w:t>
      </w:r>
    </w:p>
    <w:p w14:paraId="5D7C81A2">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eastAsia"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kern w:val="2"/>
          <w:sz w:val="21"/>
          <w:szCs w:val="21"/>
          <w:highlight w:val="none"/>
          <w:u w:val="none"/>
          <w:lang w:val="en-US" w:eastAsia="zh-CN"/>
        </w:rPr>
        <w:t>（5）标项五（分包5）为非单一产品采购</w:t>
      </w:r>
      <w:r>
        <w:rPr>
          <w:rFonts w:hint="eastAsia" w:ascii="宋体" w:hAnsi="宋体" w:cs="宋体"/>
          <w:b w:val="0"/>
          <w:bCs w:val="0"/>
          <w:color w:val="auto"/>
          <w:kern w:val="2"/>
          <w:sz w:val="21"/>
          <w:szCs w:val="21"/>
          <w:highlight w:val="none"/>
          <w:u w:val="none"/>
          <w:lang w:val="en-US" w:eastAsia="zh-CN"/>
        </w:rPr>
        <w:t>标项</w:t>
      </w:r>
      <w:r>
        <w:rPr>
          <w:rFonts w:hint="eastAsia" w:ascii="宋体" w:hAnsi="宋体" w:eastAsia="宋体" w:cs="宋体"/>
          <w:b w:val="0"/>
          <w:bCs w:val="0"/>
          <w:color w:val="auto"/>
          <w:kern w:val="2"/>
          <w:sz w:val="21"/>
          <w:szCs w:val="21"/>
          <w:highlight w:val="none"/>
          <w:u w:val="none"/>
          <w:lang w:val="en-US" w:eastAsia="zh-CN"/>
        </w:rPr>
        <w:t>，核心产品：电感耦合等离子体发射光谱仪；</w:t>
      </w:r>
    </w:p>
    <w:p w14:paraId="7D59E375">
      <w:pPr>
        <w:keepNext w:val="0"/>
        <w:keepLines w:val="0"/>
        <w:pageBreakBefore w:val="0"/>
        <w:widowControl w:val="0"/>
        <w:kinsoku/>
        <w:wordWrap/>
        <w:overflowPunct/>
        <w:topLinePunct w:val="0"/>
        <w:autoSpaceDE/>
        <w:autoSpaceDN/>
        <w:bidi w:val="0"/>
        <w:adjustRightInd/>
        <w:snapToGrid/>
        <w:spacing w:line="400" w:lineRule="exact"/>
        <w:ind w:left="210" w:leftChars="100" w:right="0" w:rightChars="0" w:firstLine="210" w:firstLineChars="100"/>
        <w:jc w:val="both"/>
        <w:textAlignment w:val="auto"/>
        <w:outlineLvl w:val="9"/>
        <w:rPr>
          <w:rFonts w:hint="eastAsia"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kern w:val="2"/>
          <w:sz w:val="21"/>
          <w:szCs w:val="21"/>
          <w:highlight w:val="none"/>
          <w:u w:val="none"/>
          <w:lang w:val="en-US" w:eastAsia="zh-CN"/>
        </w:rPr>
        <w:t>（6）标项六（分包6）为单一产品采购</w:t>
      </w:r>
      <w:r>
        <w:rPr>
          <w:rFonts w:hint="eastAsia" w:ascii="宋体" w:hAnsi="宋体" w:cs="宋体"/>
          <w:b w:val="0"/>
          <w:bCs w:val="0"/>
          <w:color w:val="auto"/>
          <w:kern w:val="2"/>
          <w:sz w:val="21"/>
          <w:szCs w:val="21"/>
          <w:highlight w:val="none"/>
          <w:u w:val="none"/>
          <w:lang w:val="en-US" w:eastAsia="zh-CN"/>
        </w:rPr>
        <w:t>标项，</w:t>
      </w:r>
      <w:r>
        <w:rPr>
          <w:rFonts w:hint="eastAsia" w:ascii="宋体" w:hAnsi="宋体" w:eastAsia="宋体" w:cs="宋体"/>
          <w:b w:val="0"/>
          <w:bCs w:val="0"/>
          <w:color w:val="auto"/>
          <w:kern w:val="2"/>
          <w:sz w:val="21"/>
          <w:szCs w:val="21"/>
          <w:highlight w:val="none"/>
          <w:u w:val="none"/>
          <w:lang w:val="en-US" w:eastAsia="zh-CN"/>
        </w:rPr>
        <w:t>单一产品：遥感影像接收处理工作站。</w:t>
      </w:r>
    </w:p>
    <w:p w14:paraId="41D3082B">
      <w:pPr>
        <w:keepNext w:val="0"/>
        <w:keepLines w:val="0"/>
        <w:pageBreakBefore w:val="0"/>
        <w:widowControl w:val="0"/>
        <w:kinsoku/>
        <w:wordWrap/>
        <w:overflowPunct/>
        <w:topLinePunct w:val="0"/>
        <w:autoSpaceDE/>
        <w:autoSpaceDN/>
        <w:bidi w:val="0"/>
        <w:adjustRightInd/>
        <w:snapToGrid/>
        <w:spacing w:line="400" w:lineRule="exact"/>
        <w:ind w:left="210" w:leftChars="100" w:right="0" w:rightChars="0" w:firstLine="210" w:firstLineChars="100"/>
        <w:jc w:val="both"/>
        <w:textAlignment w:val="auto"/>
        <w:outlineLvl w:val="9"/>
        <w:rPr>
          <w:rFonts w:hint="default"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kern w:val="2"/>
          <w:sz w:val="21"/>
          <w:szCs w:val="21"/>
          <w:highlight w:val="none"/>
          <w:u w:val="none"/>
          <w:lang w:val="en-US" w:eastAsia="zh-CN"/>
        </w:rPr>
        <w:t>9.是否接受进口产品参与投标情况</w:t>
      </w:r>
    </w:p>
    <w:p w14:paraId="745366D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kern w:val="2"/>
          <w:sz w:val="21"/>
          <w:szCs w:val="21"/>
          <w:highlight w:val="none"/>
          <w:u w:val="none"/>
          <w:lang w:val="en-US" w:eastAsia="zh-CN"/>
        </w:rPr>
        <w:t>（1）标项一（分包1）：本分标不接受进口产品（即通过中国海关报关验放进入中国境内且产自关境外的产品）参与投标，如有此类产品参与投标的做无效标处理。</w:t>
      </w:r>
    </w:p>
    <w:p w14:paraId="67355DC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kern w:val="2"/>
          <w:sz w:val="21"/>
          <w:szCs w:val="21"/>
          <w:highlight w:val="none"/>
          <w:u w:val="none"/>
          <w:lang w:val="en-US" w:eastAsia="zh-CN"/>
        </w:rPr>
        <w:t>（2）标项二（分包2）：本分标接受进口产品（即通过中国海关报关验放进入中国境内且产自关境外的产品）参与投标</w:t>
      </w:r>
      <w:r>
        <w:rPr>
          <w:rFonts w:hint="eastAsia" w:ascii="宋体" w:hAnsi="宋体" w:cs="宋体"/>
          <w:b w:val="0"/>
          <w:bCs w:val="0"/>
          <w:color w:val="auto"/>
          <w:kern w:val="2"/>
          <w:sz w:val="21"/>
          <w:szCs w:val="21"/>
          <w:highlight w:val="none"/>
          <w:u w:val="none"/>
          <w:lang w:val="en-US" w:eastAsia="zh-CN"/>
        </w:rPr>
        <w:t>。</w:t>
      </w:r>
    </w:p>
    <w:p w14:paraId="6DBE7CD2">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kern w:val="2"/>
          <w:sz w:val="21"/>
          <w:szCs w:val="21"/>
          <w:highlight w:val="none"/>
          <w:u w:val="none"/>
          <w:lang w:val="en-US" w:eastAsia="zh-CN"/>
        </w:rPr>
        <w:t>（3）标项三（分包3）：本分标不接受进口产品（即通过中国海关报关验放进入中国境内且产自关境外的产品）参与投标，如有此类产品参与投标的做无效标处理</w:t>
      </w:r>
      <w:r>
        <w:rPr>
          <w:rFonts w:hint="eastAsia" w:ascii="宋体" w:hAnsi="宋体" w:cs="宋体"/>
          <w:b w:val="0"/>
          <w:bCs w:val="0"/>
          <w:color w:val="auto"/>
          <w:kern w:val="2"/>
          <w:sz w:val="21"/>
          <w:szCs w:val="21"/>
          <w:highlight w:val="none"/>
          <w:u w:val="none"/>
          <w:lang w:val="en-US" w:eastAsia="zh-CN"/>
        </w:rPr>
        <w:t>。</w:t>
      </w:r>
    </w:p>
    <w:p w14:paraId="4A900B0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kern w:val="2"/>
          <w:sz w:val="21"/>
          <w:szCs w:val="21"/>
          <w:highlight w:val="none"/>
          <w:u w:val="none"/>
          <w:lang w:val="en-US" w:eastAsia="zh-CN"/>
        </w:rPr>
        <w:t>（4）标项四（分包4）：本分标接受进口产品（即通过中国海关报关验放进入中国境内且产自关境外的产品）参与投标</w:t>
      </w:r>
      <w:r>
        <w:rPr>
          <w:rFonts w:hint="eastAsia" w:ascii="宋体" w:hAnsi="宋体" w:cs="宋体"/>
          <w:b w:val="0"/>
          <w:bCs w:val="0"/>
          <w:color w:val="auto"/>
          <w:kern w:val="2"/>
          <w:sz w:val="21"/>
          <w:szCs w:val="21"/>
          <w:highlight w:val="none"/>
          <w:u w:val="none"/>
          <w:lang w:val="en-US" w:eastAsia="zh-CN"/>
        </w:rPr>
        <w:t>。</w:t>
      </w:r>
    </w:p>
    <w:p w14:paraId="6412BB69">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eastAsia"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kern w:val="2"/>
          <w:sz w:val="21"/>
          <w:szCs w:val="21"/>
          <w:highlight w:val="none"/>
          <w:u w:val="none"/>
          <w:lang w:val="en-US" w:eastAsia="zh-CN"/>
        </w:rPr>
        <w:t>（5）标项五（分包5）：本分标不接受进口产品（即通过中国海关报关验放进入中国境内且产自关境外的产品）参与投标，如有此类产品参与投标的做无效标处理</w:t>
      </w:r>
      <w:r>
        <w:rPr>
          <w:rFonts w:hint="eastAsia" w:ascii="宋体" w:hAnsi="宋体" w:cs="宋体"/>
          <w:b w:val="0"/>
          <w:bCs w:val="0"/>
          <w:color w:val="auto"/>
          <w:kern w:val="2"/>
          <w:sz w:val="21"/>
          <w:szCs w:val="21"/>
          <w:highlight w:val="none"/>
          <w:u w:val="none"/>
          <w:lang w:val="en-US" w:eastAsia="zh-CN"/>
        </w:rPr>
        <w:t>。</w:t>
      </w:r>
    </w:p>
    <w:p w14:paraId="07F3228B">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eastAsia"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kern w:val="2"/>
          <w:sz w:val="21"/>
          <w:szCs w:val="21"/>
          <w:highlight w:val="none"/>
          <w:u w:val="none"/>
          <w:lang w:val="en-US" w:eastAsia="zh-CN"/>
        </w:rPr>
        <w:t>（6）标项六（分包6）：本分标不接受进口产品（即通过中国海关报关验放进入中国境内且产自关境外的产品）参与投标，如有此类产品参与投标的做无效标处理</w:t>
      </w:r>
      <w:r>
        <w:rPr>
          <w:rFonts w:hint="eastAsia" w:ascii="宋体" w:hAnsi="宋体" w:cs="宋体"/>
          <w:b w:val="0"/>
          <w:bCs w:val="0"/>
          <w:color w:val="auto"/>
          <w:kern w:val="2"/>
          <w:sz w:val="21"/>
          <w:szCs w:val="21"/>
          <w:highlight w:val="none"/>
          <w:u w:val="none"/>
          <w:lang w:val="en-US" w:eastAsia="zh-CN"/>
        </w:rPr>
        <w:t>。</w:t>
      </w:r>
    </w:p>
    <w:p w14:paraId="0CADC731">
      <w:pPr>
        <w:keepNext w:val="0"/>
        <w:keepLines w:val="0"/>
        <w:pageBreakBefore w:val="0"/>
        <w:widowControl w:val="0"/>
        <w:kinsoku/>
        <w:wordWrap/>
        <w:overflowPunct/>
        <w:topLinePunct w:val="0"/>
        <w:autoSpaceDE/>
        <w:autoSpaceDN/>
        <w:bidi w:val="0"/>
        <w:adjustRightInd/>
        <w:snapToGrid/>
        <w:spacing w:line="400" w:lineRule="exact"/>
        <w:ind w:left="210" w:leftChars="100" w:right="0" w:rightChars="0" w:firstLine="210" w:firstLineChars="100"/>
        <w:jc w:val="both"/>
        <w:textAlignment w:val="auto"/>
        <w:outlineLvl w:val="9"/>
        <w:rPr>
          <w:rFonts w:hint="eastAsia" w:ascii="宋体" w:hAnsi="宋体" w:eastAsia="宋体" w:cs="宋体"/>
          <w:b w:val="0"/>
          <w:bCs w:val="0"/>
          <w:color w:val="auto"/>
          <w:kern w:val="2"/>
          <w:sz w:val="21"/>
          <w:szCs w:val="21"/>
          <w:highlight w:val="none"/>
          <w:u w:val="none"/>
          <w:lang w:val="en-US" w:eastAsia="zh-CN"/>
        </w:rPr>
      </w:pPr>
    </w:p>
    <w:p w14:paraId="5F95315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宋体" w:hAnsi="宋体" w:eastAsia="宋体" w:cs="宋体"/>
          <w:b w:val="0"/>
          <w:bCs w:val="0"/>
          <w:color w:val="auto"/>
          <w:kern w:val="2"/>
          <w:sz w:val="21"/>
          <w:szCs w:val="21"/>
          <w:highlight w:val="none"/>
          <w:u w:val="none"/>
          <w:lang w:val="en-US" w:eastAsia="zh-CN"/>
        </w:rPr>
      </w:pPr>
    </w:p>
    <w:p w14:paraId="7D866F2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宋体" w:hAnsi="宋体" w:eastAsia="宋体" w:cs="宋体"/>
          <w:b w:val="0"/>
          <w:bCs w:val="0"/>
          <w:color w:val="auto"/>
          <w:kern w:val="2"/>
          <w:sz w:val="21"/>
          <w:szCs w:val="21"/>
          <w:highlight w:val="none"/>
          <w:u w:val="none"/>
          <w:lang w:val="en-US" w:eastAsia="zh-CN"/>
        </w:rPr>
      </w:pPr>
    </w:p>
    <w:p w14:paraId="1587C4BC">
      <w:pPr>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br w:type="page"/>
      </w:r>
    </w:p>
    <w:p w14:paraId="30697AC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2" w:firstLineChars="200"/>
        <w:jc w:val="both"/>
        <w:textAlignment w:val="auto"/>
        <w:outlineLvl w:val="1"/>
        <w:rPr>
          <w:rFonts w:hint="eastAsia" w:ascii="宋体" w:hAnsi="宋体" w:eastAsia="宋体" w:cs="宋体"/>
          <w:b w:val="0"/>
          <w:bCs w:val="0"/>
          <w:color w:val="auto"/>
          <w:sz w:val="21"/>
          <w:szCs w:val="21"/>
          <w:highlight w:val="none"/>
          <w:u w:val="none"/>
          <w:lang w:val="en-US" w:eastAsia="zh-CN"/>
        </w:rPr>
      </w:pPr>
      <w:bookmarkStart w:id="90" w:name="_Toc26450"/>
      <w:bookmarkStart w:id="91" w:name="_Toc29957"/>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技术要求</w:t>
      </w:r>
      <w:bookmarkEnd w:id="90"/>
      <w:bookmarkEnd w:id="91"/>
    </w:p>
    <w:bookmarkEnd w:id="84"/>
    <w:bookmarkEnd w:id="85"/>
    <w:p w14:paraId="081ADA6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1"/>
        <w:rPr>
          <w:rFonts w:hint="eastAsia" w:ascii="宋体" w:hAnsi="宋体" w:eastAsia="宋体" w:cs="宋体"/>
          <w:b/>
          <w:bCs/>
          <w:color w:val="auto"/>
          <w:kern w:val="0"/>
          <w:sz w:val="21"/>
          <w:szCs w:val="21"/>
          <w:highlight w:val="none"/>
          <w:lang w:val="en-US" w:eastAsia="zh-CN" w:bidi="ar-SA"/>
        </w:rPr>
      </w:pPr>
      <w:bookmarkStart w:id="92" w:name="_Toc20594"/>
      <w:bookmarkStart w:id="93" w:name="_Toc1022"/>
      <w:bookmarkStart w:id="94" w:name="_Toc74320802"/>
      <w:r>
        <w:rPr>
          <w:rFonts w:hint="eastAsia" w:ascii="宋体" w:hAnsi="宋体" w:eastAsia="宋体" w:cs="宋体"/>
          <w:b/>
          <w:bCs/>
          <w:color w:val="auto"/>
          <w:kern w:val="0"/>
          <w:sz w:val="21"/>
          <w:szCs w:val="21"/>
          <w:highlight w:val="none"/>
          <w:lang w:val="en-US" w:eastAsia="zh-CN" w:bidi="ar-SA"/>
        </w:rPr>
        <w:t>（一）标项一（分包1）的技术要求</w:t>
      </w:r>
      <w:bookmarkEnd w:id="92"/>
      <w:bookmarkEnd w:id="93"/>
    </w:p>
    <w:tbl>
      <w:tblPr>
        <w:tblStyle w:val="49"/>
        <w:tblpPr w:leftFromText="180" w:rightFromText="180" w:vertAnchor="text" w:horzAnchor="page" w:tblpX="1775" w:tblpY="576"/>
        <w:tblOverlap w:val="never"/>
        <w:tblW w:w="9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700"/>
        <w:gridCol w:w="812"/>
        <w:gridCol w:w="774"/>
        <w:gridCol w:w="972"/>
        <w:gridCol w:w="5413"/>
      </w:tblGrid>
      <w:tr w14:paraId="139D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126FFC8D">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iCs/>
                <w:color w:val="auto"/>
                <w:sz w:val="21"/>
                <w:szCs w:val="21"/>
                <w:highlight w:val="none"/>
              </w:rPr>
            </w:pPr>
            <w:r>
              <w:rPr>
                <w:rFonts w:hint="eastAsia" w:ascii="宋体" w:hAnsi="宋体" w:eastAsia="宋体" w:cs="宋体"/>
                <w:b/>
                <w:color w:val="auto"/>
                <w:sz w:val="21"/>
                <w:szCs w:val="21"/>
                <w:highlight w:val="none"/>
              </w:rPr>
              <w:t>序号</w:t>
            </w:r>
          </w:p>
        </w:tc>
        <w:tc>
          <w:tcPr>
            <w:tcW w:w="700" w:type="dxa"/>
            <w:vAlign w:val="center"/>
          </w:tcPr>
          <w:p w14:paraId="17291CB0">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iCs/>
                <w:color w:val="auto"/>
                <w:sz w:val="21"/>
                <w:szCs w:val="21"/>
                <w:highlight w:val="none"/>
              </w:rPr>
            </w:pPr>
            <w:r>
              <w:rPr>
                <w:rFonts w:hint="eastAsia" w:ascii="宋体" w:hAnsi="宋体" w:eastAsia="宋体" w:cs="宋体"/>
                <w:b/>
                <w:color w:val="auto"/>
                <w:sz w:val="21"/>
                <w:szCs w:val="21"/>
                <w:highlight w:val="none"/>
              </w:rPr>
              <w:t>标的名称</w:t>
            </w:r>
          </w:p>
        </w:tc>
        <w:tc>
          <w:tcPr>
            <w:tcW w:w="812" w:type="dxa"/>
            <w:vAlign w:val="center"/>
          </w:tcPr>
          <w:p w14:paraId="60634E1B">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iCs/>
                <w:color w:val="auto"/>
                <w:sz w:val="21"/>
                <w:szCs w:val="21"/>
                <w:highlight w:val="none"/>
              </w:rPr>
            </w:pPr>
            <w:r>
              <w:rPr>
                <w:rFonts w:hint="eastAsia" w:ascii="宋体" w:hAnsi="宋体" w:eastAsia="宋体" w:cs="宋体"/>
                <w:b/>
                <w:color w:val="auto"/>
                <w:sz w:val="21"/>
                <w:szCs w:val="21"/>
                <w:highlight w:val="none"/>
              </w:rPr>
              <w:t>数量</w:t>
            </w:r>
          </w:p>
        </w:tc>
        <w:tc>
          <w:tcPr>
            <w:tcW w:w="774" w:type="dxa"/>
            <w:vAlign w:val="center"/>
          </w:tcPr>
          <w:p w14:paraId="22744D32">
            <w:pPr>
              <w:keepNext w:val="0"/>
              <w:keepLines w:val="0"/>
              <w:pageBreakBefore w:val="0"/>
              <w:tabs>
                <w:tab w:val="left" w:pos="180"/>
                <w:tab w:val="left" w:pos="1620"/>
              </w:tabs>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控制</w:t>
            </w:r>
            <w:r>
              <w:rPr>
                <w:rFonts w:hint="eastAsia" w:ascii="宋体" w:hAnsi="宋体" w:eastAsia="宋体" w:cs="宋体"/>
                <w:b/>
                <w:color w:val="auto"/>
                <w:sz w:val="21"/>
                <w:szCs w:val="21"/>
                <w:highlight w:val="none"/>
              </w:rPr>
              <w:t>单价</w:t>
            </w:r>
          </w:p>
          <w:p w14:paraId="4317CF4B">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iCs/>
                <w:color w:val="auto"/>
                <w:sz w:val="21"/>
                <w:szCs w:val="21"/>
                <w:highlight w:val="none"/>
              </w:rPr>
            </w:pPr>
            <w:r>
              <w:rPr>
                <w:rFonts w:hint="eastAsia" w:ascii="宋体" w:hAnsi="宋体" w:eastAsia="宋体" w:cs="宋体"/>
                <w:b/>
                <w:color w:val="auto"/>
                <w:sz w:val="21"/>
                <w:szCs w:val="21"/>
                <w:highlight w:val="none"/>
              </w:rPr>
              <w:t>（万元）</w:t>
            </w:r>
          </w:p>
        </w:tc>
        <w:tc>
          <w:tcPr>
            <w:tcW w:w="972" w:type="dxa"/>
            <w:vAlign w:val="center"/>
          </w:tcPr>
          <w:p w14:paraId="760E79B0">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控制</w:t>
            </w:r>
            <w:r>
              <w:rPr>
                <w:rFonts w:hint="eastAsia" w:ascii="宋体" w:hAnsi="宋体" w:eastAsia="宋体" w:cs="宋体"/>
                <w:b/>
                <w:color w:val="auto"/>
                <w:sz w:val="21"/>
                <w:szCs w:val="21"/>
                <w:highlight w:val="none"/>
              </w:rPr>
              <w:t>总价</w:t>
            </w:r>
          </w:p>
          <w:p w14:paraId="2E5F3221">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iCs/>
                <w:color w:val="auto"/>
                <w:sz w:val="21"/>
                <w:szCs w:val="21"/>
                <w:highlight w:val="none"/>
              </w:rPr>
            </w:pPr>
            <w:r>
              <w:rPr>
                <w:rFonts w:hint="eastAsia" w:ascii="宋体" w:hAnsi="宋体" w:eastAsia="宋体" w:cs="宋体"/>
                <w:b/>
                <w:color w:val="auto"/>
                <w:sz w:val="21"/>
                <w:szCs w:val="21"/>
                <w:highlight w:val="none"/>
              </w:rPr>
              <w:t>（万元）</w:t>
            </w:r>
          </w:p>
        </w:tc>
        <w:tc>
          <w:tcPr>
            <w:tcW w:w="5413" w:type="dxa"/>
            <w:vAlign w:val="center"/>
          </w:tcPr>
          <w:p w14:paraId="63C193B0">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iCs/>
                <w:color w:val="auto"/>
                <w:sz w:val="21"/>
                <w:szCs w:val="21"/>
                <w:highlight w:val="none"/>
                <w:lang w:eastAsia="zh-CN"/>
              </w:rPr>
            </w:pPr>
            <w:r>
              <w:rPr>
                <w:rFonts w:hint="eastAsia" w:ascii="宋体" w:hAnsi="宋体" w:eastAsia="宋体" w:cs="宋体"/>
                <w:b/>
                <w:color w:val="auto"/>
                <w:sz w:val="21"/>
                <w:szCs w:val="21"/>
                <w:highlight w:val="none"/>
              </w:rPr>
              <w:t>技术参数要求</w:t>
            </w:r>
            <w:r>
              <w:rPr>
                <w:rFonts w:hint="eastAsia" w:ascii="宋体" w:hAnsi="宋体" w:eastAsia="宋体" w:cs="宋体"/>
                <w:b/>
                <w:color w:val="auto"/>
                <w:sz w:val="21"/>
                <w:szCs w:val="21"/>
                <w:highlight w:val="none"/>
              </w:rPr>
              <w:br w:type="textWrapping"/>
            </w:r>
            <w:r>
              <w:rPr>
                <w:rFonts w:hint="eastAsia" w:ascii="宋体" w:hAnsi="宋体" w:eastAsia="宋体" w:cs="宋体"/>
                <w:b w:val="0"/>
                <w:bCs/>
                <w:color w:val="auto"/>
                <w:sz w:val="21"/>
                <w:szCs w:val="21"/>
                <w:highlight w:val="none"/>
                <w:lang w:eastAsia="zh-CN"/>
              </w:rPr>
              <w:t>（“▲”为实质性指标，必须满足，“■”为重要参数，其他为一般性参数，</w:t>
            </w:r>
            <w:r>
              <w:rPr>
                <w:rFonts w:hint="eastAsia" w:ascii="宋体" w:hAnsi="宋体" w:eastAsia="宋体" w:cs="宋体"/>
                <w:b w:val="0"/>
                <w:bCs/>
                <w:color w:val="auto"/>
                <w:sz w:val="21"/>
                <w:szCs w:val="21"/>
                <w:highlight w:val="none"/>
                <w:lang w:val="en-US" w:eastAsia="zh-CN"/>
              </w:rPr>
              <w:t>按评标标准评审</w:t>
            </w:r>
            <w:r>
              <w:rPr>
                <w:rFonts w:hint="eastAsia" w:ascii="宋体" w:hAnsi="宋体" w:eastAsia="宋体" w:cs="宋体"/>
                <w:b w:val="0"/>
                <w:bCs/>
                <w:color w:val="auto"/>
                <w:sz w:val="21"/>
                <w:szCs w:val="21"/>
                <w:highlight w:val="none"/>
                <w:lang w:eastAsia="zh-CN"/>
              </w:rPr>
              <w:t>）</w:t>
            </w:r>
          </w:p>
        </w:tc>
      </w:tr>
      <w:tr w14:paraId="08E5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0374D187">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1</w:t>
            </w:r>
          </w:p>
        </w:tc>
        <w:tc>
          <w:tcPr>
            <w:tcW w:w="700" w:type="dxa"/>
            <w:vAlign w:val="center"/>
          </w:tcPr>
          <w:p w14:paraId="2CBA9B23">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便携式X射线荧光光谱仪</w:t>
            </w:r>
          </w:p>
        </w:tc>
        <w:tc>
          <w:tcPr>
            <w:tcW w:w="812" w:type="dxa"/>
            <w:vAlign w:val="center"/>
          </w:tcPr>
          <w:p w14:paraId="3E298634">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10</w:t>
            </w:r>
          </w:p>
        </w:tc>
        <w:tc>
          <w:tcPr>
            <w:tcW w:w="774" w:type="dxa"/>
            <w:vAlign w:val="center"/>
          </w:tcPr>
          <w:p w14:paraId="44755063">
            <w:pPr>
              <w:keepNext w:val="0"/>
              <w:keepLines w:val="0"/>
              <w:pageBreakBefore w:val="0"/>
              <w:tabs>
                <w:tab w:val="left" w:pos="180"/>
                <w:tab w:val="left" w:pos="1620"/>
              </w:tabs>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32</w:t>
            </w:r>
          </w:p>
        </w:tc>
        <w:tc>
          <w:tcPr>
            <w:tcW w:w="972" w:type="dxa"/>
            <w:vAlign w:val="center"/>
          </w:tcPr>
          <w:p w14:paraId="63A9A8DF">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320</w:t>
            </w:r>
          </w:p>
        </w:tc>
        <w:tc>
          <w:tcPr>
            <w:tcW w:w="5413" w:type="dxa"/>
            <w:vAlign w:val="center"/>
          </w:tcPr>
          <w:p w14:paraId="303D6BB8">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一、技术功能参数</w:t>
            </w:r>
          </w:p>
          <w:p w14:paraId="77623D16">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▲1.测量原理：非手持式,能量色散测量模式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559E03AD">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▲2.主机重量≤10kg（不含电池）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7AF2B9E2">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主机</w:t>
            </w:r>
            <w:r>
              <w:rPr>
                <w:rFonts w:hint="eastAsia" w:ascii="宋体" w:hAnsi="宋体" w:eastAsia="宋体" w:cs="宋体"/>
                <w:color w:val="auto"/>
                <w:sz w:val="21"/>
                <w:szCs w:val="21"/>
                <w:highlight w:val="none"/>
              </w:rPr>
              <w:t>尺寸：长≤4</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0mm，宽≤360mm ,高≤</w:t>
            </w: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0mm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3E2CEB78">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4.工作温度：</w:t>
            </w:r>
            <w:r>
              <w:rPr>
                <w:rFonts w:hint="eastAsia" w:ascii="宋体" w:hAnsi="宋体" w:eastAsia="宋体" w:cs="宋体"/>
                <w:color w:val="auto"/>
                <w:sz w:val="21"/>
                <w:szCs w:val="21"/>
                <w:highlight w:val="none"/>
                <w:lang w:val="en-US" w:eastAsia="zh-CN"/>
              </w:rPr>
              <w:t>至少包含</w:t>
            </w:r>
            <w:r>
              <w:rPr>
                <w:rFonts w:hint="eastAsia" w:ascii="宋体" w:hAnsi="宋体" w:eastAsia="宋体" w:cs="宋体"/>
                <w:color w:val="auto"/>
                <w:sz w:val="21"/>
                <w:szCs w:val="21"/>
                <w:highlight w:val="none"/>
              </w:rPr>
              <w:t>-5℃</w:t>
            </w:r>
            <w:r>
              <w:rPr>
                <w:rFonts w:hint="eastAsia" w:ascii="宋体" w:hAnsi="宋体" w:eastAsia="宋体" w:cs="宋体"/>
                <w:bCs/>
                <w:color w:val="auto"/>
                <w:sz w:val="21"/>
                <w:szCs w:val="21"/>
                <w:highlight w:val="none"/>
                <w:lang w:val="en-US" w:eastAsia="zh-CN"/>
              </w:rPr>
              <w:t>～</w:t>
            </w:r>
            <w:r>
              <w:rPr>
                <w:rFonts w:hint="eastAsia" w:ascii="宋体" w:hAnsi="宋体" w:eastAsia="宋体" w:cs="宋体"/>
                <w:color w:val="auto"/>
                <w:sz w:val="21"/>
                <w:szCs w:val="21"/>
                <w:highlight w:val="none"/>
              </w:rPr>
              <w:t>+50℃</w:t>
            </w:r>
            <w:r>
              <w:rPr>
                <w:rFonts w:hint="eastAsia" w:ascii="宋体" w:hAnsi="宋体" w:eastAsia="宋体" w:cs="宋体"/>
                <w:color w:val="auto"/>
                <w:sz w:val="21"/>
                <w:szCs w:val="21"/>
                <w:highlight w:val="none"/>
                <w:lang w:eastAsia="zh-CN"/>
              </w:rPr>
              <w:t>；</w:t>
            </w:r>
          </w:p>
          <w:p w14:paraId="3CE71C56">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5.配备彩色触摸屏，强日光下显示清晰，尺寸≥7英寸</w:t>
            </w:r>
            <w:r>
              <w:rPr>
                <w:rFonts w:hint="eastAsia" w:ascii="宋体" w:hAnsi="宋体" w:eastAsia="宋体" w:cs="宋体"/>
                <w:color w:val="auto"/>
                <w:sz w:val="21"/>
                <w:szCs w:val="21"/>
                <w:highlight w:val="none"/>
                <w:lang w:eastAsia="zh-CN"/>
              </w:rPr>
              <w:t>；</w:t>
            </w:r>
          </w:p>
          <w:p w14:paraId="68DFA61F">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6.支持现场连接蓝牙打印机实时打印数据</w:t>
            </w:r>
            <w:r>
              <w:rPr>
                <w:rFonts w:hint="eastAsia" w:ascii="宋体" w:hAnsi="宋体" w:eastAsia="宋体" w:cs="宋体"/>
                <w:color w:val="auto"/>
                <w:sz w:val="21"/>
                <w:szCs w:val="21"/>
                <w:highlight w:val="none"/>
                <w:lang w:eastAsia="zh-CN"/>
              </w:rPr>
              <w:t>；</w:t>
            </w:r>
          </w:p>
          <w:p w14:paraId="39D89C85">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7.测试时，若测试窗被打开，系统会自动切断X射线电源</w:t>
            </w:r>
            <w:r>
              <w:rPr>
                <w:rFonts w:hint="eastAsia" w:ascii="宋体" w:hAnsi="宋体" w:eastAsia="宋体" w:cs="宋体"/>
                <w:color w:val="auto"/>
                <w:sz w:val="21"/>
                <w:szCs w:val="21"/>
                <w:highlight w:val="none"/>
                <w:lang w:val="en-US" w:eastAsia="zh-CN"/>
              </w:rPr>
              <w:t>；</w:t>
            </w:r>
          </w:p>
          <w:p w14:paraId="6279B5F8">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8.仪器设备具有符合国家规定的辐射安全</w:t>
            </w:r>
            <w:r>
              <w:rPr>
                <w:rFonts w:hint="eastAsia" w:ascii="宋体" w:hAnsi="宋体" w:eastAsia="宋体" w:cs="宋体"/>
                <w:color w:val="auto"/>
                <w:sz w:val="21"/>
                <w:szCs w:val="21"/>
                <w:highlight w:val="none"/>
                <w:lang w:val="en-US" w:eastAsia="zh-CN"/>
              </w:rPr>
              <w:t>检测报告</w:t>
            </w:r>
            <w:r>
              <w:rPr>
                <w:rFonts w:hint="eastAsia" w:ascii="宋体" w:hAnsi="宋体" w:eastAsia="宋体" w:cs="宋体"/>
                <w:color w:val="auto"/>
                <w:sz w:val="21"/>
                <w:szCs w:val="21"/>
                <w:highlight w:val="none"/>
                <w:lang w:eastAsia="zh-CN"/>
              </w:rPr>
              <w:t>；</w:t>
            </w:r>
          </w:p>
          <w:p w14:paraId="339E1B0B">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9.仪器设备有实际成交用户，有参与应急事件实战使用经历</w:t>
            </w:r>
            <w:r>
              <w:rPr>
                <w:rFonts w:hint="eastAsia" w:ascii="宋体" w:hAnsi="宋体" w:eastAsia="宋体" w:cs="宋体"/>
                <w:color w:val="auto"/>
                <w:sz w:val="21"/>
                <w:szCs w:val="21"/>
                <w:highlight w:val="none"/>
                <w:lang w:val="en-US" w:eastAsia="zh-CN"/>
              </w:rPr>
              <w:t>；</w:t>
            </w:r>
          </w:p>
          <w:p w14:paraId="302787D9">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.同时具备土壤（固废）和水质的重金属分析模块或功能</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51714CB0">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.可分析元素：包含但不限于镉、汞、砷、硒、铅、铬、铜、镍、锌、铁、锰、铊、锑、银，锡，铟、锶、钼、钡、钒、钛、钴、六价铬</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286CA926">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.测定下限：</w:t>
            </w:r>
          </w:p>
          <w:p w14:paraId="7A594711">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水质重金属直接测定（或富集后）仪器测定下限：铜、锌、砷、硒、镉、六价铬、铅检出限低于《地表水质量标准》（GB3838-2002）表1中Ⅲ类标准限值；铁、锰低于表2标准限值；钼、钴、锑、镍、钡、钒低于表3标准限值</w:t>
            </w:r>
            <w:r>
              <w:rPr>
                <w:rFonts w:hint="eastAsia" w:ascii="宋体" w:hAnsi="宋体" w:eastAsia="宋体" w:cs="宋体"/>
                <w:color w:val="auto"/>
                <w:sz w:val="21"/>
                <w:szCs w:val="21"/>
                <w:highlight w:val="none"/>
                <w:lang w:eastAsia="zh-CN"/>
              </w:rPr>
              <w:t>；</w:t>
            </w:r>
          </w:p>
          <w:p w14:paraId="7B0D535F">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.2土壤重金属测定仪器测定下限：镉、汞、砷、铅、铬、铜、镍、锌低于《土壤环境质量 农用地土壤风险管控标准（试行）》（GB 15618-2018）表1农用地土壤污染风险筛选值表1中的最小值</w:t>
            </w:r>
            <w:r>
              <w:rPr>
                <w:rFonts w:hint="eastAsia" w:ascii="宋体" w:hAnsi="宋体" w:eastAsia="宋体" w:cs="宋体"/>
                <w:color w:val="auto"/>
                <w:sz w:val="21"/>
                <w:szCs w:val="21"/>
                <w:highlight w:val="none"/>
                <w:lang w:val="en-US" w:eastAsia="zh-CN"/>
              </w:rPr>
              <w:t>；</w:t>
            </w:r>
          </w:p>
          <w:p w14:paraId="18F1DDFB">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.定量准确度：</w:t>
            </w:r>
          </w:p>
          <w:p w14:paraId="118364E3">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13.1水质可分析元素中至少镉、砷、铅、铜、锑、镍、锌元素有5种满足：</w:t>
            </w:r>
          </w:p>
          <w:p w14:paraId="67709BC8">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13.1.1仪器</w:t>
            </w:r>
            <w:r>
              <w:rPr>
                <w:rFonts w:hint="eastAsia" w:ascii="宋体" w:hAnsi="宋体" w:eastAsia="宋体" w:cs="宋体"/>
                <w:color w:val="auto"/>
                <w:sz w:val="21"/>
                <w:szCs w:val="21"/>
                <w:highlight w:val="none"/>
              </w:rPr>
              <w:t>测定下限</w:t>
            </w:r>
            <w:r>
              <w:rPr>
                <w:rFonts w:hint="eastAsia" w:ascii="宋体" w:hAnsi="宋体" w:eastAsia="宋体" w:cs="宋体"/>
                <w:color w:val="auto"/>
                <w:sz w:val="21"/>
                <w:szCs w:val="21"/>
                <w:highlight w:val="none"/>
                <w:lang w:val="en-US" w:eastAsia="zh-CN"/>
              </w:rPr>
              <w:t>至10倍标准限值（GB3838-2002 表1中Ⅲ类标准限值、表2和表3标准限值）范围浓度，相对误差≤20%，重复性RSD≤12%；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正偏离：相对误差≤15%，重复性RSD≤10%；无偏离：相对误差≤20%，重复性RSD≤12%。投标时需提供有资质检测单位依照规定方法出具的实际样品CMA或CNAS检测报告</w:t>
            </w:r>
            <w:r>
              <w:rPr>
                <w:rFonts w:hint="eastAsia" w:ascii="宋体" w:hAnsi="宋体" w:eastAsia="宋体" w:cs="宋体"/>
                <w:strike w:val="0"/>
                <w:color w:val="auto"/>
                <w:sz w:val="21"/>
                <w:szCs w:val="21"/>
                <w:highlight w:val="none"/>
                <w:lang w:eastAsia="zh-CN"/>
              </w:rPr>
              <w:t>，</w:t>
            </w:r>
            <w:r>
              <w:rPr>
                <w:rFonts w:hint="eastAsia" w:ascii="宋体" w:hAnsi="宋体" w:eastAsia="宋体" w:cs="宋体"/>
                <w:strike w:val="0"/>
                <w:color w:val="auto"/>
                <w:sz w:val="21"/>
                <w:szCs w:val="21"/>
                <w:highlight w:val="none"/>
                <w:lang w:val="en-US" w:eastAsia="zh-CN"/>
              </w:rPr>
              <w:t>并加盖投标人单位公章</w:t>
            </w:r>
            <w:r>
              <w:rPr>
                <w:rFonts w:hint="eastAsia" w:ascii="宋体" w:hAnsi="宋体" w:eastAsia="宋体" w:cs="宋体"/>
                <w:color w:val="auto"/>
                <w:sz w:val="21"/>
                <w:szCs w:val="21"/>
                <w:highlight w:val="none"/>
                <w:lang w:eastAsia="zh-CN"/>
              </w:rPr>
              <w:t>】</w:t>
            </w:r>
          </w:p>
          <w:p w14:paraId="5BEE509A">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13.1.2 10倍标准限值（GB3838-2002 表1中Ⅲ类标准限值、表2和表3标准限值）以上浓度，相对误差≤20%，重复性RSD≤12%；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正偏离：相对误差≤15%，重复性RSD≤10%；无偏离：相对误差≤20%，重复性RSD≤12%。投标时需提供有资质检测单位依照规定方法出具的实际样品CMA或CNAS检测报告</w:t>
            </w:r>
            <w:r>
              <w:rPr>
                <w:rFonts w:hint="eastAsia" w:ascii="宋体" w:hAnsi="宋体" w:eastAsia="宋体" w:cs="宋体"/>
                <w:strike w:val="0"/>
                <w:color w:val="auto"/>
                <w:sz w:val="21"/>
                <w:szCs w:val="21"/>
                <w:highlight w:val="none"/>
                <w:lang w:val="en-US" w:eastAsia="zh-CN"/>
              </w:rPr>
              <w:t>，并加盖投标人单位公章</w:t>
            </w:r>
            <w:r>
              <w:rPr>
                <w:rFonts w:hint="eastAsia" w:ascii="宋体" w:hAnsi="宋体" w:eastAsia="宋体" w:cs="宋体"/>
                <w:color w:val="auto"/>
                <w:sz w:val="21"/>
                <w:szCs w:val="21"/>
                <w:highlight w:val="none"/>
                <w:lang w:eastAsia="zh-CN"/>
              </w:rPr>
              <w:t>】</w:t>
            </w:r>
          </w:p>
          <w:p w14:paraId="5DD2150B">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13.2</w:t>
            </w:r>
            <w:r>
              <w:rPr>
                <w:rFonts w:hint="eastAsia" w:ascii="宋体" w:hAnsi="宋体" w:eastAsia="宋体" w:cs="宋体"/>
                <w:color w:val="auto"/>
                <w:sz w:val="21"/>
                <w:szCs w:val="21"/>
                <w:highlight w:val="none"/>
              </w:rPr>
              <w:t>土壤可分析元素中至少镉、砷、铅、铜、锑元素应满足：仪器量检出限至GB 15618-2018表1农用地土壤污染风险筛选值表1中的最小值范围浓度，相对误差≤20%，重复性RSD≤1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正偏离：相对误差≤15%，重复性RSD≤10%；无偏离：相对误差≤20%，重复性RSD≤12%。投标时需提供有资质检测单位依照规定方法出具的实际样品CMA或CNAS检测报告</w:t>
            </w:r>
            <w:r>
              <w:rPr>
                <w:rFonts w:hint="eastAsia" w:ascii="宋体" w:hAnsi="宋体" w:eastAsia="宋体" w:cs="宋体"/>
                <w:strike w:val="0"/>
                <w:color w:val="auto"/>
                <w:sz w:val="21"/>
                <w:szCs w:val="21"/>
                <w:highlight w:val="none"/>
                <w:lang w:val="en-US" w:eastAsia="zh-CN"/>
              </w:rPr>
              <w:t>，并加盖投标人单位公章</w:t>
            </w:r>
            <w:r>
              <w:rPr>
                <w:rFonts w:hint="eastAsia" w:ascii="宋体" w:hAnsi="宋体" w:eastAsia="宋体" w:cs="宋体"/>
                <w:color w:val="auto"/>
                <w:sz w:val="21"/>
                <w:szCs w:val="21"/>
                <w:highlight w:val="none"/>
                <w:lang w:eastAsia="zh-CN"/>
              </w:rPr>
              <w:t>】</w:t>
            </w:r>
          </w:p>
          <w:p w14:paraId="600B1E3D">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.单次测量时间：水质（含水富集时间）及土壤直接测样时间≤600秒</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4862CE2A">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二、</w:t>
            </w:r>
            <w:r>
              <w:rPr>
                <w:rFonts w:hint="eastAsia" w:ascii="宋体" w:hAnsi="宋体" w:eastAsia="宋体" w:cs="宋体"/>
                <w:b/>
                <w:bCs/>
                <w:color w:val="auto"/>
                <w:sz w:val="21"/>
                <w:szCs w:val="21"/>
                <w:highlight w:val="none"/>
                <w:lang w:val="en-US" w:eastAsia="zh-CN"/>
              </w:rPr>
              <w:t>单套</w:t>
            </w:r>
            <w:r>
              <w:rPr>
                <w:rFonts w:hint="eastAsia" w:ascii="宋体" w:hAnsi="宋体" w:eastAsia="宋体" w:cs="宋体"/>
                <w:b/>
                <w:bCs/>
                <w:color w:val="auto"/>
                <w:sz w:val="21"/>
                <w:szCs w:val="21"/>
                <w:highlight w:val="none"/>
              </w:rPr>
              <w:t>配置要求</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包含但不限于以下）</w:t>
            </w:r>
          </w:p>
          <w:p w14:paraId="16327B83">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1.主机（含水质和土壤分析模块或功能）1台（内置曲线包含但不限于镉、汞、砷、硒、铅、铬、铜、镍、锌、铁、锰、铊、锑、银，锡，铟、锶、钼、钡、钒、钛、钴、六价铬等元素）</w:t>
            </w:r>
            <w:r>
              <w:rPr>
                <w:rFonts w:hint="eastAsia" w:ascii="宋体" w:hAnsi="宋体" w:eastAsia="宋体" w:cs="宋体"/>
                <w:color w:val="auto"/>
                <w:sz w:val="21"/>
                <w:szCs w:val="21"/>
                <w:highlight w:val="none"/>
                <w:lang w:eastAsia="zh-CN"/>
              </w:rPr>
              <w:t>；</w:t>
            </w:r>
          </w:p>
          <w:p w14:paraId="658F8E91">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2.水质富集装置1台</w:t>
            </w:r>
            <w:r>
              <w:rPr>
                <w:rFonts w:hint="eastAsia" w:ascii="宋体" w:hAnsi="宋体" w:eastAsia="宋体" w:cs="宋体"/>
                <w:color w:val="auto"/>
                <w:sz w:val="21"/>
                <w:szCs w:val="21"/>
                <w:highlight w:val="none"/>
                <w:lang w:eastAsia="zh-CN"/>
              </w:rPr>
              <w:t>；</w:t>
            </w:r>
          </w:p>
          <w:p w14:paraId="43A2F393">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3.土壤（固废）研磨装置1台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（包含但不限于机械研磨仪、100目筛子、加热烘干仪、玛瑙研磨锅）</w:t>
            </w:r>
            <w:r>
              <w:rPr>
                <w:rFonts w:hint="eastAsia" w:ascii="宋体" w:hAnsi="宋体" w:eastAsia="宋体" w:cs="宋体"/>
                <w:color w:val="auto"/>
                <w:sz w:val="21"/>
                <w:szCs w:val="21"/>
                <w:highlight w:val="none"/>
                <w:lang w:eastAsia="zh-CN"/>
              </w:rPr>
              <w:t>；</w:t>
            </w:r>
          </w:p>
          <w:p w14:paraId="515CA2B9">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4.蓝牙打印机1个</w:t>
            </w:r>
            <w:r>
              <w:rPr>
                <w:rFonts w:hint="eastAsia" w:ascii="宋体" w:hAnsi="宋体" w:eastAsia="宋体" w:cs="宋体"/>
                <w:color w:val="auto"/>
                <w:sz w:val="21"/>
                <w:szCs w:val="21"/>
                <w:highlight w:val="none"/>
                <w:lang w:eastAsia="zh-CN"/>
              </w:rPr>
              <w:t>；</w:t>
            </w:r>
          </w:p>
          <w:p w14:paraId="71E07683">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▲5.样品测试套装满足500个水质样品测试量，含水样富集所需的全部试剂、耗材等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投标时需提供拟配置试剂、耗材清单列表及照片图片</w:t>
            </w:r>
            <w:r>
              <w:rPr>
                <w:rFonts w:hint="eastAsia" w:ascii="宋体" w:hAnsi="宋体" w:eastAsia="宋体" w:cs="宋体"/>
                <w:color w:val="auto"/>
                <w:sz w:val="21"/>
                <w:szCs w:val="21"/>
                <w:highlight w:val="none"/>
                <w:lang w:eastAsia="zh-CN"/>
              </w:rPr>
              <w:t>】</w:t>
            </w:r>
          </w:p>
          <w:p w14:paraId="5252E078">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▲6.样品测试套装满足500个土壤样品测试量，含所需的全部试剂、耗材等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投标时需提供拟配置试剂、耗材清单列表及照片图片</w:t>
            </w:r>
            <w:r>
              <w:rPr>
                <w:rFonts w:hint="eastAsia" w:ascii="宋体" w:hAnsi="宋体" w:eastAsia="宋体" w:cs="宋体"/>
                <w:color w:val="auto"/>
                <w:sz w:val="21"/>
                <w:szCs w:val="21"/>
                <w:highlight w:val="none"/>
                <w:lang w:eastAsia="zh-CN"/>
              </w:rPr>
              <w:t>】</w:t>
            </w:r>
          </w:p>
          <w:p w14:paraId="72F1D262">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7.仪器使用说明书（包括纸质资料及仪器使用维护视频资料）</w:t>
            </w:r>
            <w:r>
              <w:rPr>
                <w:rFonts w:hint="eastAsia" w:ascii="宋体" w:hAnsi="宋体" w:eastAsia="宋体" w:cs="宋体"/>
                <w:color w:val="auto"/>
                <w:sz w:val="21"/>
                <w:szCs w:val="21"/>
                <w:highlight w:val="none"/>
                <w:lang w:eastAsia="zh-CN"/>
              </w:rPr>
              <w:t>；</w:t>
            </w:r>
          </w:p>
          <w:p w14:paraId="7AD402E5">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8.仪器收纳箱1个</w:t>
            </w:r>
            <w:r>
              <w:rPr>
                <w:rFonts w:hint="eastAsia" w:ascii="宋体" w:hAnsi="宋体" w:eastAsia="宋体" w:cs="宋体"/>
                <w:color w:val="auto"/>
                <w:sz w:val="21"/>
                <w:szCs w:val="21"/>
                <w:highlight w:val="none"/>
                <w:lang w:eastAsia="zh-CN"/>
              </w:rPr>
              <w:t>；</w:t>
            </w:r>
          </w:p>
          <w:p w14:paraId="4150F81E">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9.辐射安全检测报告</w:t>
            </w:r>
            <w:r>
              <w:rPr>
                <w:rFonts w:hint="eastAsia" w:ascii="宋体" w:hAnsi="宋体" w:cs="宋体"/>
                <w:color w:val="auto"/>
                <w:sz w:val="21"/>
                <w:szCs w:val="21"/>
                <w:highlight w:val="none"/>
                <w:lang w:val="en-US" w:eastAsia="zh-CN"/>
              </w:rPr>
              <w:t>1份</w:t>
            </w:r>
            <w:r>
              <w:rPr>
                <w:rFonts w:hint="eastAsia" w:ascii="宋体" w:hAnsi="宋体" w:eastAsia="宋体" w:cs="宋体"/>
                <w:color w:val="auto"/>
                <w:sz w:val="21"/>
                <w:szCs w:val="21"/>
                <w:highlight w:val="none"/>
                <w:lang w:eastAsia="zh-CN"/>
              </w:rPr>
              <w:t>；</w:t>
            </w:r>
          </w:p>
          <w:p w14:paraId="6D2D5032">
            <w:pPr>
              <w:keepNext w:val="0"/>
              <w:keepLines w:val="0"/>
              <w:pageBreakBefore w:val="0"/>
              <w:widowControl/>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10.土壤、水质有证标准物质各</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套（至少包含镉、砷、铅、铜、锑等元素）</w:t>
            </w:r>
            <w:r>
              <w:rPr>
                <w:rFonts w:hint="eastAsia" w:ascii="宋体" w:hAnsi="宋体" w:eastAsia="宋体" w:cs="宋体"/>
                <w:color w:val="auto"/>
                <w:sz w:val="21"/>
                <w:szCs w:val="21"/>
                <w:highlight w:val="none"/>
                <w:lang w:eastAsia="zh-CN"/>
              </w:rPr>
              <w:t>。</w:t>
            </w:r>
          </w:p>
        </w:tc>
      </w:tr>
      <w:tr w14:paraId="378A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7FE518D8">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p>
        </w:tc>
        <w:tc>
          <w:tcPr>
            <w:tcW w:w="700" w:type="dxa"/>
            <w:vAlign w:val="center"/>
          </w:tcPr>
          <w:p w14:paraId="0BCC428A">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便携式流速测量仪</w:t>
            </w:r>
          </w:p>
        </w:tc>
        <w:tc>
          <w:tcPr>
            <w:tcW w:w="812" w:type="dxa"/>
            <w:vAlign w:val="center"/>
          </w:tcPr>
          <w:p w14:paraId="2D3B257A">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15</w:t>
            </w:r>
          </w:p>
        </w:tc>
        <w:tc>
          <w:tcPr>
            <w:tcW w:w="774" w:type="dxa"/>
            <w:vAlign w:val="center"/>
          </w:tcPr>
          <w:p w14:paraId="419A0C73">
            <w:pPr>
              <w:keepNext w:val="0"/>
              <w:keepLines w:val="0"/>
              <w:pageBreakBefore w:val="0"/>
              <w:tabs>
                <w:tab w:val="left" w:pos="180"/>
                <w:tab w:val="left" w:pos="1620"/>
              </w:tabs>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w:t>
            </w:r>
          </w:p>
        </w:tc>
        <w:tc>
          <w:tcPr>
            <w:tcW w:w="972" w:type="dxa"/>
            <w:vAlign w:val="center"/>
          </w:tcPr>
          <w:p w14:paraId="750098B4">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60</w:t>
            </w:r>
          </w:p>
        </w:tc>
        <w:tc>
          <w:tcPr>
            <w:tcW w:w="5413" w:type="dxa"/>
            <w:vAlign w:val="center"/>
          </w:tcPr>
          <w:p w14:paraId="7D8820D7">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一、核心功能要求</w:t>
            </w:r>
          </w:p>
          <w:p w14:paraId="6D98D66F">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1.测量参数：支持测量流速、流量和水位参数；</w:t>
            </w:r>
          </w:p>
          <w:p w14:paraId="0A5D3669">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▲2.流速测量原理：多普勒超声波原理或电磁感应原理；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3532107A">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3.数据存储：内置大容量数据存储器；</w:t>
            </w:r>
          </w:p>
          <w:p w14:paraId="50316FCE">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4.显示功能：配备背光液晶显示屏，能够实时显示测量数据和图形曲线。</w:t>
            </w:r>
          </w:p>
          <w:p w14:paraId="5382D8E7">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二、技术性能参数</w:t>
            </w:r>
          </w:p>
          <w:p w14:paraId="76D3C3F0">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1.流速测量</w:t>
            </w:r>
          </w:p>
          <w:p w14:paraId="3230B0D7">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▲1.1测量范围：0.02m/s～5.0m/s；</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6517EDBE">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▲1.2测量精度：优于±5%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63BAE11C">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2.水位测量</w:t>
            </w:r>
          </w:p>
          <w:p w14:paraId="61A2D181">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▲2.1测量范围：0～3m；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71BF8603">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▲2.2测量精度：±0.2%测量值或±0.2cm；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1ACDD4E4">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三、环境适应性</w:t>
            </w:r>
          </w:p>
          <w:p w14:paraId="1203B18E">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1.防护等级：传感器IP68，主机不低于IP65；</w:t>
            </w:r>
          </w:p>
          <w:p w14:paraId="2D0BA800">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2.适用场景：适用于河道、渠道、管道等各种规则和不规则断面。</w:t>
            </w:r>
          </w:p>
          <w:p w14:paraId="12B24D31">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四、单套配置要求</w:t>
            </w:r>
          </w:p>
          <w:p w14:paraId="6F5EB7A5">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1.手持主机1台；</w:t>
            </w:r>
          </w:p>
          <w:p w14:paraId="0D0B1D3F">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▲2.传感器1台；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投标时需提供拟配置装置清单列表及照片图片</w:t>
            </w:r>
            <w:r>
              <w:rPr>
                <w:rFonts w:hint="eastAsia" w:ascii="宋体" w:hAnsi="宋体" w:eastAsia="宋体" w:cs="宋体"/>
                <w:color w:val="auto"/>
                <w:sz w:val="21"/>
                <w:szCs w:val="21"/>
                <w:highlight w:val="none"/>
                <w:lang w:eastAsia="zh-CN"/>
              </w:rPr>
              <w:t>】</w:t>
            </w:r>
          </w:p>
          <w:p w14:paraId="17B39C67">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▲3.配套配件1套，提供全套测量配件（测杆、支架、电缆等），电缆长度≥10m，测杆长度≥2m；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投标时需提供拟配置装置清单列表及照片图片</w:t>
            </w:r>
            <w:r>
              <w:rPr>
                <w:rFonts w:hint="eastAsia" w:ascii="宋体" w:hAnsi="宋体" w:eastAsia="宋体" w:cs="宋体"/>
                <w:color w:val="auto"/>
                <w:sz w:val="21"/>
                <w:szCs w:val="21"/>
                <w:highlight w:val="none"/>
                <w:lang w:eastAsia="zh-CN"/>
              </w:rPr>
              <w:t>】</w:t>
            </w:r>
          </w:p>
          <w:p w14:paraId="46C6ADAB">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4.配套收纳箱1个；</w:t>
            </w:r>
          </w:p>
          <w:p w14:paraId="1B403EA9">
            <w:pPr>
              <w:keepNext w:val="0"/>
              <w:keepLines w:val="0"/>
              <w:pageBreakBefore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5.技术文档：提供完整的中文使用手册和技术规范；</w:t>
            </w:r>
          </w:p>
          <w:p w14:paraId="55CB93DC">
            <w:pPr>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6.视频资料：供货时提供设备操作演示视频。</w:t>
            </w:r>
          </w:p>
        </w:tc>
      </w:tr>
      <w:tr w14:paraId="7F5D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1203A6AE">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p>
        </w:tc>
        <w:tc>
          <w:tcPr>
            <w:tcW w:w="700" w:type="dxa"/>
            <w:vAlign w:val="center"/>
          </w:tcPr>
          <w:p w14:paraId="18026B73">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便携式测深仪</w:t>
            </w:r>
          </w:p>
        </w:tc>
        <w:tc>
          <w:tcPr>
            <w:tcW w:w="812" w:type="dxa"/>
            <w:vAlign w:val="center"/>
          </w:tcPr>
          <w:p w14:paraId="5C818C4E">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16</w:t>
            </w:r>
          </w:p>
        </w:tc>
        <w:tc>
          <w:tcPr>
            <w:tcW w:w="774" w:type="dxa"/>
            <w:vAlign w:val="center"/>
          </w:tcPr>
          <w:p w14:paraId="11728E3E">
            <w:pPr>
              <w:keepNext w:val="0"/>
              <w:keepLines w:val="0"/>
              <w:pageBreakBefore w:val="0"/>
              <w:tabs>
                <w:tab w:val="left" w:pos="180"/>
                <w:tab w:val="left" w:pos="1620"/>
              </w:tabs>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0.5</w:t>
            </w:r>
          </w:p>
        </w:tc>
        <w:tc>
          <w:tcPr>
            <w:tcW w:w="972" w:type="dxa"/>
            <w:vAlign w:val="center"/>
          </w:tcPr>
          <w:p w14:paraId="46677305">
            <w:pPr>
              <w:keepNext w:val="0"/>
              <w:keepLines w:val="0"/>
              <w:pageBreakBefore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8</w:t>
            </w:r>
          </w:p>
        </w:tc>
        <w:tc>
          <w:tcPr>
            <w:tcW w:w="5413" w:type="dxa"/>
            <w:shd w:val="clear" w:color="auto" w:fill="auto"/>
            <w:vAlign w:val="center"/>
          </w:tcPr>
          <w:p w14:paraId="2AFE0C16">
            <w:pPr>
              <w:pStyle w:val="22"/>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一、核心功能要求</w:t>
            </w:r>
          </w:p>
          <w:p w14:paraId="202A0E73">
            <w:pPr>
              <w:pStyle w:val="22"/>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1.测量参数：支持测量水深参数；</w:t>
            </w:r>
          </w:p>
          <w:p w14:paraId="5B303C1F">
            <w:pPr>
              <w:pStyle w:val="22"/>
              <w:keepNext w:val="0"/>
              <w:keepLines w:val="0"/>
              <w:pageBreakBefore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2.水深测量原理：超声波原理；</w:t>
            </w:r>
          </w:p>
          <w:p w14:paraId="1B7211B3">
            <w:pPr>
              <w:pStyle w:val="22"/>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二、技术性能参数</w:t>
            </w:r>
          </w:p>
          <w:p w14:paraId="54308EC6">
            <w:pPr>
              <w:pStyle w:val="22"/>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▲1.测量原理：超声波测量法；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7A8FFCFD">
            <w:pPr>
              <w:pStyle w:val="22"/>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▲2.测量范围：最大水深≥100m；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74A2D6C8">
            <w:pPr>
              <w:pStyle w:val="22"/>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▲3.盲区：≤0.8m；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44B813D9">
            <w:pPr>
              <w:pStyle w:val="22"/>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4.分辨率：≤1mm；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2D7E7CA9">
            <w:pPr>
              <w:pStyle w:val="22"/>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▲5.测量精度：≤±1%；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320A57C8">
            <w:pPr>
              <w:pStyle w:val="22"/>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6.工作频率：200～2000kHz；</w:t>
            </w:r>
          </w:p>
          <w:p w14:paraId="03C7C20B">
            <w:pPr>
              <w:pStyle w:val="22"/>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7.标定：出厂标定，可现场校准；</w:t>
            </w:r>
          </w:p>
          <w:p w14:paraId="7747027A">
            <w:pPr>
              <w:pStyle w:val="22"/>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8.显示：液晶显示屏（LCD）；</w:t>
            </w:r>
          </w:p>
          <w:p w14:paraId="48DC74E1">
            <w:pPr>
              <w:pStyle w:val="22"/>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9.防护等级：</w:t>
            </w:r>
            <w:r>
              <w:rPr>
                <w:rFonts w:hint="eastAsia" w:ascii="宋体" w:hAnsi="宋体" w:eastAsia="宋体" w:cs="宋体"/>
                <w:i w:val="0"/>
                <w:iCs w:val="0"/>
                <w:color w:val="auto"/>
                <w:kern w:val="0"/>
                <w:sz w:val="21"/>
                <w:szCs w:val="21"/>
                <w:highlight w:val="none"/>
                <w:u w:val="none"/>
                <w:lang w:val="en-US" w:eastAsia="zh-CN" w:bidi="ar"/>
              </w:rPr>
              <w:t>主机优于IP</w:t>
            </w:r>
            <w:r>
              <w:rPr>
                <w:rFonts w:hint="eastAsia" w:ascii="宋体" w:hAnsi="宋体" w:cs="宋体"/>
                <w:i w:val="0"/>
                <w:iCs w:val="0"/>
                <w:color w:val="auto"/>
                <w:kern w:val="0"/>
                <w:sz w:val="21"/>
                <w:szCs w:val="21"/>
                <w:highlight w:val="none"/>
                <w:u w:val="none"/>
                <w:lang w:val="en-US" w:eastAsia="zh-CN" w:bidi="ar"/>
              </w:rPr>
              <w:t>55</w:t>
            </w:r>
            <w:r>
              <w:rPr>
                <w:rFonts w:hint="eastAsia" w:ascii="宋体" w:hAnsi="宋体" w:eastAsia="宋体" w:cs="宋体"/>
                <w:bCs/>
                <w:color w:val="auto"/>
                <w:sz w:val="21"/>
                <w:szCs w:val="21"/>
                <w:highlight w:val="none"/>
                <w:lang w:val="en-US" w:eastAsia="zh-CN"/>
              </w:rPr>
              <w:t>，传感器IP68；</w:t>
            </w:r>
          </w:p>
          <w:p w14:paraId="1DB6CAD4">
            <w:pPr>
              <w:pStyle w:val="22"/>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▲10.工作电池：内置可充电电池或使用市售干电池；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0C9D7F3F">
            <w:pPr>
              <w:pStyle w:val="22"/>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11.重量：主机≤800g 传感器≤800g；</w:t>
            </w:r>
          </w:p>
          <w:p w14:paraId="45567D3E">
            <w:pPr>
              <w:pStyle w:val="22"/>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▲12.传感器电缆：≥10m；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6B547EDF">
            <w:pPr>
              <w:pStyle w:val="22"/>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13.工作温度：-20-70℃。</w:t>
            </w:r>
          </w:p>
          <w:p w14:paraId="27FCD863">
            <w:pPr>
              <w:pStyle w:val="22"/>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三、单套配置要求</w:t>
            </w:r>
          </w:p>
          <w:p w14:paraId="238D2330">
            <w:pPr>
              <w:pStyle w:val="22"/>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1.手持主机1台；</w:t>
            </w:r>
          </w:p>
          <w:p w14:paraId="0CE16418">
            <w:pPr>
              <w:pStyle w:val="22"/>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▲2.传感器及线缆1套；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投标时需提供拟配置装置清单列表及照片图片</w:t>
            </w:r>
            <w:r>
              <w:rPr>
                <w:rFonts w:hint="eastAsia" w:ascii="宋体" w:hAnsi="宋体" w:eastAsia="宋体" w:cs="宋体"/>
                <w:color w:val="auto"/>
                <w:sz w:val="21"/>
                <w:szCs w:val="21"/>
                <w:highlight w:val="none"/>
                <w:lang w:eastAsia="zh-CN"/>
              </w:rPr>
              <w:t>】</w:t>
            </w:r>
          </w:p>
          <w:p w14:paraId="7B648FEC">
            <w:pPr>
              <w:pStyle w:val="22"/>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3.配套收纳箱1个；</w:t>
            </w:r>
          </w:p>
          <w:p w14:paraId="6FB61CAA">
            <w:pPr>
              <w:pStyle w:val="2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4.仪器操作使用及维保资料各1份。</w:t>
            </w:r>
          </w:p>
        </w:tc>
      </w:tr>
    </w:tbl>
    <w:p w14:paraId="644AB226">
      <w:pPr>
        <w:pStyle w:val="31"/>
        <w:rPr>
          <w:rFonts w:hint="eastAsia"/>
          <w:color w:val="auto"/>
          <w:highlight w:val="none"/>
          <w:lang w:val="en-US" w:eastAsia="zh-CN"/>
        </w:rPr>
      </w:pPr>
    </w:p>
    <w:p w14:paraId="01E8349A">
      <w:pPr>
        <w:rPr>
          <w:rFonts w:hint="eastAsia" w:ascii="宋体" w:hAnsi="宋体" w:eastAsia="宋体" w:cs="宋体"/>
          <w:b/>
          <w:bCs/>
          <w:color w:val="auto"/>
          <w:kern w:val="0"/>
          <w:sz w:val="24"/>
          <w:szCs w:val="24"/>
          <w:highlight w:val="none"/>
          <w:lang w:val="en-US" w:eastAsia="zh-CN" w:bidi="ar-SA"/>
        </w:rPr>
      </w:pPr>
    </w:p>
    <w:p w14:paraId="46B5E6A2">
      <w:pPr>
        <w:rPr>
          <w:rFonts w:hint="eastAsia" w:ascii="宋体" w:hAnsi="宋体" w:eastAsia="宋体" w:cs="宋体"/>
          <w:b/>
          <w:bCs/>
          <w:color w:val="auto"/>
          <w:kern w:val="0"/>
          <w:sz w:val="21"/>
          <w:szCs w:val="21"/>
          <w:highlight w:val="none"/>
          <w:lang w:val="en-US" w:eastAsia="zh-CN" w:bidi="ar-SA"/>
        </w:rPr>
      </w:pPr>
      <w:bookmarkStart w:id="95" w:name="_Toc2544"/>
      <w:bookmarkStart w:id="96" w:name="_Toc7518"/>
      <w:r>
        <w:rPr>
          <w:rFonts w:hint="eastAsia" w:ascii="宋体" w:hAnsi="宋体" w:eastAsia="宋体" w:cs="宋体"/>
          <w:b/>
          <w:bCs/>
          <w:color w:val="auto"/>
          <w:kern w:val="0"/>
          <w:sz w:val="21"/>
          <w:szCs w:val="21"/>
          <w:highlight w:val="none"/>
          <w:lang w:val="en-US" w:eastAsia="zh-CN" w:bidi="ar-SA"/>
        </w:rPr>
        <w:br w:type="page"/>
      </w:r>
    </w:p>
    <w:p w14:paraId="2BE46CA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1"/>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二</w:t>
      </w:r>
      <w:r>
        <w:rPr>
          <w:rFonts w:hint="eastAsia" w:ascii="宋体" w:hAnsi="宋体" w:eastAsia="宋体" w:cs="宋体"/>
          <w:b/>
          <w:bCs/>
          <w:color w:val="auto"/>
          <w:kern w:val="0"/>
          <w:sz w:val="21"/>
          <w:szCs w:val="21"/>
          <w:highlight w:val="none"/>
          <w:lang w:val="en-US" w:eastAsia="zh-CN" w:bidi="ar-SA"/>
        </w:rPr>
        <w:t>）标项</w:t>
      </w:r>
      <w:r>
        <w:rPr>
          <w:rFonts w:hint="eastAsia" w:ascii="宋体" w:hAnsi="宋体" w:cs="宋体"/>
          <w:b/>
          <w:bCs/>
          <w:color w:val="auto"/>
          <w:kern w:val="0"/>
          <w:sz w:val="21"/>
          <w:szCs w:val="21"/>
          <w:highlight w:val="none"/>
          <w:lang w:val="en-US" w:eastAsia="zh-CN" w:bidi="ar-SA"/>
        </w:rPr>
        <w:t>二</w:t>
      </w:r>
      <w:r>
        <w:rPr>
          <w:rFonts w:hint="eastAsia" w:ascii="宋体" w:hAnsi="宋体" w:eastAsia="宋体" w:cs="宋体"/>
          <w:b/>
          <w:bCs/>
          <w:color w:val="auto"/>
          <w:kern w:val="0"/>
          <w:sz w:val="21"/>
          <w:szCs w:val="21"/>
          <w:highlight w:val="none"/>
          <w:lang w:val="en-US" w:eastAsia="zh-CN" w:bidi="ar-SA"/>
        </w:rPr>
        <w:t>（分包</w:t>
      </w:r>
      <w:r>
        <w:rPr>
          <w:rFonts w:hint="eastAsia" w:ascii="宋体" w:hAnsi="宋体" w:cs="宋体"/>
          <w:b/>
          <w:bCs/>
          <w:color w:val="auto"/>
          <w:kern w:val="0"/>
          <w:sz w:val="21"/>
          <w:szCs w:val="21"/>
          <w:highlight w:val="none"/>
          <w:lang w:val="en-US" w:eastAsia="zh-CN" w:bidi="ar-SA"/>
        </w:rPr>
        <w:t>2</w:t>
      </w:r>
      <w:r>
        <w:rPr>
          <w:rFonts w:hint="eastAsia" w:ascii="宋体" w:hAnsi="宋体" w:eastAsia="宋体" w:cs="宋体"/>
          <w:b/>
          <w:bCs/>
          <w:color w:val="auto"/>
          <w:kern w:val="0"/>
          <w:sz w:val="21"/>
          <w:szCs w:val="21"/>
          <w:highlight w:val="none"/>
          <w:lang w:val="en-US" w:eastAsia="zh-CN" w:bidi="ar-SA"/>
        </w:rPr>
        <w:t>）的技术要求</w:t>
      </w:r>
      <w:bookmarkEnd w:id="95"/>
      <w:bookmarkEnd w:id="96"/>
    </w:p>
    <w:tbl>
      <w:tblPr>
        <w:tblStyle w:val="48"/>
        <w:tblW w:w="88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9"/>
        <w:gridCol w:w="814"/>
        <w:gridCol w:w="785"/>
        <w:gridCol w:w="724"/>
        <w:gridCol w:w="939"/>
        <w:gridCol w:w="4820"/>
      </w:tblGrid>
      <w:tr w14:paraId="2D9F4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9" w:hRule="atLeast"/>
        </w:trPr>
        <w:tc>
          <w:tcPr>
            <w:tcW w:w="749" w:type="dxa"/>
            <w:noWrap w:val="0"/>
            <w:vAlign w:val="center"/>
          </w:tcPr>
          <w:p w14:paraId="2DA999A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rPr>
              <w:t>序号</w:t>
            </w:r>
          </w:p>
        </w:tc>
        <w:tc>
          <w:tcPr>
            <w:tcW w:w="814" w:type="dxa"/>
            <w:noWrap w:val="0"/>
            <w:vAlign w:val="center"/>
          </w:tcPr>
          <w:p w14:paraId="710471D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rPr>
              <w:t>标的名称</w:t>
            </w:r>
          </w:p>
        </w:tc>
        <w:tc>
          <w:tcPr>
            <w:tcW w:w="785" w:type="dxa"/>
            <w:tcBorders>
              <w:right w:val="single" w:color="auto" w:sz="4" w:space="0"/>
            </w:tcBorders>
            <w:noWrap w:val="0"/>
            <w:vAlign w:val="center"/>
          </w:tcPr>
          <w:p w14:paraId="30BAA6CE">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rPr>
              <w:t>数量</w:t>
            </w:r>
          </w:p>
        </w:tc>
        <w:tc>
          <w:tcPr>
            <w:tcW w:w="724" w:type="dxa"/>
            <w:tcBorders>
              <w:left w:val="single" w:color="auto" w:sz="4" w:space="0"/>
              <w:right w:val="single" w:color="auto" w:sz="4" w:space="0"/>
            </w:tcBorders>
            <w:noWrap w:val="0"/>
            <w:vAlign w:val="center"/>
          </w:tcPr>
          <w:p w14:paraId="507F1B3F">
            <w:pPr>
              <w:keepNext w:val="0"/>
              <w:keepLines w:val="0"/>
              <w:pageBreakBefore w:val="0"/>
              <w:widowControl w:val="0"/>
              <w:tabs>
                <w:tab w:val="left" w:pos="180"/>
                <w:tab w:val="left" w:pos="1620"/>
              </w:tabs>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控制</w:t>
            </w:r>
            <w:r>
              <w:rPr>
                <w:rFonts w:hint="eastAsia" w:ascii="宋体" w:hAnsi="宋体" w:eastAsia="宋体" w:cs="宋体"/>
                <w:b/>
                <w:color w:val="auto"/>
                <w:sz w:val="21"/>
                <w:szCs w:val="21"/>
                <w:highlight w:val="none"/>
              </w:rPr>
              <w:t>单价</w:t>
            </w:r>
          </w:p>
          <w:p w14:paraId="6DA96D7E">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color w:val="auto"/>
                <w:sz w:val="21"/>
                <w:szCs w:val="21"/>
                <w:highlight w:val="none"/>
              </w:rPr>
              <w:t>（万元）</w:t>
            </w:r>
          </w:p>
        </w:tc>
        <w:tc>
          <w:tcPr>
            <w:tcW w:w="939" w:type="dxa"/>
            <w:tcBorders>
              <w:left w:val="single" w:color="auto" w:sz="4" w:space="0"/>
              <w:right w:val="single" w:color="auto" w:sz="4" w:space="0"/>
            </w:tcBorders>
            <w:noWrap w:val="0"/>
            <w:vAlign w:val="center"/>
          </w:tcPr>
          <w:p w14:paraId="4ECD543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控制</w:t>
            </w:r>
            <w:r>
              <w:rPr>
                <w:rFonts w:hint="eastAsia" w:ascii="宋体" w:hAnsi="宋体" w:eastAsia="宋体" w:cs="宋体"/>
                <w:b/>
                <w:color w:val="auto"/>
                <w:sz w:val="21"/>
                <w:szCs w:val="21"/>
                <w:highlight w:val="none"/>
              </w:rPr>
              <w:t>总价</w:t>
            </w:r>
          </w:p>
          <w:p w14:paraId="6810444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color w:val="auto"/>
                <w:sz w:val="21"/>
                <w:szCs w:val="21"/>
                <w:highlight w:val="none"/>
              </w:rPr>
              <w:t>（万元）</w:t>
            </w:r>
          </w:p>
        </w:tc>
        <w:tc>
          <w:tcPr>
            <w:tcW w:w="4820" w:type="dxa"/>
            <w:tcBorders>
              <w:left w:val="single" w:color="auto" w:sz="4" w:space="0"/>
            </w:tcBorders>
            <w:noWrap w:val="0"/>
            <w:vAlign w:val="center"/>
          </w:tcPr>
          <w:p w14:paraId="4F45371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技术参数要求</w:t>
            </w:r>
          </w:p>
          <w:p w14:paraId="0E6044B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eastAsia="zh-CN"/>
              </w:rPr>
              <w:t>（“▲”为实质性指标，必须满足，“■”为重要参数，其他为一般性参数，</w:t>
            </w:r>
            <w:r>
              <w:rPr>
                <w:rFonts w:hint="eastAsia" w:ascii="宋体" w:hAnsi="宋体" w:eastAsia="宋体" w:cs="宋体"/>
                <w:color w:val="auto"/>
                <w:sz w:val="21"/>
                <w:szCs w:val="21"/>
                <w:highlight w:val="none"/>
                <w:lang w:val="en-US" w:eastAsia="zh-CN"/>
              </w:rPr>
              <w:t>按评标标准评审</w:t>
            </w:r>
            <w:r>
              <w:rPr>
                <w:rFonts w:hint="eastAsia" w:ascii="宋体" w:hAnsi="宋体" w:eastAsia="宋体" w:cs="宋体"/>
                <w:color w:val="auto"/>
                <w:sz w:val="21"/>
                <w:szCs w:val="21"/>
                <w:highlight w:val="none"/>
                <w:lang w:eastAsia="zh-CN"/>
              </w:rPr>
              <w:t>）</w:t>
            </w:r>
          </w:p>
        </w:tc>
      </w:tr>
      <w:tr w14:paraId="63329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749" w:type="dxa"/>
            <w:noWrap w:val="0"/>
            <w:vAlign w:val="center"/>
          </w:tcPr>
          <w:p w14:paraId="520FF7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sz w:val="21"/>
                <w:szCs w:val="21"/>
                <w:highlight w:val="none"/>
                <w:lang w:val="en-US" w:eastAsia="zh-CN"/>
              </w:rPr>
              <w:t>1</w:t>
            </w:r>
          </w:p>
        </w:tc>
        <w:tc>
          <w:tcPr>
            <w:tcW w:w="814" w:type="dxa"/>
            <w:noWrap w:val="0"/>
            <w:vAlign w:val="center"/>
          </w:tcPr>
          <w:p w14:paraId="565EC8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多接收电感耦合等离子体质谱仪</w:t>
            </w:r>
          </w:p>
        </w:tc>
        <w:tc>
          <w:tcPr>
            <w:tcW w:w="785" w:type="dxa"/>
            <w:tcBorders>
              <w:right w:val="single" w:color="auto" w:sz="4" w:space="0"/>
            </w:tcBorders>
            <w:noWrap w:val="0"/>
            <w:vAlign w:val="center"/>
          </w:tcPr>
          <w:p w14:paraId="15C9A2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lang w:val="en-US" w:eastAsia="zh-CN"/>
              </w:rPr>
              <w:t>1</w:t>
            </w:r>
          </w:p>
        </w:tc>
        <w:tc>
          <w:tcPr>
            <w:tcW w:w="724" w:type="dxa"/>
            <w:tcBorders>
              <w:left w:val="single" w:color="auto" w:sz="4" w:space="0"/>
              <w:right w:val="single" w:color="auto" w:sz="4" w:space="0"/>
            </w:tcBorders>
            <w:noWrap w:val="0"/>
            <w:vAlign w:val="center"/>
          </w:tcPr>
          <w:p w14:paraId="155BAB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850</w:t>
            </w:r>
          </w:p>
        </w:tc>
        <w:tc>
          <w:tcPr>
            <w:tcW w:w="939" w:type="dxa"/>
            <w:tcBorders>
              <w:left w:val="single" w:color="auto" w:sz="4" w:space="0"/>
              <w:right w:val="single" w:color="auto" w:sz="4" w:space="0"/>
            </w:tcBorders>
            <w:noWrap w:val="0"/>
            <w:vAlign w:val="center"/>
          </w:tcPr>
          <w:p w14:paraId="541691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850</w:t>
            </w:r>
          </w:p>
        </w:tc>
        <w:tc>
          <w:tcPr>
            <w:tcW w:w="4820" w:type="dxa"/>
            <w:tcBorders>
              <w:left w:val="single" w:color="auto" w:sz="4" w:space="0"/>
            </w:tcBorders>
            <w:noWrap w:val="0"/>
            <w:vAlign w:val="center"/>
          </w:tcPr>
          <w:p w14:paraId="4B81EEA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设备功能</w:t>
            </w:r>
          </w:p>
          <w:p w14:paraId="447F5E3C">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接收电感耦合等离子体串联质谱仪(MC-ICP-MS/MS)是既可测定同位素又可测定痕量元素的多功能、高精度的分析仪器。主要用于同位素分析和同位素年代学分析，除地学研究如地质、地理、考古、古环境重建外，可用于化学、化工、生物和环境等相关的分析领域。</w:t>
            </w:r>
          </w:p>
          <w:p w14:paraId="56029BEA">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二、工作条件</w:t>
            </w:r>
          </w:p>
          <w:p w14:paraId="7F398BA5">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2.1 适于在-30℃</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45℃,0-90%RH 环境条件下运输及保存</w:t>
            </w:r>
            <w:r>
              <w:rPr>
                <w:rFonts w:hint="eastAsia" w:ascii="宋体" w:hAnsi="宋体" w:eastAsia="宋体" w:cs="宋体"/>
                <w:bCs/>
                <w:color w:val="auto"/>
                <w:sz w:val="21"/>
                <w:szCs w:val="21"/>
                <w:highlight w:val="none"/>
                <w:lang w:val="en-US" w:eastAsia="zh-CN"/>
              </w:rPr>
              <w:t>；</w:t>
            </w:r>
          </w:p>
          <w:p w14:paraId="6D9EF6EC">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2.2</w:t>
            </w:r>
            <w:r>
              <w:rPr>
                <w:rFonts w:hint="eastAsia" w:ascii="宋体" w:hAnsi="宋体" w:eastAsia="宋体" w:cs="宋体"/>
                <w:color w:val="auto"/>
                <w:sz w:val="21"/>
                <w:szCs w:val="21"/>
                <w:highlight w:val="none"/>
              </w:rPr>
              <w:t>实验室温度：18 ℃-24 ℃，</w:t>
            </w:r>
            <w:r>
              <w:rPr>
                <w:rFonts w:hint="eastAsia" w:ascii="宋体" w:hAnsi="宋体" w:eastAsia="宋体" w:cs="宋体"/>
                <w:bCs/>
                <w:color w:val="auto"/>
                <w:sz w:val="21"/>
                <w:szCs w:val="21"/>
                <w:highlight w:val="none"/>
              </w:rPr>
              <w:t>温度变化＜1℃/hr</w:t>
            </w:r>
            <w:r>
              <w:rPr>
                <w:rFonts w:hint="eastAsia" w:ascii="宋体" w:hAnsi="宋体" w:eastAsia="宋体" w:cs="宋体"/>
                <w:color w:val="auto"/>
                <w:sz w:val="21"/>
                <w:szCs w:val="21"/>
                <w:highlight w:val="none"/>
              </w:rPr>
              <w:t>；相对湿度：50 - 60%；</w:t>
            </w:r>
          </w:p>
          <w:p w14:paraId="70EC55EF">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2.3</w:t>
            </w:r>
            <w:r>
              <w:rPr>
                <w:rFonts w:hint="eastAsia" w:ascii="宋体" w:hAnsi="宋体" w:eastAsia="宋体" w:cs="宋体"/>
                <w:bCs/>
                <w:color w:val="auto"/>
                <w:sz w:val="21"/>
                <w:szCs w:val="21"/>
                <w:highlight w:val="none"/>
              </w:rPr>
              <w:t>适于电源</w:t>
            </w:r>
            <w:r>
              <w:rPr>
                <w:rFonts w:hint="eastAsia" w:ascii="宋体" w:hAnsi="宋体" w:eastAsia="宋体" w:cs="宋体"/>
                <w:color w:val="auto"/>
                <w:sz w:val="21"/>
                <w:szCs w:val="21"/>
                <w:highlight w:val="none"/>
              </w:rPr>
              <w:t>380 V/220 V±10%</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地线要求：独立地线，零地电压</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5 V；</w:t>
            </w:r>
            <w:r>
              <w:rPr>
                <w:rFonts w:hint="eastAsia" w:ascii="宋体" w:hAnsi="宋体" w:eastAsia="宋体" w:cs="宋体"/>
                <w:bCs/>
                <w:color w:val="auto"/>
                <w:sz w:val="21"/>
                <w:szCs w:val="21"/>
                <w:highlight w:val="none"/>
              </w:rPr>
              <w:t>电源插头、插座须符合中国相关标准或提供相应的转换插头、插座，使之符合中国标准</w:t>
            </w:r>
            <w:r>
              <w:rPr>
                <w:rFonts w:hint="eastAsia" w:ascii="宋体" w:hAnsi="宋体" w:eastAsia="宋体" w:cs="宋体"/>
                <w:bCs/>
                <w:color w:val="auto"/>
                <w:sz w:val="21"/>
                <w:szCs w:val="21"/>
                <w:highlight w:val="none"/>
                <w:lang w:val="en-US" w:eastAsia="zh-CN"/>
              </w:rPr>
              <w:t>；</w:t>
            </w:r>
          </w:p>
          <w:p w14:paraId="23A9ABB4">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2.4 提供适合仪器正常工作的水循环冷却系统，工作温度20～40℃，控温精度±0.5℃,可长时间连续运行</w:t>
            </w:r>
            <w:r>
              <w:rPr>
                <w:rFonts w:hint="eastAsia" w:ascii="宋体" w:hAnsi="宋体" w:eastAsia="宋体" w:cs="宋体"/>
                <w:bCs/>
                <w:color w:val="auto"/>
                <w:sz w:val="21"/>
                <w:szCs w:val="21"/>
                <w:highlight w:val="none"/>
                <w:lang w:val="en-US" w:eastAsia="zh-CN"/>
              </w:rPr>
              <w:t>；</w:t>
            </w:r>
          </w:p>
          <w:p w14:paraId="2BB4296B">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2.5 所投产品对使用条件若有特殊要求(如水、电、环境电磁干扰、地磁、振动、空 气等)须在投标文件中详细说明。仪器可长期稳定连续运行。</w:t>
            </w:r>
          </w:p>
          <w:p w14:paraId="157DC08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三</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仪器系统配置组成</w:t>
            </w:r>
          </w:p>
          <w:p w14:paraId="72E21156">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b/>
                <w:color w:val="auto"/>
                <w:sz w:val="21"/>
                <w:szCs w:val="21"/>
                <w:highlight w:val="none"/>
              </w:rPr>
            </w:pPr>
            <w:r>
              <w:rPr>
                <w:rFonts w:hint="eastAsia" w:ascii="宋体" w:hAnsi="宋体" w:cs="宋体"/>
                <w:b w:val="0"/>
                <w:bCs/>
                <w:color w:val="auto"/>
                <w:sz w:val="21"/>
                <w:szCs w:val="21"/>
                <w:highlight w:val="none"/>
                <w:lang w:val="en-US" w:eastAsia="zh-CN"/>
              </w:rPr>
              <w:t>多接收电感耦合等离子体质谱仪整套设备1套，主要包含：样品引入系统、等离子体（ICP)离子源、ICP接口、离子透镜、双聚焦质量分析器、多接收检测系统、高真空系统、数据采集和处理系统、循环水冷系统、安全保护系统及其他仪器正常工作的标准组件。</w:t>
            </w:r>
          </w:p>
          <w:p w14:paraId="11C81DC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3.1 样品引入系统：</w:t>
            </w:r>
          </w:p>
          <w:p w14:paraId="5C8694BA">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3.1.1可快速拆卸的旋流雾化进样系统</w:t>
            </w:r>
            <w:r>
              <w:rPr>
                <w:rFonts w:hint="eastAsia" w:ascii="宋体" w:hAnsi="宋体" w:eastAsia="宋体" w:cs="宋体"/>
                <w:color w:val="auto"/>
                <w:sz w:val="21"/>
                <w:szCs w:val="21"/>
                <w:highlight w:val="none"/>
              </w:rPr>
              <w:t>；</w:t>
            </w:r>
          </w:p>
          <w:p w14:paraId="17A0F11B">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3.1.2</w:t>
            </w:r>
            <w:r>
              <w:rPr>
                <w:rFonts w:hint="eastAsia" w:ascii="宋体" w:hAnsi="宋体" w:eastAsia="宋体" w:cs="宋体"/>
                <w:color w:val="auto"/>
                <w:sz w:val="21"/>
                <w:szCs w:val="21"/>
                <w:highlight w:val="none"/>
              </w:rPr>
              <w:t>自吸微流同心雾化器；</w:t>
            </w:r>
          </w:p>
          <w:p w14:paraId="139BD692">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3.1.3</w:t>
            </w:r>
            <w:r>
              <w:rPr>
                <w:rFonts w:hint="eastAsia" w:ascii="宋体" w:hAnsi="宋体" w:eastAsia="宋体" w:cs="宋体"/>
                <w:color w:val="auto"/>
                <w:sz w:val="21"/>
                <w:szCs w:val="21"/>
                <w:highlight w:val="none"/>
              </w:rPr>
              <w:t>蠕动泵≥3通道，流速可控，蠕动泵转速范围≥1～25rpm；</w:t>
            </w:r>
          </w:p>
          <w:p w14:paraId="2916CBDA">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3.1.4</w:t>
            </w:r>
            <w:r>
              <w:rPr>
                <w:rFonts w:hint="eastAsia" w:ascii="宋体" w:hAnsi="宋体" w:eastAsia="宋体" w:cs="宋体"/>
                <w:color w:val="auto"/>
                <w:sz w:val="21"/>
                <w:szCs w:val="21"/>
                <w:highlight w:val="none"/>
              </w:rPr>
              <w:t>配自动进样器(含有机玻璃罩，用于同位素分析。)和膜去溶进样系统(用于溶液去溶干法分析)各一套（包含自动进样器和膜去溶进样系统的标配、试剂瓶、备用气管、泵管、接头等）；</w:t>
            </w:r>
          </w:p>
          <w:p w14:paraId="76C6C688">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3.1.5</w:t>
            </w:r>
            <w:r>
              <w:rPr>
                <w:rFonts w:hint="eastAsia" w:ascii="宋体" w:hAnsi="宋体" w:eastAsia="宋体" w:cs="宋体"/>
                <w:color w:val="auto"/>
                <w:sz w:val="21"/>
                <w:szCs w:val="21"/>
                <w:highlight w:val="none"/>
              </w:rPr>
              <w:t>与膜去溶和激光剥蚀系统相匹配的接口装置；</w:t>
            </w:r>
          </w:p>
          <w:p w14:paraId="35B6D5CA">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3.2 ICP离子源</w:t>
            </w:r>
          </w:p>
          <w:p w14:paraId="143857E9">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3.2.1 0-2kW、27 MHz 固态射频RF发生器；稳定工作范围≥500～1600W，在不同工作模式（溶液雾化、液相、膜去溶、激光剥蚀等进样方式）条件下反射功率均≤5W；</w:t>
            </w:r>
          </w:p>
          <w:p w14:paraId="447AEF07">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3.2.2 </w:t>
            </w:r>
            <w:r>
              <w:rPr>
                <w:rFonts w:hint="eastAsia" w:ascii="宋体" w:hAnsi="宋体" w:eastAsia="宋体" w:cs="宋体"/>
                <w:color w:val="auto"/>
                <w:sz w:val="21"/>
                <w:szCs w:val="21"/>
                <w:highlight w:val="none"/>
              </w:rPr>
              <w:t>ICP石英炬管，自准直；</w:t>
            </w:r>
          </w:p>
          <w:p w14:paraId="41413654">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3.2.3 </w:t>
            </w:r>
            <w:r>
              <w:rPr>
                <w:rFonts w:hint="eastAsia" w:ascii="宋体" w:hAnsi="宋体" w:eastAsia="宋体" w:cs="宋体"/>
                <w:color w:val="auto"/>
                <w:sz w:val="21"/>
                <w:szCs w:val="21"/>
                <w:highlight w:val="none"/>
              </w:rPr>
              <w:t>水冷铜线圈；</w:t>
            </w:r>
          </w:p>
          <w:p w14:paraId="602E7B91">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3.2.4 </w:t>
            </w:r>
            <w:r>
              <w:rPr>
                <w:rFonts w:hint="eastAsia" w:ascii="宋体" w:hAnsi="宋体" w:eastAsia="宋体" w:cs="宋体"/>
                <w:color w:val="auto"/>
                <w:sz w:val="21"/>
                <w:szCs w:val="21"/>
                <w:highlight w:val="none"/>
              </w:rPr>
              <w:t>ICP炬管X/Y/Z三维台，高稳定性，位置精确可移动调节（移动精度≤0.1mm）；ICP炬管的X/Y/Z位置、点火和RF输出功率完全由计算机调控；</w:t>
            </w:r>
          </w:p>
          <w:p w14:paraId="7C8D3633">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3.2.5</w:t>
            </w:r>
            <w:r>
              <w:rPr>
                <w:rFonts w:hint="eastAsia" w:ascii="宋体" w:hAnsi="宋体" w:eastAsia="宋体" w:cs="宋体"/>
                <w:color w:val="auto"/>
                <w:sz w:val="21"/>
                <w:szCs w:val="21"/>
                <w:highlight w:val="none"/>
              </w:rPr>
              <w:t>包含≥3路气体流量控制器：至少满足冷却气、辅助气、载气3路气体流量由软件精确调控</w:t>
            </w:r>
            <w:r>
              <w:rPr>
                <w:rFonts w:hint="eastAsia" w:ascii="宋体" w:hAnsi="宋体" w:eastAsia="宋体" w:cs="宋体"/>
                <w:color w:val="auto"/>
                <w:sz w:val="21"/>
                <w:szCs w:val="21"/>
                <w:highlight w:val="none"/>
                <w:lang w:val="en-US" w:eastAsia="zh-CN"/>
              </w:rPr>
              <w:t>；</w:t>
            </w:r>
          </w:p>
          <w:p w14:paraId="1CF139A2">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3.3 ICP接口</w:t>
            </w:r>
          </w:p>
          <w:p w14:paraId="5F438543">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3.3.1</w:t>
            </w:r>
            <w:r>
              <w:rPr>
                <w:rFonts w:hint="eastAsia" w:ascii="宋体" w:hAnsi="宋体" w:eastAsia="宋体" w:cs="宋体"/>
                <w:color w:val="auto"/>
                <w:sz w:val="21"/>
                <w:szCs w:val="21"/>
                <w:highlight w:val="none"/>
              </w:rPr>
              <w:t>由采样锥和截取锥组成ICP接口，配备水冷及其安全保护装置；排风系统;</w:t>
            </w:r>
          </w:p>
          <w:p w14:paraId="0EFAABD6">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3.3.2</w:t>
            </w:r>
            <w:r>
              <w:rPr>
                <w:rFonts w:hint="eastAsia" w:ascii="宋体" w:hAnsi="宋体" w:eastAsia="宋体" w:cs="宋体"/>
                <w:color w:val="auto"/>
                <w:sz w:val="21"/>
                <w:szCs w:val="21"/>
                <w:highlight w:val="none"/>
              </w:rPr>
              <w:t>等离子体接口易于和各进样系统联接及切换；点火操作中即可进行各外设之间的切换（如湿法转换至干法）；</w:t>
            </w:r>
          </w:p>
          <w:p w14:paraId="4B91E3B8">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3.3.3</w:t>
            </w:r>
            <w:r>
              <w:rPr>
                <w:rFonts w:hint="eastAsia" w:ascii="宋体" w:hAnsi="宋体" w:eastAsia="宋体" w:cs="宋体"/>
                <w:color w:val="auto"/>
                <w:sz w:val="21"/>
                <w:szCs w:val="21"/>
                <w:highlight w:val="none"/>
              </w:rPr>
              <w:t>接口区配备大抽速干泵（抽速≥100 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w:t>
            </w:r>
          </w:p>
          <w:p w14:paraId="3E259C7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3.4 离子传输及透镜系统</w:t>
            </w:r>
          </w:p>
          <w:p w14:paraId="1A41A847">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3.4.1</w:t>
            </w:r>
            <w:r>
              <w:rPr>
                <w:rFonts w:hint="eastAsia" w:ascii="宋体" w:hAnsi="宋体" w:eastAsia="宋体" w:cs="宋体"/>
                <w:color w:val="auto"/>
                <w:sz w:val="21"/>
                <w:szCs w:val="21"/>
                <w:highlight w:val="none"/>
              </w:rPr>
              <w:t>离子透镜系统：插拔式提取透镜，易于维护更换；离子加速电压≥6Kv；</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加速电压＞6Kv</w:t>
            </w:r>
            <w:r>
              <w:rPr>
                <w:rFonts w:hint="eastAsia" w:ascii="宋体" w:hAnsi="宋体" w:eastAsia="宋体" w:cs="宋体"/>
                <w:color w:val="auto"/>
                <w:sz w:val="21"/>
                <w:szCs w:val="21"/>
                <w:highlight w:val="none"/>
                <w:lang w:val="en-US" w:eastAsia="zh-CN"/>
              </w:rPr>
              <w:t>为正偏离</w:t>
            </w:r>
            <w:r>
              <w:rPr>
                <w:rFonts w:hint="eastAsia" w:ascii="宋体" w:hAnsi="宋体" w:eastAsia="宋体" w:cs="宋体"/>
                <w:color w:val="auto"/>
                <w:sz w:val="21"/>
                <w:szCs w:val="21"/>
                <w:highlight w:val="none"/>
              </w:rPr>
              <w:t>，投标时需提供仪器界面截图并加盖</w:t>
            </w:r>
            <w:r>
              <w:rPr>
                <w:rFonts w:hint="eastAsia" w:ascii="宋体" w:hAnsi="宋体" w:eastAsia="宋体" w:cs="宋体"/>
                <w:color w:val="auto"/>
                <w:sz w:val="21"/>
                <w:szCs w:val="21"/>
                <w:highlight w:val="none"/>
                <w:lang w:val="en-US" w:eastAsia="zh-CN"/>
              </w:rPr>
              <w:t>投标人单位</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w:t>
            </w:r>
          </w:p>
          <w:p w14:paraId="2ACDC799">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3.4.2</w:t>
            </w:r>
            <w:r>
              <w:rPr>
                <w:rFonts w:hint="eastAsia" w:ascii="宋体" w:hAnsi="宋体" w:eastAsia="宋体" w:cs="宋体"/>
                <w:color w:val="auto"/>
                <w:sz w:val="21"/>
                <w:szCs w:val="21"/>
                <w:highlight w:val="none"/>
              </w:rPr>
              <w:t>入射狭缝宽度可调，最高分辨能力（RP） R</w:t>
            </w:r>
            <w:r>
              <w:rPr>
                <w:rFonts w:hint="eastAsia" w:ascii="宋体" w:hAnsi="宋体" w:eastAsia="宋体" w:cs="宋体"/>
                <w:color w:val="auto"/>
                <w:sz w:val="21"/>
                <w:szCs w:val="21"/>
                <w:highlight w:val="none"/>
                <w:vertAlign w:val="subscript"/>
              </w:rPr>
              <w:t>edge5%, 95%</w:t>
            </w:r>
            <w:r>
              <w:rPr>
                <w:rFonts w:hint="eastAsia" w:ascii="宋体" w:hAnsi="宋体" w:eastAsia="宋体" w:cs="宋体"/>
                <w:color w:val="auto"/>
                <w:sz w:val="21"/>
                <w:szCs w:val="21"/>
                <w:highlight w:val="none"/>
              </w:rPr>
              <w:t>≥8500而保持平顶峰且离子传输效率相对于低分辨率≥10%；</w:t>
            </w:r>
          </w:p>
          <w:p w14:paraId="66BC1DFA">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3.4.3</w:t>
            </w:r>
            <w:r>
              <w:rPr>
                <w:rFonts w:hint="eastAsia" w:ascii="宋体" w:hAnsi="宋体" w:eastAsia="宋体" w:cs="宋体"/>
                <w:color w:val="auto"/>
                <w:sz w:val="21"/>
                <w:szCs w:val="21"/>
                <w:highlight w:val="none"/>
              </w:rPr>
              <w:t>变焦离子光学系统；</w:t>
            </w:r>
          </w:p>
          <w:p w14:paraId="62F3A6CD">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3.5 双聚焦质量分析系统</w:t>
            </w:r>
          </w:p>
          <w:p w14:paraId="4DE03AB3">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3.5.1</w:t>
            </w:r>
            <w:r>
              <w:rPr>
                <w:rFonts w:hint="eastAsia" w:ascii="宋体" w:hAnsi="宋体" w:eastAsia="宋体" w:cs="宋体"/>
                <w:color w:val="auto"/>
                <w:sz w:val="21"/>
                <w:szCs w:val="21"/>
                <w:highlight w:val="none"/>
              </w:rPr>
              <w:t>双聚焦质量分析系统包括静电场分析器和扇形磁场分析器；</w:t>
            </w:r>
          </w:p>
          <w:p w14:paraId="180FF597">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3.5.2质量范围≥4～300amu，可同时测定离子质量数范围≥17%</w:t>
            </w:r>
            <w:r>
              <w:rPr>
                <w:rFonts w:hint="eastAsia" w:ascii="宋体" w:hAnsi="宋体" w:eastAsia="宋体" w:cs="宋体"/>
                <w:color w:val="auto"/>
                <w:sz w:val="21"/>
                <w:szCs w:val="21"/>
                <w:highlight w:val="none"/>
              </w:rPr>
              <w:t>；</w:t>
            </w:r>
          </w:p>
          <w:p w14:paraId="0E84A8A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3.6 多接收检测系统</w:t>
            </w:r>
          </w:p>
          <w:p w14:paraId="391D55A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3.6.1</w:t>
            </w:r>
            <w:r>
              <w:rPr>
                <w:rFonts w:hint="eastAsia" w:ascii="宋体" w:hAnsi="宋体" w:eastAsia="宋体" w:cs="宋体"/>
                <w:color w:val="auto"/>
                <w:sz w:val="21"/>
                <w:szCs w:val="21"/>
                <w:highlight w:val="none"/>
              </w:rPr>
              <w:t>法拉第杯：</w:t>
            </w:r>
            <w:r>
              <w:rPr>
                <w:rFonts w:hint="eastAsia" w:ascii="宋体" w:hAnsi="宋体" w:eastAsia="宋体" w:cs="宋体"/>
                <w:color w:val="auto"/>
                <w:sz w:val="21"/>
                <w:szCs w:val="21"/>
                <w:highlight w:val="none"/>
                <w:lang w:val="en-US" w:eastAsia="zh-CN"/>
              </w:rPr>
              <w:t>法拉第杯大于等于10个，保证近100%的接收效率；可校正增益消除杯接收效率系数；法拉第杯噪音＜20μV（≤2E-16A，4s～5s积分，</w:t>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vertAlign w:val="superscript"/>
              </w:rPr>
              <w:t>11</w:t>
            </w:r>
            <w:r>
              <w:rPr>
                <w:rFonts w:hint="eastAsia" w:ascii="宋体" w:hAnsi="宋体" w:eastAsia="宋体" w:cs="宋体"/>
                <w:color w:val="auto"/>
                <w:sz w:val="21"/>
                <w:szCs w:val="21"/>
                <w:highlight w:val="none"/>
              </w:rPr>
              <w:t>Ω</w:t>
            </w:r>
            <w:r>
              <w:rPr>
                <w:rFonts w:hint="eastAsia" w:ascii="宋体" w:hAnsi="宋体" w:eastAsia="宋体" w:cs="宋体"/>
                <w:color w:val="auto"/>
                <w:sz w:val="21"/>
                <w:szCs w:val="21"/>
                <w:highlight w:val="none"/>
                <w:lang w:val="en-US" w:eastAsia="zh-CN"/>
              </w:rPr>
              <w:t>放大器），</w:t>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vertAlign w:val="superscript"/>
              </w:rPr>
              <w:t>11</w:t>
            </w:r>
            <w:r>
              <w:rPr>
                <w:rFonts w:hint="eastAsia" w:ascii="宋体" w:hAnsi="宋体" w:eastAsia="宋体" w:cs="宋体"/>
                <w:color w:val="auto"/>
                <w:sz w:val="21"/>
                <w:szCs w:val="21"/>
                <w:highlight w:val="none"/>
              </w:rPr>
              <w:t>Ω</w:t>
            </w:r>
            <w:r>
              <w:rPr>
                <w:rFonts w:hint="eastAsia" w:ascii="宋体" w:hAnsi="宋体" w:eastAsia="宋体" w:cs="宋体"/>
                <w:color w:val="auto"/>
                <w:sz w:val="21"/>
                <w:szCs w:val="21"/>
                <w:highlight w:val="none"/>
                <w:lang w:val="en-US" w:eastAsia="zh-CN"/>
              </w:rPr>
              <w:t>放大器信号响应时间≤0.1s，tau校正放大器衰减在10V信号停止≤2s后低于10ppm，可校正消除放大器衰减系数</w:t>
            </w:r>
            <w:r>
              <w:rPr>
                <w:rFonts w:hint="eastAsia" w:ascii="宋体" w:hAnsi="宋体" w:eastAsia="宋体" w:cs="宋体"/>
                <w:color w:val="auto"/>
                <w:sz w:val="21"/>
                <w:szCs w:val="21"/>
                <w:highlight w:val="none"/>
              </w:rPr>
              <w:t>；</w:t>
            </w:r>
          </w:p>
          <w:p w14:paraId="393DFB5F">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3.6.2</w:t>
            </w:r>
            <w:r>
              <w:rPr>
                <w:rFonts w:hint="eastAsia" w:ascii="宋体" w:hAnsi="宋体" w:eastAsia="宋体" w:cs="宋体"/>
                <w:color w:val="auto"/>
                <w:sz w:val="21"/>
                <w:szCs w:val="21"/>
                <w:highlight w:val="none"/>
              </w:rPr>
              <w:t>除所有法拉第杯标配10</w:t>
            </w:r>
            <w:r>
              <w:rPr>
                <w:rFonts w:hint="eastAsia" w:ascii="宋体" w:hAnsi="宋体" w:eastAsia="宋体" w:cs="宋体"/>
                <w:color w:val="auto"/>
                <w:sz w:val="21"/>
                <w:szCs w:val="21"/>
                <w:highlight w:val="none"/>
                <w:vertAlign w:val="superscript"/>
              </w:rPr>
              <w:t>11</w:t>
            </w:r>
            <w:r>
              <w:rPr>
                <w:rFonts w:hint="eastAsia" w:ascii="宋体" w:hAnsi="宋体" w:eastAsia="宋体" w:cs="宋体"/>
                <w:color w:val="auto"/>
                <w:sz w:val="21"/>
                <w:szCs w:val="21"/>
                <w:highlight w:val="none"/>
              </w:rPr>
              <w:t>Ω电阻放大器外，额外低信号检测器5个以上（10</w:t>
            </w:r>
            <w:r>
              <w:rPr>
                <w:rFonts w:hint="eastAsia" w:ascii="宋体" w:hAnsi="宋体" w:eastAsia="宋体" w:cs="宋体"/>
                <w:color w:val="auto"/>
                <w:sz w:val="21"/>
                <w:szCs w:val="21"/>
                <w:highlight w:val="none"/>
                <w:vertAlign w:val="superscript"/>
              </w:rPr>
              <w:t>13</w:t>
            </w:r>
            <w:r>
              <w:rPr>
                <w:rFonts w:hint="eastAsia" w:ascii="宋体" w:hAnsi="宋体" w:eastAsia="宋体" w:cs="宋体"/>
                <w:color w:val="auto"/>
                <w:sz w:val="21"/>
                <w:szCs w:val="21"/>
                <w:highlight w:val="none"/>
              </w:rPr>
              <w:t>Ω电阻放大器或10</w:t>
            </w:r>
            <w:r>
              <w:rPr>
                <w:rFonts w:hint="eastAsia" w:ascii="宋体" w:hAnsi="宋体" w:eastAsia="宋体" w:cs="宋体"/>
                <w:color w:val="auto"/>
                <w:sz w:val="21"/>
                <w:szCs w:val="21"/>
                <w:highlight w:val="none"/>
                <w:vertAlign w:val="superscript"/>
              </w:rPr>
              <w:t>12</w:t>
            </w:r>
            <w:r>
              <w:rPr>
                <w:rFonts w:hint="eastAsia" w:ascii="宋体" w:hAnsi="宋体" w:eastAsia="宋体" w:cs="宋体"/>
                <w:color w:val="auto"/>
                <w:sz w:val="21"/>
                <w:szCs w:val="21"/>
                <w:highlight w:val="none"/>
              </w:rPr>
              <w:t>Ω电阻放大器或离子计数器）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低信号检测器</w:t>
            </w:r>
            <w:r>
              <w:rPr>
                <w:rFonts w:hint="eastAsia" w:ascii="宋体" w:hAnsi="宋体" w:eastAsia="宋体" w:cs="宋体"/>
                <w:color w:val="auto"/>
                <w:sz w:val="21"/>
                <w:szCs w:val="21"/>
                <w:highlight w:val="none"/>
              </w:rPr>
              <w:t>动态范围≥ 0～2Mcps，稳定性＜0.08%，噪音≤0.5 cps；</w:t>
            </w:r>
          </w:p>
          <w:p w14:paraId="26900158">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3.6.3</w:t>
            </w:r>
            <w:r>
              <w:rPr>
                <w:rFonts w:hint="eastAsia" w:ascii="宋体" w:hAnsi="宋体" w:eastAsia="宋体" w:cs="宋体"/>
                <w:color w:val="auto"/>
                <w:sz w:val="21"/>
                <w:szCs w:val="21"/>
                <w:highlight w:val="none"/>
              </w:rPr>
              <w:t>放大器设置：可通过软件更改法拉第杯与放大器的连接；软件通过电流校正板自动校正不同规格放大器的增益，全自动校正放大器响应时间和衰减时间；</w:t>
            </w:r>
          </w:p>
          <w:p w14:paraId="47CABA68">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3.6.4</w:t>
            </w:r>
            <w:r>
              <w:rPr>
                <w:rFonts w:hint="eastAsia" w:ascii="宋体" w:hAnsi="宋体" w:eastAsia="宋体" w:cs="宋体"/>
                <w:color w:val="auto"/>
                <w:sz w:val="21"/>
                <w:szCs w:val="21"/>
                <w:highlight w:val="none"/>
              </w:rPr>
              <w:t>法拉第杯检测信号范围：10</w:t>
            </w:r>
            <w:r>
              <w:rPr>
                <w:rFonts w:hint="eastAsia" w:ascii="宋体" w:hAnsi="宋体" w:eastAsia="宋体" w:cs="宋体"/>
                <w:color w:val="auto"/>
                <w:sz w:val="21"/>
                <w:szCs w:val="21"/>
                <w:highlight w:val="none"/>
                <w:vertAlign w:val="superscript"/>
              </w:rPr>
              <w:t>11</w:t>
            </w:r>
            <w:r>
              <w:rPr>
                <w:rFonts w:hint="eastAsia" w:ascii="宋体" w:hAnsi="宋体" w:eastAsia="宋体" w:cs="宋体"/>
                <w:color w:val="auto"/>
                <w:sz w:val="21"/>
                <w:szCs w:val="21"/>
                <w:highlight w:val="none"/>
              </w:rPr>
              <w:t>Ω放大器电阻的法拉第杯，信号范围≥0～55V；10</w:t>
            </w:r>
            <w:r>
              <w:rPr>
                <w:rFonts w:hint="eastAsia" w:ascii="宋体" w:hAnsi="宋体" w:eastAsia="宋体" w:cs="宋体"/>
                <w:color w:val="auto"/>
                <w:sz w:val="21"/>
                <w:szCs w:val="21"/>
                <w:highlight w:val="none"/>
                <w:vertAlign w:val="superscript"/>
              </w:rPr>
              <w:t>13</w:t>
            </w:r>
            <w:r>
              <w:rPr>
                <w:rFonts w:hint="eastAsia" w:ascii="宋体" w:hAnsi="宋体" w:eastAsia="宋体" w:cs="宋体"/>
                <w:color w:val="auto"/>
                <w:sz w:val="21"/>
                <w:szCs w:val="21"/>
                <w:highlight w:val="none"/>
              </w:rPr>
              <w:t>Ω：0</w:t>
            </w:r>
            <w:r>
              <w:rPr>
                <w:rFonts w:hint="eastAsia" w:ascii="宋体" w:hAnsi="宋体" w:eastAsia="宋体" w:cs="宋体"/>
                <w:bCs/>
                <w:color w:val="auto"/>
                <w:sz w:val="21"/>
                <w:szCs w:val="21"/>
                <w:highlight w:val="none"/>
                <w:lang w:val="en-US" w:eastAsia="zh-CN"/>
              </w:rPr>
              <w:t>～</w:t>
            </w:r>
            <w:r>
              <w:rPr>
                <w:rFonts w:hint="eastAsia" w:ascii="宋体" w:hAnsi="宋体" w:eastAsia="宋体" w:cs="宋体"/>
                <w:color w:val="auto"/>
                <w:sz w:val="21"/>
                <w:szCs w:val="21"/>
                <w:highlight w:val="none"/>
              </w:rPr>
              <w:t>0.55V。</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正偏离：</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vertAlign w:val="superscript"/>
              </w:rPr>
              <w:t>11</w:t>
            </w:r>
            <w:r>
              <w:rPr>
                <w:rFonts w:hint="eastAsia" w:ascii="宋体" w:hAnsi="宋体" w:eastAsia="宋体" w:cs="宋体"/>
                <w:color w:val="auto"/>
                <w:sz w:val="21"/>
                <w:szCs w:val="21"/>
                <w:highlight w:val="none"/>
              </w:rPr>
              <w:t>Ω放大器电阻的法拉第杯</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信号范围＞0～55V；</w:t>
            </w:r>
            <w:r>
              <w:rPr>
                <w:rFonts w:hint="eastAsia" w:ascii="宋体" w:hAnsi="宋体" w:eastAsia="宋体" w:cs="宋体"/>
                <w:color w:val="auto"/>
                <w:sz w:val="21"/>
                <w:szCs w:val="21"/>
                <w:highlight w:val="none"/>
                <w:lang w:val="en-US" w:eastAsia="zh-CN"/>
              </w:rPr>
              <w:t>无偏离：</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vertAlign w:val="superscript"/>
                <w:lang w:val="en-US" w:eastAsia="zh-CN"/>
              </w:rPr>
              <w:t>11</w:t>
            </w:r>
            <w:r>
              <w:rPr>
                <w:rFonts w:hint="eastAsia" w:ascii="宋体" w:hAnsi="宋体" w:cs="宋体"/>
                <w:color w:val="auto"/>
                <w:sz w:val="21"/>
                <w:szCs w:val="21"/>
                <w:highlight w:val="none"/>
                <w:lang w:val="en-US" w:eastAsia="zh-CN"/>
              </w:rPr>
              <w:t>Ω放大器电阻的法拉第杯的</w:t>
            </w:r>
            <w:r>
              <w:rPr>
                <w:rFonts w:hint="eastAsia" w:ascii="宋体" w:hAnsi="宋体" w:eastAsia="宋体" w:cs="宋体"/>
                <w:color w:val="auto"/>
                <w:sz w:val="21"/>
                <w:szCs w:val="21"/>
                <w:highlight w:val="none"/>
              </w:rPr>
              <w:t>信号范围0～55V</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投标时需提供</w:t>
            </w:r>
            <w:r>
              <w:rPr>
                <w:rFonts w:hint="eastAsia" w:ascii="宋体" w:hAnsi="宋体" w:eastAsia="宋体" w:cs="宋体"/>
                <w:color w:val="auto"/>
                <w:sz w:val="21"/>
                <w:szCs w:val="21"/>
                <w:highlight w:val="none"/>
                <w:lang w:val="en-US" w:eastAsia="zh-CN"/>
              </w:rPr>
              <w:t>投标时需提供操作软件界面的参数截图或照片并加盖投标人单位公章</w:t>
            </w:r>
            <w:r>
              <w:rPr>
                <w:rFonts w:hint="eastAsia" w:ascii="宋体" w:hAnsi="宋体" w:eastAsia="宋体" w:cs="宋体"/>
                <w:color w:val="auto"/>
                <w:sz w:val="21"/>
                <w:szCs w:val="21"/>
                <w:highlight w:val="none"/>
                <w:lang w:eastAsia="zh-CN"/>
              </w:rPr>
              <w:t>】</w:t>
            </w:r>
          </w:p>
          <w:p w14:paraId="5FBEEA02">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3.6.5放大器室恒温控制，精度≤0.1℃，稳定性≤0.1℃/h</w:t>
            </w:r>
            <w:r>
              <w:rPr>
                <w:rFonts w:hint="eastAsia" w:ascii="宋体" w:hAnsi="宋体" w:eastAsia="宋体" w:cs="宋体"/>
                <w:color w:val="auto"/>
                <w:sz w:val="21"/>
                <w:szCs w:val="21"/>
                <w:highlight w:val="none"/>
              </w:rPr>
              <w:t>；</w:t>
            </w:r>
          </w:p>
          <w:p w14:paraId="587BC469">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3.6.6</w:t>
            </w:r>
            <w:r>
              <w:rPr>
                <w:rFonts w:hint="eastAsia" w:ascii="宋体" w:hAnsi="宋体" w:eastAsia="宋体" w:cs="宋体"/>
                <w:color w:val="auto"/>
                <w:sz w:val="21"/>
                <w:szCs w:val="21"/>
                <w:highlight w:val="none"/>
              </w:rPr>
              <w:t>与激光联用时，可一次激光采样用法拉第杯和离子计数器同时静态测定和瞬时信号（TRA）测定同位素的相关比值。</w:t>
            </w:r>
          </w:p>
          <w:p w14:paraId="6F698AA1">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3.7 真空系统</w:t>
            </w:r>
          </w:p>
          <w:p w14:paraId="26B0EFD7">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完全受隔离阀保护的多级分子泵和/或离子泵真空系统，分子泵采用水冷保护。在点火工作状态下，ICP接口部分的真空≤1</w:t>
            </w:r>
            <w:r>
              <w:rPr>
                <w:rFonts w:hint="eastAsia" w:ascii="宋体" w:hAnsi="宋体" w:eastAsia="宋体" w:cs="宋体"/>
                <w:color w:val="auto"/>
                <w:sz w:val="21"/>
                <w:szCs w:val="21"/>
                <w:highlight w:val="none"/>
                <w:vertAlign w:val="superscript"/>
              </w:rPr>
              <w:t xml:space="preserve"> </w:t>
            </w:r>
            <w:r>
              <w:rPr>
                <w:rFonts w:hint="eastAsia" w:ascii="宋体" w:hAnsi="宋体" w:eastAsia="宋体" w:cs="宋体"/>
                <w:color w:val="auto"/>
                <w:sz w:val="21"/>
                <w:szCs w:val="21"/>
                <w:highlight w:val="none"/>
              </w:rPr>
              <w:t>mbar，分析器部分的真空度 ≤10</w:t>
            </w:r>
            <w:r>
              <w:rPr>
                <w:rFonts w:hint="eastAsia" w:ascii="宋体" w:hAnsi="宋体" w:eastAsia="宋体" w:cs="宋体"/>
                <w:color w:val="auto"/>
                <w:sz w:val="21"/>
                <w:szCs w:val="21"/>
                <w:highlight w:val="none"/>
                <w:vertAlign w:val="superscript"/>
              </w:rPr>
              <w:t xml:space="preserve">-8 </w:t>
            </w:r>
            <w:r>
              <w:rPr>
                <w:rFonts w:hint="eastAsia" w:ascii="宋体" w:hAnsi="宋体" w:eastAsia="宋体" w:cs="宋体"/>
                <w:color w:val="auto"/>
                <w:sz w:val="21"/>
                <w:szCs w:val="21"/>
                <w:highlight w:val="none"/>
              </w:rPr>
              <w:t>mbar。配备烘烤装置，烘烤后可恢复高真空度。</w:t>
            </w:r>
          </w:p>
          <w:p w14:paraId="3386201C">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3.8 循环水冷系统</w:t>
            </w:r>
          </w:p>
          <w:p w14:paraId="3BA74136">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满足ICP接口、负载RF线圈、RF发生器、分子泵、磁铁等部件的冷却。</w:t>
            </w:r>
          </w:p>
          <w:p w14:paraId="34C6A0CE">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3.9安全保护系统</w:t>
            </w:r>
          </w:p>
          <w:p w14:paraId="673D7875">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仪器对RF发生器、真空系统、质量分析器、高压电源和高温等离子体炬等带有自动安全保护装置。</w:t>
            </w:r>
          </w:p>
          <w:p w14:paraId="5D1C32E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四、</w:t>
            </w:r>
            <w:r>
              <w:rPr>
                <w:rFonts w:hint="eastAsia" w:ascii="宋体" w:hAnsi="宋体" w:eastAsia="宋体" w:cs="宋体"/>
                <w:b/>
                <w:color w:val="auto"/>
                <w:sz w:val="21"/>
                <w:szCs w:val="21"/>
                <w:highlight w:val="none"/>
              </w:rPr>
              <w:t>仪器技术指标</w:t>
            </w:r>
          </w:p>
          <w:p w14:paraId="4471B58A">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4</w:t>
            </w:r>
            <w:r>
              <w:rPr>
                <w:rFonts w:hint="eastAsia" w:ascii="宋体" w:hAnsi="宋体" w:eastAsia="宋体" w:cs="宋体"/>
                <w:b/>
                <w:color w:val="auto"/>
                <w:sz w:val="21"/>
                <w:szCs w:val="21"/>
                <w:highlight w:val="none"/>
              </w:rPr>
              <w:t>.1信号稳定性</w:t>
            </w:r>
          </w:p>
          <w:p w14:paraId="473EEA8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在不同锥条件下，稳定性（RSD）</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%/(2h)；</w:t>
            </w:r>
          </w:p>
          <w:p w14:paraId="2E2B33E2">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4</w:t>
            </w:r>
            <w:r>
              <w:rPr>
                <w:rFonts w:hint="eastAsia" w:ascii="宋体" w:hAnsi="宋体" w:eastAsia="宋体" w:cs="宋体"/>
                <w:b/>
                <w:color w:val="auto"/>
                <w:sz w:val="21"/>
                <w:szCs w:val="21"/>
                <w:highlight w:val="none"/>
              </w:rPr>
              <w:t>.2系统稳定性</w:t>
            </w:r>
          </w:p>
          <w:p w14:paraId="4DCCA843">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系统质量稳定性＜50 ppm/h；</w:t>
            </w:r>
          </w:p>
          <w:p w14:paraId="2308A00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4</w:t>
            </w:r>
            <w:r>
              <w:rPr>
                <w:rFonts w:hint="eastAsia" w:ascii="宋体" w:hAnsi="宋体" w:eastAsia="宋体" w:cs="宋体"/>
                <w:b/>
                <w:color w:val="auto"/>
                <w:sz w:val="21"/>
                <w:szCs w:val="21"/>
                <w:highlight w:val="none"/>
              </w:rPr>
              <w:t>.3分辨率</w:t>
            </w:r>
          </w:p>
          <w:p w14:paraId="083A6B11">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w:t>
            </w:r>
            <w:r>
              <w:rPr>
                <w:rFonts w:hint="eastAsia" w:ascii="宋体" w:hAnsi="宋体" w:eastAsia="宋体" w:cs="宋体"/>
                <w:color w:val="auto"/>
                <w:sz w:val="21"/>
                <w:szCs w:val="21"/>
                <w:highlight w:val="none"/>
              </w:rPr>
              <w:t>.1 低分辨率：≥300（10%峰谷）；</w:t>
            </w:r>
          </w:p>
          <w:p w14:paraId="340FD784">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 中分辨率：＞6000（边缘 5,95%）, 15%传输效率；</w:t>
            </w:r>
          </w:p>
          <w:p w14:paraId="00985450">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.3 高分辨率：</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9000（边缘 5,95%），10%传输效率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w:t>
            </w:r>
          </w:p>
          <w:p w14:paraId="438CF0AD">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4</w:t>
            </w:r>
            <w:r>
              <w:rPr>
                <w:rFonts w:hint="eastAsia" w:ascii="宋体" w:hAnsi="宋体" w:eastAsia="宋体" w:cs="宋体"/>
                <w:b/>
                <w:color w:val="auto"/>
                <w:sz w:val="21"/>
                <w:szCs w:val="21"/>
                <w:highlight w:val="none"/>
              </w:rPr>
              <w:t>.4质量分析范围</w:t>
            </w:r>
          </w:p>
          <w:p w14:paraId="5E16FE2E">
            <w:pPr>
              <w:keepNext w:val="0"/>
              <w:keepLines w:val="0"/>
              <w:pageBreakBefore w:val="0"/>
              <w:widowControl w:val="0"/>
              <w:kinsoku/>
              <w:wordWrap/>
              <w:overflowPunct/>
              <w:topLinePunct w:val="0"/>
              <w:autoSpaceDE/>
              <w:autoSpaceDN/>
              <w:bidi w:val="0"/>
              <w:adjustRightInd/>
              <w:snapToGrid/>
              <w:spacing w:after="0" w:line="400" w:lineRule="exact"/>
              <w:ind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质量分析范围≥4～300amu；质量色散范围≥17%；</w:t>
            </w:r>
            <w:r>
              <w:rPr>
                <w:rFonts w:hint="eastAsia" w:ascii="宋体" w:hAnsi="宋体" w:eastAsia="宋体" w:cs="宋体"/>
                <w:b/>
                <w:color w:val="auto"/>
                <w:sz w:val="21"/>
                <w:szCs w:val="21"/>
                <w:highlight w:val="none"/>
                <w:lang w:val="en-US" w:eastAsia="zh-CN"/>
              </w:rPr>
              <w:t xml:space="preserve"> </w:t>
            </w:r>
          </w:p>
          <w:p w14:paraId="3442084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4</w:t>
            </w:r>
            <w:r>
              <w:rPr>
                <w:rFonts w:hint="eastAsia" w:ascii="宋体" w:hAnsi="宋体" w:eastAsia="宋体" w:cs="宋体"/>
                <w:b/>
                <w:color w:val="auto"/>
                <w:sz w:val="21"/>
                <w:szCs w:val="21"/>
                <w:highlight w:val="none"/>
              </w:rPr>
              <w:t>.5法拉第杯及放大器</w:t>
            </w:r>
          </w:p>
          <w:p w14:paraId="6851B152">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Cs/>
                <w:color w:val="auto"/>
                <w:sz w:val="21"/>
                <w:szCs w:val="21"/>
                <w:highlight w:val="none"/>
              </w:rPr>
              <w:t>法拉第杯背景噪音≤20 μV，Tau校正后，</w:t>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vertAlign w:val="superscript"/>
              </w:rPr>
              <w:t>11</w:t>
            </w:r>
            <w:r>
              <w:rPr>
                <w:rFonts w:hint="eastAsia" w:ascii="宋体" w:hAnsi="宋体" w:eastAsia="宋体" w:cs="宋体"/>
                <w:color w:val="auto"/>
                <w:sz w:val="21"/>
                <w:szCs w:val="21"/>
                <w:highlight w:val="none"/>
              </w:rPr>
              <w:t>Ω</w:t>
            </w:r>
            <w:r>
              <w:rPr>
                <w:rFonts w:hint="eastAsia" w:ascii="宋体" w:hAnsi="宋体" w:eastAsia="宋体" w:cs="宋体"/>
                <w:bCs/>
                <w:color w:val="auto"/>
                <w:sz w:val="21"/>
                <w:szCs w:val="21"/>
                <w:highlight w:val="none"/>
              </w:rPr>
              <w:t>放大器响应衰减在信号停止≤2s后低于10ppm；10</w:t>
            </w:r>
            <w:r>
              <w:rPr>
                <w:rFonts w:hint="eastAsia" w:ascii="宋体" w:hAnsi="宋体" w:eastAsia="宋体" w:cs="宋体"/>
                <w:bCs/>
                <w:color w:val="auto"/>
                <w:sz w:val="21"/>
                <w:szCs w:val="21"/>
                <w:highlight w:val="none"/>
                <w:vertAlign w:val="superscript"/>
              </w:rPr>
              <w:t>13</w:t>
            </w:r>
            <w:r>
              <w:rPr>
                <w:rFonts w:hint="eastAsia" w:ascii="宋体" w:hAnsi="宋体" w:eastAsia="宋体" w:cs="宋体"/>
                <w:bCs/>
                <w:color w:val="auto"/>
                <w:sz w:val="21"/>
                <w:szCs w:val="21"/>
                <w:highlight w:val="none"/>
              </w:rPr>
              <w:t>Ω放大器响应衰减时间≤ 8秒内低于100 ppm</w:t>
            </w:r>
            <w:r>
              <w:rPr>
                <w:rFonts w:hint="eastAsia" w:ascii="宋体" w:hAnsi="宋体" w:eastAsia="宋体" w:cs="宋体"/>
                <w:bCs/>
                <w:color w:val="auto"/>
                <w:sz w:val="21"/>
                <w:szCs w:val="21"/>
                <w:highlight w:val="none"/>
                <w:lang w:eastAsia="zh-CN"/>
              </w:rPr>
              <w:t>；</w:t>
            </w:r>
          </w:p>
          <w:p w14:paraId="46429BDD">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4</w:t>
            </w:r>
            <w:r>
              <w:rPr>
                <w:rFonts w:hint="eastAsia" w:ascii="宋体" w:hAnsi="宋体" w:eastAsia="宋体" w:cs="宋体"/>
                <w:b/>
                <w:color w:val="auto"/>
                <w:sz w:val="21"/>
                <w:szCs w:val="21"/>
                <w:highlight w:val="none"/>
              </w:rPr>
              <w:t>.6 离子计数器</w:t>
            </w:r>
          </w:p>
          <w:p w14:paraId="36A276A3">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4.6.1</w:t>
            </w:r>
            <w:r>
              <w:rPr>
                <w:rFonts w:hint="eastAsia" w:ascii="宋体" w:hAnsi="宋体" w:eastAsia="宋体" w:cs="宋体"/>
                <w:color w:val="auto"/>
                <w:sz w:val="21"/>
                <w:szCs w:val="21"/>
                <w:highlight w:val="none"/>
              </w:rPr>
              <w:t>动态范围：0-1.2 Mcps；</w:t>
            </w:r>
          </w:p>
          <w:p w14:paraId="6D393215">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4.6.2</w:t>
            </w:r>
            <w:r>
              <w:rPr>
                <w:rFonts w:hint="eastAsia" w:ascii="宋体" w:hAnsi="宋体" w:eastAsia="宋体" w:cs="宋体"/>
                <w:color w:val="auto"/>
                <w:sz w:val="21"/>
                <w:szCs w:val="21"/>
                <w:highlight w:val="none"/>
              </w:rPr>
              <w:t>噪音：＜0.1cps ；</w:t>
            </w:r>
          </w:p>
          <w:p w14:paraId="299AEB79">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4.6.3</w:t>
            </w:r>
            <w:r>
              <w:rPr>
                <w:rFonts w:hint="eastAsia" w:ascii="宋体" w:hAnsi="宋体" w:eastAsia="宋体" w:cs="宋体"/>
                <w:color w:val="auto"/>
                <w:sz w:val="21"/>
                <w:szCs w:val="21"/>
                <w:highlight w:val="none"/>
              </w:rPr>
              <w:t>稳定性：＜0.1 %/hr (RSD) at 100,000cps</w:t>
            </w:r>
            <w:r>
              <w:rPr>
                <w:rFonts w:hint="eastAsia" w:ascii="宋体" w:hAnsi="宋体" w:eastAsia="宋体" w:cs="宋体"/>
                <w:color w:val="auto"/>
                <w:sz w:val="21"/>
                <w:szCs w:val="21"/>
                <w:highlight w:val="none"/>
                <w:lang w:val="en-US" w:eastAsia="zh-CN"/>
              </w:rPr>
              <w:t>；</w:t>
            </w:r>
          </w:p>
          <w:p w14:paraId="4236A852">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4</w:t>
            </w:r>
            <w:r>
              <w:rPr>
                <w:rFonts w:hint="eastAsia" w:ascii="宋体" w:hAnsi="宋体" w:eastAsia="宋体" w:cs="宋体"/>
                <w:b/>
                <w:color w:val="auto"/>
                <w:sz w:val="21"/>
                <w:szCs w:val="21"/>
                <w:highlight w:val="none"/>
              </w:rPr>
              <w:t>.7丰度灵敏度</w:t>
            </w:r>
            <w:r>
              <w:rPr>
                <w:rFonts w:hint="eastAsia" w:ascii="宋体" w:hAnsi="宋体" w:eastAsia="宋体" w:cs="宋体"/>
                <w:color w:val="auto"/>
                <w:sz w:val="21"/>
                <w:szCs w:val="21"/>
                <w:highlight w:val="none"/>
                <w:lang w:eastAsia="zh-CN"/>
              </w:rPr>
              <w:t>（237U）：</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5 ppm</w:t>
            </w:r>
            <w:r>
              <w:rPr>
                <w:rFonts w:hint="eastAsia" w:ascii="宋体" w:hAnsi="宋体" w:eastAsia="宋体" w:cs="宋体"/>
                <w:color w:val="auto"/>
                <w:sz w:val="21"/>
                <w:szCs w:val="21"/>
                <w:highlight w:val="none"/>
                <w:lang w:val="en-US" w:eastAsia="zh-CN"/>
              </w:rPr>
              <w:t>；</w:t>
            </w:r>
          </w:p>
          <w:p w14:paraId="67157C2F">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▲4</w:t>
            </w:r>
            <w:r>
              <w:rPr>
                <w:rFonts w:hint="eastAsia" w:ascii="宋体" w:hAnsi="宋体" w:eastAsia="宋体" w:cs="宋体"/>
                <w:b/>
                <w:color w:val="auto"/>
                <w:sz w:val="21"/>
                <w:szCs w:val="21"/>
                <w:highlight w:val="none"/>
              </w:rPr>
              <w:t>.8 信号灵敏度</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投标时需提供仪器厂商检测数据统计报告或其他同等效力检测报告并加盖投标人单位公章</w:t>
            </w:r>
            <w:r>
              <w:rPr>
                <w:rFonts w:hint="eastAsia" w:ascii="宋体" w:hAnsi="宋体" w:eastAsia="宋体" w:cs="宋体"/>
                <w:b w:val="0"/>
                <w:bCs/>
                <w:color w:val="auto"/>
                <w:sz w:val="21"/>
                <w:szCs w:val="21"/>
                <w:highlight w:val="none"/>
                <w:lang w:eastAsia="zh-CN"/>
              </w:rPr>
              <w:t>】</w:t>
            </w:r>
          </w:p>
          <w:p w14:paraId="4F2C754B">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4.8.1</w:t>
            </w:r>
            <w:r>
              <w:rPr>
                <w:rFonts w:hint="eastAsia" w:ascii="宋体" w:hAnsi="宋体" w:eastAsia="宋体" w:cs="宋体"/>
                <w:color w:val="auto"/>
                <w:sz w:val="21"/>
                <w:szCs w:val="21"/>
                <w:highlight w:val="none"/>
              </w:rPr>
              <w:t>使用100μL/min雾化器湿法进样获得的信号灵敏度（标准锥）（V/ppm）</w:t>
            </w:r>
          </w:p>
          <w:p w14:paraId="7C46704C">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Li≥15；Fe≥</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MR)；Sr≥40；Nd≥45；Hf≥45；Pb≥50；U≥50；</w:t>
            </w:r>
          </w:p>
          <w:p w14:paraId="5250BE49">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4.8.2</w:t>
            </w:r>
            <w:r>
              <w:rPr>
                <w:rFonts w:hint="eastAsia" w:ascii="宋体" w:hAnsi="宋体" w:eastAsia="宋体" w:cs="宋体"/>
                <w:color w:val="auto"/>
                <w:sz w:val="21"/>
                <w:szCs w:val="21"/>
                <w:highlight w:val="none"/>
              </w:rPr>
              <w:t xml:space="preserve"> 使用100μL/min PFA雾化器膜去溶干法进样获得的信号灵敏度（V/ppm）</w:t>
            </w:r>
          </w:p>
          <w:p w14:paraId="3C2DEF7F">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Li≥500；Fe≥</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0；Sr≥900；Nd≥700；Hf≥1000；Pb≥1200；U≥1000</w:t>
            </w:r>
            <w:r>
              <w:rPr>
                <w:rFonts w:hint="eastAsia" w:ascii="宋体" w:hAnsi="宋体" w:eastAsia="宋体" w:cs="宋体"/>
                <w:color w:val="auto"/>
                <w:sz w:val="21"/>
                <w:szCs w:val="21"/>
                <w:highlight w:val="none"/>
                <w:lang w:val="en-US" w:eastAsia="zh-CN"/>
              </w:rPr>
              <w:t>；</w:t>
            </w:r>
          </w:p>
          <w:p w14:paraId="6736C8FA">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▲4</w:t>
            </w:r>
            <w:r>
              <w:rPr>
                <w:rFonts w:hint="eastAsia" w:ascii="宋体" w:hAnsi="宋体" w:eastAsia="宋体" w:cs="宋体"/>
                <w:b/>
                <w:color w:val="auto"/>
                <w:sz w:val="21"/>
                <w:szCs w:val="21"/>
                <w:highlight w:val="none"/>
              </w:rPr>
              <w:t>.9分析精密度</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投标时需提供仪器厂商检测数据统计报告或其他同等效力检测报告并加盖投标人单位公章</w:t>
            </w:r>
            <w:r>
              <w:rPr>
                <w:rFonts w:hint="eastAsia" w:ascii="宋体" w:hAnsi="宋体" w:eastAsia="宋体" w:cs="宋体"/>
                <w:b w:val="0"/>
                <w:bCs/>
                <w:color w:val="auto"/>
                <w:sz w:val="21"/>
                <w:szCs w:val="21"/>
                <w:highlight w:val="none"/>
                <w:lang w:eastAsia="zh-CN"/>
              </w:rPr>
              <w:t>】</w:t>
            </w:r>
          </w:p>
          <w:p w14:paraId="48DC7CC2">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使用标准样品锥和截取锥、100μL/min石英雾化器湿法进样和使用高灵敏度样品锥和截取锥、100μL/min PFA雾化器膜去溶进样，常规样品分析不少于10次测量的同位素比值均达到以下精密度 (与</w:t>
            </w:r>
            <w:r>
              <w:rPr>
                <w:rFonts w:hint="eastAsia" w:ascii="宋体" w:hAnsi="宋体" w:eastAsia="宋体" w:cs="宋体"/>
                <w:color w:val="auto"/>
                <w:sz w:val="21"/>
                <w:szCs w:val="21"/>
                <w:highlight w:val="none"/>
                <w:lang w:eastAsia="zh-CN"/>
              </w:rPr>
              <w:t>准确度</w:t>
            </w:r>
            <w:r>
              <w:rPr>
                <w:rFonts w:hint="eastAsia" w:ascii="宋体" w:hAnsi="宋体" w:eastAsia="宋体" w:cs="宋体"/>
                <w:color w:val="auto"/>
                <w:sz w:val="21"/>
                <w:szCs w:val="21"/>
                <w:highlight w:val="none"/>
              </w:rPr>
              <w:t>同时进行)</w:t>
            </w:r>
            <w:r>
              <w:rPr>
                <w:rFonts w:hint="eastAsia" w:ascii="宋体" w:hAnsi="宋体" w:eastAsia="宋体" w:cs="宋体"/>
                <w:color w:val="auto"/>
                <w:sz w:val="21"/>
                <w:szCs w:val="21"/>
                <w:highlight w:val="none"/>
                <w:lang w:eastAsia="zh-CN"/>
              </w:rPr>
              <w:t>，</w:t>
            </w:r>
          </w:p>
          <w:p w14:paraId="63C61FF4">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同位素比值的内精度RSE(1s,n≥10)和外精度RSD(1s,n≥10）分别优于：</w:t>
            </w:r>
          </w:p>
          <w:p w14:paraId="405B9AB3">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7Li/6Li≤</w:t>
            </w:r>
            <w:r>
              <w:rPr>
                <w:rFonts w:hint="eastAsia" w:ascii="宋体" w:hAnsi="宋体" w:eastAsia="宋体" w:cs="宋体"/>
                <w:color w:val="auto"/>
                <w:sz w:val="21"/>
                <w:szCs w:val="21"/>
                <w:highlight w:val="none"/>
                <w:lang w:eastAsia="zh-CN"/>
              </w:rPr>
              <w:t>100</w:t>
            </w:r>
            <w:r>
              <w:rPr>
                <w:rFonts w:hint="eastAsia" w:ascii="宋体" w:hAnsi="宋体" w:eastAsia="宋体" w:cs="宋体"/>
                <w:color w:val="auto"/>
                <w:sz w:val="21"/>
                <w:szCs w:val="21"/>
                <w:highlight w:val="none"/>
              </w:rPr>
              <w:t xml:space="preserve"> ppm和≤</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00ppm；</w:t>
            </w:r>
          </w:p>
          <w:p w14:paraId="59880DCE">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87Sr/86Sr≤</w:t>
            </w:r>
            <w:r>
              <w:rPr>
                <w:rFonts w:hint="eastAsia" w:ascii="宋体" w:hAnsi="宋体" w:eastAsia="宋体" w:cs="宋体"/>
                <w:color w:val="auto"/>
                <w:sz w:val="21"/>
                <w:szCs w:val="21"/>
                <w:highlight w:val="none"/>
                <w:lang w:eastAsia="zh-CN"/>
              </w:rPr>
              <w:t>15</w:t>
            </w:r>
            <w:r>
              <w:rPr>
                <w:rFonts w:hint="eastAsia" w:ascii="宋体" w:hAnsi="宋体" w:eastAsia="宋体" w:cs="宋体"/>
                <w:color w:val="auto"/>
                <w:sz w:val="21"/>
                <w:szCs w:val="21"/>
                <w:highlight w:val="none"/>
              </w:rPr>
              <w:t xml:space="preserve"> ppm和≤</w:t>
            </w:r>
            <w:r>
              <w:rPr>
                <w:rFonts w:hint="eastAsia" w:ascii="宋体" w:hAnsi="宋体" w:eastAsia="宋体" w:cs="宋体"/>
                <w:color w:val="auto"/>
                <w:sz w:val="21"/>
                <w:szCs w:val="21"/>
                <w:highlight w:val="none"/>
                <w:lang w:eastAsia="zh-CN"/>
              </w:rPr>
              <w:t>15</w:t>
            </w:r>
            <w:r>
              <w:rPr>
                <w:rFonts w:hint="eastAsia" w:ascii="宋体" w:hAnsi="宋体" w:eastAsia="宋体" w:cs="宋体"/>
                <w:color w:val="auto"/>
                <w:sz w:val="21"/>
                <w:szCs w:val="21"/>
                <w:highlight w:val="none"/>
              </w:rPr>
              <w:t>ppm；</w:t>
            </w:r>
          </w:p>
          <w:p w14:paraId="50508A26">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143Nd/144Nd≤</w:t>
            </w:r>
            <w:r>
              <w:rPr>
                <w:rFonts w:hint="eastAsia" w:ascii="宋体" w:hAnsi="宋体" w:eastAsia="宋体" w:cs="宋体"/>
                <w:color w:val="auto"/>
                <w:sz w:val="21"/>
                <w:szCs w:val="21"/>
                <w:highlight w:val="none"/>
                <w:lang w:eastAsia="zh-CN"/>
              </w:rPr>
              <w:t>15</w:t>
            </w:r>
            <w:r>
              <w:rPr>
                <w:rFonts w:hint="eastAsia" w:ascii="宋体" w:hAnsi="宋体" w:eastAsia="宋体" w:cs="宋体"/>
                <w:color w:val="auto"/>
                <w:sz w:val="21"/>
                <w:szCs w:val="21"/>
                <w:highlight w:val="none"/>
              </w:rPr>
              <w:t xml:space="preserve"> ppm和≤</w:t>
            </w:r>
            <w:r>
              <w:rPr>
                <w:rFonts w:hint="eastAsia" w:ascii="宋体" w:hAnsi="宋体" w:eastAsia="宋体" w:cs="宋体"/>
                <w:color w:val="auto"/>
                <w:sz w:val="21"/>
                <w:szCs w:val="21"/>
                <w:highlight w:val="none"/>
                <w:lang w:eastAsia="zh-CN"/>
              </w:rPr>
              <w:t>15</w:t>
            </w:r>
            <w:r>
              <w:rPr>
                <w:rFonts w:hint="eastAsia" w:ascii="宋体" w:hAnsi="宋体" w:eastAsia="宋体" w:cs="宋体"/>
                <w:color w:val="auto"/>
                <w:sz w:val="21"/>
                <w:szCs w:val="21"/>
                <w:highlight w:val="none"/>
              </w:rPr>
              <w:t xml:space="preserve"> ppm；</w:t>
            </w:r>
          </w:p>
          <w:p w14:paraId="2DC7F373">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176Hf/177Hf≤</w:t>
            </w:r>
            <w:r>
              <w:rPr>
                <w:rFonts w:hint="eastAsia" w:ascii="宋体" w:hAnsi="宋体" w:eastAsia="宋体" w:cs="宋体"/>
                <w:color w:val="auto"/>
                <w:sz w:val="21"/>
                <w:szCs w:val="21"/>
                <w:highlight w:val="none"/>
                <w:lang w:eastAsia="zh-CN"/>
              </w:rPr>
              <w:t>15</w:t>
            </w:r>
            <w:r>
              <w:rPr>
                <w:rFonts w:hint="eastAsia" w:ascii="宋体" w:hAnsi="宋体" w:eastAsia="宋体" w:cs="宋体"/>
                <w:color w:val="auto"/>
                <w:sz w:val="21"/>
                <w:szCs w:val="21"/>
                <w:highlight w:val="none"/>
              </w:rPr>
              <w:t xml:space="preserve"> ppm和≤</w:t>
            </w:r>
            <w:r>
              <w:rPr>
                <w:rFonts w:hint="eastAsia" w:ascii="宋体" w:hAnsi="宋体" w:eastAsia="宋体" w:cs="宋体"/>
                <w:color w:val="auto"/>
                <w:sz w:val="21"/>
                <w:szCs w:val="21"/>
                <w:highlight w:val="none"/>
                <w:lang w:eastAsia="zh-CN"/>
              </w:rPr>
              <w:t>15</w:t>
            </w:r>
            <w:r>
              <w:rPr>
                <w:rFonts w:hint="eastAsia" w:ascii="宋体" w:hAnsi="宋体" w:eastAsia="宋体" w:cs="宋体"/>
                <w:color w:val="auto"/>
                <w:sz w:val="21"/>
                <w:szCs w:val="21"/>
                <w:highlight w:val="none"/>
              </w:rPr>
              <w:t>ppm；</w:t>
            </w:r>
          </w:p>
          <w:p w14:paraId="345A5200">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207Pb/206Pb≤</w:t>
            </w:r>
            <w:r>
              <w:rPr>
                <w:rFonts w:hint="eastAsia" w:ascii="宋体" w:hAnsi="宋体" w:eastAsia="宋体" w:cs="宋体"/>
                <w:color w:val="auto"/>
                <w:sz w:val="21"/>
                <w:szCs w:val="21"/>
                <w:highlight w:val="none"/>
                <w:lang w:eastAsia="zh-CN"/>
              </w:rPr>
              <w:t>15</w:t>
            </w:r>
            <w:r>
              <w:rPr>
                <w:rFonts w:hint="eastAsia" w:ascii="宋体" w:hAnsi="宋体" w:eastAsia="宋体" w:cs="宋体"/>
                <w:color w:val="auto"/>
                <w:sz w:val="21"/>
                <w:szCs w:val="21"/>
                <w:highlight w:val="none"/>
              </w:rPr>
              <w:t>ppm和≤</w:t>
            </w:r>
            <w:r>
              <w:rPr>
                <w:rFonts w:hint="eastAsia" w:ascii="宋体" w:hAnsi="宋体" w:eastAsia="宋体" w:cs="宋体"/>
                <w:color w:val="auto"/>
                <w:sz w:val="21"/>
                <w:szCs w:val="21"/>
                <w:highlight w:val="none"/>
                <w:lang w:eastAsia="zh-CN"/>
              </w:rPr>
              <w:t>15</w:t>
            </w:r>
            <w:r>
              <w:rPr>
                <w:rFonts w:hint="eastAsia" w:ascii="宋体" w:hAnsi="宋体" w:eastAsia="宋体" w:cs="宋体"/>
                <w:color w:val="auto"/>
                <w:sz w:val="21"/>
                <w:szCs w:val="21"/>
                <w:highlight w:val="none"/>
              </w:rPr>
              <w:t xml:space="preserve"> ppm；</w:t>
            </w:r>
          </w:p>
          <w:p w14:paraId="1DB14CAF">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206Pb/204Pb≤40 ppm和≤60 ppm；</w:t>
            </w:r>
          </w:p>
          <w:p w14:paraId="007B7162">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235U/238U≤</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00ppm和≤</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00 ppm</w:t>
            </w:r>
            <w:r>
              <w:rPr>
                <w:rFonts w:hint="eastAsia" w:ascii="宋体" w:hAnsi="宋体" w:eastAsia="宋体" w:cs="宋体"/>
                <w:color w:val="auto"/>
                <w:sz w:val="21"/>
                <w:szCs w:val="21"/>
                <w:highlight w:val="none"/>
                <w:lang w:eastAsia="zh-CN"/>
              </w:rPr>
              <w:t>。</w:t>
            </w:r>
          </w:p>
          <w:p w14:paraId="38B99BBA">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4</w:t>
            </w:r>
            <w:r>
              <w:rPr>
                <w:rFonts w:hint="eastAsia" w:ascii="宋体" w:hAnsi="宋体" w:eastAsia="宋体" w:cs="宋体"/>
                <w:b/>
                <w:color w:val="auto"/>
                <w:sz w:val="21"/>
                <w:szCs w:val="21"/>
                <w:highlight w:val="none"/>
              </w:rPr>
              <w:t>.10分析准确度</w:t>
            </w:r>
          </w:p>
          <w:p w14:paraId="0C414C21">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使用不同采样锥和截取锥组合，在100 μL/min石英雾化器湿法进样和100μL/min PFA雾化器膜去溶干法进样，准确度满足以下条件（与</w:t>
            </w:r>
            <w:r>
              <w:rPr>
                <w:rFonts w:hint="eastAsia" w:ascii="宋体" w:hAnsi="宋体" w:eastAsia="宋体" w:cs="宋体"/>
                <w:color w:val="auto"/>
                <w:sz w:val="21"/>
                <w:szCs w:val="21"/>
                <w:highlight w:val="none"/>
                <w:lang w:eastAsia="zh-CN"/>
              </w:rPr>
              <w:t>精度</w:t>
            </w:r>
            <w:r>
              <w:rPr>
                <w:rFonts w:hint="eastAsia" w:ascii="宋体" w:hAnsi="宋体" w:eastAsia="宋体" w:cs="宋体"/>
                <w:color w:val="auto"/>
                <w:sz w:val="21"/>
                <w:szCs w:val="21"/>
                <w:highlight w:val="none"/>
              </w:rPr>
              <w:t>同时</w:t>
            </w:r>
            <w:r>
              <w:rPr>
                <w:rFonts w:hint="eastAsia" w:ascii="宋体" w:hAnsi="宋体" w:eastAsia="宋体" w:cs="宋体"/>
                <w:color w:val="auto"/>
                <w:sz w:val="21"/>
                <w:szCs w:val="21"/>
                <w:highlight w:val="none"/>
                <w:lang w:eastAsia="zh-CN"/>
              </w:rPr>
              <w:t>测定</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14:paraId="5792C95B">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同位素比准确度（相对于参考值的RE）：</w:t>
            </w:r>
          </w:p>
          <w:p w14:paraId="4F3A0022">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de-DE"/>
              </w:rPr>
              <w:t>87Sr/86Sr= 0.71022-0.71030(SRM 987)</w:t>
            </w:r>
            <w:r>
              <w:rPr>
                <w:rFonts w:hint="eastAsia" w:ascii="宋体" w:hAnsi="宋体" w:eastAsia="宋体" w:cs="宋体"/>
                <w:color w:val="auto"/>
                <w:sz w:val="21"/>
                <w:szCs w:val="21"/>
                <w:highlight w:val="none"/>
                <w:lang w:val="en-US" w:eastAsia="zh-CN"/>
              </w:rPr>
              <w:t>；</w:t>
            </w:r>
          </w:p>
          <w:p w14:paraId="4B590FD3">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de-DE"/>
              </w:rPr>
              <w:t>143Nd/144Nd=0.511542-0.511580 Natural)</w:t>
            </w:r>
            <w:r>
              <w:rPr>
                <w:rFonts w:hint="eastAsia" w:ascii="宋体" w:hAnsi="宋体" w:eastAsia="宋体" w:cs="宋体"/>
                <w:color w:val="auto"/>
                <w:sz w:val="21"/>
                <w:szCs w:val="21"/>
                <w:highlight w:val="none"/>
                <w:lang w:val="en-US" w:eastAsia="zh-CN"/>
              </w:rPr>
              <w:t>；</w:t>
            </w:r>
          </w:p>
          <w:p w14:paraId="5A789ED0">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de-DE"/>
              </w:rPr>
              <w:t>176Hf/177Hf=0.282145-0.282175(Natural)</w:t>
            </w:r>
            <w:r>
              <w:rPr>
                <w:rFonts w:hint="eastAsia" w:ascii="宋体" w:hAnsi="宋体" w:eastAsia="宋体" w:cs="宋体"/>
                <w:color w:val="auto"/>
                <w:sz w:val="21"/>
                <w:szCs w:val="21"/>
                <w:highlight w:val="none"/>
                <w:lang w:val="en-US" w:eastAsia="zh-CN"/>
              </w:rPr>
              <w:t>；</w:t>
            </w:r>
          </w:p>
          <w:p w14:paraId="1EEDFB11">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de-DE"/>
              </w:rPr>
              <w:t>206Pb/204Pb=16.926-16.934(SRM 981+TI corr.)</w:t>
            </w:r>
            <w:r>
              <w:rPr>
                <w:rFonts w:hint="eastAsia" w:ascii="宋体" w:hAnsi="宋体" w:eastAsia="宋体" w:cs="宋体"/>
                <w:color w:val="auto"/>
                <w:sz w:val="21"/>
                <w:szCs w:val="21"/>
                <w:highlight w:val="none"/>
                <w:lang w:val="en-US" w:eastAsia="zh-CN"/>
              </w:rPr>
              <w:t>；</w:t>
            </w:r>
          </w:p>
          <w:p w14:paraId="5F4E6CCB">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de-DE"/>
              </w:rPr>
              <w:t>20</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de-DE"/>
              </w:rPr>
              <w:t>Pb/20</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de-DE"/>
              </w:rPr>
              <w:t>Pb=0.9145-0.9146(SRM 981+TI corr.)</w:t>
            </w:r>
            <w:r>
              <w:rPr>
                <w:rFonts w:hint="eastAsia" w:ascii="宋体" w:hAnsi="宋体" w:eastAsia="宋体" w:cs="宋体"/>
                <w:color w:val="auto"/>
                <w:sz w:val="21"/>
                <w:szCs w:val="21"/>
                <w:highlight w:val="none"/>
                <w:lang w:val="en-US" w:eastAsia="zh-CN"/>
              </w:rPr>
              <w:t>；</w:t>
            </w:r>
          </w:p>
          <w:p w14:paraId="2D9E6C19">
            <w:pPr>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de-DE"/>
              </w:rPr>
              <w:t>20</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de-DE"/>
              </w:rPr>
              <w:t>Pb/20</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de-DE"/>
              </w:rPr>
              <w:t>Pb=2.1660-2.1664(SRM 981+TI corr.)</w:t>
            </w:r>
            <w:r>
              <w:rPr>
                <w:rFonts w:hint="eastAsia" w:ascii="宋体" w:hAnsi="宋体" w:eastAsia="宋体" w:cs="宋体"/>
                <w:color w:val="auto"/>
                <w:sz w:val="21"/>
                <w:szCs w:val="21"/>
                <w:highlight w:val="none"/>
                <w:lang w:val="en-US" w:eastAsia="zh-CN"/>
              </w:rPr>
              <w:t>；</w:t>
            </w:r>
          </w:p>
          <w:p w14:paraId="191C20D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 xml:space="preserve">5 </w:t>
            </w:r>
            <w:r>
              <w:rPr>
                <w:rFonts w:hint="eastAsia" w:ascii="宋体" w:hAnsi="宋体" w:eastAsia="宋体" w:cs="宋体"/>
                <w:b/>
                <w:color w:val="auto"/>
                <w:sz w:val="21"/>
                <w:szCs w:val="21"/>
                <w:highlight w:val="none"/>
              </w:rPr>
              <w:t>数据采集和处理系统</w:t>
            </w:r>
          </w:p>
          <w:p w14:paraId="2DCF7D6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5.</w:t>
            </w:r>
            <w:r>
              <w:rPr>
                <w:rFonts w:hint="eastAsia" w:ascii="宋体" w:hAnsi="宋体" w:eastAsia="宋体" w:cs="宋体"/>
                <w:b/>
                <w:color w:val="auto"/>
                <w:sz w:val="21"/>
                <w:szCs w:val="21"/>
                <w:highlight w:val="none"/>
              </w:rPr>
              <w:t>1</w:t>
            </w:r>
            <w:r>
              <w:rPr>
                <w:rFonts w:hint="eastAsia" w:ascii="宋体" w:hAnsi="宋体" w:eastAsia="宋体" w:cs="宋体"/>
                <w:color w:val="auto"/>
                <w:sz w:val="21"/>
                <w:szCs w:val="21"/>
                <w:highlight w:val="none"/>
              </w:rPr>
              <w:t>配备齐全的实时数据采集和处理硬件的</w:t>
            </w:r>
            <w:r>
              <w:rPr>
                <w:rFonts w:hint="eastAsia" w:ascii="宋体" w:hAnsi="宋体" w:eastAsia="宋体" w:cs="宋体"/>
                <w:bCs/>
                <w:color w:val="auto"/>
                <w:sz w:val="21"/>
                <w:szCs w:val="21"/>
                <w:highlight w:val="none"/>
              </w:rPr>
              <w:t>软件，</w:t>
            </w:r>
            <w:r>
              <w:rPr>
                <w:rFonts w:hint="eastAsia" w:ascii="宋体" w:hAnsi="宋体" w:eastAsia="宋体" w:cs="宋体"/>
                <w:color w:val="auto"/>
                <w:sz w:val="21"/>
                <w:szCs w:val="21"/>
                <w:highlight w:val="none"/>
              </w:rPr>
              <w:t>可用于优化仪器状态、样品测试、数据处理的全套软件安装包。主要包括：</w:t>
            </w:r>
          </w:p>
          <w:p w14:paraId="6F701A91">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5.1.1</w:t>
            </w:r>
            <w:r>
              <w:rPr>
                <w:rFonts w:hint="eastAsia" w:ascii="宋体" w:hAnsi="宋体" w:eastAsia="宋体" w:cs="宋体"/>
                <w:color w:val="auto"/>
                <w:sz w:val="21"/>
                <w:szCs w:val="21"/>
                <w:highlight w:val="none"/>
              </w:rPr>
              <w:t>炬管位置、气流量、质谱分析器套峰调节，自动进样控制；</w:t>
            </w:r>
          </w:p>
          <w:p w14:paraId="67BDAD5D">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5.1.2</w:t>
            </w:r>
            <w:r>
              <w:rPr>
                <w:rFonts w:hint="eastAsia" w:ascii="宋体" w:hAnsi="宋体" w:eastAsia="宋体" w:cs="宋体"/>
                <w:color w:val="auto"/>
                <w:sz w:val="21"/>
                <w:szCs w:val="21"/>
                <w:highlight w:val="none"/>
              </w:rPr>
              <w:t>单接收器、静态和动态多接收器、法拉第杯接收器与离子计数器混合模式的数据采集，法拉第杯接收器与离子计数器混合模式的增益校正等；</w:t>
            </w:r>
          </w:p>
          <w:p w14:paraId="2AAEE742">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5.1.3</w:t>
            </w:r>
            <w:r>
              <w:rPr>
                <w:rFonts w:hint="eastAsia" w:ascii="宋体" w:hAnsi="宋体" w:eastAsia="宋体" w:cs="宋体"/>
                <w:color w:val="auto"/>
                <w:sz w:val="21"/>
                <w:szCs w:val="21"/>
                <w:highlight w:val="none"/>
              </w:rPr>
              <w:t>同位素稀释法和标准添加法处理；质量歧视校正；内标归一化；丰度校正；漂移和干扰校正；</w:t>
            </w:r>
          </w:p>
          <w:p w14:paraId="0E5857A7">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5.1.4</w:t>
            </w:r>
            <w:r>
              <w:rPr>
                <w:rFonts w:hint="eastAsia" w:ascii="宋体" w:hAnsi="宋体" w:eastAsia="宋体" w:cs="宋体"/>
                <w:color w:val="auto"/>
                <w:sz w:val="21"/>
                <w:szCs w:val="21"/>
                <w:highlight w:val="none"/>
              </w:rPr>
              <w:t>软件可离线安装在个人电脑；具有全部数据存取和离线处理功能；</w:t>
            </w:r>
          </w:p>
          <w:p w14:paraId="7C22AEB2">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5.1.5</w:t>
            </w:r>
            <w:r>
              <w:rPr>
                <w:rFonts w:hint="eastAsia" w:ascii="宋体" w:hAnsi="宋体" w:eastAsia="宋体" w:cs="宋体"/>
                <w:color w:val="auto"/>
                <w:sz w:val="21"/>
                <w:szCs w:val="21"/>
                <w:highlight w:val="none"/>
              </w:rPr>
              <w:t>瞬时信号采集和分析处理功能（TRA模式，可以最短进行总积分时间≤0.1s的瞬时信号采集，软件瞬时信号显示响应没有延迟），并且可以利用第三方软件进行数据处理</w:t>
            </w:r>
            <w:r>
              <w:rPr>
                <w:rFonts w:hint="eastAsia" w:ascii="宋体" w:hAnsi="宋体" w:eastAsia="宋体" w:cs="宋体"/>
                <w:color w:val="auto"/>
                <w:sz w:val="21"/>
                <w:szCs w:val="21"/>
                <w:highlight w:val="none"/>
                <w:lang w:val="en-US" w:eastAsia="zh-CN"/>
              </w:rPr>
              <w:t>；</w:t>
            </w:r>
          </w:p>
          <w:p w14:paraId="2613B176">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5.1.6</w:t>
            </w:r>
            <w:r>
              <w:rPr>
                <w:rFonts w:hint="eastAsia" w:ascii="宋体" w:hAnsi="宋体" w:eastAsia="宋体" w:cs="宋体"/>
                <w:color w:val="auto"/>
                <w:sz w:val="21"/>
                <w:szCs w:val="21"/>
                <w:highlight w:val="none"/>
              </w:rPr>
              <w:t>质谱可与第三方外设（例如LA等）双向通讯（配激光联用装置、通讯线等实现多种激光联用）；</w:t>
            </w:r>
          </w:p>
          <w:p w14:paraId="7D56D258">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Cs w:val="0"/>
                <w:color w:val="auto"/>
                <w:sz w:val="21"/>
                <w:szCs w:val="21"/>
                <w:highlight w:val="none"/>
                <w:lang w:eastAsia="zh-CN" w:bidi="ar"/>
              </w:rPr>
              <w:t>▲</w:t>
            </w:r>
            <w:r>
              <w:rPr>
                <w:rFonts w:hint="eastAsia" w:ascii="宋体" w:hAnsi="宋体" w:eastAsia="宋体" w:cs="宋体"/>
                <w:color w:val="auto"/>
                <w:sz w:val="21"/>
                <w:szCs w:val="21"/>
                <w:highlight w:val="none"/>
                <w:lang w:val="en-US" w:eastAsia="zh-CN"/>
              </w:rPr>
              <w:t>5.1.7</w:t>
            </w:r>
            <w:r>
              <w:rPr>
                <w:rFonts w:hint="eastAsia" w:ascii="宋体" w:hAnsi="宋体" w:eastAsia="宋体" w:cs="宋体"/>
                <w:b w:val="0"/>
                <w:bCs/>
                <w:color w:val="auto"/>
                <w:sz w:val="21"/>
                <w:szCs w:val="21"/>
                <w:highlight w:val="none"/>
                <w:lang w:eastAsia="zh-CN"/>
              </w:rPr>
              <w:t>灵敏度、分辨率、套峰、检测器校正可自动完成</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eastAsia="zh-CN"/>
              </w:rPr>
              <w:t>【投标时需提供</w:t>
            </w:r>
            <w:r>
              <w:rPr>
                <w:rFonts w:hint="eastAsia" w:ascii="宋体" w:hAnsi="宋体" w:eastAsia="宋体" w:cs="宋体"/>
                <w:b w:val="0"/>
                <w:bCs/>
                <w:color w:val="auto"/>
                <w:sz w:val="21"/>
                <w:szCs w:val="21"/>
                <w:highlight w:val="none"/>
                <w:lang w:val="en-US" w:eastAsia="zh-CN"/>
              </w:rPr>
              <w:t>仪器自动校正</w:t>
            </w:r>
            <w:r>
              <w:rPr>
                <w:rFonts w:hint="eastAsia" w:ascii="宋体" w:hAnsi="宋体" w:eastAsia="宋体" w:cs="宋体"/>
                <w:color w:val="auto"/>
                <w:sz w:val="21"/>
                <w:szCs w:val="21"/>
                <w:highlight w:val="none"/>
              </w:rPr>
              <w:t>运行步骤记录日志</w:t>
            </w:r>
            <w:r>
              <w:rPr>
                <w:rFonts w:hint="eastAsia" w:ascii="宋体" w:hAnsi="宋体" w:eastAsia="宋体" w:cs="宋体"/>
                <w:color w:val="auto"/>
                <w:sz w:val="21"/>
                <w:szCs w:val="21"/>
                <w:highlight w:val="none"/>
                <w:lang w:val="en-US" w:eastAsia="zh-CN"/>
              </w:rPr>
              <w:t>并加盖投标人单位公章</w:t>
            </w:r>
            <w:r>
              <w:rPr>
                <w:rFonts w:hint="eastAsia" w:ascii="宋体" w:hAnsi="宋体" w:eastAsia="宋体" w:cs="宋体"/>
                <w:b w:val="0"/>
                <w:bCs/>
                <w:color w:val="auto"/>
                <w:sz w:val="21"/>
                <w:szCs w:val="21"/>
                <w:highlight w:val="none"/>
                <w:lang w:eastAsia="zh-CN"/>
              </w:rPr>
              <w:t>】</w:t>
            </w:r>
          </w:p>
          <w:p w14:paraId="134B6EA4">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六、配置要求：</w:t>
            </w:r>
          </w:p>
          <w:p w14:paraId="47986BBC">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6.1</w:t>
            </w:r>
            <w:r>
              <w:rPr>
                <w:rFonts w:hint="eastAsia" w:ascii="宋体" w:hAnsi="宋体" w:eastAsia="宋体" w:cs="宋体"/>
                <w:color w:val="auto"/>
                <w:sz w:val="21"/>
                <w:szCs w:val="21"/>
                <w:highlight w:val="none"/>
              </w:rPr>
              <w:t>多接收等离子体质谱仪主机1台，包括：（1）标准进样系统(含自动进样器和膜去溶系统，并配有机玻璃罩)；</w:t>
            </w:r>
          </w:p>
          <w:p w14:paraId="4961A8FA">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（2）等离子体接口(含大抽速干泵)；双聚焦离子光学系统；</w:t>
            </w:r>
          </w:p>
          <w:p w14:paraId="1E1A2CC8">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（3）至少</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个以上法拉第杯；</w:t>
            </w:r>
          </w:p>
          <w:p w14:paraId="401F5C93">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（4）所有法拉第杯标配10</w:t>
            </w:r>
            <w:r>
              <w:rPr>
                <w:rFonts w:hint="eastAsia" w:ascii="宋体" w:hAnsi="宋体" w:eastAsia="宋体" w:cs="宋体"/>
                <w:color w:val="auto"/>
                <w:sz w:val="21"/>
                <w:szCs w:val="21"/>
                <w:highlight w:val="none"/>
                <w:vertAlign w:val="superscript"/>
              </w:rPr>
              <w:t>11</w:t>
            </w:r>
            <w:r>
              <w:rPr>
                <w:rFonts w:hint="eastAsia" w:ascii="宋体" w:hAnsi="宋体" w:eastAsia="宋体" w:cs="宋体"/>
                <w:color w:val="auto"/>
                <w:sz w:val="21"/>
                <w:szCs w:val="21"/>
                <w:highlight w:val="none"/>
              </w:rPr>
              <w:t>Ω电阻放大器；</w:t>
            </w:r>
          </w:p>
          <w:p w14:paraId="0416AD26">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（5）低信号检测器5个以上（10</w:t>
            </w:r>
            <w:r>
              <w:rPr>
                <w:rFonts w:hint="eastAsia" w:ascii="宋体" w:hAnsi="宋体" w:eastAsia="宋体" w:cs="宋体"/>
                <w:color w:val="auto"/>
                <w:sz w:val="21"/>
                <w:szCs w:val="21"/>
                <w:highlight w:val="none"/>
                <w:vertAlign w:val="superscript"/>
              </w:rPr>
              <w:t>13</w:t>
            </w:r>
            <w:r>
              <w:rPr>
                <w:rFonts w:hint="eastAsia" w:ascii="宋体" w:hAnsi="宋体" w:eastAsia="宋体" w:cs="宋体"/>
                <w:color w:val="auto"/>
                <w:sz w:val="21"/>
                <w:szCs w:val="21"/>
                <w:highlight w:val="none"/>
              </w:rPr>
              <w:t>Ω电阻放大器或10</w:t>
            </w:r>
            <w:r>
              <w:rPr>
                <w:rFonts w:hint="eastAsia" w:ascii="宋体" w:hAnsi="宋体" w:eastAsia="宋体" w:cs="宋体"/>
                <w:color w:val="auto"/>
                <w:sz w:val="21"/>
                <w:szCs w:val="21"/>
                <w:highlight w:val="none"/>
                <w:vertAlign w:val="superscript"/>
              </w:rPr>
              <w:t>12</w:t>
            </w:r>
            <w:r>
              <w:rPr>
                <w:rFonts w:hint="eastAsia" w:ascii="宋体" w:hAnsi="宋体" w:eastAsia="宋体" w:cs="宋体"/>
                <w:color w:val="auto"/>
                <w:sz w:val="21"/>
                <w:szCs w:val="21"/>
                <w:highlight w:val="none"/>
              </w:rPr>
              <w:t>Ω电阻放大器或离子计数器）；</w:t>
            </w:r>
          </w:p>
          <w:p w14:paraId="7E326EE1">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氢化物发生器1套</w:t>
            </w:r>
            <w:r>
              <w:rPr>
                <w:rFonts w:hint="eastAsia" w:ascii="宋体" w:hAnsi="宋体" w:eastAsia="宋体" w:cs="宋体"/>
                <w:color w:val="auto"/>
                <w:sz w:val="21"/>
                <w:szCs w:val="21"/>
                <w:highlight w:val="none"/>
                <w:lang w:val="en-US" w:eastAsia="zh-CN"/>
              </w:rPr>
              <w:t>；</w:t>
            </w:r>
          </w:p>
          <w:p w14:paraId="09F7B29C">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6.2智能数据采集和处理工作站</w:t>
            </w:r>
            <w:r>
              <w:rPr>
                <w:rFonts w:hint="eastAsia" w:ascii="宋体" w:hAnsi="宋体" w:eastAsia="宋体" w:cs="宋体"/>
                <w:bCs/>
                <w:color w:val="auto"/>
                <w:sz w:val="21"/>
                <w:szCs w:val="21"/>
                <w:highlight w:val="none"/>
                <w:lang w:val="en-US" w:eastAsia="zh-CN"/>
              </w:rPr>
              <w:t>；</w:t>
            </w:r>
          </w:p>
          <w:p w14:paraId="6D654E1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6.3</w:t>
            </w:r>
            <w:r>
              <w:rPr>
                <w:rFonts w:hint="eastAsia" w:ascii="宋体" w:hAnsi="宋体" w:eastAsia="宋体" w:cs="宋体"/>
                <w:bCs/>
                <w:color w:val="auto"/>
                <w:sz w:val="21"/>
                <w:szCs w:val="21"/>
                <w:highlight w:val="none"/>
                <w:lang w:val="en-US" w:eastAsia="zh-CN"/>
              </w:rPr>
              <w:t>中央</w:t>
            </w:r>
            <w:r>
              <w:rPr>
                <w:rFonts w:hint="eastAsia" w:ascii="宋体" w:hAnsi="宋体" w:eastAsia="宋体" w:cs="宋体"/>
                <w:bCs/>
                <w:color w:val="auto"/>
                <w:sz w:val="21"/>
                <w:szCs w:val="21"/>
                <w:highlight w:val="none"/>
              </w:rPr>
              <w:t>控制系统</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rPr>
              <w:t>内存≥16GB(DDR5)</w:t>
            </w:r>
            <w:r>
              <w:rPr>
                <w:rFonts w:hint="eastAsia" w:ascii="宋体" w:hAnsi="宋体" w:eastAsia="宋体" w:cs="宋体"/>
                <w:color w:val="auto"/>
                <w:sz w:val="21"/>
                <w:szCs w:val="21"/>
                <w:highlight w:val="none"/>
                <w:lang w:eastAsia="zh-CN"/>
              </w:rPr>
              <w:t>，</w:t>
            </w:r>
            <w:r>
              <w:rPr>
                <w:rFonts w:hint="eastAsia" w:ascii="宋体" w:hAnsi="宋体" w:eastAsia="宋体" w:cs="宋体"/>
                <w:strike w:val="0"/>
                <w:color w:val="auto"/>
                <w:sz w:val="21"/>
                <w:szCs w:val="21"/>
                <w:highlight w:val="none"/>
                <w:lang w:val="en-US" w:eastAsia="zh-CN"/>
              </w:rPr>
              <w:t>主监视器</w:t>
            </w:r>
            <w:r>
              <w:rPr>
                <w:rFonts w:hint="eastAsia" w:ascii="宋体" w:hAnsi="宋体" w:eastAsia="宋体" w:cs="宋体"/>
                <w:color w:val="auto"/>
                <w:sz w:val="21"/>
                <w:szCs w:val="21"/>
                <w:highlight w:val="none"/>
              </w:rPr>
              <w:t>≥24英寸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扩展</w:t>
            </w:r>
            <w:r>
              <w:rPr>
                <w:rFonts w:hint="eastAsia" w:ascii="宋体" w:hAnsi="宋体" w:eastAsia="宋体" w:cs="宋体"/>
                <w:color w:val="auto"/>
                <w:sz w:val="21"/>
                <w:szCs w:val="21"/>
                <w:highlight w:val="none"/>
                <w:lang w:val="en-US" w:eastAsia="zh-CN"/>
              </w:rPr>
              <w:t>监视器</w:t>
            </w:r>
            <w:r>
              <w:rPr>
                <w:rFonts w:hint="eastAsia" w:ascii="宋体" w:hAnsi="宋体" w:eastAsia="宋体" w:cs="宋体"/>
                <w:color w:val="auto"/>
                <w:sz w:val="21"/>
                <w:szCs w:val="21"/>
                <w:highlight w:val="none"/>
              </w:rPr>
              <w:t>≥32英寸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双面输出设备</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w:t>
            </w:r>
          </w:p>
          <w:p w14:paraId="3E4223F0">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eastAsia="zh-CN"/>
              </w:rPr>
              <w:t>6.4专用</w:t>
            </w:r>
            <w:r>
              <w:rPr>
                <w:rFonts w:hint="eastAsia" w:ascii="宋体" w:hAnsi="宋体" w:eastAsia="宋体" w:cs="宋体"/>
                <w:bCs/>
                <w:color w:val="auto"/>
                <w:sz w:val="21"/>
                <w:szCs w:val="21"/>
                <w:highlight w:val="none"/>
              </w:rPr>
              <w:t>数据处理系统</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不低于</w:t>
            </w:r>
            <w:r>
              <w:rPr>
                <w:rFonts w:hint="eastAsia" w:ascii="宋体" w:hAnsi="宋体" w:eastAsia="宋体" w:cs="宋体"/>
                <w:bCs/>
                <w:color w:val="auto"/>
                <w:sz w:val="21"/>
                <w:szCs w:val="21"/>
                <w:highlight w:val="none"/>
              </w:rPr>
              <w:t>CPU Intel Xeon Platinum 8173M*2个 总56核112线程，主频2.0G睿频3.5GHZ，内存≥512GB(DDR4)，固态硬盘≥2T M.2SSD，显卡RTX5060 8G独显，</w:t>
            </w:r>
            <w:r>
              <w:rPr>
                <w:rFonts w:hint="eastAsia" w:ascii="宋体" w:hAnsi="宋体" w:eastAsia="宋体" w:cs="宋体"/>
                <w:bCs/>
                <w:color w:val="auto"/>
                <w:sz w:val="21"/>
                <w:szCs w:val="21"/>
                <w:highlight w:val="none"/>
                <w:lang w:val="en-US" w:eastAsia="zh-CN"/>
              </w:rPr>
              <w:t>监视器</w:t>
            </w:r>
            <w:r>
              <w:rPr>
                <w:rFonts w:hint="eastAsia" w:ascii="宋体" w:hAnsi="宋体" w:eastAsia="宋体" w:cs="宋体"/>
                <w:bCs/>
                <w:color w:val="auto"/>
                <w:sz w:val="21"/>
                <w:szCs w:val="21"/>
                <w:highlight w:val="none"/>
              </w:rPr>
              <w:t>≥32英寸</w:t>
            </w:r>
            <w:r>
              <w:rPr>
                <w:rFonts w:hint="eastAsia" w:ascii="宋体" w:hAnsi="宋体" w:eastAsia="宋体" w:cs="宋体"/>
                <w:bCs/>
                <w:strike w:val="0"/>
                <w:color w:val="auto"/>
                <w:sz w:val="21"/>
                <w:szCs w:val="21"/>
                <w:highlight w:val="none"/>
                <w:lang w:eastAsia="zh-CN"/>
              </w:rPr>
              <w:t>）</w:t>
            </w:r>
            <w:r>
              <w:rPr>
                <w:rFonts w:hint="eastAsia" w:ascii="宋体" w:hAnsi="宋体" w:eastAsia="宋体" w:cs="宋体"/>
                <w:bCs/>
                <w:strike w:val="0"/>
                <w:color w:val="auto"/>
                <w:sz w:val="21"/>
                <w:szCs w:val="21"/>
                <w:highlight w:val="none"/>
                <w:lang w:val="en-US" w:eastAsia="zh-CN"/>
              </w:rPr>
              <w:t>；</w:t>
            </w:r>
          </w:p>
          <w:p w14:paraId="6E1FFE41">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6.</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冷却循环水器1台</w:t>
            </w:r>
            <w:r>
              <w:rPr>
                <w:rFonts w:hint="eastAsia" w:ascii="宋体" w:hAnsi="宋体" w:eastAsia="宋体" w:cs="宋体"/>
                <w:bCs/>
                <w:color w:val="auto"/>
                <w:sz w:val="21"/>
                <w:szCs w:val="21"/>
                <w:highlight w:val="none"/>
                <w:lang w:val="en-US" w:eastAsia="zh-CN"/>
              </w:rPr>
              <w:t>；</w:t>
            </w:r>
          </w:p>
          <w:p w14:paraId="51D59EE8">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6.</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 xml:space="preserve"> 主机消耗品包1包</w:t>
            </w:r>
            <w:r>
              <w:rPr>
                <w:rFonts w:hint="eastAsia" w:ascii="宋体" w:hAnsi="宋体" w:eastAsia="宋体" w:cs="宋体"/>
                <w:bCs/>
                <w:color w:val="auto"/>
                <w:sz w:val="21"/>
                <w:szCs w:val="21"/>
                <w:highlight w:val="none"/>
                <w:lang w:val="en-US" w:eastAsia="zh-CN"/>
              </w:rPr>
              <w:t>；</w:t>
            </w:r>
          </w:p>
          <w:p w14:paraId="34CCF614">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6.</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湿法用样品锥和截取锥各3个</w:t>
            </w:r>
            <w:r>
              <w:rPr>
                <w:rFonts w:hint="eastAsia" w:ascii="宋体" w:hAnsi="宋体" w:eastAsia="宋体" w:cs="宋体"/>
                <w:bCs/>
                <w:color w:val="auto"/>
                <w:sz w:val="21"/>
                <w:szCs w:val="21"/>
                <w:highlight w:val="none"/>
                <w:lang w:val="en-US" w:eastAsia="zh-CN"/>
              </w:rPr>
              <w:t>；</w:t>
            </w:r>
          </w:p>
          <w:p w14:paraId="485459BD">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6.</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干法用样品锥和截取锥各3个</w:t>
            </w:r>
            <w:r>
              <w:rPr>
                <w:rFonts w:hint="eastAsia" w:ascii="宋体" w:hAnsi="宋体" w:eastAsia="宋体" w:cs="宋体"/>
                <w:bCs/>
                <w:color w:val="auto"/>
                <w:sz w:val="21"/>
                <w:szCs w:val="21"/>
                <w:highlight w:val="none"/>
                <w:lang w:val="en-US" w:eastAsia="zh-CN"/>
              </w:rPr>
              <w:t>；</w:t>
            </w:r>
          </w:p>
          <w:p w14:paraId="2B789844">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6.</w:t>
            </w:r>
            <w:r>
              <w:rPr>
                <w:rFonts w:hint="eastAsia" w:ascii="宋体"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 xml:space="preserve"> 炬管2 根</w:t>
            </w:r>
            <w:r>
              <w:rPr>
                <w:rFonts w:hint="eastAsia" w:ascii="宋体" w:hAnsi="宋体" w:eastAsia="宋体" w:cs="宋体"/>
                <w:bCs/>
                <w:color w:val="auto"/>
                <w:sz w:val="21"/>
                <w:szCs w:val="21"/>
                <w:highlight w:val="none"/>
                <w:lang w:val="en-US" w:eastAsia="zh-CN"/>
              </w:rPr>
              <w:t>；</w:t>
            </w:r>
          </w:p>
          <w:p w14:paraId="397291B0">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6.1</w:t>
            </w: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矩管中心管2根</w:t>
            </w:r>
            <w:r>
              <w:rPr>
                <w:rFonts w:hint="eastAsia" w:ascii="宋体" w:hAnsi="宋体" w:eastAsia="宋体" w:cs="宋体"/>
                <w:bCs/>
                <w:color w:val="auto"/>
                <w:sz w:val="21"/>
                <w:szCs w:val="21"/>
                <w:highlight w:val="none"/>
                <w:lang w:val="en-US" w:eastAsia="zh-CN"/>
              </w:rPr>
              <w:t>；</w:t>
            </w:r>
          </w:p>
          <w:p w14:paraId="7022FC70">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6.11玻璃雾化器1个；</w:t>
            </w:r>
          </w:p>
          <w:p w14:paraId="4444403B">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6.1</w:t>
            </w:r>
            <w:r>
              <w:rPr>
                <w:rFonts w:hint="eastAsia" w:ascii="宋体" w:hAnsi="宋体" w:eastAsia="宋体" w:cs="宋体"/>
                <w:bCs/>
                <w:color w:val="auto"/>
                <w:sz w:val="21"/>
                <w:szCs w:val="21"/>
                <w:highlight w:val="none"/>
                <w:lang w:val="en-US" w:eastAsia="zh-CN"/>
              </w:rPr>
              <w:t xml:space="preserve">2 </w:t>
            </w:r>
            <w:r>
              <w:rPr>
                <w:rFonts w:hint="eastAsia" w:ascii="宋体" w:hAnsi="宋体" w:eastAsia="宋体" w:cs="宋体"/>
                <w:bCs/>
                <w:color w:val="auto"/>
                <w:sz w:val="21"/>
                <w:szCs w:val="21"/>
                <w:highlight w:val="none"/>
              </w:rPr>
              <w:t>PFA同心雾化器2个</w:t>
            </w:r>
            <w:r>
              <w:rPr>
                <w:rFonts w:hint="eastAsia" w:ascii="宋体" w:hAnsi="宋体" w:eastAsia="宋体" w:cs="宋体"/>
                <w:bCs/>
                <w:color w:val="auto"/>
                <w:sz w:val="21"/>
                <w:szCs w:val="21"/>
                <w:highlight w:val="none"/>
                <w:lang w:val="en-US" w:eastAsia="zh-CN"/>
              </w:rPr>
              <w:t>；</w:t>
            </w:r>
          </w:p>
          <w:p w14:paraId="3AECA502">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狭缝套装（含低、中、高分辨率三种规格狭缝），3 套；</w:t>
            </w:r>
          </w:p>
          <w:p w14:paraId="08EFE3D1">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6.1</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测试液1瓶</w:t>
            </w:r>
            <w:r>
              <w:rPr>
                <w:rFonts w:hint="eastAsia" w:ascii="宋体" w:hAnsi="宋体" w:eastAsia="宋体" w:cs="宋体"/>
                <w:bCs/>
                <w:color w:val="auto"/>
                <w:sz w:val="21"/>
                <w:szCs w:val="21"/>
                <w:highlight w:val="none"/>
                <w:lang w:val="en-US" w:eastAsia="zh-CN"/>
              </w:rPr>
              <w:t>；</w:t>
            </w:r>
          </w:p>
          <w:p w14:paraId="30266A0E">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6.1</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石墨垫</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00个</w:t>
            </w:r>
            <w:r>
              <w:rPr>
                <w:rFonts w:hint="eastAsia" w:ascii="宋体" w:hAnsi="宋体" w:eastAsia="宋体" w:cs="宋体"/>
                <w:bCs/>
                <w:color w:val="auto"/>
                <w:sz w:val="21"/>
                <w:szCs w:val="21"/>
                <w:highlight w:val="none"/>
                <w:lang w:val="en-US" w:eastAsia="zh-CN"/>
              </w:rPr>
              <w:t>；</w:t>
            </w:r>
          </w:p>
          <w:p w14:paraId="1D1C2962">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6.1</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设备验收必备的标准物质（</w:t>
            </w:r>
            <w:r>
              <w:rPr>
                <w:rFonts w:hint="eastAsia" w:ascii="宋体" w:hAnsi="宋体" w:eastAsia="宋体" w:cs="宋体"/>
                <w:bCs/>
                <w:color w:val="auto"/>
                <w:sz w:val="21"/>
                <w:szCs w:val="21"/>
                <w:highlight w:val="none"/>
                <w:lang w:val="en-US" w:eastAsia="zh-CN"/>
              </w:rPr>
              <w:t>除</w:t>
            </w:r>
            <w:r>
              <w:rPr>
                <w:rFonts w:hint="eastAsia" w:ascii="宋体" w:hAnsi="宋体" w:eastAsia="宋体" w:cs="宋体"/>
                <w:bCs/>
                <w:color w:val="auto"/>
                <w:sz w:val="21"/>
                <w:szCs w:val="21"/>
                <w:highlight w:val="none"/>
              </w:rPr>
              <w:t>4.10</w:t>
            </w:r>
            <w:r>
              <w:rPr>
                <w:rFonts w:hint="eastAsia" w:ascii="宋体" w:hAnsi="宋体" w:eastAsia="宋体" w:cs="宋体"/>
                <w:bCs/>
                <w:color w:val="auto"/>
                <w:sz w:val="21"/>
                <w:szCs w:val="21"/>
                <w:highlight w:val="none"/>
                <w:lang w:val="en-US" w:eastAsia="zh-CN"/>
              </w:rPr>
              <w:t>的指标外，至少还应包含铬、银、汞、铊的同位素标准物质</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w:t>
            </w:r>
          </w:p>
          <w:p w14:paraId="31278DC7">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6.1</w:t>
            </w:r>
            <w:r>
              <w:rPr>
                <w:rFonts w:hint="eastAsia" w:ascii="宋体" w:hAnsi="宋体" w:eastAsia="宋体" w:cs="宋体"/>
                <w:bCs/>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电源保护装置</w:t>
            </w:r>
            <w:r>
              <w:rPr>
                <w:rFonts w:hint="eastAsia" w:ascii="宋体" w:hAnsi="宋体" w:eastAsia="宋体" w:cs="宋体"/>
                <w:color w:val="auto"/>
                <w:sz w:val="21"/>
                <w:szCs w:val="21"/>
                <w:highlight w:val="none"/>
              </w:rPr>
              <w:t>(输出电压为220V，功率满足系统需求并留有50%余量，1 小时) 1套</w:t>
            </w:r>
            <w:r>
              <w:rPr>
                <w:rFonts w:hint="eastAsia" w:ascii="宋体" w:hAnsi="宋体" w:eastAsia="宋体" w:cs="宋体"/>
                <w:color w:val="auto"/>
                <w:sz w:val="21"/>
                <w:szCs w:val="21"/>
                <w:highlight w:val="none"/>
                <w:lang w:val="en-US" w:eastAsia="zh-CN"/>
              </w:rPr>
              <w:t>；</w:t>
            </w:r>
          </w:p>
          <w:p w14:paraId="54BF8321">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6.1</w:t>
            </w:r>
            <w:r>
              <w:rPr>
                <w:rFonts w:hint="eastAsia" w:ascii="宋体" w:hAnsi="宋体" w:eastAsia="宋体" w:cs="宋体"/>
                <w:bCs/>
                <w:color w:val="auto"/>
                <w:sz w:val="21"/>
                <w:szCs w:val="21"/>
                <w:highlight w:val="none"/>
                <w:lang w:val="en-US" w:eastAsia="zh-CN"/>
              </w:rPr>
              <w:t xml:space="preserve">8 </w:t>
            </w:r>
            <w:r>
              <w:rPr>
                <w:rFonts w:hint="eastAsia" w:ascii="宋体" w:hAnsi="宋体" w:eastAsia="宋体" w:cs="宋体"/>
                <w:bCs/>
                <w:color w:val="auto"/>
                <w:sz w:val="21"/>
                <w:szCs w:val="21"/>
                <w:highlight w:val="none"/>
              </w:rPr>
              <w:t>PFA亚沸蒸酸器3套（可纯化硝酸、盐酸、氢氟酸；酸纯化过程在密闭环境下进行；所有接触液体的部件均为高纯PFA材质；蒸馏温度为40℃至90℃之间可调；</w:t>
            </w:r>
            <w:r>
              <w:rPr>
                <w:rFonts w:hint="eastAsia" w:ascii="宋体" w:hAnsi="宋体" w:eastAsia="宋体" w:cs="宋体"/>
                <w:b/>
                <w:bCs w:val="0"/>
                <w:color w:val="auto"/>
                <w:sz w:val="21"/>
                <w:szCs w:val="21"/>
                <w:highlight w:val="none"/>
              </w:rPr>
              <w:t>容积1L；</w:t>
            </w:r>
            <w:r>
              <w:rPr>
                <w:rFonts w:hint="eastAsia" w:ascii="宋体" w:hAnsi="宋体" w:eastAsia="宋体" w:cs="宋体"/>
                <w:b/>
                <w:color w:val="auto"/>
                <w:sz w:val="21"/>
                <w:szCs w:val="21"/>
                <w:highlight w:val="none"/>
              </w:rPr>
              <w:t>最大蒸馏速度可实现蒸酸（HNO3,HCl,HF）1 升/24 小时；</w:t>
            </w:r>
            <w:r>
              <w:rPr>
                <w:rFonts w:hint="eastAsia" w:ascii="宋体" w:hAnsi="宋体" w:eastAsia="宋体" w:cs="宋体"/>
                <w:b/>
                <w:bCs w:val="0"/>
                <w:color w:val="auto"/>
                <w:sz w:val="21"/>
                <w:szCs w:val="21"/>
                <w:highlight w:val="none"/>
              </w:rPr>
              <w:t>可自动加酸</w:t>
            </w:r>
            <w:r>
              <w:rPr>
                <w:rFonts w:hint="eastAsia" w:ascii="宋体" w:hAnsi="宋体" w:eastAsia="宋体" w:cs="宋体"/>
                <w:b/>
                <w:color w:val="auto"/>
                <w:sz w:val="21"/>
                <w:szCs w:val="21"/>
                <w:highlight w:val="none"/>
              </w:rPr>
              <w:t>排酸</w:t>
            </w:r>
            <w:r>
              <w:rPr>
                <w:rFonts w:hint="eastAsia" w:ascii="宋体" w:hAnsi="宋体" w:eastAsia="宋体" w:cs="宋体"/>
                <w:b/>
                <w:bCs w:val="0"/>
                <w:color w:val="auto"/>
                <w:sz w:val="21"/>
                <w:szCs w:val="21"/>
                <w:highlight w:val="none"/>
              </w:rPr>
              <w:t>；</w:t>
            </w:r>
            <w:r>
              <w:rPr>
                <w:rFonts w:hint="eastAsia" w:ascii="宋体" w:hAnsi="宋体" w:eastAsia="宋体" w:cs="宋体"/>
                <w:bCs/>
                <w:color w:val="auto"/>
                <w:sz w:val="21"/>
                <w:szCs w:val="21"/>
                <w:highlight w:val="none"/>
              </w:rPr>
              <w:t>有过热保护功能，无需水冷；产品配套齐全，配套的PFA试剂瓶，PFA烧杯，备用FEP透明管、试剂瓶密封盖，无需外购其他产品，安装及可使用）</w:t>
            </w:r>
            <w:r>
              <w:rPr>
                <w:rFonts w:hint="eastAsia" w:ascii="宋体" w:hAnsi="宋体" w:eastAsia="宋体" w:cs="宋体"/>
                <w:bCs/>
                <w:color w:val="auto"/>
                <w:sz w:val="21"/>
                <w:szCs w:val="21"/>
                <w:highlight w:val="none"/>
                <w:lang w:val="en-US" w:eastAsia="zh-CN"/>
              </w:rPr>
              <w:t>；</w:t>
            </w:r>
          </w:p>
          <w:p w14:paraId="6A91380B">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6.1</w:t>
            </w:r>
            <w:r>
              <w:rPr>
                <w:rFonts w:hint="eastAsia" w:ascii="宋体" w:hAnsi="宋体" w:eastAsia="宋体" w:cs="宋体"/>
                <w:bCs/>
                <w:color w:val="auto"/>
                <w:sz w:val="21"/>
                <w:szCs w:val="21"/>
                <w:highlight w:val="none"/>
                <w:lang w:val="en-US" w:eastAsia="zh-CN"/>
              </w:rPr>
              <w:t xml:space="preserve">9 </w:t>
            </w:r>
            <w:r>
              <w:rPr>
                <w:rFonts w:hint="eastAsia" w:ascii="宋体" w:hAnsi="宋体" w:eastAsia="宋体" w:cs="宋体"/>
                <w:bCs/>
                <w:color w:val="auto"/>
                <w:sz w:val="21"/>
                <w:szCs w:val="21"/>
                <w:highlight w:val="none"/>
              </w:rPr>
              <w:t>纯水仪（</w:t>
            </w:r>
            <w:r>
              <w:rPr>
                <w:rFonts w:hint="eastAsia" w:ascii="宋体" w:hAnsi="宋体" w:eastAsia="宋体" w:cs="宋体"/>
                <w:color w:val="auto"/>
                <w:kern w:val="0"/>
                <w:sz w:val="21"/>
                <w:szCs w:val="21"/>
                <w:highlight w:val="none"/>
              </w:rPr>
              <w:t>产水流速可达10L/h；</w:t>
            </w:r>
            <w:r>
              <w:rPr>
                <w:rFonts w:hint="eastAsia" w:ascii="宋体" w:hAnsi="宋体" w:eastAsia="宋体" w:cs="宋体"/>
                <w:bCs/>
                <w:color w:val="auto"/>
                <w:sz w:val="21"/>
                <w:szCs w:val="21"/>
                <w:highlight w:val="none"/>
              </w:rPr>
              <w:t>一级超纯水产水水质电阻率：18.2 MΩ•cm＠25℃；总有机碳含量(TOC)：＜5ppb；</w:t>
            </w:r>
            <w:r>
              <w:rPr>
                <w:rFonts w:hint="eastAsia" w:ascii="宋体" w:hAnsi="宋体" w:eastAsia="宋体" w:cs="宋体"/>
                <w:color w:val="auto"/>
                <w:sz w:val="21"/>
                <w:szCs w:val="21"/>
                <w:highlight w:val="none"/>
              </w:rPr>
              <w:t>主机和取水臂上均可显示关键水质参数，其中水温、电阻率、TOC必不可少；确保水质可以满足MC-ICP-MS上机要求，并且达到或超过各种标准中规定的I级水质，如GB6682、ASTM、CAP、ISO 3696、USP、EP和ChP中规定的试剂级超纯水要求）</w:t>
            </w:r>
            <w:r>
              <w:rPr>
                <w:rFonts w:hint="eastAsia" w:ascii="宋体" w:hAnsi="宋体" w:eastAsia="宋体" w:cs="宋体"/>
                <w:color w:val="auto"/>
                <w:sz w:val="21"/>
                <w:szCs w:val="21"/>
                <w:highlight w:val="none"/>
                <w:lang w:val="en-US" w:eastAsia="zh-CN"/>
              </w:rPr>
              <w:t>；</w:t>
            </w:r>
          </w:p>
          <w:p w14:paraId="38DA3CB6">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6.20移动终端1台（内存32G，</w:t>
            </w:r>
            <w:r>
              <w:rPr>
                <w:rFonts w:hint="eastAsia" w:ascii="宋体" w:hAnsi="宋体" w:eastAsia="宋体" w:cs="宋体"/>
                <w:strike w:val="0"/>
                <w:color w:val="auto"/>
                <w:sz w:val="21"/>
                <w:szCs w:val="21"/>
                <w:highlight w:val="none"/>
                <w:lang w:val="en-US" w:eastAsia="zh-CN"/>
              </w:rPr>
              <w:t>16寸</w:t>
            </w:r>
            <w:r>
              <w:rPr>
                <w:rFonts w:hint="eastAsia" w:ascii="宋体" w:hAnsi="宋体" w:eastAsia="宋体" w:cs="宋体"/>
                <w:color w:val="auto"/>
                <w:sz w:val="21"/>
                <w:szCs w:val="21"/>
                <w:highlight w:val="none"/>
                <w:lang w:val="en-US" w:eastAsia="zh-CN"/>
              </w:rPr>
              <w:t>）；</w:t>
            </w:r>
          </w:p>
          <w:p w14:paraId="6535F3B1">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6.21 防腐电热板3台（耐强酸强碱，表面为PFA特氟龙涂层，电热板面积＞600*400mm，最高工作温度＞220℃，温控精度±1℃，）；</w:t>
            </w:r>
          </w:p>
          <w:p w14:paraId="4EA8112F">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6.22 PFA试剂瓶(250mL5个，500mL10个）</w:t>
            </w:r>
            <w:r>
              <w:rPr>
                <w:rFonts w:hint="eastAsia" w:ascii="宋体" w:hAnsi="宋体" w:eastAsia="宋体" w:cs="宋体"/>
                <w:color w:val="auto"/>
                <w:sz w:val="21"/>
                <w:szCs w:val="21"/>
                <w:highlight w:val="none"/>
              </w:rPr>
              <w:t>。</w:t>
            </w:r>
          </w:p>
        </w:tc>
      </w:tr>
    </w:tbl>
    <w:p w14:paraId="0610D8C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宋体" w:hAnsi="宋体" w:eastAsia="宋体" w:cs="宋体"/>
          <w:b/>
          <w:bCs/>
          <w:color w:val="auto"/>
          <w:kern w:val="0"/>
          <w:sz w:val="21"/>
          <w:szCs w:val="21"/>
          <w:highlight w:val="none"/>
          <w:lang w:val="en-US" w:eastAsia="zh-CN" w:bidi="ar-SA"/>
        </w:rPr>
      </w:pPr>
    </w:p>
    <w:p w14:paraId="7055B974">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outlineLvl w:val="9"/>
        <w:rPr>
          <w:rFonts w:hint="eastAsia" w:ascii="宋体" w:hAnsi="宋体" w:eastAsia="宋体" w:cs="宋体"/>
          <w:b/>
          <w:bCs/>
          <w:color w:val="auto"/>
          <w:kern w:val="0"/>
          <w:sz w:val="21"/>
          <w:szCs w:val="21"/>
          <w:highlight w:val="none"/>
          <w:lang w:val="en-US" w:eastAsia="zh-CN" w:bidi="ar-SA"/>
        </w:rPr>
      </w:pPr>
      <w:bookmarkStart w:id="97" w:name="_Toc19588"/>
      <w:bookmarkStart w:id="98" w:name="_Toc14675"/>
      <w:r>
        <w:rPr>
          <w:rFonts w:hint="eastAsia" w:ascii="宋体" w:hAnsi="宋体" w:eastAsia="宋体" w:cs="宋体"/>
          <w:b/>
          <w:bCs/>
          <w:color w:val="auto"/>
          <w:kern w:val="0"/>
          <w:sz w:val="21"/>
          <w:szCs w:val="21"/>
          <w:highlight w:val="none"/>
          <w:lang w:val="en-US" w:eastAsia="zh-CN" w:bidi="ar-SA"/>
        </w:rPr>
        <w:br w:type="page"/>
      </w:r>
    </w:p>
    <w:p w14:paraId="3D41C80B">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outlineLvl w:val="1"/>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）标项</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（分包</w:t>
      </w:r>
      <w:r>
        <w:rPr>
          <w:rFonts w:hint="eastAsia" w:ascii="宋体" w:hAnsi="宋体" w:cs="宋体"/>
          <w:b/>
          <w:bCs/>
          <w:color w:val="auto"/>
          <w:kern w:val="0"/>
          <w:sz w:val="21"/>
          <w:szCs w:val="21"/>
          <w:highlight w:val="none"/>
          <w:lang w:val="en-US" w:eastAsia="zh-CN" w:bidi="ar-SA"/>
        </w:rPr>
        <w:t>3</w:t>
      </w:r>
      <w:r>
        <w:rPr>
          <w:rFonts w:hint="eastAsia" w:ascii="宋体" w:hAnsi="宋体" w:eastAsia="宋体" w:cs="宋体"/>
          <w:b/>
          <w:bCs/>
          <w:color w:val="auto"/>
          <w:kern w:val="0"/>
          <w:sz w:val="21"/>
          <w:szCs w:val="21"/>
          <w:highlight w:val="none"/>
          <w:lang w:val="en-US" w:eastAsia="zh-CN" w:bidi="ar-SA"/>
        </w:rPr>
        <w:t>）的技术要求</w:t>
      </w:r>
      <w:bookmarkEnd w:id="97"/>
      <w:bookmarkEnd w:id="98"/>
    </w:p>
    <w:tbl>
      <w:tblPr>
        <w:tblStyle w:val="49"/>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700"/>
        <w:gridCol w:w="812"/>
        <w:gridCol w:w="774"/>
        <w:gridCol w:w="824"/>
        <w:gridCol w:w="4977"/>
      </w:tblGrid>
      <w:tr w14:paraId="6F06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14:paraId="7EA85AAE">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iCs/>
                <w:color w:val="auto"/>
                <w:sz w:val="21"/>
                <w:szCs w:val="21"/>
                <w:highlight w:val="none"/>
              </w:rPr>
            </w:pPr>
            <w:r>
              <w:rPr>
                <w:rFonts w:hint="eastAsia" w:ascii="宋体" w:hAnsi="宋体" w:eastAsia="宋体" w:cs="宋体"/>
                <w:b/>
                <w:color w:val="auto"/>
                <w:sz w:val="21"/>
                <w:szCs w:val="21"/>
                <w:highlight w:val="none"/>
              </w:rPr>
              <w:t>序号</w:t>
            </w:r>
          </w:p>
        </w:tc>
        <w:tc>
          <w:tcPr>
            <w:tcW w:w="700" w:type="dxa"/>
            <w:vAlign w:val="center"/>
          </w:tcPr>
          <w:p w14:paraId="5048D88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iCs/>
                <w:color w:val="auto"/>
                <w:sz w:val="21"/>
                <w:szCs w:val="21"/>
                <w:highlight w:val="none"/>
              </w:rPr>
            </w:pPr>
            <w:r>
              <w:rPr>
                <w:rFonts w:hint="eastAsia" w:ascii="宋体" w:hAnsi="宋体" w:eastAsia="宋体" w:cs="宋体"/>
                <w:b/>
                <w:color w:val="auto"/>
                <w:sz w:val="21"/>
                <w:szCs w:val="21"/>
                <w:highlight w:val="none"/>
              </w:rPr>
              <w:t>标的名称</w:t>
            </w:r>
          </w:p>
        </w:tc>
        <w:tc>
          <w:tcPr>
            <w:tcW w:w="812" w:type="dxa"/>
            <w:vAlign w:val="center"/>
          </w:tcPr>
          <w:p w14:paraId="2E9DC4F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iCs/>
                <w:color w:val="auto"/>
                <w:sz w:val="21"/>
                <w:szCs w:val="21"/>
                <w:highlight w:val="none"/>
              </w:rPr>
            </w:pPr>
            <w:r>
              <w:rPr>
                <w:rFonts w:hint="eastAsia" w:ascii="宋体" w:hAnsi="宋体" w:eastAsia="宋体" w:cs="宋体"/>
                <w:b/>
                <w:color w:val="auto"/>
                <w:sz w:val="21"/>
                <w:szCs w:val="21"/>
                <w:highlight w:val="none"/>
              </w:rPr>
              <w:t>数量</w:t>
            </w:r>
          </w:p>
        </w:tc>
        <w:tc>
          <w:tcPr>
            <w:tcW w:w="774" w:type="dxa"/>
            <w:vAlign w:val="center"/>
          </w:tcPr>
          <w:p w14:paraId="47397AAE">
            <w:pPr>
              <w:keepNext w:val="0"/>
              <w:keepLines w:val="0"/>
              <w:pageBreakBefore w:val="0"/>
              <w:widowControl w:val="0"/>
              <w:tabs>
                <w:tab w:val="left" w:pos="180"/>
                <w:tab w:val="left" w:pos="1620"/>
              </w:tabs>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控制</w:t>
            </w:r>
            <w:r>
              <w:rPr>
                <w:rFonts w:hint="eastAsia" w:ascii="宋体" w:hAnsi="宋体" w:eastAsia="宋体" w:cs="宋体"/>
                <w:b/>
                <w:color w:val="auto"/>
                <w:sz w:val="21"/>
                <w:szCs w:val="21"/>
                <w:highlight w:val="none"/>
              </w:rPr>
              <w:t>单价</w:t>
            </w:r>
          </w:p>
          <w:p w14:paraId="29F9C79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iCs/>
                <w:color w:val="auto"/>
                <w:sz w:val="21"/>
                <w:szCs w:val="21"/>
                <w:highlight w:val="none"/>
              </w:rPr>
            </w:pPr>
            <w:r>
              <w:rPr>
                <w:rFonts w:hint="eastAsia" w:ascii="宋体" w:hAnsi="宋体" w:eastAsia="宋体" w:cs="宋体"/>
                <w:b/>
                <w:color w:val="auto"/>
                <w:sz w:val="21"/>
                <w:szCs w:val="21"/>
                <w:highlight w:val="none"/>
              </w:rPr>
              <w:t>（万元）</w:t>
            </w:r>
          </w:p>
        </w:tc>
        <w:tc>
          <w:tcPr>
            <w:tcW w:w="824" w:type="dxa"/>
            <w:vAlign w:val="center"/>
          </w:tcPr>
          <w:p w14:paraId="1804C49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控制</w:t>
            </w:r>
            <w:r>
              <w:rPr>
                <w:rFonts w:hint="eastAsia" w:ascii="宋体" w:hAnsi="宋体" w:eastAsia="宋体" w:cs="宋体"/>
                <w:b/>
                <w:color w:val="auto"/>
                <w:sz w:val="21"/>
                <w:szCs w:val="21"/>
                <w:highlight w:val="none"/>
              </w:rPr>
              <w:t>总价</w:t>
            </w:r>
          </w:p>
          <w:p w14:paraId="78BA3B0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iCs/>
                <w:color w:val="auto"/>
                <w:sz w:val="21"/>
                <w:szCs w:val="21"/>
                <w:highlight w:val="none"/>
              </w:rPr>
            </w:pPr>
            <w:r>
              <w:rPr>
                <w:rFonts w:hint="eastAsia" w:ascii="宋体" w:hAnsi="宋体" w:eastAsia="宋体" w:cs="宋体"/>
                <w:b/>
                <w:color w:val="auto"/>
                <w:sz w:val="21"/>
                <w:szCs w:val="21"/>
                <w:highlight w:val="none"/>
              </w:rPr>
              <w:t>（万元）</w:t>
            </w:r>
          </w:p>
        </w:tc>
        <w:tc>
          <w:tcPr>
            <w:tcW w:w="4977" w:type="dxa"/>
            <w:vAlign w:val="center"/>
          </w:tcPr>
          <w:p w14:paraId="3941BE4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技术参数要求</w:t>
            </w:r>
          </w:p>
          <w:p w14:paraId="13D5B95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iCs/>
                <w:color w:val="auto"/>
                <w:sz w:val="21"/>
                <w:szCs w:val="21"/>
                <w:highlight w:val="none"/>
                <w:lang w:eastAsia="zh-CN"/>
              </w:rPr>
            </w:pPr>
            <w:r>
              <w:rPr>
                <w:rFonts w:hint="eastAsia" w:ascii="宋体" w:hAnsi="宋体" w:eastAsia="宋体" w:cs="宋体"/>
                <w:b w:val="0"/>
                <w:bCs/>
                <w:color w:val="auto"/>
                <w:sz w:val="21"/>
                <w:szCs w:val="21"/>
                <w:highlight w:val="none"/>
                <w:lang w:eastAsia="zh-CN"/>
              </w:rPr>
              <w:t>（“▲”为实质性指标，必须满足，“■”为重要参数，其他为一般性参数，</w:t>
            </w:r>
            <w:r>
              <w:rPr>
                <w:rFonts w:hint="eastAsia" w:ascii="宋体" w:hAnsi="宋体" w:eastAsia="宋体" w:cs="宋体"/>
                <w:b w:val="0"/>
                <w:bCs/>
                <w:color w:val="auto"/>
                <w:sz w:val="21"/>
                <w:szCs w:val="21"/>
                <w:highlight w:val="none"/>
                <w:lang w:val="en-US" w:eastAsia="zh-CN"/>
              </w:rPr>
              <w:t>按评标标准评审</w:t>
            </w:r>
            <w:r>
              <w:rPr>
                <w:rFonts w:hint="eastAsia" w:ascii="宋体" w:hAnsi="宋体" w:eastAsia="宋体" w:cs="宋体"/>
                <w:b w:val="0"/>
                <w:bCs/>
                <w:color w:val="auto"/>
                <w:sz w:val="21"/>
                <w:szCs w:val="21"/>
                <w:highlight w:val="none"/>
                <w:lang w:eastAsia="zh-CN"/>
              </w:rPr>
              <w:t>）</w:t>
            </w:r>
          </w:p>
        </w:tc>
      </w:tr>
      <w:tr w14:paraId="591F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14:paraId="5B7BBE9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1</w:t>
            </w:r>
          </w:p>
        </w:tc>
        <w:tc>
          <w:tcPr>
            <w:tcW w:w="700" w:type="dxa"/>
            <w:vAlign w:val="center"/>
          </w:tcPr>
          <w:p w14:paraId="2761085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val="0"/>
                <w:bCs w:val="0"/>
                <w:color w:val="auto"/>
                <w:kern w:val="0"/>
                <w:sz w:val="21"/>
                <w:szCs w:val="21"/>
                <w:highlight w:val="none"/>
              </w:rPr>
              <w:t>地下水采样设备</w:t>
            </w:r>
          </w:p>
        </w:tc>
        <w:tc>
          <w:tcPr>
            <w:tcW w:w="812" w:type="dxa"/>
            <w:vAlign w:val="center"/>
          </w:tcPr>
          <w:p w14:paraId="6B8339B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val="en-US" w:eastAsia="zh-CN"/>
              </w:rPr>
              <w:t>24</w:t>
            </w:r>
          </w:p>
        </w:tc>
        <w:tc>
          <w:tcPr>
            <w:tcW w:w="774" w:type="dxa"/>
            <w:vAlign w:val="center"/>
          </w:tcPr>
          <w:p w14:paraId="6D3CEB7D">
            <w:pPr>
              <w:keepNext w:val="0"/>
              <w:keepLines w:val="0"/>
              <w:pageBreakBefore w:val="0"/>
              <w:widowControl w:val="0"/>
              <w:tabs>
                <w:tab w:val="left" w:pos="180"/>
                <w:tab w:val="left" w:pos="1620"/>
              </w:tabs>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17</w:t>
            </w:r>
          </w:p>
        </w:tc>
        <w:tc>
          <w:tcPr>
            <w:tcW w:w="824" w:type="dxa"/>
            <w:vAlign w:val="center"/>
          </w:tcPr>
          <w:p w14:paraId="6D1D374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408</w:t>
            </w:r>
          </w:p>
        </w:tc>
        <w:tc>
          <w:tcPr>
            <w:tcW w:w="4977" w:type="dxa"/>
            <w:vAlign w:val="center"/>
          </w:tcPr>
          <w:p w14:paraId="7D5C23E4">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一、</w:t>
            </w:r>
            <w:r>
              <w:rPr>
                <w:rFonts w:hint="eastAsia" w:ascii="宋体" w:hAnsi="宋体" w:eastAsia="宋体" w:cs="宋体"/>
                <w:b/>
                <w:bCs w:val="0"/>
                <w:color w:val="auto"/>
                <w:sz w:val="21"/>
                <w:szCs w:val="21"/>
                <w:highlight w:val="none"/>
              </w:rPr>
              <w:t>适用范围</w:t>
            </w:r>
          </w:p>
          <w:p w14:paraId="6E3C5321">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用于地下水水质监测。</w:t>
            </w:r>
          </w:p>
          <w:p w14:paraId="6C23E7FE">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二、</w:t>
            </w:r>
            <w:r>
              <w:rPr>
                <w:rFonts w:hint="eastAsia" w:ascii="宋体" w:hAnsi="宋体" w:eastAsia="宋体" w:cs="宋体"/>
                <w:b/>
                <w:bCs w:val="0"/>
                <w:color w:val="auto"/>
                <w:sz w:val="21"/>
                <w:szCs w:val="21"/>
                <w:highlight w:val="none"/>
              </w:rPr>
              <w:t>基本要求</w:t>
            </w:r>
          </w:p>
          <w:p w14:paraId="517B4523">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满足《地下水环境质量监测技术规范》（HJ164-2020）、《地块土壤和地下水中挥发性有机物采样技术导则》（HJ1019-2019）、《建设用地土壤污染风险管控和修复监测技术导则》（HJ25.2-2019）标准要求</w:t>
            </w:r>
            <w:r>
              <w:rPr>
                <w:rFonts w:hint="eastAsia" w:ascii="宋体" w:hAnsi="宋体" w:eastAsia="宋体" w:cs="宋体"/>
                <w:b w:val="0"/>
                <w:bCs/>
                <w:color w:val="auto"/>
                <w:sz w:val="21"/>
                <w:szCs w:val="21"/>
                <w:highlight w:val="none"/>
                <w:lang w:eastAsia="zh-CN"/>
              </w:rPr>
              <w:t>。</w:t>
            </w:r>
          </w:p>
          <w:p w14:paraId="72B7FF5D">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三、仪器要求</w:t>
            </w:r>
          </w:p>
          <w:p w14:paraId="679AF54C">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1.气囊泵</w:t>
            </w:r>
          </w:p>
          <w:p w14:paraId="41EEA393">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.1气囊泵体：外壳（外泵体）直径≤50mm；外壳（外泵体）材质316不锈钢</w:t>
            </w:r>
            <w:r>
              <w:rPr>
                <w:rFonts w:hint="eastAsia" w:ascii="宋体" w:hAnsi="宋体" w:eastAsia="宋体" w:cs="宋体"/>
                <w:bCs/>
                <w:color w:val="auto"/>
                <w:sz w:val="21"/>
                <w:szCs w:val="21"/>
                <w:highlight w:val="none"/>
                <w:lang w:val="en-US" w:eastAsia="zh-CN"/>
              </w:rPr>
              <w:t>；</w:t>
            </w:r>
          </w:p>
          <w:p w14:paraId="7A42C186">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■1.2扬程≥60米</w:t>
            </w: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正偏离：</w:t>
            </w:r>
            <w:r>
              <w:rPr>
                <w:rFonts w:hint="eastAsia" w:ascii="宋体" w:hAnsi="宋体" w:eastAsia="宋体" w:cs="宋体"/>
                <w:bCs/>
                <w:color w:val="auto"/>
                <w:sz w:val="21"/>
                <w:szCs w:val="21"/>
                <w:highlight w:val="none"/>
              </w:rPr>
              <w:t>扬程＞60米</w:t>
            </w: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无偏离：</w:t>
            </w:r>
            <w:r>
              <w:rPr>
                <w:rFonts w:hint="eastAsia" w:ascii="宋体" w:hAnsi="宋体" w:eastAsia="宋体" w:cs="宋体"/>
                <w:bCs/>
                <w:color w:val="auto"/>
                <w:sz w:val="21"/>
                <w:szCs w:val="21"/>
                <w:highlight w:val="none"/>
              </w:rPr>
              <w:t>扬程</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60米</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投标时需提供产品彩页或有关证明材料并加盖投标人单位公章】</w:t>
            </w:r>
          </w:p>
          <w:p w14:paraId="62860E92">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1.3气囊泵控制系统：流量控制至少满足流量范围：0.1L/min～0.5L/min，控制系统具备水位泄降控制模块，控制系统连接多功能水位尺（具备泄降控制功能），实现水位泄降与采样单元自动联动控制，泄降水位不超过10cm</w:t>
            </w:r>
            <w:r>
              <w:rPr>
                <w:rFonts w:hint="eastAsia" w:ascii="宋体" w:hAnsi="宋体" w:eastAsia="宋体" w:cs="宋体"/>
                <w:bCs/>
                <w:color w:val="auto"/>
                <w:sz w:val="21"/>
                <w:szCs w:val="21"/>
                <w:highlight w:val="none"/>
                <w:lang w:val="en-US" w:eastAsia="zh-CN"/>
              </w:rPr>
              <w:t>；</w:t>
            </w:r>
          </w:p>
          <w:p w14:paraId="0651589B">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1.4气囊采用聚四氟乙烯（PTFE）材质；容量≥150ml</w:t>
            </w:r>
            <w:r>
              <w:rPr>
                <w:rFonts w:hint="eastAsia" w:ascii="宋体" w:hAnsi="宋体" w:eastAsia="宋体" w:cs="宋体"/>
                <w:bCs/>
                <w:color w:val="auto"/>
                <w:sz w:val="21"/>
                <w:szCs w:val="21"/>
                <w:highlight w:val="none"/>
                <w:lang w:eastAsia="zh-CN"/>
              </w:rPr>
              <w:t>，</w:t>
            </w:r>
            <w:r>
              <w:rPr>
                <w:rFonts w:hint="eastAsia" w:ascii="宋体" w:hAnsi="宋体" w:eastAsia="宋体" w:cs="宋体"/>
                <w:iCs/>
                <w:color w:val="auto"/>
                <w:sz w:val="21"/>
                <w:szCs w:val="21"/>
                <w:highlight w:val="none"/>
                <w:lang w:val="en-US" w:eastAsia="zh-CN"/>
              </w:rPr>
              <w:t>进水方式：底部进水；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40A7A014">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■1.5采样管长度比扬程多20米以上，输水管材质为聚四氟乙烯材质或具有聚四氟乙烯内衬的聚乙烯软管, 管线内径为0.5～1 cm；【</w:t>
            </w:r>
            <w:r>
              <w:rPr>
                <w:rFonts w:hint="eastAsia" w:ascii="宋体" w:hAnsi="宋体" w:cs="宋体"/>
                <w:bCs/>
                <w:color w:val="auto"/>
                <w:sz w:val="21"/>
                <w:szCs w:val="21"/>
                <w:highlight w:val="none"/>
                <w:lang w:val="en-US" w:eastAsia="zh-CN"/>
              </w:rPr>
              <w:t>正偏离：</w:t>
            </w:r>
            <w:r>
              <w:rPr>
                <w:rFonts w:hint="eastAsia" w:ascii="宋体" w:hAnsi="宋体" w:eastAsia="宋体" w:cs="宋体"/>
                <w:bCs/>
                <w:color w:val="auto"/>
                <w:sz w:val="21"/>
                <w:szCs w:val="21"/>
                <w:highlight w:val="none"/>
                <w:lang w:val="en-US" w:eastAsia="zh-CN"/>
              </w:rPr>
              <w:t>采样管长度</w:t>
            </w:r>
            <w:r>
              <w:rPr>
                <w:rFonts w:hint="eastAsia" w:ascii="宋体" w:hAnsi="宋体" w:cs="宋体"/>
                <w:bCs/>
                <w:color w:val="auto"/>
                <w:sz w:val="21"/>
                <w:szCs w:val="21"/>
                <w:highlight w:val="none"/>
                <w:lang w:val="en-US" w:eastAsia="zh-CN"/>
              </w:rPr>
              <w:t>、输水管材质、管线内径均符合参数要求；无偏离：</w:t>
            </w:r>
            <w:r>
              <w:rPr>
                <w:rFonts w:hint="eastAsia" w:ascii="宋体" w:hAnsi="宋体" w:eastAsia="宋体" w:cs="宋体"/>
                <w:bCs/>
                <w:color w:val="auto"/>
                <w:sz w:val="21"/>
                <w:szCs w:val="21"/>
                <w:highlight w:val="none"/>
                <w:lang w:val="en-US" w:eastAsia="zh-CN"/>
              </w:rPr>
              <w:t>采样管长度</w:t>
            </w:r>
            <w:r>
              <w:rPr>
                <w:rFonts w:hint="eastAsia" w:ascii="宋体" w:hAnsi="宋体" w:cs="宋体"/>
                <w:bCs/>
                <w:color w:val="auto"/>
                <w:sz w:val="21"/>
                <w:szCs w:val="21"/>
                <w:highlight w:val="none"/>
                <w:lang w:val="en-US" w:eastAsia="zh-CN"/>
              </w:rPr>
              <w:t>、输水管材质、管线内径仅部分符合参数要求</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投标时需提供产品彩页或有关证明材料并加盖投标人单位公章】</w:t>
            </w:r>
          </w:p>
          <w:p w14:paraId="283E3852">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1.6电源：220V交流电源；</w:t>
            </w:r>
          </w:p>
          <w:p w14:paraId="57708CE7">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1.7防护等级：不低于IP65</w:t>
            </w:r>
            <w:r>
              <w:rPr>
                <w:rFonts w:hint="eastAsia" w:ascii="宋体" w:hAnsi="宋体" w:eastAsia="宋体" w:cs="宋体"/>
                <w:bCs/>
                <w:color w:val="auto"/>
                <w:sz w:val="21"/>
                <w:szCs w:val="21"/>
                <w:highlight w:val="none"/>
                <w:lang w:val="en-US" w:eastAsia="zh-CN"/>
              </w:rPr>
              <w:t>；</w:t>
            </w:r>
          </w:p>
          <w:p w14:paraId="36D8E7A9">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1.8满电电池容量≥3度电，功率≥1.5kw，锂电池，重量≤20kg</w:t>
            </w:r>
            <w:r>
              <w:rPr>
                <w:rFonts w:hint="eastAsia" w:ascii="宋体" w:hAnsi="宋体" w:eastAsia="宋体" w:cs="宋体"/>
                <w:bCs/>
                <w:color w:val="auto"/>
                <w:sz w:val="21"/>
                <w:szCs w:val="21"/>
                <w:highlight w:val="none"/>
                <w:lang w:val="en-US" w:eastAsia="zh-CN"/>
              </w:rPr>
              <w:t>；</w:t>
            </w:r>
          </w:p>
          <w:p w14:paraId="64C066FF">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rPr>
              <w:t>低流量采样泵</w:t>
            </w:r>
          </w:p>
          <w:p w14:paraId="501587A9">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2.1潜水泵体：泵头直径≤50mm，泵体材质316不锈钢</w:t>
            </w:r>
            <w:r>
              <w:rPr>
                <w:rFonts w:hint="eastAsia" w:ascii="宋体" w:hAnsi="宋体" w:eastAsia="宋体" w:cs="宋体"/>
                <w:bCs/>
                <w:color w:val="auto"/>
                <w:sz w:val="21"/>
                <w:szCs w:val="21"/>
                <w:highlight w:val="none"/>
                <w:lang w:val="en-US" w:eastAsia="zh-CN"/>
              </w:rPr>
              <w:t>；</w:t>
            </w:r>
          </w:p>
          <w:p w14:paraId="452A697C">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▲2.2扬程≥</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0米</w:t>
            </w:r>
            <w:r>
              <w:rPr>
                <w:rFonts w:hint="eastAsia" w:ascii="宋体" w:hAnsi="宋体" w:eastAsia="宋体" w:cs="宋体"/>
                <w:bCs/>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4FDE236D">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■2.3流量控制至少满足流量范围：0.</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L/min～1L/min</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正偏离：</w:t>
            </w:r>
            <w:r>
              <w:rPr>
                <w:rFonts w:hint="eastAsia" w:ascii="宋体" w:hAnsi="宋体" w:eastAsia="宋体" w:cs="宋体"/>
                <w:bCs/>
                <w:color w:val="auto"/>
                <w:sz w:val="21"/>
                <w:szCs w:val="21"/>
                <w:highlight w:val="none"/>
              </w:rPr>
              <w:t>流量范围</w:t>
            </w:r>
            <w:r>
              <w:rPr>
                <w:rFonts w:hint="eastAsia" w:ascii="宋体" w:hAnsi="宋体" w:cs="宋体"/>
                <w:bCs/>
                <w:color w:val="auto"/>
                <w:sz w:val="21"/>
                <w:szCs w:val="21"/>
                <w:highlight w:val="none"/>
                <w:lang w:val="en-US" w:eastAsia="zh-CN"/>
              </w:rPr>
              <w:t>下限＜0.1</w:t>
            </w:r>
            <w:r>
              <w:rPr>
                <w:rFonts w:hint="eastAsia" w:ascii="宋体" w:hAnsi="宋体" w:eastAsia="宋体" w:cs="宋体"/>
                <w:bCs/>
                <w:color w:val="auto"/>
                <w:sz w:val="21"/>
                <w:szCs w:val="21"/>
                <w:highlight w:val="none"/>
              </w:rPr>
              <w:t>L/min</w:t>
            </w:r>
            <w:r>
              <w:rPr>
                <w:rFonts w:hint="eastAsia" w:ascii="宋体" w:hAnsi="宋体" w:cs="宋体"/>
                <w:bCs/>
                <w:color w:val="auto"/>
                <w:sz w:val="21"/>
                <w:szCs w:val="21"/>
                <w:highlight w:val="none"/>
                <w:lang w:val="en-US" w:eastAsia="zh-CN"/>
              </w:rPr>
              <w:t>且</w:t>
            </w:r>
            <w:r>
              <w:rPr>
                <w:rFonts w:hint="eastAsia" w:ascii="宋体" w:hAnsi="宋体" w:eastAsia="宋体" w:cs="宋体"/>
                <w:bCs/>
                <w:color w:val="auto"/>
                <w:sz w:val="21"/>
                <w:szCs w:val="21"/>
                <w:highlight w:val="none"/>
              </w:rPr>
              <w:t>流量范围</w:t>
            </w:r>
            <w:r>
              <w:rPr>
                <w:rFonts w:hint="eastAsia" w:ascii="宋体" w:hAnsi="宋体" w:cs="宋体"/>
                <w:bCs/>
                <w:color w:val="auto"/>
                <w:sz w:val="21"/>
                <w:szCs w:val="21"/>
                <w:highlight w:val="none"/>
                <w:lang w:val="en-US" w:eastAsia="zh-CN"/>
              </w:rPr>
              <w:t>上限＞</w:t>
            </w:r>
            <w:r>
              <w:rPr>
                <w:rFonts w:hint="eastAsia" w:ascii="宋体" w:hAnsi="宋体" w:eastAsia="宋体" w:cs="宋体"/>
                <w:bCs/>
                <w:color w:val="auto"/>
                <w:sz w:val="21"/>
                <w:szCs w:val="21"/>
                <w:highlight w:val="none"/>
              </w:rPr>
              <w:t>1L/min</w:t>
            </w:r>
            <w:r>
              <w:rPr>
                <w:rFonts w:hint="eastAsia" w:ascii="宋体" w:hAnsi="宋体" w:cs="宋体"/>
                <w:bCs/>
                <w:color w:val="auto"/>
                <w:sz w:val="21"/>
                <w:szCs w:val="21"/>
                <w:highlight w:val="none"/>
                <w:lang w:val="en-US" w:eastAsia="zh-CN"/>
              </w:rPr>
              <w:t>；无偏离：</w:t>
            </w:r>
            <w:r>
              <w:rPr>
                <w:rFonts w:hint="eastAsia" w:ascii="宋体" w:hAnsi="宋体" w:eastAsia="宋体" w:cs="宋体"/>
                <w:bCs/>
                <w:color w:val="auto"/>
                <w:sz w:val="21"/>
                <w:szCs w:val="21"/>
                <w:highlight w:val="none"/>
              </w:rPr>
              <w:t>流量范围</w:t>
            </w:r>
            <w:r>
              <w:rPr>
                <w:rFonts w:hint="eastAsia" w:ascii="宋体" w:hAnsi="宋体" w:cs="宋体"/>
                <w:bCs/>
                <w:color w:val="auto"/>
                <w:sz w:val="21"/>
                <w:szCs w:val="21"/>
                <w:highlight w:val="none"/>
                <w:lang w:val="en-US" w:eastAsia="zh-CN"/>
              </w:rPr>
              <w:t>下限≤0.1</w:t>
            </w:r>
            <w:r>
              <w:rPr>
                <w:rFonts w:hint="eastAsia" w:ascii="宋体" w:hAnsi="宋体" w:eastAsia="宋体" w:cs="宋体"/>
                <w:bCs/>
                <w:color w:val="auto"/>
                <w:sz w:val="21"/>
                <w:szCs w:val="21"/>
                <w:highlight w:val="none"/>
              </w:rPr>
              <w:t>L/min</w:t>
            </w:r>
            <w:r>
              <w:rPr>
                <w:rFonts w:hint="eastAsia" w:ascii="宋体" w:hAnsi="宋体" w:cs="宋体"/>
                <w:bCs/>
                <w:color w:val="auto"/>
                <w:sz w:val="21"/>
                <w:szCs w:val="21"/>
                <w:highlight w:val="none"/>
                <w:lang w:val="en-US" w:eastAsia="zh-CN"/>
              </w:rPr>
              <w:t>或</w:t>
            </w:r>
            <w:r>
              <w:rPr>
                <w:rFonts w:hint="eastAsia" w:ascii="宋体" w:hAnsi="宋体" w:eastAsia="宋体" w:cs="宋体"/>
                <w:bCs/>
                <w:color w:val="auto"/>
                <w:sz w:val="21"/>
                <w:szCs w:val="21"/>
                <w:highlight w:val="none"/>
              </w:rPr>
              <w:t>流量范围</w:t>
            </w:r>
            <w:r>
              <w:rPr>
                <w:rFonts w:hint="eastAsia" w:ascii="宋体" w:hAnsi="宋体" w:cs="宋体"/>
                <w:bCs/>
                <w:color w:val="auto"/>
                <w:sz w:val="21"/>
                <w:szCs w:val="21"/>
                <w:highlight w:val="none"/>
                <w:lang w:val="en-US" w:eastAsia="zh-CN"/>
              </w:rPr>
              <w:t>上限≥</w:t>
            </w:r>
            <w:r>
              <w:rPr>
                <w:rFonts w:hint="eastAsia" w:ascii="宋体" w:hAnsi="宋体" w:eastAsia="宋体" w:cs="宋体"/>
                <w:bCs/>
                <w:color w:val="auto"/>
                <w:sz w:val="21"/>
                <w:szCs w:val="21"/>
                <w:highlight w:val="none"/>
              </w:rPr>
              <w:t>1L/min</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投标时需提供产品彩页或有关证明材料并加盖投标人单位公章</w:t>
            </w:r>
            <w:r>
              <w:rPr>
                <w:rFonts w:hint="eastAsia" w:ascii="宋体" w:hAnsi="宋体" w:eastAsia="宋体" w:cs="宋体"/>
                <w:bCs/>
                <w:color w:val="auto"/>
                <w:sz w:val="21"/>
                <w:szCs w:val="21"/>
                <w:highlight w:val="none"/>
                <w:lang w:eastAsia="zh-CN"/>
              </w:rPr>
              <w:t>】</w:t>
            </w:r>
          </w:p>
          <w:p w14:paraId="3505CBA3">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2.4输水管材质为聚四氟乙烯材质或具有聚四氟乙烯内衬的聚乙烯软管</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管线内径0.5</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1 cm</w:t>
            </w:r>
            <w:r>
              <w:rPr>
                <w:rFonts w:hint="eastAsia" w:ascii="宋体" w:hAnsi="宋体" w:eastAsia="宋体" w:cs="宋体"/>
                <w:bCs/>
                <w:color w:val="auto"/>
                <w:sz w:val="21"/>
                <w:szCs w:val="21"/>
                <w:highlight w:val="none"/>
                <w:lang w:val="en-US" w:eastAsia="zh-CN"/>
              </w:rPr>
              <w:t>；</w:t>
            </w:r>
          </w:p>
          <w:p w14:paraId="79DC5AF4">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2.5电源：220V交流电源；</w:t>
            </w:r>
          </w:p>
          <w:p w14:paraId="210DC18A">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2.6防护等级：不低于IP65；</w:t>
            </w:r>
          </w:p>
          <w:p w14:paraId="03FB84D8">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2.7钢丝绳、电缆及采样管长度均比扬程多20米。</w:t>
            </w:r>
          </w:p>
          <w:p w14:paraId="36436D38">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3.洗井泵</w:t>
            </w:r>
          </w:p>
          <w:p w14:paraId="7D1A7547">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3.1潜水泵体：泵头直径≤50mm，泵体材质316不锈钢；</w:t>
            </w:r>
          </w:p>
          <w:p w14:paraId="375C39B3">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▲3.2扬程≥75米；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325190B4">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■3.3流量控制至少满足流量范围：1L/min～30L/min；【</w:t>
            </w:r>
            <w:r>
              <w:rPr>
                <w:rFonts w:hint="eastAsia" w:ascii="宋体" w:hAnsi="宋体" w:cs="宋体"/>
                <w:bCs/>
                <w:color w:val="auto"/>
                <w:sz w:val="21"/>
                <w:szCs w:val="21"/>
                <w:highlight w:val="none"/>
                <w:lang w:val="en-US" w:eastAsia="zh-CN"/>
              </w:rPr>
              <w:t>正偏离：</w:t>
            </w:r>
            <w:r>
              <w:rPr>
                <w:rFonts w:hint="eastAsia" w:ascii="宋体" w:hAnsi="宋体" w:eastAsia="宋体" w:cs="宋体"/>
                <w:bCs/>
                <w:color w:val="auto"/>
                <w:sz w:val="21"/>
                <w:szCs w:val="21"/>
                <w:highlight w:val="none"/>
              </w:rPr>
              <w:t>流量范围</w:t>
            </w:r>
            <w:r>
              <w:rPr>
                <w:rFonts w:hint="eastAsia" w:ascii="宋体" w:hAnsi="宋体" w:cs="宋体"/>
                <w:bCs/>
                <w:color w:val="auto"/>
                <w:sz w:val="21"/>
                <w:szCs w:val="21"/>
                <w:highlight w:val="none"/>
                <w:lang w:val="en-US" w:eastAsia="zh-CN"/>
              </w:rPr>
              <w:t>下限＜1</w:t>
            </w:r>
            <w:r>
              <w:rPr>
                <w:rFonts w:hint="eastAsia" w:ascii="宋体" w:hAnsi="宋体" w:eastAsia="宋体" w:cs="宋体"/>
                <w:bCs/>
                <w:color w:val="auto"/>
                <w:sz w:val="21"/>
                <w:szCs w:val="21"/>
                <w:highlight w:val="none"/>
              </w:rPr>
              <w:t>L/min</w:t>
            </w:r>
            <w:r>
              <w:rPr>
                <w:rFonts w:hint="eastAsia" w:ascii="宋体" w:hAnsi="宋体" w:cs="宋体"/>
                <w:bCs/>
                <w:color w:val="auto"/>
                <w:sz w:val="21"/>
                <w:szCs w:val="21"/>
                <w:highlight w:val="none"/>
                <w:lang w:val="en-US" w:eastAsia="zh-CN"/>
              </w:rPr>
              <w:t>且</w:t>
            </w:r>
            <w:r>
              <w:rPr>
                <w:rFonts w:hint="eastAsia" w:ascii="宋体" w:hAnsi="宋体" w:eastAsia="宋体" w:cs="宋体"/>
                <w:bCs/>
                <w:color w:val="auto"/>
                <w:sz w:val="21"/>
                <w:szCs w:val="21"/>
                <w:highlight w:val="none"/>
              </w:rPr>
              <w:t>流量范围</w:t>
            </w:r>
            <w:r>
              <w:rPr>
                <w:rFonts w:hint="eastAsia" w:ascii="宋体" w:hAnsi="宋体" w:cs="宋体"/>
                <w:bCs/>
                <w:color w:val="auto"/>
                <w:sz w:val="21"/>
                <w:szCs w:val="21"/>
                <w:highlight w:val="none"/>
                <w:lang w:val="en-US" w:eastAsia="zh-CN"/>
              </w:rPr>
              <w:t>上限＞30</w:t>
            </w:r>
            <w:r>
              <w:rPr>
                <w:rFonts w:hint="eastAsia" w:ascii="宋体" w:hAnsi="宋体" w:eastAsia="宋体" w:cs="宋体"/>
                <w:bCs/>
                <w:color w:val="auto"/>
                <w:sz w:val="21"/>
                <w:szCs w:val="21"/>
                <w:highlight w:val="none"/>
              </w:rPr>
              <w:t>L/min</w:t>
            </w:r>
            <w:r>
              <w:rPr>
                <w:rFonts w:hint="eastAsia" w:ascii="宋体" w:hAnsi="宋体" w:cs="宋体"/>
                <w:bCs/>
                <w:color w:val="auto"/>
                <w:sz w:val="21"/>
                <w:szCs w:val="21"/>
                <w:highlight w:val="none"/>
                <w:lang w:val="en-US" w:eastAsia="zh-CN"/>
              </w:rPr>
              <w:t>；无偏离：</w:t>
            </w:r>
            <w:r>
              <w:rPr>
                <w:rFonts w:hint="eastAsia" w:ascii="宋体" w:hAnsi="宋体" w:eastAsia="宋体" w:cs="宋体"/>
                <w:bCs/>
                <w:color w:val="auto"/>
                <w:sz w:val="21"/>
                <w:szCs w:val="21"/>
                <w:highlight w:val="none"/>
              </w:rPr>
              <w:t>流量范围</w:t>
            </w:r>
            <w:r>
              <w:rPr>
                <w:rFonts w:hint="eastAsia" w:ascii="宋体" w:hAnsi="宋体" w:cs="宋体"/>
                <w:bCs/>
                <w:color w:val="auto"/>
                <w:sz w:val="21"/>
                <w:szCs w:val="21"/>
                <w:highlight w:val="none"/>
                <w:lang w:val="en-US" w:eastAsia="zh-CN"/>
              </w:rPr>
              <w:t>下限≤1</w:t>
            </w:r>
            <w:r>
              <w:rPr>
                <w:rFonts w:hint="eastAsia" w:ascii="宋体" w:hAnsi="宋体" w:eastAsia="宋体" w:cs="宋体"/>
                <w:bCs/>
                <w:color w:val="auto"/>
                <w:sz w:val="21"/>
                <w:szCs w:val="21"/>
                <w:highlight w:val="none"/>
              </w:rPr>
              <w:t>L/min</w:t>
            </w:r>
            <w:r>
              <w:rPr>
                <w:rFonts w:hint="eastAsia" w:ascii="宋体" w:hAnsi="宋体" w:cs="宋体"/>
                <w:bCs/>
                <w:color w:val="auto"/>
                <w:sz w:val="21"/>
                <w:szCs w:val="21"/>
                <w:highlight w:val="none"/>
                <w:lang w:val="en-US" w:eastAsia="zh-CN"/>
              </w:rPr>
              <w:t>或</w:t>
            </w:r>
            <w:r>
              <w:rPr>
                <w:rFonts w:hint="eastAsia" w:ascii="宋体" w:hAnsi="宋体" w:eastAsia="宋体" w:cs="宋体"/>
                <w:bCs/>
                <w:color w:val="auto"/>
                <w:sz w:val="21"/>
                <w:szCs w:val="21"/>
                <w:highlight w:val="none"/>
              </w:rPr>
              <w:t>流量范围</w:t>
            </w:r>
            <w:r>
              <w:rPr>
                <w:rFonts w:hint="eastAsia" w:ascii="宋体" w:hAnsi="宋体" w:cs="宋体"/>
                <w:bCs/>
                <w:color w:val="auto"/>
                <w:sz w:val="21"/>
                <w:szCs w:val="21"/>
                <w:highlight w:val="none"/>
                <w:lang w:val="en-US" w:eastAsia="zh-CN"/>
              </w:rPr>
              <w:t>上限≥30</w:t>
            </w:r>
            <w:r>
              <w:rPr>
                <w:rFonts w:hint="eastAsia" w:ascii="宋体" w:hAnsi="宋体" w:eastAsia="宋体" w:cs="宋体"/>
                <w:bCs/>
                <w:color w:val="auto"/>
                <w:sz w:val="21"/>
                <w:szCs w:val="21"/>
                <w:highlight w:val="none"/>
              </w:rPr>
              <w:t>L/min</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投标时需提供产品彩页或有关证明材料并加盖投标人单位公章】</w:t>
            </w:r>
          </w:p>
          <w:p w14:paraId="57410BF0">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3.4电源：220V交流电源；</w:t>
            </w:r>
          </w:p>
          <w:p w14:paraId="3B73C6C6">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3.5防护等级：不低于IP65；</w:t>
            </w:r>
          </w:p>
          <w:p w14:paraId="4D98BB21">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3.6三角支架高度可调，最大展开高度≥1.5米；</w:t>
            </w:r>
          </w:p>
          <w:p w14:paraId="01B0B8D6">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3.7钢丝绳、电缆及出水管长度均比扬程多20米</w:t>
            </w:r>
            <w:r>
              <w:rPr>
                <w:rFonts w:hint="eastAsia" w:ascii="宋体" w:hAnsi="宋体" w:eastAsia="宋体" w:cs="宋体"/>
                <w:bCs/>
                <w:color w:val="auto"/>
                <w:sz w:val="21"/>
                <w:szCs w:val="21"/>
                <w:highlight w:val="none"/>
                <w:lang w:val="en-US" w:eastAsia="zh-CN"/>
              </w:rPr>
              <w:t>；</w:t>
            </w:r>
          </w:p>
          <w:p w14:paraId="71E6EF5B">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4.多参数水质监测仪</w:t>
            </w:r>
          </w:p>
          <w:p w14:paraId="5FE45465">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4.1主要用途：适用于地下水中 pH 值、电导率、溶解氧、氧化还原电位、水温、浊度的测定</w:t>
            </w:r>
            <w:r>
              <w:rPr>
                <w:rFonts w:hint="eastAsia" w:ascii="宋体" w:hAnsi="宋体" w:eastAsia="宋体" w:cs="宋体"/>
                <w:bCs/>
                <w:color w:val="auto"/>
                <w:sz w:val="21"/>
                <w:szCs w:val="21"/>
                <w:highlight w:val="none"/>
                <w:lang w:val="en-US" w:eastAsia="zh-CN"/>
              </w:rPr>
              <w:t>；</w:t>
            </w:r>
          </w:p>
          <w:p w14:paraId="5463CA56">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▲4.2 功能要求：在采样的同时可以实时对所采样品进行常规参数分析，配备低速洗井软件，可自动设置稳定参数及稳定范围，并通过指标动态，自动记录对比数据，并判断洗井是否完成；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投标时需提供操作软件界面截图或照片并加盖投标人单位公章</w:t>
            </w:r>
            <w:r>
              <w:rPr>
                <w:rFonts w:hint="eastAsia" w:ascii="宋体" w:hAnsi="宋体" w:eastAsia="宋体" w:cs="宋体"/>
                <w:color w:val="auto"/>
                <w:sz w:val="21"/>
                <w:szCs w:val="21"/>
                <w:highlight w:val="none"/>
                <w:lang w:eastAsia="zh-CN"/>
              </w:rPr>
              <w:t>】</w:t>
            </w:r>
          </w:p>
          <w:p w14:paraId="5E9FE2AD">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▲4.3 传感器尺寸：所有传感器集于一体，全部传感器集成后的探头直径≤7.5cm，</w:t>
            </w:r>
            <w:r>
              <w:rPr>
                <w:rFonts w:hint="eastAsia" w:ascii="宋体" w:hAnsi="宋体" w:eastAsia="宋体" w:cs="宋体"/>
                <w:bCs/>
                <w:color w:val="auto"/>
                <w:sz w:val="21"/>
                <w:szCs w:val="21"/>
                <w:highlight w:val="none"/>
                <w:lang w:val="en-US" w:eastAsia="zh-CN"/>
              </w:rPr>
              <w:t>货物交付时需</w:t>
            </w:r>
            <w:r>
              <w:rPr>
                <w:rFonts w:hint="eastAsia" w:ascii="宋体" w:hAnsi="宋体" w:eastAsia="宋体" w:cs="宋体"/>
                <w:bCs/>
                <w:color w:val="auto"/>
                <w:sz w:val="21"/>
                <w:szCs w:val="21"/>
                <w:highlight w:val="none"/>
              </w:rPr>
              <w:t>提供探头检测仪校准证书；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投标时需提供拟配置装置清单列表及照片图片</w:t>
            </w:r>
            <w:r>
              <w:rPr>
                <w:rFonts w:hint="eastAsia" w:ascii="宋体" w:hAnsi="宋体" w:eastAsia="宋体" w:cs="宋体"/>
                <w:color w:val="auto"/>
                <w:sz w:val="21"/>
                <w:szCs w:val="21"/>
                <w:highlight w:val="none"/>
                <w:lang w:eastAsia="zh-CN"/>
              </w:rPr>
              <w:t>】</w:t>
            </w:r>
          </w:p>
          <w:p w14:paraId="3981A64B">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4.4显示终端与传感器之间通过无线蓝牙连接，通过专业应用软件，方便数据采集，传输和管理，并在终端显示</w:t>
            </w:r>
            <w:r>
              <w:rPr>
                <w:rFonts w:hint="eastAsia" w:ascii="宋体" w:hAnsi="宋体" w:eastAsia="宋体" w:cs="宋体"/>
                <w:bCs/>
                <w:color w:val="auto"/>
                <w:sz w:val="21"/>
                <w:szCs w:val="21"/>
                <w:highlight w:val="none"/>
                <w:lang w:val="en-US" w:eastAsia="zh-CN"/>
              </w:rPr>
              <w:t>；</w:t>
            </w:r>
          </w:p>
          <w:p w14:paraId="208586C6">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4.5 防护等级：IP67 及以上；</w:t>
            </w:r>
          </w:p>
          <w:p w14:paraId="5923051C">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▲4.6 温度传感器规格：范围0-45℃，准确度≤±0.2℃，分辨率≤0.1℃；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3A54D711">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▲4.7 溶解氧传感器规格：范围0-20mg/L。 准确度≤±0.3mg/L。分辨率≤0.01mg/L；</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3689FF7A">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▲4.8电导率传感器规格：范围0-100mS/cm； 准确度≤读数的±1％；分辨率≤0.01mS/cm；附有温度补偿装置</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6B1DC260">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▲4.9pH 值传感器规格：测定范围0-14，准确度≤±0.1pH，分辨率≤0.01pH；附有温度补偿装置</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23ADB3EE">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▲4.10 浊度探头自带清洁刷，具有自清洁功能。浊度传感器规格：范围0.3～1000NTU。准确度≤读数的±2%或±2NTU（取较大者）。分辨率≤0.1NTU；</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74B1C2D8">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▲4.11 ORP传感器规格：范围±999mV；准确度≤±20m</w:t>
            </w:r>
            <w:r>
              <w:rPr>
                <w:rFonts w:hint="eastAsia" w:ascii="宋体" w:hAnsi="宋体" w:eastAsia="宋体" w:cs="宋体"/>
                <w:bCs/>
                <w:color w:val="auto"/>
                <w:sz w:val="21"/>
                <w:szCs w:val="21"/>
                <w:highlight w:val="none"/>
                <w:lang w:val="en-US" w:eastAsia="zh-CN"/>
              </w:rPr>
              <w:t>V</w:t>
            </w:r>
            <w:r>
              <w:rPr>
                <w:rFonts w:hint="eastAsia" w:ascii="宋体" w:hAnsi="宋体" w:eastAsia="宋体" w:cs="宋体"/>
                <w:bCs/>
                <w:color w:val="auto"/>
                <w:sz w:val="21"/>
                <w:szCs w:val="21"/>
                <w:highlight w:val="none"/>
              </w:rPr>
              <w:t>；分辨率≤1mV；</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6D4FCAB9">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■4.12 带有多参数水质流通池，传感器可搭配流通池工作；【</w:t>
            </w:r>
            <w:r>
              <w:rPr>
                <w:rFonts w:hint="eastAsia" w:ascii="宋体" w:hAnsi="宋体" w:cs="宋体"/>
                <w:bCs/>
                <w:color w:val="auto"/>
                <w:sz w:val="21"/>
                <w:szCs w:val="21"/>
                <w:highlight w:val="none"/>
                <w:lang w:val="en-US" w:eastAsia="zh-CN"/>
              </w:rPr>
              <w:t>正偏离：</w:t>
            </w:r>
            <w:r>
              <w:rPr>
                <w:rFonts w:hint="eastAsia" w:ascii="宋体" w:hAnsi="宋体" w:eastAsia="宋体" w:cs="宋体"/>
                <w:bCs/>
                <w:color w:val="auto"/>
                <w:sz w:val="21"/>
                <w:szCs w:val="21"/>
                <w:highlight w:val="none"/>
                <w:lang w:val="en-US" w:eastAsia="zh-CN"/>
              </w:rPr>
              <w:t>流通池</w:t>
            </w:r>
            <w:r>
              <w:rPr>
                <w:rFonts w:hint="eastAsia" w:ascii="宋体" w:hAnsi="宋体" w:cs="宋体"/>
                <w:bCs/>
                <w:color w:val="auto"/>
                <w:sz w:val="21"/>
                <w:szCs w:val="21"/>
                <w:highlight w:val="none"/>
                <w:lang w:val="en-US" w:eastAsia="zh-CN"/>
              </w:rPr>
              <w:t>可同时搭载6个以上</w:t>
            </w:r>
            <w:r>
              <w:rPr>
                <w:rFonts w:hint="eastAsia" w:ascii="宋体" w:hAnsi="宋体" w:eastAsia="宋体" w:cs="宋体"/>
                <w:bCs/>
                <w:color w:val="auto"/>
                <w:sz w:val="21"/>
                <w:szCs w:val="21"/>
                <w:highlight w:val="none"/>
                <w:lang w:val="en-US" w:eastAsia="zh-CN"/>
              </w:rPr>
              <w:t>传感器</w:t>
            </w:r>
            <w:r>
              <w:rPr>
                <w:rFonts w:hint="eastAsia" w:ascii="宋体" w:hAnsi="宋体" w:cs="宋体"/>
                <w:bCs/>
                <w:color w:val="auto"/>
                <w:sz w:val="21"/>
                <w:szCs w:val="21"/>
                <w:highlight w:val="none"/>
                <w:lang w:val="en-US" w:eastAsia="zh-CN"/>
              </w:rPr>
              <w:t>；无偏离：</w:t>
            </w:r>
            <w:r>
              <w:rPr>
                <w:rFonts w:hint="eastAsia" w:ascii="宋体" w:hAnsi="宋体" w:eastAsia="宋体" w:cs="宋体"/>
                <w:bCs/>
                <w:color w:val="auto"/>
                <w:sz w:val="21"/>
                <w:szCs w:val="21"/>
                <w:highlight w:val="none"/>
                <w:lang w:val="en-US" w:eastAsia="zh-CN"/>
              </w:rPr>
              <w:t>流通池</w:t>
            </w:r>
            <w:r>
              <w:rPr>
                <w:rFonts w:hint="eastAsia" w:ascii="宋体" w:hAnsi="宋体" w:cs="宋体"/>
                <w:bCs/>
                <w:color w:val="auto"/>
                <w:sz w:val="21"/>
                <w:szCs w:val="21"/>
                <w:highlight w:val="none"/>
                <w:lang w:val="en-US" w:eastAsia="zh-CN"/>
              </w:rPr>
              <w:t>同时搭载6个</w:t>
            </w:r>
            <w:r>
              <w:rPr>
                <w:rFonts w:hint="eastAsia" w:ascii="宋体" w:hAnsi="宋体" w:eastAsia="宋体" w:cs="宋体"/>
                <w:bCs/>
                <w:color w:val="auto"/>
                <w:sz w:val="21"/>
                <w:szCs w:val="21"/>
                <w:highlight w:val="none"/>
                <w:lang w:val="en-US" w:eastAsia="zh-CN"/>
              </w:rPr>
              <w:t>传感器</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投标时需提供产品彩页或有关证明材料并加盖投标人单位公章】</w:t>
            </w:r>
          </w:p>
          <w:p w14:paraId="16E64413">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4.13 数据显示终端显示面板≥8英寸</w:t>
            </w:r>
            <w:r>
              <w:rPr>
                <w:rFonts w:hint="eastAsia" w:ascii="宋体" w:hAnsi="宋体" w:eastAsia="宋体" w:cs="宋体"/>
                <w:bCs/>
                <w:color w:val="auto"/>
                <w:sz w:val="21"/>
                <w:szCs w:val="21"/>
                <w:highlight w:val="none"/>
                <w:lang w:val="en-US" w:eastAsia="zh-CN"/>
              </w:rPr>
              <w:t>；</w:t>
            </w:r>
          </w:p>
          <w:p w14:paraId="647A44DF">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5.井内水下视频成像系统</w:t>
            </w:r>
          </w:p>
          <w:p w14:paraId="71B6ECDC">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▲5.1 CCD高清摄像头，配备全自动感光系统，镜头角度为360°环形圆周，还应能根据控制箱手动调节井下摄影机焦距</w:t>
            </w:r>
            <w:r>
              <w:rPr>
                <w:rFonts w:hint="eastAsia" w:ascii="宋体" w:hAnsi="宋体" w:eastAsia="宋体" w:cs="宋体"/>
                <w:bCs/>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投标时需提供拟配置装置清单列表及照片图片</w:t>
            </w:r>
            <w:r>
              <w:rPr>
                <w:rFonts w:hint="eastAsia" w:ascii="宋体" w:hAnsi="宋体" w:eastAsia="宋体" w:cs="宋体"/>
                <w:color w:val="auto"/>
                <w:sz w:val="21"/>
                <w:szCs w:val="21"/>
                <w:highlight w:val="none"/>
                <w:lang w:eastAsia="zh-CN"/>
              </w:rPr>
              <w:t>】</w:t>
            </w:r>
          </w:p>
          <w:p w14:paraId="59AAD8AB">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5.2</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LED屏幕尺寸不小于7英寸，全彩色显示，分辨率≥600*1024</w:t>
            </w:r>
            <w:r>
              <w:rPr>
                <w:rFonts w:hint="eastAsia" w:ascii="宋体" w:hAnsi="宋体" w:eastAsia="宋体" w:cs="宋体"/>
                <w:bCs/>
                <w:color w:val="auto"/>
                <w:sz w:val="21"/>
                <w:szCs w:val="21"/>
                <w:highlight w:val="none"/>
                <w:lang w:val="en-US" w:eastAsia="zh-CN"/>
              </w:rPr>
              <w:t>；</w:t>
            </w:r>
          </w:p>
          <w:p w14:paraId="542F28D5">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5.3 线缆长度≥100米</w:t>
            </w:r>
            <w:r>
              <w:rPr>
                <w:rFonts w:hint="eastAsia" w:ascii="宋体" w:hAnsi="宋体" w:eastAsia="宋体" w:cs="宋体"/>
                <w:bCs/>
                <w:color w:val="auto"/>
                <w:sz w:val="21"/>
                <w:szCs w:val="21"/>
                <w:highlight w:val="none"/>
                <w:lang w:val="en-US" w:eastAsia="zh-CN"/>
              </w:rPr>
              <w:t>；</w:t>
            </w:r>
          </w:p>
          <w:p w14:paraId="1A488458">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5.4电源：220V交流电源；</w:t>
            </w:r>
          </w:p>
          <w:p w14:paraId="4718D41C">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5.5防护等级：不低于IP65</w:t>
            </w:r>
            <w:r>
              <w:rPr>
                <w:rFonts w:hint="eastAsia" w:ascii="宋体" w:hAnsi="宋体" w:eastAsia="宋体" w:cs="宋体"/>
                <w:bCs/>
                <w:color w:val="auto"/>
                <w:sz w:val="21"/>
                <w:szCs w:val="21"/>
                <w:highlight w:val="none"/>
                <w:lang w:val="en-US" w:eastAsia="zh-CN"/>
              </w:rPr>
              <w:t>；</w:t>
            </w:r>
          </w:p>
          <w:p w14:paraId="256ABE14">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5.6存贮内存≥16G</w:t>
            </w:r>
            <w:r>
              <w:rPr>
                <w:rFonts w:hint="eastAsia" w:ascii="宋体" w:hAnsi="宋体" w:eastAsia="宋体" w:cs="宋体"/>
                <w:bCs/>
                <w:color w:val="auto"/>
                <w:sz w:val="21"/>
                <w:szCs w:val="21"/>
                <w:highlight w:val="none"/>
                <w:lang w:val="en-US" w:eastAsia="zh-CN"/>
              </w:rPr>
              <w:t>；</w:t>
            </w:r>
          </w:p>
          <w:p w14:paraId="77D67DFC">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6.多功能水位尺</w:t>
            </w:r>
          </w:p>
          <w:p w14:paraId="51600FAB">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▲6.1具备静水位、泄降水位、井深测量功能</w:t>
            </w:r>
            <w:r>
              <w:rPr>
                <w:rFonts w:hint="eastAsia" w:ascii="宋体" w:hAnsi="宋体" w:eastAsia="宋体" w:cs="宋体"/>
                <w:bCs/>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投标时需提供拟配置装置清单列表及照片图片</w:t>
            </w:r>
            <w:r>
              <w:rPr>
                <w:rFonts w:hint="eastAsia" w:ascii="宋体" w:hAnsi="宋体" w:eastAsia="宋体" w:cs="宋体"/>
                <w:color w:val="auto"/>
                <w:sz w:val="21"/>
                <w:szCs w:val="21"/>
                <w:highlight w:val="none"/>
                <w:lang w:eastAsia="zh-CN"/>
              </w:rPr>
              <w:t>】</w:t>
            </w:r>
          </w:p>
          <w:p w14:paraId="4EC0CB72">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■6.2测量范围0</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100</w:t>
            </w:r>
            <w:r>
              <w:rPr>
                <w:rFonts w:hint="eastAsia" w:ascii="宋体" w:hAnsi="宋体" w:eastAsia="宋体" w:cs="宋体"/>
                <w:bCs/>
                <w:color w:val="auto"/>
                <w:sz w:val="21"/>
                <w:szCs w:val="21"/>
                <w:highlight w:val="none"/>
                <w:lang w:val="en-US" w:eastAsia="zh-CN"/>
              </w:rPr>
              <w:t>m</w:t>
            </w:r>
            <w:r>
              <w:rPr>
                <w:rFonts w:hint="eastAsia" w:ascii="宋体" w:hAnsi="宋体" w:eastAsia="宋体" w:cs="宋体"/>
                <w:bCs/>
                <w:color w:val="auto"/>
                <w:sz w:val="21"/>
                <w:szCs w:val="21"/>
                <w:highlight w:val="none"/>
              </w:rPr>
              <w:t>，精度为1cm，最小分辨率1mm</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正偏离：</w:t>
            </w:r>
            <w:r>
              <w:rPr>
                <w:rFonts w:hint="eastAsia" w:ascii="宋体" w:hAnsi="宋体" w:eastAsia="宋体" w:cs="宋体"/>
                <w:bCs/>
                <w:color w:val="auto"/>
                <w:sz w:val="21"/>
                <w:szCs w:val="21"/>
                <w:highlight w:val="none"/>
              </w:rPr>
              <w:t>测量范围</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精度</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最小分辨率</w:t>
            </w:r>
            <w:r>
              <w:rPr>
                <w:rFonts w:hint="eastAsia" w:ascii="宋体" w:hAnsi="宋体" w:cs="宋体"/>
                <w:bCs/>
                <w:color w:val="auto"/>
                <w:sz w:val="21"/>
                <w:szCs w:val="21"/>
                <w:highlight w:val="none"/>
                <w:lang w:val="en-US" w:eastAsia="zh-CN"/>
              </w:rPr>
              <w:t>均符合参数要求；无偏离：</w:t>
            </w:r>
            <w:r>
              <w:rPr>
                <w:rFonts w:hint="eastAsia" w:ascii="宋体" w:hAnsi="宋体" w:eastAsia="宋体" w:cs="宋体"/>
                <w:bCs/>
                <w:color w:val="auto"/>
                <w:sz w:val="21"/>
                <w:szCs w:val="21"/>
                <w:highlight w:val="none"/>
              </w:rPr>
              <w:t>测量范围</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精度</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最小分辨率</w:t>
            </w:r>
            <w:r>
              <w:rPr>
                <w:rFonts w:hint="eastAsia" w:ascii="宋体" w:hAnsi="宋体" w:cs="宋体"/>
                <w:bCs/>
                <w:color w:val="auto"/>
                <w:sz w:val="21"/>
                <w:szCs w:val="21"/>
                <w:highlight w:val="none"/>
                <w:lang w:val="en-US" w:eastAsia="zh-CN"/>
              </w:rPr>
              <w:t>仅部分符合参数要求。</w:t>
            </w:r>
            <w:r>
              <w:rPr>
                <w:rFonts w:hint="eastAsia" w:ascii="宋体" w:hAnsi="宋体" w:eastAsia="宋体" w:cs="宋体"/>
                <w:bCs/>
                <w:color w:val="auto"/>
                <w:sz w:val="21"/>
                <w:szCs w:val="21"/>
                <w:highlight w:val="none"/>
                <w:lang w:val="en-US" w:eastAsia="zh-CN"/>
              </w:rPr>
              <w:t>投标时需提供产品彩页或有关证明材料并加盖投标人单位公章</w:t>
            </w:r>
            <w:r>
              <w:rPr>
                <w:rFonts w:hint="eastAsia" w:ascii="宋体" w:hAnsi="宋体" w:eastAsia="宋体" w:cs="宋体"/>
                <w:bCs/>
                <w:color w:val="auto"/>
                <w:sz w:val="21"/>
                <w:szCs w:val="21"/>
                <w:highlight w:val="none"/>
                <w:lang w:eastAsia="zh-CN"/>
              </w:rPr>
              <w:t>】</w:t>
            </w:r>
          </w:p>
          <w:p w14:paraId="4EBBE752">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6.3防护等级：不低于IP65</w:t>
            </w:r>
            <w:r>
              <w:rPr>
                <w:rFonts w:hint="eastAsia" w:ascii="宋体" w:hAnsi="宋体" w:eastAsia="宋体" w:cs="宋体"/>
                <w:bCs/>
                <w:color w:val="auto"/>
                <w:sz w:val="21"/>
                <w:szCs w:val="21"/>
                <w:highlight w:val="none"/>
                <w:lang w:val="en-US" w:eastAsia="zh-CN"/>
              </w:rPr>
              <w:t>；</w:t>
            </w:r>
          </w:p>
          <w:p w14:paraId="78257B0E">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6.4探头材质：316不锈钢</w:t>
            </w:r>
            <w:r>
              <w:rPr>
                <w:rFonts w:hint="eastAsia" w:ascii="宋体" w:hAnsi="宋体" w:eastAsia="宋体" w:cs="宋体"/>
                <w:bCs/>
                <w:color w:val="auto"/>
                <w:sz w:val="21"/>
                <w:szCs w:val="21"/>
                <w:highlight w:val="none"/>
                <w:lang w:val="en-US" w:eastAsia="zh-CN"/>
              </w:rPr>
              <w:t>；</w:t>
            </w:r>
          </w:p>
          <w:p w14:paraId="5FF9BB96">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6.5报警显示方式：灯光闪烁、蜂鸣器发声</w:t>
            </w:r>
            <w:r>
              <w:rPr>
                <w:rFonts w:hint="eastAsia" w:ascii="宋体" w:hAnsi="宋体" w:eastAsia="宋体" w:cs="宋体"/>
                <w:bCs/>
                <w:color w:val="auto"/>
                <w:sz w:val="21"/>
                <w:szCs w:val="21"/>
                <w:highlight w:val="none"/>
                <w:lang w:val="en-US" w:eastAsia="zh-CN"/>
              </w:rPr>
              <w:t>；</w:t>
            </w:r>
          </w:p>
          <w:p w14:paraId="4A0E5C81">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7.便携式水质抽滤器</w:t>
            </w:r>
          </w:p>
          <w:p w14:paraId="2FEE005E">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7.1滤膜材质0.45μm玻璃纤维，规格100mm</w:t>
            </w:r>
            <w:r>
              <w:rPr>
                <w:rFonts w:hint="eastAsia" w:ascii="宋体" w:hAnsi="宋体" w:eastAsia="宋体" w:cs="宋体"/>
                <w:bCs/>
                <w:color w:val="auto"/>
                <w:sz w:val="21"/>
                <w:szCs w:val="21"/>
                <w:highlight w:val="none"/>
                <w:lang w:val="en-US" w:eastAsia="zh-CN"/>
              </w:rPr>
              <w:t>；</w:t>
            </w:r>
          </w:p>
          <w:p w14:paraId="6142707A">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7.2一次抽滤体积≥400ml</w:t>
            </w:r>
            <w:r>
              <w:rPr>
                <w:rFonts w:hint="eastAsia" w:ascii="宋体" w:hAnsi="宋体" w:eastAsia="宋体" w:cs="宋体"/>
                <w:bCs/>
                <w:color w:val="auto"/>
                <w:sz w:val="21"/>
                <w:szCs w:val="21"/>
                <w:highlight w:val="none"/>
                <w:lang w:val="en-US" w:eastAsia="zh-CN"/>
              </w:rPr>
              <w:t>；</w:t>
            </w:r>
          </w:p>
          <w:p w14:paraId="1BBDD3D0">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▲7.3负载真空能力≥-75kPa</w:t>
            </w:r>
            <w:r>
              <w:rPr>
                <w:rFonts w:hint="eastAsia" w:ascii="宋体" w:hAnsi="宋体" w:eastAsia="宋体" w:cs="宋体"/>
                <w:bCs/>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134F292B">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7.4满电续航时间≥10小时；</w:t>
            </w:r>
          </w:p>
          <w:p w14:paraId="3490EA24">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7.5整机重量≤5kg</w:t>
            </w:r>
            <w:r>
              <w:rPr>
                <w:rFonts w:hint="eastAsia" w:ascii="宋体" w:hAnsi="宋体" w:eastAsia="宋体" w:cs="宋体"/>
                <w:bCs/>
                <w:color w:val="auto"/>
                <w:sz w:val="21"/>
                <w:szCs w:val="21"/>
                <w:highlight w:val="none"/>
                <w:lang w:val="en-US" w:eastAsia="zh-CN"/>
              </w:rPr>
              <w:t>；</w:t>
            </w:r>
          </w:p>
          <w:p w14:paraId="275169F6">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7.6防护等级：不低于IP65</w:t>
            </w:r>
            <w:r>
              <w:rPr>
                <w:rFonts w:hint="eastAsia" w:ascii="宋体" w:hAnsi="宋体" w:eastAsia="宋体" w:cs="宋体"/>
                <w:bCs/>
                <w:color w:val="auto"/>
                <w:sz w:val="21"/>
                <w:szCs w:val="21"/>
                <w:highlight w:val="none"/>
                <w:lang w:val="en-US" w:eastAsia="zh-CN"/>
              </w:rPr>
              <w:t>；</w:t>
            </w:r>
          </w:p>
          <w:p w14:paraId="3AEFFA64">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8.贝勒管</w:t>
            </w:r>
          </w:p>
          <w:p w14:paraId="3E73835A">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8.1不锈钢贝勒管容量≥1L</w:t>
            </w:r>
            <w:r>
              <w:rPr>
                <w:rFonts w:hint="eastAsia" w:ascii="宋体" w:hAnsi="宋体" w:eastAsia="宋体" w:cs="宋体"/>
                <w:bCs/>
                <w:color w:val="auto"/>
                <w:sz w:val="21"/>
                <w:szCs w:val="21"/>
                <w:highlight w:val="none"/>
                <w:lang w:val="en-US" w:eastAsia="zh-CN"/>
              </w:rPr>
              <w:t>；</w:t>
            </w:r>
          </w:p>
          <w:p w14:paraId="1512ED67">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8.2聚四氟乙烯（PTFE）贝勒管容量≥1L</w:t>
            </w:r>
            <w:r>
              <w:rPr>
                <w:rFonts w:hint="eastAsia" w:ascii="宋体" w:hAnsi="宋体" w:eastAsia="宋体" w:cs="宋体"/>
                <w:bCs/>
                <w:color w:val="auto"/>
                <w:sz w:val="21"/>
                <w:szCs w:val="21"/>
                <w:highlight w:val="none"/>
                <w:lang w:val="en-US" w:eastAsia="zh-CN"/>
              </w:rPr>
              <w:t>；</w:t>
            </w:r>
          </w:p>
          <w:p w14:paraId="1B5652F2">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四、配置要求</w:t>
            </w:r>
          </w:p>
          <w:p w14:paraId="60872A0D">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1.气囊泵</w:t>
            </w:r>
          </w:p>
          <w:p w14:paraId="4B094F99">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1.1气囊泵（含空压机）1套；</w:t>
            </w:r>
          </w:p>
          <w:p w14:paraId="02920976">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1.2变频控制器（含便携箱）1个；</w:t>
            </w:r>
          </w:p>
          <w:p w14:paraId="4FB02B73">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1.3采样管束（输水管及空气管）及钢制盘管支架1套；</w:t>
            </w:r>
          </w:p>
          <w:p w14:paraId="2118CFC3">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1.4锂电池模块1个；</w:t>
            </w:r>
          </w:p>
          <w:p w14:paraId="7A2BFB6B">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1.5必配的备品备件（至少包括以下备品备件：聚四氟乙烯（PTFE）气囊5个、快接头10个、喉箍10个、防水胶带1卷、绝缘胶带1卷、带控制阀的不锈钢三通5个）；</w:t>
            </w:r>
          </w:p>
          <w:p w14:paraId="0D06AC26">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1.6必配专用工具（工具箱至少包括以下工具：试电笔1个、一字起子2个、十字起子2个、钢丝钳1个、尖嘴钳1个、活动扳手1个、内六角扳手1组）；</w:t>
            </w:r>
          </w:p>
          <w:p w14:paraId="4AC0B787">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2.低流量采样泵</w:t>
            </w:r>
          </w:p>
          <w:p w14:paraId="3AE946DA">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2.1潜水泵（配电缆）及钢制支架1套；</w:t>
            </w:r>
          </w:p>
          <w:p w14:paraId="0DF1CD61">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2.2变频控制器（含便携箱）1个；</w:t>
            </w:r>
          </w:p>
          <w:p w14:paraId="6687360D">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2.3 输水管及钢制盘管支架1套；</w:t>
            </w:r>
          </w:p>
          <w:p w14:paraId="65890D40">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2.4带刻度安全钢丝绳及线盘1个； </w:t>
            </w:r>
          </w:p>
          <w:p w14:paraId="2CC55F2A">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3.洗井泵</w:t>
            </w:r>
          </w:p>
          <w:p w14:paraId="0D1F3A4A">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3.1潜水泵（配电缆）及钢制支架 1套；</w:t>
            </w:r>
          </w:p>
          <w:p w14:paraId="4364B6FE">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3.2变频控制器（含便携箱）1个；</w:t>
            </w:r>
          </w:p>
          <w:p w14:paraId="019535C0">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3.3 输水管及钢制盘管支架1套；</w:t>
            </w:r>
          </w:p>
          <w:p w14:paraId="53BF153D">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3.4三角支架（配滑轮组件）1套；</w:t>
            </w:r>
          </w:p>
          <w:p w14:paraId="2D844FA6">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4.多参数水质监测仪</w:t>
            </w:r>
          </w:p>
          <w:p w14:paraId="785EBE1A">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4.1多参数水质分析模块1套；</w:t>
            </w:r>
          </w:p>
          <w:p w14:paraId="5B2C784A">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4.2校准溶液3套（≥5瓶）；</w:t>
            </w:r>
          </w:p>
          <w:p w14:paraId="6E5756B0">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4.3溶解氧帽1个；</w:t>
            </w:r>
          </w:p>
          <w:p w14:paraId="047E4B60">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4.4流通池2个；</w:t>
            </w:r>
          </w:p>
          <w:p w14:paraId="644A1FF5">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4.5数据显示终端（含配套操作软件）1个；</w:t>
            </w:r>
          </w:p>
          <w:p w14:paraId="126394C3">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4.6便携箱1个；</w:t>
            </w:r>
          </w:p>
          <w:p w14:paraId="64565489">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5.井内水下视频成像系统</w:t>
            </w:r>
          </w:p>
          <w:p w14:paraId="43EF481B">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5.1水下探头1个；</w:t>
            </w:r>
          </w:p>
          <w:p w14:paraId="562736A1">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5.2控制显示器1个；</w:t>
            </w:r>
          </w:p>
          <w:p w14:paraId="76966206">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5.3便携箱1个；</w:t>
            </w:r>
          </w:p>
          <w:p w14:paraId="427B1DBD">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6.多功能水位尺</w:t>
            </w:r>
          </w:p>
          <w:p w14:paraId="07DC4650">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6.1多功能水位尺（含电池）及卷盘1套；</w:t>
            </w:r>
          </w:p>
          <w:p w14:paraId="60F4A526">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6.2便携包1个；</w:t>
            </w:r>
          </w:p>
          <w:p w14:paraId="2DD7DEC8">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7.便携式水质抽滤器</w:t>
            </w:r>
          </w:p>
          <w:p w14:paraId="55F6C877">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7.1便携式水质抽滤器主机（含电池）1台；</w:t>
            </w:r>
          </w:p>
          <w:p w14:paraId="1A94EA7F">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7.2备品备件（滤膜5盒、滤膜夹1个、抽滤瓶2个）；</w:t>
            </w:r>
          </w:p>
          <w:p w14:paraId="4E7C0604">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8.贝勒管</w:t>
            </w:r>
          </w:p>
          <w:p w14:paraId="7AAC2904">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8.1不锈钢贝勒管（含流速调节阀）2个；</w:t>
            </w:r>
          </w:p>
          <w:p w14:paraId="7BDA6FE1">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8.2聚四氟乙烯（PTFE）贝勒管（含流速调节阀）2个。</w:t>
            </w:r>
          </w:p>
        </w:tc>
      </w:tr>
    </w:tbl>
    <w:p w14:paraId="07C29499">
      <w:pPr>
        <w:rPr>
          <w:rFonts w:hint="eastAsia"/>
          <w:color w:val="auto"/>
          <w:highlight w:val="none"/>
          <w:lang w:val="en-US" w:eastAsia="zh-CN"/>
        </w:rPr>
      </w:pPr>
    </w:p>
    <w:p w14:paraId="6B797DD1">
      <w:pPr>
        <w:rPr>
          <w:rFonts w:hint="eastAsia"/>
          <w:color w:val="auto"/>
          <w:highlight w:val="none"/>
          <w:lang w:val="en-US" w:eastAsia="zh-CN"/>
        </w:rPr>
      </w:pPr>
    </w:p>
    <w:p w14:paraId="347B388C">
      <w:pPr>
        <w:rPr>
          <w:rFonts w:hint="eastAsia" w:ascii="宋体" w:hAnsi="宋体" w:eastAsia="宋体" w:cs="宋体"/>
          <w:b/>
          <w:bCs/>
          <w:color w:val="auto"/>
          <w:kern w:val="0"/>
          <w:sz w:val="21"/>
          <w:szCs w:val="21"/>
          <w:highlight w:val="none"/>
          <w:lang w:val="en-US" w:eastAsia="zh-CN" w:bidi="ar-SA"/>
        </w:rPr>
      </w:pPr>
      <w:bookmarkStart w:id="99" w:name="_Toc6657"/>
      <w:bookmarkStart w:id="100" w:name="_Toc12531"/>
      <w:r>
        <w:rPr>
          <w:rFonts w:hint="eastAsia" w:ascii="宋体" w:hAnsi="宋体" w:eastAsia="宋体" w:cs="宋体"/>
          <w:b/>
          <w:bCs/>
          <w:color w:val="auto"/>
          <w:kern w:val="0"/>
          <w:sz w:val="21"/>
          <w:szCs w:val="21"/>
          <w:highlight w:val="none"/>
          <w:lang w:val="en-US" w:eastAsia="zh-CN" w:bidi="ar-SA"/>
        </w:rPr>
        <w:br w:type="page"/>
      </w:r>
    </w:p>
    <w:p w14:paraId="6F9F7BD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1"/>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四</w:t>
      </w:r>
      <w:r>
        <w:rPr>
          <w:rFonts w:hint="eastAsia" w:ascii="宋体" w:hAnsi="宋体" w:eastAsia="宋体" w:cs="宋体"/>
          <w:b/>
          <w:bCs/>
          <w:color w:val="auto"/>
          <w:kern w:val="0"/>
          <w:sz w:val="21"/>
          <w:szCs w:val="21"/>
          <w:highlight w:val="none"/>
          <w:lang w:val="en-US" w:eastAsia="zh-CN" w:bidi="ar-SA"/>
        </w:rPr>
        <w:t>）标项</w:t>
      </w:r>
      <w:r>
        <w:rPr>
          <w:rFonts w:hint="eastAsia" w:ascii="宋体" w:hAnsi="宋体" w:cs="宋体"/>
          <w:b/>
          <w:bCs/>
          <w:color w:val="auto"/>
          <w:kern w:val="0"/>
          <w:sz w:val="21"/>
          <w:szCs w:val="21"/>
          <w:highlight w:val="none"/>
          <w:lang w:val="en-US" w:eastAsia="zh-CN" w:bidi="ar-SA"/>
        </w:rPr>
        <w:t>四</w:t>
      </w:r>
      <w:r>
        <w:rPr>
          <w:rFonts w:hint="eastAsia" w:ascii="宋体" w:hAnsi="宋体" w:eastAsia="宋体" w:cs="宋体"/>
          <w:b/>
          <w:bCs/>
          <w:color w:val="auto"/>
          <w:kern w:val="0"/>
          <w:sz w:val="21"/>
          <w:szCs w:val="21"/>
          <w:highlight w:val="none"/>
          <w:lang w:val="en-US" w:eastAsia="zh-CN" w:bidi="ar-SA"/>
        </w:rPr>
        <w:t>（分包</w:t>
      </w:r>
      <w:r>
        <w:rPr>
          <w:rFonts w:hint="eastAsia" w:ascii="宋体" w:hAnsi="宋体" w:cs="宋体"/>
          <w:b/>
          <w:bCs/>
          <w:color w:val="auto"/>
          <w:kern w:val="0"/>
          <w:sz w:val="21"/>
          <w:szCs w:val="21"/>
          <w:highlight w:val="none"/>
          <w:lang w:val="en-US" w:eastAsia="zh-CN" w:bidi="ar-SA"/>
        </w:rPr>
        <w:t>4</w:t>
      </w:r>
      <w:r>
        <w:rPr>
          <w:rFonts w:hint="eastAsia" w:ascii="宋体" w:hAnsi="宋体" w:eastAsia="宋体" w:cs="宋体"/>
          <w:b/>
          <w:bCs/>
          <w:color w:val="auto"/>
          <w:kern w:val="0"/>
          <w:sz w:val="21"/>
          <w:szCs w:val="21"/>
          <w:highlight w:val="none"/>
          <w:lang w:val="en-US" w:eastAsia="zh-CN" w:bidi="ar-SA"/>
        </w:rPr>
        <w:t>）的技术要求</w:t>
      </w:r>
      <w:bookmarkEnd w:id="99"/>
      <w:bookmarkEnd w:id="100"/>
    </w:p>
    <w:tbl>
      <w:tblPr>
        <w:tblStyle w:val="48"/>
        <w:tblW w:w="88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9"/>
        <w:gridCol w:w="814"/>
        <w:gridCol w:w="785"/>
        <w:gridCol w:w="724"/>
        <w:gridCol w:w="820"/>
        <w:gridCol w:w="4939"/>
      </w:tblGrid>
      <w:tr w14:paraId="03845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atLeast"/>
        </w:trPr>
        <w:tc>
          <w:tcPr>
            <w:tcW w:w="749" w:type="dxa"/>
            <w:noWrap w:val="0"/>
            <w:vAlign w:val="center"/>
          </w:tcPr>
          <w:p w14:paraId="31EE3F19">
            <w:pPr>
              <w:tabs>
                <w:tab w:val="left" w:pos="180"/>
                <w:tab w:val="left" w:pos="1620"/>
              </w:tabs>
              <w:spacing w:after="0"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rPr>
              <w:t>序号</w:t>
            </w:r>
          </w:p>
        </w:tc>
        <w:tc>
          <w:tcPr>
            <w:tcW w:w="814" w:type="dxa"/>
            <w:noWrap w:val="0"/>
            <w:vAlign w:val="center"/>
          </w:tcPr>
          <w:p w14:paraId="3A44619B">
            <w:pPr>
              <w:tabs>
                <w:tab w:val="left" w:pos="180"/>
                <w:tab w:val="left" w:pos="1620"/>
              </w:tabs>
              <w:spacing w:after="0" w:line="400" w:lineRule="exact"/>
              <w:jc w:val="center"/>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标的名称</w:t>
            </w:r>
          </w:p>
        </w:tc>
        <w:tc>
          <w:tcPr>
            <w:tcW w:w="785" w:type="dxa"/>
            <w:tcBorders>
              <w:right w:val="single" w:color="auto" w:sz="4" w:space="0"/>
            </w:tcBorders>
            <w:noWrap w:val="0"/>
            <w:vAlign w:val="center"/>
          </w:tcPr>
          <w:p w14:paraId="11B1EE34">
            <w:pPr>
              <w:tabs>
                <w:tab w:val="left" w:pos="180"/>
                <w:tab w:val="left" w:pos="1620"/>
              </w:tabs>
              <w:spacing w:after="0"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rPr>
              <w:t>数量</w:t>
            </w:r>
          </w:p>
        </w:tc>
        <w:tc>
          <w:tcPr>
            <w:tcW w:w="724" w:type="dxa"/>
            <w:tcBorders>
              <w:left w:val="single" w:color="auto" w:sz="4" w:space="0"/>
              <w:right w:val="single" w:color="auto" w:sz="4" w:space="0"/>
            </w:tcBorders>
            <w:noWrap w:val="0"/>
            <w:vAlign w:val="center"/>
          </w:tcPr>
          <w:p w14:paraId="43B00D2C">
            <w:pPr>
              <w:tabs>
                <w:tab w:val="left" w:pos="180"/>
                <w:tab w:val="left" w:pos="1620"/>
              </w:tabs>
              <w:spacing w:after="0"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控制</w:t>
            </w:r>
            <w:r>
              <w:rPr>
                <w:rFonts w:hint="eastAsia" w:ascii="宋体" w:hAnsi="宋体" w:eastAsia="宋体" w:cs="宋体"/>
                <w:b/>
                <w:color w:val="auto"/>
                <w:sz w:val="21"/>
                <w:szCs w:val="21"/>
                <w:highlight w:val="none"/>
              </w:rPr>
              <w:t>单价</w:t>
            </w:r>
          </w:p>
          <w:p w14:paraId="7F3928A5">
            <w:pPr>
              <w:tabs>
                <w:tab w:val="left" w:pos="180"/>
                <w:tab w:val="left" w:pos="1620"/>
              </w:tabs>
              <w:spacing w:after="0" w:line="400" w:lineRule="exact"/>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color w:val="auto"/>
                <w:sz w:val="21"/>
                <w:szCs w:val="21"/>
                <w:highlight w:val="none"/>
              </w:rPr>
              <w:t>（万元）</w:t>
            </w:r>
          </w:p>
        </w:tc>
        <w:tc>
          <w:tcPr>
            <w:tcW w:w="820" w:type="dxa"/>
            <w:tcBorders>
              <w:left w:val="single" w:color="auto" w:sz="4" w:space="0"/>
              <w:right w:val="single" w:color="auto" w:sz="4" w:space="0"/>
            </w:tcBorders>
            <w:noWrap w:val="0"/>
            <w:vAlign w:val="center"/>
          </w:tcPr>
          <w:p w14:paraId="234B3AB6">
            <w:pPr>
              <w:tabs>
                <w:tab w:val="left" w:pos="180"/>
                <w:tab w:val="left" w:pos="1620"/>
              </w:tabs>
              <w:spacing w:after="0" w:line="400" w:lineRule="exact"/>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color w:val="auto"/>
                <w:sz w:val="21"/>
                <w:szCs w:val="21"/>
                <w:highlight w:val="none"/>
                <w:lang w:val="en-US" w:eastAsia="zh-CN"/>
              </w:rPr>
              <w:t>控制总价</w:t>
            </w:r>
            <w:r>
              <w:rPr>
                <w:rFonts w:hint="eastAsia" w:ascii="宋体" w:hAnsi="宋体" w:eastAsia="宋体" w:cs="宋体"/>
                <w:b/>
                <w:color w:val="auto"/>
                <w:sz w:val="21"/>
                <w:szCs w:val="21"/>
                <w:highlight w:val="none"/>
              </w:rPr>
              <w:t>（万元）</w:t>
            </w:r>
          </w:p>
        </w:tc>
        <w:tc>
          <w:tcPr>
            <w:tcW w:w="4939" w:type="dxa"/>
            <w:tcBorders>
              <w:left w:val="single" w:color="auto" w:sz="4" w:space="0"/>
            </w:tcBorders>
            <w:noWrap w:val="0"/>
            <w:vAlign w:val="center"/>
          </w:tcPr>
          <w:p w14:paraId="37C4500A">
            <w:pPr>
              <w:tabs>
                <w:tab w:val="left" w:pos="180"/>
                <w:tab w:val="left" w:pos="1620"/>
              </w:tabs>
              <w:spacing w:after="0"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技术参数要求</w:t>
            </w:r>
          </w:p>
          <w:p w14:paraId="5A99D0F3">
            <w:pPr>
              <w:pStyle w:val="31"/>
              <w:jc w:val="center"/>
              <w:rPr>
                <w:rFonts w:hint="eastAsia" w:eastAsia="宋体"/>
                <w:color w:val="auto"/>
                <w:highlight w:val="none"/>
                <w:lang w:val="en-US" w:eastAsia="zh-CN"/>
              </w:rPr>
            </w:pPr>
            <w:r>
              <w:rPr>
                <w:rFonts w:hint="eastAsia" w:ascii="宋体" w:hAnsi="宋体" w:eastAsia="宋体" w:cs="宋体"/>
                <w:color w:val="auto"/>
                <w:kern w:val="2"/>
                <w:sz w:val="21"/>
                <w:szCs w:val="21"/>
                <w:highlight w:val="none"/>
                <w:lang w:val="en-US" w:eastAsia="zh-CN" w:bidi="ar"/>
              </w:rPr>
              <w:t>（“▲”为实质性指标，必须满足，“■”为重要参数，其他为一般性参数，按评标标准评审）</w:t>
            </w:r>
          </w:p>
        </w:tc>
      </w:tr>
      <w:tr w14:paraId="69439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atLeast"/>
        </w:trPr>
        <w:tc>
          <w:tcPr>
            <w:tcW w:w="749" w:type="dxa"/>
            <w:noWrap w:val="0"/>
            <w:vAlign w:val="center"/>
          </w:tcPr>
          <w:p w14:paraId="1D055FC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814" w:type="dxa"/>
            <w:noWrap w:val="0"/>
            <w:vAlign w:val="center"/>
          </w:tcPr>
          <w:p w14:paraId="437F294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三重四极杆电感耦合等离子体质谱仪</w:t>
            </w:r>
          </w:p>
        </w:tc>
        <w:tc>
          <w:tcPr>
            <w:tcW w:w="785" w:type="dxa"/>
            <w:tcBorders>
              <w:right w:val="single" w:color="auto" w:sz="4" w:space="0"/>
            </w:tcBorders>
            <w:noWrap w:val="0"/>
            <w:vAlign w:val="center"/>
          </w:tcPr>
          <w:p w14:paraId="6A69800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724" w:type="dxa"/>
            <w:tcBorders>
              <w:left w:val="single" w:color="auto" w:sz="4" w:space="0"/>
              <w:right w:val="single" w:color="auto" w:sz="4" w:space="0"/>
            </w:tcBorders>
            <w:noWrap w:val="0"/>
            <w:vAlign w:val="center"/>
          </w:tcPr>
          <w:p w14:paraId="1926BF9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val="en-US" w:eastAsia="zh-CN" w:bidi="ar"/>
              </w:rPr>
              <w:t>225</w:t>
            </w:r>
          </w:p>
        </w:tc>
        <w:tc>
          <w:tcPr>
            <w:tcW w:w="820" w:type="dxa"/>
            <w:tcBorders>
              <w:left w:val="single" w:color="auto" w:sz="4" w:space="0"/>
              <w:right w:val="single" w:color="auto" w:sz="4" w:space="0"/>
            </w:tcBorders>
            <w:noWrap w:val="0"/>
            <w:vAlign w:val="center"/>
          </w:tcPr>
          <w:p w14:paraId="0955EA1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val="en-US" w:eastAsia="zh-CN" w:bidi="ar"/>
              </w:rPr>
              <w:t>225</w:t>
            </w:r>
          </w:p>
        </w:tc>
        <w:tc>
          <w:tcPr>
            <w:tcW w:w="4939" w:type="dxa"/>
            <w:tcBorders>
              <w:left w:val="single" w:color="auto" w:sz="4" w:space="0"/>
            </w:tcBorders>
            <w:noWrap w:val="0"/>
            <w:vAlign w:val="center"/>
          </w:tcPr>
          <w:p w14:paraId="38EDFB71">
            <w:pPr>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一、基本要求</w:t>
            </w:r>
          </w:p>
          <w:p w14:paraId="15E92C8A">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▲1.1 ICP-MS/MS要求由一前一后两个四极杆质量分析器构成，在这两个四极杆质量分析器之间有四极杆（或者多极杆）充当碰撞反应池</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2"/>
                <w:sz w:val="21"/>
                <w:szCs w:val="21"/>
                <w:highlight w:val="none"/>
                <w:lang w:val="en-US" w:eastAsia="zh-CN" w:bidi="ar"/>
              </w:rPr>
              <w:t>而非单四极结构；</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投标时需提供软件界面中的参数截图或其他可证明为多重四极杆的佐证材料，并加盖</w:t>
            </w:r>
            <w:r>
              <w:rPr>
                <w:rFonts w:hint="eastAsia" w:ascii="宋体" w:hAnsi="宋体" w:eastAsia="宋体" w:cs="宋体"/>
                <w:color w:val="auto"/>
                <w:sz w:val="21"/>
                <w:szCs w:val="21"/>
                <w:highlight w:val="none"/>
                <w:lang w:val="en-US" w:eastAsia="zh-CN" w:bidi="ar"/>
              </w:rPr>
              <w:t>投标人单位</w:t>
            </w:r>
            <w:r>
              <w:rPr>
                <w:rFonts w:hint="eastAsia" w:ascii="宋体" w:hAnsi="宋体" w:eastAsia="宋体" w:cs="宋体"/>
                <w:color w:val="auto"/>
                <w:sz w:val="21"/>
                <w:szCs w:val="21"/>
                <w:highlight w:val="none"/>
                <w:lang w:bidi="ar"/>
              </w:rPr>
              <w:t>公章</w:t>
            </w:r>
            <w:r>
              <w:rPr>
                <w:rFonts w:hint="eastAsia" w:ascii="宋体" w:hAnsi="宋体" w:eastAsia="宋体" w:cs="宋体"/>
                <w:color w:val="auto"/>
                <w:sz w:val="21"/>
                <w:szCs w:val="21"/>
                <w:highlight w:val="none"/>
                <w:lang w:eastAsia="zh-CN" w:bidi="ar"/>
              </w:rPr>
              <w:t>】</w:t>
            </w:r>
          </w:p>
          <w:p w14:paraId="17E3219E">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1.2仪器要求能适用于应用领域广泛的各种样品的</w:t>
            </w:r>
            <w:r>
              <w:rPr>
                <w:rFonts w:hint="eastAsia" w:ascii="宋体" w:hAnsi="宋体" w:eastAsia="宋体" w:cs="宋体"/>
                <w:color w:val="auto"/>
                <w:sz w:val="21"/>
                <w:szCs w:val="21"/>
                <w:highlight w:val="none"/>
              </w:rPr>
              <w:t>元素</w:t>
            </w:r>
            <w:r>
              <w:rPr>
                <w:rFonts w:hint="eastAsia" w:ascii="宋体" w:hAnsi="宋体" w:eastAsia="宋体" w:cs="宋体"/>
                <w:color w:val="auto"/>
                <w:sz w:val="21"/>
                <w:szCs w:val="21"/>
                <w:highlight w:val="none"/>
                <w:lang w:val="en-US" w:eastAsia="zh-CN"/>
              </w:rPr>
              <w:t>分析、</w:t>
            </w:r>
            <w:r>
              <w:rPr>
                <w:rFonts w:hint="eastAsia" w:ascii="宋体" w:hAnsi="宋体" w:eastAsia="宋体" w:cs="宋体"/>
                <w:color w:val="auto"/>
                <w:sz w:val="21"/>
                <w:szCs w:val="21"/>
                <w:highlight w:val="none"/>
              </w:rPr>
              <w:t>同位素分析和元素形态分析</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任务等</w:t>
            </w:r>
            <w:r>
              <w:rPr>
                <w:rFonts w:hint="eastAsia" w:ascii="宋体" w:hAnsi="宋体" w:eastAsia="宋体" w:cs="宋体"/>
                <w:color w:val="auto"/>
                <w:kern w:val="2"/>
                <w:sz w:val="21"/>
                <w:szCs w:val="21"/>
                <w:highlight w:val="none"/>
                <w:lang w:val="en-US" w:eastAsia="zh-CN" w:bidi="ar"/>
              </w:rPr>
              <w:t>，满足环境、食品、医药、地质、金属材料、生物样品、化工材料分析等；</w:t>
            </w:r>
          </w:p>
          <w:p w14:paraId="2C96BA15">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1.3仪器要求能进行样品定性、半定量、定量、同位素比分析。</w:t>
            </w:r>
          </w:p>
          <w:p w14:paraId="7EE5C683">
            <w:pPr>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二、工作条件</w:t>
            </w:r>
          </w:p>
          <w:p w14:paraId="2FC14692">
            <w:pPr>
              <w:spacing w:after="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环境温度：15</w:t>
            </w:r>
            <w:r>
              <w:rPr>
                <w:rFonts w:hint="eastAsia" w:ascii="宋体" w:hAnsi="宋体" w:eastAsia="宋体" w:cs="宋体"/>
                <w:bCs/>
                <w:color w:val="auto"/>
                <w:sz w:val="21"/>
                <w:szCs w:val="21"/>
                <w:highlight w:val="none"/>
                <w:lang w:val="en-US" w:eastAsia="zh-CN"/>
              </w:rPr>
              <w:t>～</w:t>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en-US" w:eastAsia="zh-CN"/>
              </w:rPr>
              <w:t>；</w:t>
            </w:r>
          </w:p>
          <w:p w14:paraId="1FDC3B8C">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2环境湿度：＜80%</w:t>
            </w:r>
          </w:p>
          <w:p w14:paraId="4DDFD78B">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3电源：200</w:t>
            </w:r>
            <w:r>
              <w:rPr>
                <w:rFonts w:hint="eastAsia" w:ascii="宋体" w:hAnsi="宋体" w:eastAsia="宋体" w:cs="宋体"/>
                <w:bCs/>
                <w:color w:val="auto"/>
                <w:sz w:val="21"/>
                <w:szCs w:val="21"/>
                <w:highlight w:val="none"/>
                <w:lang w:val="en-US" w:eastAsia="zh-CN"/>
              </w:rPr>
              <w:t>～</w:t>
            </w:r>
            <w:r>
              <w:rPr>
                <w:rFonts w:hint="eastAsia" w:ascii="宋体" w:hAnsi="宋体" w:eastAsia="宋体" w:cs="宋体"/>
                <w:color w:val="auto"/>
                <w:sz w:val="21"/>
                <w:szCs w:val="21"/>
                <w:highlight w:val="none"/>
              </w:rPr>
              <w:t>240V，50/60 Hz</w:t>
            </w:r>
          </w:p>
          <w:p w14:paraId="52679F7D">
            <w:pPr>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三、技术参数</w:t>
            </w:r>
          </w:p>
          <w:p w14:paraId="4249091C">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3.1 ICP-MS</w:t>
            </w: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b/>
                <w:bCs/>
                <w:color w:val="auto"/>
                <w:sz w:val="21"/>
                <w:szCs w:val="21"/>
                <w:highlight w:val="none"/>
                <w:lang w:val="en-US" w:eastAsia="zh-CN"/>
              </w:rPr>
              <w:t>MS质谱硬件参数</w:t>
            </w:r>
          </w:p>
          <w:p w14:paraId="545AE4CE">
            <w:pPr>
              <w:spacing w:after="0"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3.1.1雾化器：具备高雾化效率和耐高盐性能的同心雾化器</w:t>
            </w:r>
            <w:r>
              <w:rPr>
                <w:rFonts w:hint="eastAsia" w:ascii="宋体" w:hAnsi="宋体" w:eastAsia="宋体" w:cs="宋体"/>
                <w:color w:val="auto"/>
                <w:sz w:val="21"/>
                <w:szCs w:val="21"/>
                <w:highlight w:val="none"/>
                <w:lang w:val="en-US" w:eastAsia="zh-CN"/>
              </w:rPr>
              <w:t>；</w:t>
            </w:r>
          </w:p>
          <w:p w14:paraId="6B912B7B">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3.1.2雾化室：配备具有半导体制冷功能的小体积旋流型或双通道型石英雾化室</w:t>
            </w:r>
            <w:r>
              <w:rPr>
                <w:rFonts w:hint="eastAsia" w:ascii="宋体" w:hAnsi="宋体" w:eastAsia="宋体" w:cs="宋体"/>
                <w:color w:val="auto"/>
                <w:sz w:val="21"/>
                <w:szCs w:val="21"/>
                <w:highlight w:val="none"/>
                <w:lang w:val="en-US" w:eastAsia="zh-CN"/>
              </w:rPr>
              <w:t>；</w:t>
            </w:r>
          </w:p>
          <w:p w14:paraId="19754012">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3.1.3 蠕动泵：不低于三通道</w:t>
            </w:r>
            <w:r>
              <w:rPr>
                <w:rFonts w:hint="eastAsia" w:ascii="宋体" w:hAnsi="宋体" w:eastAsia="宋体" w:cs="宋体"/>
                <w:color w:val="auto"/>
                <w:sz w:val="21"/>
                <w:szCs w:val="21"/>
                <w:highlight w:val="none"/>
                <w:lang w:val="en-US" w:eastAsia="zh-CN"/>
              </w:rPr>
              <w:t>；</w:t>
            </w:r>
          </w:p>
          <w:p w14:paraId="204B30D9">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b w:val="0"/>
                <w:bCs w:val="0"/>
                <w:color w:val="auto"/>
                <w:sz w:val="21"/>
                <w:szCs w:val="21"/>
                <w:highlight w:val="none"/>
                <w:lang w:val="en-US" w:eastAsia="zh-CN"/>
              </w:rPr>
              <w:t>3.1.4</w:t>
            </w:r>
            <w:r>
              <w:rPr>
                <w:rFonts w:hint="eastAsia" w:ascii="宋体" w:hAnsi="宋体" w:eastAsia="宋体" w:cs="宋体"/>
                <w:b w:val="0"/>
                <w:bCs w:val="0"/>
                <w:color w:val="auto"/>
                <w:sz w:val="21"/>
                <w:szCs w:val="21"/>
                <w:highlight w:val="none"/>
              </w:rPr>
              <w:t>仪器应对</w:t>
            </w:r>
            <w:r>
              <w:rPr>
                <w:rFonts w:hint="eastAsia" w:ascii="宋体" w:hAnsi="宋体" w:eastAsia="宋体" w:cs="宋体"/>
                <w:color w:val="auto"/>
                <w:sz w:val="21"/>
                <w:szCs w:val="21"/>
                <w:highlight w:val="none"/>
              </w:rPr>
              <w:t>高盐样品具有良好的耐受性，可以</w:t>
            </w:r>
            <w:r>
              <w:rPr>
                <w:rFonts w:hint="eastAsia" w:ascii="宋体" w:hAnsi="宋体" w:eastAsia="宋体" w:cs="宋体"/>
                <w:color w:val="auto"/>
                <w:sz w:val="21"/>
                <w:szCs w:val="21"/>
                <w:highlight w:val="none"/>
                <w:lang w:val="en-US" w:eastAsia="zh-CN"/>
              </w:rPr>
              <w:t>通过气体稀释</w:t>
            </w:r>
            <w:r>
              <w:rPr>
                <w:rFonts w:hint="eastAsia" w:ascii="宋体" w:hAnsi="宋体" w:eastAsia="宋体" w:cs="宋体"/>
                <w:color w:val="auto"/>
                <w:sz w:val="21"/>
                <w:szCs w:val="21"/>
                <w:highlight w:val="none"/>
              </w:rPr>
              <w:t>对盐度超过25%的饱和食盐水样品的进行长时间的稳定分析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稀释倍数≥90倍；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6312D4BB">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离子源：射频频率27.12MHz或以上；功率在700-1600W范围内连续可调，发生器具备变频技术</w:t>
            </w:r>
            <w:r>
              <w:rPr>
                <w:rFonts w:hint="eastAsia" w:ascii="宋体" w:hAnsi="宋体" w:eastAsia="宋体" w:cs="宋体"/>
                <w:color w:val="auto"/>
                <w:sz w:val="21"/>
                <w:szCs w:val="21"/>
                <w:highlight w:val="none"/>
                <w:lang w:val="en-US" w:eastAsia="zh-CN"/>
              </w:rPr>
              <w:t>；</w:t>
            </w:r>
          </w:p>
          <w:p w14:paraId="70FBEB6C">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具有工作线圈和接口的二次放电消除功能</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407516CF">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接口：</w:t>
            </w:r>
            <w:r>
              <w:rPr>
                <w:rFonts w:hint="eastAsia" w:ascii="宋体" w:hAnsi="宋体" w:eastAsia="宋体" w:cs="宋体"/>
                <w:bCs/>
                <w:color w:val="auto"/>
                <w:sz w:val="21"/>
                <w:szCs w:val="21"/>
                <w:highlight w:val="none"/>
              </w:rPr>
              <w:t>不少于双锥，采样锥孔径≤1.1mm，截取锥孔径≤0.6mm</w:t>
            </w:r>
            <w:r>
              <w:rPr>
                <w:rFonts w:hint="eastAsia" w:ascii="宋体" w:hAnsi="宋体" w:eastAsia="宋体" w:cs="宋体"/>
                <w:bCs/>
                <w:color w:val="auto"/>
                <w:sz w:val="21"/>
                <w:szCs w:val="21"/>
                <w:highlight w:val="none"/>
                <w:lang w:val="en-US" w:eastAsia="zh-CN"/>
              </w:rPr>
              <w:t>；</w:t>
            </w:r>
          </w:p>
          <w:p w14:paraId="6232A7D7">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离子偏转聚焦系统：仪器接口后部配备高效离子偏转聚焦系统，使样品离子产生90°偏转并与未解离的中性粒子和光子实现完全分离</w:t>
            </w:r>
            <w:r>
              <w:rPr>
                <w:rFonts w:hint="eastAsia" w:ascii="宋体" w:hAnsi="宋体" w:eastAsia="宋体" w:cs="宋体"/>
                <w:color w:val="auto"/>
                <w:sz w:val="21"/>
                <w:szCs w:val="21"/>
                <w:highlight w:val="none"/>
                <w:lang w:val="en-US" w:eastAsia="zh-CN"/>
              </w:rPr>
              <w:t>；</w:t>
            </w:r>
          </w:p>
          <w:p w14:paraId="731BC0A5">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整机气路控制：使用不少于</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个高精度气体质量流量控制器，</w:t>
            </w:r>
            <w:r>
              <w:rPr>
                <w:rFonts w:hint="eastAsia" w:ascii="宋体" w:hAnsi="宋体" w:eastAsia="宋体" w:cs="宋体"/>
                <w:color w:val="auto"/>
                <w:sz w:val="21"/>
                <w:szCs w:val="21"/>
                <w:highlight w:val="none"/>
                <w:lang w:val="en-US" w:eastAsia="zh-CN"/>
              </w:rPr>
              <w:t>包括等离子体气、辅助气、雾化气、补偿气、稀释气等多路气体（验收时现场查验）及4路碰撞反应池气路；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投标时需提供操作软件界面的参数截图或照片并加盖投标人单位公章</w:t>
            </w:r>
            <w:r>
              <w:rPr>
                <w:rFonts w:hint="eastAsia" w:ascii="宋体" w:hAnsi="宋体" w:eastAsia="宋体" w:cs="宋体"/>
                <w:color w:val="auto"/>
                <w:sz w:val="21"/>
                <w:szCs w:val="21"/>
                <w:highlight w:val="none"/>
                <w:lang w:eastAsia="zh-CN"/>
              </w:rPr>
              <w:t>】</w:t>
            </w:r>
          </w:p>
          <w:p w14:paraId="69F8ECD9">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3.1.10</w:t>
            </w:r>
            <w:r>
              <w:rPr>
                <w:rFonts w:hint="eastAsia" w:ascii="宋体" w:hAnsi="宋体" w:eastAsia="宋体" w:cs="宋体"/>
                <w:color w:val="auto"/>
                <w:sz w:val="21"/>
                <w:szCs w:val="21"/>
                <w:highlight w:val="none"/>
              </w:rPr>
              <w:t>一级质量</w:t>
            </w:r>
            <w:r>
              <w:rPr>
                <w:rFonts w:hint="eastAsia" w:ascii="宋体" w:hAnsi="宋体" w:eastAsia="宋体" w:cs="宋体"/>
                <w:color w:val="auto"/>
                <w:sz w:val="21"/>
                <w:szCs w:val="21"/>
                <w:highlight w:val="none"/>
                <w:lang w:val="en-US" w:eastAsia="zh-CN"/>
              </w:rPr>
              <w:t>分析</w:t>
            </w:r>
            <w:r>
              <w:rPr>
                <w:rFonts w:hint="eastAsia" w:ascii="宋体" w:hAnsi="宋体" w:eastAsia="宋体" w:cs="宋体"/>
                <w:color w:val="auto"/>
                <w:sz w:val="21"/>
                <w:szCs w:val="21"/>
                <w:highlight w:val="none"/>
              </w:rPr>
              <w:t>器</w:t>
            </w:r>
          </w:p>
          <w:p w14:paraId="71E8495C">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一级质量分析器中四极杆必须为双曲面或圆柱设计，四极杆分辨率≤1 amu；</w:t>
            </w:r>
          </w:p>
          <w:p w14:paraId="539788A8">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3.1.11二级</w:t>
            </w:r>
            <w:r>
              <w:rPr>
                <w:rFonts w:hint="eastAsia" w:ascii="宋体" w:hAnsi="宋体" w:eastAsia="宋体" w:cs="宋体"/>
                <w:color w:val="auto"/>
                <w:sz w:val="21"/>
                <w:szCs w:val="21"/>
                <w:highlight w:val="none"/>
              </w:rPr>
              <w:t>质量分析器</w:t>
            </w:r>
          </w:p>
          <w:p w14:paraId="160DBC35">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二级质量分析器四极杆为双曲面或圆柱设计，主四极杆尺寸长度和一级质量分析器主四极杆必须完全一致，驱动频率≥2.0MHz，分辨率≤1 amu，分辨率可调；【正偏离：驱动频率＞2.5MHz；无偏离：驱动频率≥2.0MHz，≤2.5MHz。投标时需提供操作软件界面的参数截图或照片并加盖投标人单位公章】</w:t>
            </w:r>
          </w:p>
          <w:p w14:paraId="2430B0D0">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3.1.12碰撞反应池系统：</w:t>
            </w:r>
          </w:p>
          <w:p w14:paraId="29F5F4A9">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3.1.12.1要求具备不低于四级杆设计；</w:t>
            </w:r>
          </w:p>
          <w:p w14:paraId="51ACE234">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池内可使用标准模式、碰撞模式、反应模式等至少三种模式进行干扰的消除和样品分析</w:t>
            </w:r>
            <w:r>
              <w:rPr>
                <w:rFonts w:hint="eastAsia" w:ascii="宋体" w:hAnsi="宋体" w:eastAsia="宋体" w:cs="宋体"/>
                <w:color w:val="auto"/>
                <w:sz w:val="21"/>
                <w:szCs w:val="21"/>
                <w:highlight w:val="none"/>
                <w:lang w:val="en-US" w:eastAsia="zh-CN"/>
              </w:rPr>
              <w:t>；</w:t>
            </w:r>
          </w:p>
          <w:p w14:paraId="4A0D0C47">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碰撞/反应氦气流速≥10mL/min</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正偏离：</w:t>
            </w:r>
            <w:r>
              <w:rPr>
                <w:rFonts w:hint="eastAsia" w:ascii="宋体" w:hAnsi="宋体" w:eastAsia="宋体" w:cs="宋体"/>
                <w:color w:val="auto"/>
                <w:sz w:val="21"/>
                <w:szCs w:val="21"/>
                <w:highlight w:val="none"/>
              </w:rPr>
              <w:t>碰撞/反应氦气流速＞10mL/min</w:t>
            </w:r>
            <w:r>
              <w:rPr>
                <w:rFonts w:hint="eastAsia" w:ascii="宋体" w:hAnsi="宋体" w:eastAsia="宋体" w:cs="宋体"/>
                <w:color w:val="auto"/>
                <w:sz w:val="21"/>
                <w:szCs w:val="21"/>
                <w:highlight w:val="none"/>
                <w:lang w:val="en-US" w:eastAsia="zh-CN"/>
              </w:rPr>
              <w:t>；无偏离：</w:t>
            </w:r>
            <w:r>
              <w:rPr>
                <w:rFonts w:hint="eastAsia" w:ascii="宋体" w:hAnsi="宋体" w:eastAsia="宋体" w:cs="宋体"/>
                <w:color w:val="auto"/>
                <w:sz w:val="21"/>
                <w:szCs w:val="21"/>
                <w:highlight w:val="none"/>
              </w:rPr>
              <w:t>碰撞/反应氦气流速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10mL/min</w:t>
            </w:r>
            <w:r>
              <w:rPr>
                <w:rFonts w:hint="eastAsia" w:ascii="宋体" w:hAnsi="宋体" w:eastAsia="宋体" w:cs="宋体"/>
                <w:color w:val="auto"/>
                <w:sz w:val="21"/>
                <w:szCs w:val="21"/>
                <w:highlight w:val="none"/>
                <w:lang w:val="en-US" w:eastAsia="zh-CN"/>
              </w:rPr>
              <w:t>。投标时需提供操作软件界面的参数截图或照片并加盖投标人单位公章</w:t>
            </w:r>
            <w:r>
              <w:rPr>
                <w:rFonts w:hint="eastAsia" w:ascii="宋体" w:hAnsi="宋体" w:eastAsia="宋体" w:cs="宋体"/>
                <w:color w:val="auto"/>
                <w:sz w:val="21"/>
                <w:szCs w:val="21"/>
                <w:highlight w:val="none"/>
                <w:lang w:eastAsia="zh-CN"/>
              </w:rPr>
              <w:t>】</w:t>
            </w:r>
          </w:p>
          <w:p w14:paraId="2AE2ECEC">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3.1.1</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具有消除二次中性粒子干扰的功能</w:t>
            </w:r>
            <w:r>
              <w:rPr>
                <w:rFonts w:hint="eastAsia" w:ascii="宋体" w:hAnsi="宋体" w:eastAsia="宋体" w:cs="宋体"/>
                <w:color w:val="auto"/>
                <w:sz w:val="21"/>
                <w:szCs w:val="21"/>
                <w:highlight w:val="none"/>
                <w:lang w:val="en-US" w:eastAsia="zh-CN"/>
              </w:rPr>
              <w:t>；</w:t>
            </w:r>
          </w:p>
          <w:p w14:paraId="35DECE49">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3.1.12.5</w:t>
            </w:r>
            <w:r>
              <w:rPr>
                <w:rFonts w:hint="eastAsia" w:ascii="宋体" w:hAnsi="宋体" w:eastAsia="宋体" w:cs="宋体"/>
                <w:color w:val="auto"/>
                <w:sz w:val="21"/>
                <w:szCs w:val="21"/>
                <w:highlight w:val="none"/>
              </w:rPr>
              <w:t>在一次进样分析中可同时使用He</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H</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、NH</w:t>
            </w:r>
            <w:r>
              <w:rPr>
                <w:rFonts w:hint="eastAsia" w:ascii="宋体" w:hAnsi="宋体" w:eastAsia="宋体" w:cs="宋体"/>
                <w:color w:val="auto"/>
                <w:sz w:val="21"/>
                <w:szCs w:val="21"/>
                <w:highlight w:val="none"/>
                <w:vertAlign w:val="subscript"/>
              </w:rPr>
              <w:t>3</w:t>
            </w:r>
            <w:r>
              <w:rPr>
                <w:rFonts w:hint="eastAsia" w:ascii="宋体" w:hAnsi="宋体" w:eastAsia="宋体" w:cs="宋体"/>
                <w:color w:val="auto"/>
                <w:sz w:val="21"/>
                <w:szCs w:val="21"/>
                <w:highlight w:val="none"/>
              </w:rPr>
              <w:t>及O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vertAlign w:val="baseline"/>
                <w:lang w:val="en-US" w:eastAsia="zh-CN"/>
              </w:rPr>
              <w:t>等多种气体</w:t>
            </w:r>
            <w:r>
              <w:rPr>
                <w:rFonts w:hint="eastAsia" w:ascii="宋体" w:hAnsi="宋体" w:eastAsia="宋体" w:cs="宋体"/>
                <w:color w:val="auto"/>
                <w:sz w:val="21"/>
                <w:szCs w:val="21"/>
                <w:highlight w:val="none"/>
              </w:rPr>
              <w:t>，实现不同气体和工作模式的全自动切换</w:t>
            </w:r>
            <w:r>
              <w:rPr>
                <w:rFonts w:hint="eastAsia" w:ascii="宋体" w:hAnsi="宋体" w:eastAsia="宋体" w:cs="宋体"/>
                <w:color w:val="auto"/>
                <w:sz w:val="21"/>
                <w:szCs w:val="21"/>
                <w:highlight w:val="none"/>
                <w:lang w:val="en-US" w:eastAsia="zh-CN"/>
              </w:rPr>
              <w:t>；</w:t>
            </w:r>
          </w:p>
          <w:p w14:paraId="2604029D">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3.1.13</w:t>
            </w:r>
            <w:r>
              <w:rPr>
                <w:rFonts w:hint="eastAsia" w:ascii="宋体" w:hAnsi="宋体" w:eastAsia="宋体" w:cs="宋体"/>
                <w:color w:val="auto"/>
                <w:sz w:val="21"/>
                <w:szCs w:val="21"/>
                <w:highlight w:val="none"/>
              </w:rPr>
              <w:t>检测器：≥10个数量级动态线性范围双模式电子倍增器，在模拟和脉冲模式之间实现自由切换</w:t>
            </w:r>
            <w:r>
              <w:rPr>
                <w:rFonts w:hint="eastAsia" w:ascii="宋体" w:hAnsi="宋体" w:eastAsia="宋体" w:cs="宋体"/>
                <w:color w:val="auto"/>
                <w:sz w:val="21"/>
                <w:szCs w:val="21"/>
                <w:highlight w:val="none"/>
                <w:lang w:val="en-US" w:eastAsia="zh-CN"/>
              </w:rPr>
              <w:t>；</w:t>
            </w:r>
          </w:p>
          <w:p w14:paraId="168BB56C">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3.1.14真</w:t>
            </w:r>
            <w:r>
              <w:rPr>
                <w:rFonts w:hint="eastAsia" w:ascii="宋体" w:hAnsi="宋体" w:eastAsia="宋体" w:cs="宋体"/>
                <w:bCs/>
                <w:color w:val="auto"/>
                <w:sz w:val="21"/>
                <w:szCs w:val="21"/>
                <w:highlight w:val="none"/>
              </w:rPr>
              <w:t>空系统：关机后24小时冷启动至工作所</w:t>
            </w:r>
            <w:r>
              <w:rPr>
                <w:rFonts w:hint="eastAsia" w:ascii="宋体" w:hAnsi="宋体" w:eastAsia="宋体" w:cs="宋体"/>
                <w:color w:val="auto"/>
                <w:sz w:val="21"/>
                <w:szCs w:val="21"/>
                <w:highlight w:val="none"/>
                <w:lang w:val="en-US" w:eastAsia="zh-CN"/>
              </w:rPr>
              <w:t>需要</w:t>
            </w:r>
            <w:r>
              <w:rPr>
                <w:rFonts w:hint="eastAsia" w:ascii="宋体" w:hAnsi="宋体" w:eastAsia="宋体" w:cs="宋体"/>
                <w:bCs/>
                <w:color w:val="auto"/>
                <w:sz w:val="21"/>
                <w:szCs w:val="21"/>
                <w:highlight w:val="none"/>
              </w:rPr>
              <w:t>的真空度时间≤</w:t>
            </w:r>
            <w:r>
              <w:rPr>
                <w:rFonts w:hint="eastAsia" w:ascii="宋体" w:hAnsi="宋体" w:eastAsia="宋体" w:cs="宋体"/>
                <w:bCs/>
                <w:color w:val="auto"/>
                <w:sz w:val="21"/>
                <w:szCs w:val="21"/>
                <w:highlight w:val="none"/>
                <w:lang w:val="en-US" w:eastAsia="zh-CN"/>
              </w:rPr>
              <w:t>20</w:t>
            </w:r>
            <w:r>
              <w:rPr>
                <w:rFonts w:hint="eastAsia" w:ascii="宋体" w:hAnsi="宋体" w:eastAsia="宋体" w:cs="宋体"/>
                <w:bCs/>
                <w:color w:val="auto"/>
                <w:sz w:val="21"/>
                <w:szCs w:val="21"/>
                <w:highlight w:val="none"/>
              </w:rPr>
              <w:t>分钟</w:t>
            </w:r>
            <w:r>
              <w:rPr>
                <w:rFonts w:hint="eastAsia" w:ascii="宋体" w:hAnsi="宋体" w:eastAsia="宋体" w:cs="宋体"/>
                <w:bCs/>
                <w:color w:val="auto"/>
                <w:sz w:val="21"/>
                <w:szCs w:val="21"/>
                <w:highlight w:val="none"/>
                <w:lang w:val="en-US" w:eastAsia="zh-CN"/>
              </w:rPr>
              <w:t>；</w:t>
            </w:r>
          </w:p>
          <w:p w14:paraId="7C4C82CC">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自动进样器</w:t>
            </w:r>
            <w:r>
              <w:rPr>
                <w:rFonts w:hint="eastAsia" w:ascii="宋体" w:hAnsi="宋体" w:eastAsia="宋体" w:cs="宋体"/>
                <w:color w:val="auto"/>
                <w:sz w:val="21"/>
                <w:szCs w:val="21"/>
                <w:highlight w:val="none"/>
                <w:lang w:eastAsia="zh-CN"/>
              </w:rPr>
              <w:t>：</w:t>
            </w:r>
          </w:p>
          <w:p w14:paraId="5052A4F2">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.1样品位：≥240个样品位，≥4个大瓶清洗位，可自由替换适应不同样品管尺寸的样品架</w:t>
            </w:r>
            <w:r>
              <w:rPr>
                <w:rFonts w:hint="eastAsia" w:ascii="宋体" w:hAnsi="宋体" w:eastAsia="宋体" w:cs="宋体"/>
                <w:color w:val="auto"/>
                <w:sz w:val="21"/>
                <w:szCs w:val="21"/>
                <w:highlight w:val="none"/>
                <w:lang w:val="en-US" w:eastAsia="zh-CN"/>
              </w:rPr>
              <w:t>；</w:t>
            </w:r>
          </w:p>
          <w:p w14:paraId="05EB8749">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.2快速进样系统：</w:t>
            </w:r>
          </w:p>
          <w:p w14:paraId="18E6A5B3">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3.1.1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.2.1包含一个六通或更高配置的切换阀，可实现定量环与不连续进样功能</w:t>
            </w:r>
            <w:r>
              <w:rPr>
                <w:rFonts w:hint="eastAsia" w:ascii="宋体" w:hAnsi="宋体" w:eastAsia="宋体" w:cs="宋体"/>
                <w:color w:val="auto"/>
                <w:sz w:val="21"/>
                <w:szCs w:val="21"/>
                <w:highlight w:val="none"/>
                <w:lang w:val="en-US" w:eastAsia="zh-CN"/>
              </w:rPr>
              <w:t>；</w:t>
            </w:r>
          </w:p>
          <w:p w14:paraId="73E0C5CF">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.2.2快速进样系统由ICP-MS/MS操作软件直接控制，由投标的ICP-MS/MS主机同一制造厂商生产提供（不接受贴牌产品），且提供技术支持和售后服务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投标时需提供仪器厂商检测数据统计报告或其他同等效力检测报告并加盖投标人单位公章</w:t>
            </w:r>
            <w:r>
              <w:rPr>
                <w:rFonts w:hint="eastAsia" w:ascii="宋体" w:hAnsi="宋体" w:eastAsia="宋体" w:cs="宋体"/>
                <w:color w:val="auto"/>
                <w:sz w:val="21"/>
                <w:szCs w:val="21"/>
                <w:highlight w:val="none"/>
                <w:lang w:eastAsia="zh-CN"/>
              </w:rPr>
              <w:t>】</w:t>
            </w:r>
          </w:p>
          <w:p w14:paraId="32C44360">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■3.1.16自动稀释功能；</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正偏离：具备自动稀释功能；无偏离：不具备自动稀释功能或需人工辅助稀释。投标时需提供自动稀释操作软件截图或运行步骤记录日志，加盖投标人单位公章</w:t>
            </w:r>
            <w:r>
              <w:rPr>
                <w:rFonts w:hint="eastAsia" w:ascii="宋体" w:hAnsi="宋体" w:eastAsia="宋体" w:cs="宋体"/>
                <w:color w:val="auto"/>
                <w:sz w:val="21"/>
                <w:szCs w:val="21"/>
                <w:highlight w:val="none"/>
                <w:lang w:eastAsia="zh-CN" w:bidi="ar"/>
              </w:rPr>
              <w:t>】</w:t>
            </w:r>
          </w:p>
          <w:p w14:paraId="74081B32">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3.1.16.1自动配置校准曲线：将校准溶液的储备液放置在自动进样器上，系统根据输入的校准曲线浓度自动稀释多级别的校准溶液；</w:t>
            </w:r>
          </w:p>
          <w:p w14:paraId="02D27730">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3.1.16.2自动预稀释样品：对批量样品进行特定倍数的预稀释，替代人工稀释；</w:t>
            </w:r>
          </w:p>
          <w:p w14:paraId="5D7A86E9">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3.1.16.3自动二次稀释：在元素结果超范围，或内标、QC测试失败后执行的自动稀释功能。也可由操作员指定特定元素执行定向稀释；</w:t>
            </w:r>
          </w:p>
          <w:p w14:paraId="4A6DF2C6">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3.2 ICP-MS/MS</w:t>
            </w:r>
            <w:r>
              <w:rPr>
                <w:rFonts w:hint="eastAsia" w:ascii="宋体" w:hAnsi="宋体" w:eastAsia="宋体" w:cs="宋体"/>
                <w:b/>
                <w:bCs/>
                <w:color w:val="auto"/>
                <w:sz w:val="21"/>
                <w:szCs w:val="21"/>
                <w:highlight w:val="none"/>
              </w:rPr>
              <w:t>性能要求</w:t>
            </w:r>
          </w:p>
          <w:p w14:paraId="1FAC2C2E">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3.2.1</w:t>
            </w:r>
            <w:r>
              <w:rPr>
                <w:rFonts w:hint="eastAsia" w:ascii="宋体" w:hAnsi="宋体" w:eastAsia="宋体" w:cs="宋体"/>
                <w:color w:val="auto"/>
                <w:sz w:val="21"/>
                <w:szCs w:val="21"/>
                <w:highlight w:val="none"/>
              </w:rPr>
              <w:t>海水连续进样稳定性：</w:t>
            </w:r>
            <w:r>
              <w:rPr>
                <w:rFonts w:hint="eastAsia" w:ascii="宋体" w:hAnsi="宋体" w:eastAsia="宋体" w:cs="宋体"/>
                <w:bCs/>
                <w:color w:val="auto"/>
                <w:sz w:val="21"/>
                <w:szCs w:val="21"/>
                <w:highlight w:val="none"/>
                <w:lang w:eastAsia="zh-CN"/>
              </w:rPr>
              <w:t>仪器配置全自动在线气体稀释装置，可在矩管之前把高盐样品基体稀释到0.3%以内，保证接口区域与质谱区域不受高基体污染。最高耐盐度不低于10%的含盐量</w:t>
            </w:r>
            <w:r>
              <w:rPr>
                <w:rFonts w:hint="eastAsia" w:ascii="宋体" w:hAnsi="宋体" w:eastAsia="宋体" w:cs="宋体"/>
                <w:bCs/>
                <w:color w:val="auto"/>
                <w:sz w:val="21"/>
                <w:szCs w:val="21"/>
                <w:highlight w:val="none"/>
                <w:lang w:val="en-US" w:eastAsia="zh-CN"/>
              </w:rPr>
              <w:t>；</w:t>
            </w:r>
          </w:p>
          <w:p w14:paraId="605500BA">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3.2.2</w:t>
            </w:r>
            <w:r>
              <w:rPr>
                <w:rFonts w:hint="eastAsia" w:ascii="宋体" w:hAnsi="宋体" w:eastAsia="宋体" w:cs="宋体"/>
                <w:color w:val="auto"/>
                <w:sz w:val="21"/>
                <w:szCs w:val="21"/>
                <w:highlight w:val="none"/>
              </w:rPr>
              <w:t>短期稳定性(RSD)：≤2%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min）；</w:t>
            </w:r>
          </w:p>
          <w:p w14:paraId="648430E7">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3.2.3</w:t>
            </w:r>
            <w:r>
              <w:rPr>
                <w:rFonts w:hint="eastAsia" w:ascii="宋体" w:hAnsi="宋体" w:eastAsia="宋体" w:cs="宋体"/>
                <w:color w:val="auto"/>
                <w:sz w:val="21"/>
                <w:szCs w:val="21"/>
                <w:highlight w:val="none"/>
              </w:rPr>
              <w:t>长期稳定性(RSD)：≤3%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hrs）；</w:t>
            </w:r>
          </w:p>
          <w:p w14:paraId="3010F985">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3.2.4</w:t>
            </w:r>
            <w:r>
              <w:rPr>
                <w:rFonts w:hint="eastAsia" w:ascii="宋体" w:hAnsi="宋体" w:eastAsia="宋体" w:cs="宋体"/>
                <w:color w:val="auto"/>
                <w:sz w:val="21"/>
                <w:szCs w:val="21"/>
                <w:highlight w:val="none"/>
              </w:rPr>
              <w:t>标准模式下灵敏度</w:t>
            </w:r>
            <w:r>
              <w:rPr>
                <w:rFonts w:hint="eastAsia" w:ascii="宋体" w:hAnsi="宋体" w:eastAsia="宋体" w:cs="宋体"/>
                <w:color w:val="auto"/>
                <w:sz w:val="21"/>
                <w:szCs w:val="21"/>
                <w:highlight w:val="none"/>
                <w:lang w:val="en-US" w:eastAsia="zh-CN"/>
              </w:rPr>
              <w:t>：</w:t>
            </w:r>
          </w:p>
          <w:p w14:paraId="5C4DC32E">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3.2.4.1</w:t>
            </w:r>
            <w:r>
              <w:rPr>
                <w:rFonts w:hint="eastAsia" w:ascii="宋体" w:hAnsi="宋体" w:eastAsia="宋体" w:cs="宋体"/>
                <w:color w:val="auto"/>
                <w:sz w:val="21"/>
                <w:szCs w:val="21"/>
                <w:highlight w:val="none"/>
              </w:rPr>
              <w:t>低质量数（Li或Be）：≥100Mcps/ppm</w:t>
            </w:r>
            <w:r>
              <w:rPr>
                <w:rFonts w:hint="eastAsia" w:ascii="宋体" w:hAnsi="宋体" w:eastAsia="宋体" w:cs="宋体"/>
                <w:color w:val="auto"/>
                <w:sz w:val="21"/>
                <w:szCs w:val="21"/>
                <w:highlight w:val="none"/>
                <w:lang w:val="en-US" w:eastAsia="zh-CN"/>
              </w:rPr>
              <w:t>；</w:t>
            </w:r>
          </w:p>
          <w:p w14:paraId="1B3FE4E8">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3.2.4.2</w:t>
            </w:r>
            <w:r>
              <w:rPr>
                <w:rFonts w:hint="eastAsia" w:ascii="宋体" w:hAnsi="宋体" w:eastAsia="宋体" w:cs="宋体"/>
                <w:color w:val="auto"/>
                <w:sz w:val="21"/>
                <w:szCs w:val="21"/>
                <w:highlight w:val="none"/>
              </w:rPr>
              <w:t>中质量数(Y或In)：≥</w:t>
            </w:r>
            <w:r>
              <w:rPr>
                <w:rFonts w:hint="eastAsia" w:ascii="宋体" w:hAnsi="宋体" w:eastAsia="宋体" w:cs="宋体"/>
                <w:color w:val="auto"/>
                <w:sz w:val="21"/>
                <w:szCs w:val="21"/>
                <w:highlight w:val="none"/>
                <w:lang w:val="en-US" w:eastAsia="zh-CN"/>
              </w:rPr>
              <w:t>700</w:t>
            </w:r>
            <w:r>
              <w:rPr>
                <w:rFonts w:hint="eastAsia" w:ascii="宋体" w:hAnsi="宋体" w:eastAsia="宋体" w:cs="宋体"/>
                <w:color w:val="auto"/>
                <w:sz w:val="21"/>
                <w:szCs w:val="21"/>
                <w:highlight w:val="none"/>
              </w:rPr>
              <w:t>Mcps/ppm</w:t>
            </w:r>
            <w:r>
              <w:rPr>
                <w:rFonts w:hint="eastAsia" w:ascii="宋体" w:hAnsi="宋体" w:eastAsia="宋体" w:cs="宋体"/>
                <w:color w:val="auto"/>
                <w:sz w:val="21"/>
                <w:szCs w:val="21"/>
                <w:highlight w:val="none"/>
                <w:lang w:val="en-US" w:eastAsia="zh-CN"/>
              </w:rPr>
              <w:t>；</w:t>
            </w:r>
          </w:p>
          <w:p w14:paraId="7DA0681E">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3.2.4.3</w:t>
            </w:r>
            <w:r>
              <w:rPr>
                <w:rFonts w:hint="eastAsia" w:ascii="宋体" w:hAnsi="宋体" w:eastAsia="宋体" w:cs="宋体"/>
                <w:color w:val="auto"/>
                <w:sz w:val="21"/>
                <w:szCs w:val="21"/>
                <w:highlight w:val="none"/>
              </w:rPr>
              <w:t>高质量数(Tl或U)：≥</w:t>
            </w:r>
            <w:r>
              <w:rPr>
                <w:rFonts w:hint="eastAsia" w:ascii="宋体" w:hAnsi="宋体" w:eastAsia="宋体" w:cs="宋体"/>
                <w:color w:val="auto"/>
                <w:sz w:val="21"/>
                <w:szCs w:val="21"/>
                <w:highlight w:val="none"/>
                <w:lang w:val="en-US" w:eastAsia="zh-CN"/>
              </w:rPr>
              <w:t>350</w:t>
            </w:r>
            <w:r>
              <w:rPr>
                <w:rFonts w:hint="eastAsia" w:ascii="宋体" w:hAnsi="宋体" w:eastAsia="宋体" w:cs="宋体"/>
                <w:color w:val="auto"/>
                <w:sz w:val="21"/>
                <w:szCs w:val="21"/>
                <w:highlight w:val="none"/>
              </w:rPr>
              <w:t>Mcps/ppm</w:t>
            </w:r>
            <w:r>
              <w:rPr>
                <w:rFonts w:hint="eastAsia" w:ascii="宋体" w:hAnsi="宋体" w:eastAsia="宋体" w:cs="宋体"/>
                <w:color w:val="auto"/>
                <w:sz w:val="21"/>
                <w:szCs w:val="21"/>
                <w:highlight w:val="none"/>
                <w:lang w:val="en-US" w:eastAsia="zh-CN"/>
              </w:rPr>
              <w:t>；</w:t>
            </w:r>
          </w:p>
          <w:p w14:paraId="315BF121">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3.2.5</w:t>
            </w:r>
            <w:r>
              <w:rPr>
                <w:rFonts w:hint="eastAsia" w:ascii="宋体" w:hAnsi="宋体" w:eastAsia="宋体" w:cs="宋体"/>
                <w:b w:val="0"/>
                <w:bCs w:val="0"/>
                <w:color w:val="auto"/>
                <w:sz w:val="21"/>
                <w:szCs w:val="21"/>
                <w:highlight w:val="none"/>
              </w:rPr>
              <w:t>背景</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cps</w:t>
            </w:r>
            <w:r>
              <w:rPr>
                <w:rFonts w:hint="eastAsia" w:ascii="宋体" w:hAnsi="宋体" w:eastAsia="宋体" w:cs="宋体"/>
                <w:color w:val="auto"/>
                <w:sz w:val="21"/>
                <w:szCs w:val="21"/>
                <w:highlight w:val="none"/>
                <w:lang w:val="en-US" w:eastAsia="zh-CN"/>
              </w:rPr>
              <w:t>；</w:t>
            </w:r>
          </w:p>
          <w:p w14:paraId="1386D9CB">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3.2.6</w:t>
            </w:r>
            <w:r>
              <w:rPr>
                <w:rFonts w:hint="eastAsia" w:ascii="宋体" w:hAnsi="宋体" w:eastAsia="宋体" w:cs="宋体"/>
                <w:color w:val="auto"/>
                <w:sz w:val="21"/>
                <w:szCs w:val="21"/>
                <w:highlight w:val="none"/>
              </w:rPr>
              <w:t>仪器检出限</w:t>
            </w:r>
            <w:r>
              <w:rPr>
                <w:rFonts w:hint="eastAsia" w:ascii="宋体" w:hAnsi="宋体" w:eastAsia="宋体" w:cs="宋体"/>
                <w:color w:val="auto"/>
                <w:sz w:val="21"/>
                <w:szCs w:val="21"/>
                <w:highlight w:val="none"/>
                <w:lang w:eastAsia="zh-CN"/>
              </w:rPr>
              <w:t>：</w:t>
            </w:r>
          </w:p>
          <w:p w14:paraId="0E99F676">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3.2.6.1</w:t>
            </w:r>
            <w:r>
              <w:rPr>
                <w:rFonts w:hint="eastAsia" w:ascii="宋体" w:hAnsi="宋体" w:eastAsia="宋体" w:cs="宋体"/>
                <w:color w:val="auto"/>
                <w:sz w:val="21"/>
                <w:szCs w:val="21"/>
                <w:highlight w:val="none"/>
              </w:rPr>
              <w:t>轻质量数元素：≤0.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ppt</w:t>
            </w:r>
            <w:r>
              <w:rPr>
                <w:rFonts w:hint="eastAsia" w:ascii="宋体" w:hAnsi="宋体" w:eastAsia="宋体" w:cs="宋体"/>
                <w:color w:val="auto"/>
                <w:sz w:val="21"/>
                <w:szCs w:val="21"/>
                <w:highlight w:val="none"/>
                <w:lang w:val="en-US" w:eastAsia="zh-CN"/>
              </w:rPr>
              <w:t>；</w:t>
            </w:r>
          </w:p>
          <w:p w14:paraId="4F557EE2">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3.2.6.</w:t>
            </w:r>
            <w:r>
              <w:rPr>
                <w:rFonts w:hint="eastAsia" w:ascii="宋体" w:hAnsi="宋体" w:eastAsia="宋体" w:cs="宋体"/>
                <w:color w:val="auto"/>
                <w:sz w:val="21"/>
                <w:szCs w:val="21"/>
                <w:highlight w:val="none"/>
              </w:rPr>
              <w:t>2中质量数元素：≤0.</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ppt</w:t>
            </w:r>
            <w:r>
              <w:rPr>
                <w:rFonts w:hint="eastAsia" w:ascii="宋体" w:hAnsi="宋体" w:eastAsia="宋体" w:cs="宋体"/>
                <w:color w:val="auto"/>
                <w:sz w:val="21"/>
                <w:szCs w:val="21"/>
                <w:highlight w:val="none"/>
                <w:lang w:val="en-US" w:eastAsia="zh-CN"/>
              </w:rPr>
              <w:t>；</w:t>
            </w:r>
          </w:p>
          <w:p w14:paraId="55B07F9F">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3.2.6.</w:t>
            </w:r>
            <w:r>
              <w:rPr>
                <w:rFonts w:hint="eastAsia" w:ascii="宋体" w:hAnsi="宋体" w:eastAsia="宋体" w:cs="宋体"/>
                <w:color w:val="auto"/>
                <w:sz w:val="21"/>
                <w:szCs w:val="21"/>
                <w:highlight w:val="none"/>
              </w:rPr>
              <w:t>3高质量数元素：≤0.</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ppt</w:t>
            </w:r>
            <w:r>
              <w:rPr>
                <w:rFonts w:hint="eastAsia" w:ascii="宋体" w:hAnsi="宋体" w:eastAsia="宋体" w:cs="宋体"/>
                <w:color w:val="auto"/>
                <w:sz w:val="21"/>
                <w:szCs w:val="21"/>
                <w:highlight w:val="none"/>
                <w:lang w:val="en-US" w:eastAsia="zh-CN"/>
              </w:rPr>
              <w:t>；</w:t>
            </w:r>
          </w:p>
          <w:p w14:paraId="0A03BF45">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3.2.7</w:t>
            </w:r>
            <w:r>
              <w:rPr>
                <w:rFonts w:hint="eastAsia" w:ascii="宋体" w:hAnsi="宋体" w:eastAsia="宋体" w:cs="宋体"/>
                <w:color w:val="auto"/>
                <w:sz w:val="21"/>
                <w:szCs w:val="21"/>
                <w:highlight w:val="none"/>
              </w:rPr>
              <w:t>氧化物离子产率：≤2%</w:t>
            </w:r>
            <w:r>
              <w:rPr>
                <w:rFonts w:hint="eastAsia" w:ascii="宋体" w:hAnsi="宋体" w:eastAsia="宋体" w:cs="宋体"/>
                <w:color w:val="auto"/>
                <w:sz w:val="21"/>
                <w:szCs w:val="21"/>
                <w:highlight w:val="none"/>
                <w:lang w:val="en-US" w:eastAsia="zh-CN"/>
              </w:rPr>
              <w:t>；</w:t>
            </w:r>
          </w:p>
          <w:p w14:paraId="77BF7C7C">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3.2.8</w:t>
            </w:r>
            <w:r>
              <w:rPr>
                <w:rFonts w:hint="eastAsia" w:ascii="宋体" w:hAnsi="宋体" w:eastAsia="宋体" w:cs="宋体"/>
                <w:color w:val="auto"/>
                <w:sz w:val="21"/>
                <w:szCs w:val="21"/>
                <w:highlight w:val="none"/>
              </w:rPr>
              <w:t>双电荷离子产率：≤3%</w:t>
            </w:r>
            <w:r>
              <w:rPr>
                <w:rFonts w:hint="eastAsia" w:ascii="宋体" w:hAnsi="宋体" w:eastAsia="宋体" w:cs="宋体"/>
                <w:color w:val="auto"/>
                <w:sz w:val="21"/>
                <w:szCs w:val="21"/>
                <w:highlight w:val="none"/>
                <w:lang w:val="en-US" w:eastAsia="zh-CN"/>
              </w:rPr>
              <w:t>；</w:t>
            </w:r>
          </w:p>
          <w:p w14:paraId="6615F3A9">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3.3液相色谱系统要求</w:t>
            </w:r>
          </w:p>
          <w:p w14:paraId="587C2B83">
            <w:pPr>
              <w:spacing w:after="0"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3.3.1基本要求：</w:t>
            </w:r>
            <w:r>
              <w:rPr>
                <w:rFonts w:hint="eastAsia" w:ascii="宋体" w:hAnsi="宋体" w:eastAsia="宋体" w:cs="宋体"/>
                <w:color w:val="auto"/>
                <w:sz w:val="21"/>
                <w:szCs w:val="21"/>
                <w:highlight w:val="none"/>
              </w:rPr>
              <w:t>为保证整套系统的兼容稳定性和使用的方便性，要求液相色谱系统与ICP</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MS</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MS主机必须由同一制造厂商生产提供（不接受贴牌产品），由ICPMSMS质谱软件统一控制，不接受不同品牌设备的拼凑及混搭方式配置</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正偏离：可清晰证明</w:t>
            </w:r>
            <w:r>
              <w:rPr>
                <w:rFonts w:hint="eastAsia" w:ascii="宋体" w:hAnsi="宋体" w:eastAsia="宋体" w:cs="宋体"/>
                <w:color w:val="auto"/>
                <w:sz w:val="21"/>
                <w:szCs w:val="21"/>
                <w:highlight w:val="none"/>
              </w:rPr>
              <w:t>液相色谱系统与ICP</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MS</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MS主机</w:t>
            </w:r>
            <w:r>
              <w:rPr>
                <w:rFonts w:hint="eastAsia" w:ascii="宋体" w:hAnsi="宋体" w:eastAsia="宋体" w:cs="宋体"/>
                <w:color w:val="auto"/>
                <w:sz w:val="21"/>
                <w:szCs w:val="21"/>
                <w:highlight w:val="none"/>
                <w:lang w:val="en-US" w:eastAsia="zh-CN"/>
              </w:rPr>
              <w:t>为同一制造商且由同一软件同一控制的证明材料；无偏离：承诺为同一制造商且由同一软件同一控制，但无证明材料或证明材料不清晰。投标时需提供投标时需提供操作软件界面的参数截图或照片并加盖投标人单位公章</w:t>
            </w:r>
            <w:r>
              <w:rPr>
                <w:rFonts w:hint="eastAsia" w:ascii="宋体" w:hAnsi="宋体" w:eastAsia="宋体" w:cs="宋体"/>
                <w:color w:val="auto"/>
                <w:sz w:val="21"/>
                <w:szCs w:val="21"/>
                <w:highlight w:val="none"/>
                <w:lang w:eastAsia="zh-CN"/>
              </w:rPr>
              <w:t>】</w:t>
            </w:r>
          </w:p>
          <w:p w14:paraId="0207B94F">
            <w:pPr>
              <w:spacing w:after="0"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3.3.2形态分析能力：</w:t>
            </w:r>
            <w:r>
              <w:rPr>
                <w:rFonts w:hint="eastAsia" w:ascii="宋体" w:hAnsi="宋体" w:eastAsia="宋体" w:cs="宋体"/>
                <w:color w:val="auto"/>
                <w:sz w:val="21"/>
                <w:szCs w:val="21"/>
                <w:highlight w:val="none"/>
              </w:rPr>
              <w:t>As形态分析能力：可实现亚砷酸根（As</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），砷胆碱，一甲基砷酸，二甲基砷酸，砷酸根（As</w:t>
            </w:r>
            <w:r>
              <w:rPr>
                <w:rFonts w:hint="eastAsia" w:ascii="宋体" w:hAnsi="宋体" w:eastAsia="宋体" w:cs="宋体"/>
                <w:color w:val="auto"/>
                <w:sz w:val="21"/>
                <w:szCs w:val="21"/>
                <w:highlight w:val="none"/>
                <w:vertAlign w:val="superscript"/>
              </w:rPr>
              <w:t>5+</w:t>
            </w:r>
            <w:r>
              <w:rPr>
                <w:rFonts w:hint="eastAsia" w:ascii="宋体" w:hAnsi="宋体" w:eastAsia="宋体" w:cs="宋体"/>
                <w:color w:val="auto"/>
                <w:sz w:val="21"/>
                <w:szCs w:val="21"/>
                <w:highlight w:val="none"/>
              </w:rPr>
              <w:t>），共5种As形态</w:t>
            </w:r>
            <w:r>
              <w:rPr>
                <w:rFonts w:hint="eastAsia" w:ascii="宋体" w:hAnsi="宋体" w:eastAsia="宋体" w:cs="宋体"/>
                <w:color w:val="auto"/>
                <w:sz w:val="21"/>
                <w:szCs w:val="21"/>
                <w:highlight w:val="none"/>
                <w:lang w:val="en-US" w:eastAsia="zh-CN"/>
              </w:rPr>
              <w:t>分析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Hg元素形态分析能力：可实现二价汞，甲基汞，乙基汞，苯基汞，共4种Hg形态</w:t>
            </w:r>
            <w:r>
              <w:rPr>
                <w:rFonts w:hint="eastAsia" w:ascii="宋体" w:hAnsi="宋体" w:eastAsia="宋体" w:cs="宋体"/>
                <w:color w:val="auto"/>
                <w:sz w:val="21"/>
                <w:szCs w:val="21"/>
                <w:highlight w:val="none"/>
                <w:lang w:val="en-US" w:eastAsia="zh-CN"/>
              </w:rPr>
              <w:t>分析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锡</w:t>
            </w:r>
            <w:r>
              <w:rPr>
                <w:rFonts w:hint="eastAsia" w:ascii="宋体" w:hAnsi="宋体" w:eastAsia="宋体" w:cs="宋体"/>
                <w:color w:val="auto"/>
                <w:sz w:val="21"/>
                <w:szCs w:val="21"/>
                <w:highlight w:val="none"/>
              </w:rPr>
              <w:t>形态分析能力：可实现三甲基氯化锡（TMT）、二苯基氯化锡（DPT）、二丁基氯化锡（DBT）、三丁基氯化锡（TBT）、三苯基氯化锡（TPhT）共5种Sn形态</w:t>
            </w:r>
            <w:r>
              <w:rPr>
                <w:rFonts w:hint="eastAsia" w:ascii="宋体" w:hAnsi="宋体" w:eastAsia="宋体" w:cs="宋体"/>
                <w:color w:val="auto"/>
                <w:sz w:val="21"/>
                <w:szCs w:val="21"/>
                <w:highlight w:val="none"/>
                <w:lang w:val="en-US" w:eastAsia="zh-CN"/>
              </w:rPr>
              <w:t>分析；</w:t>
            </w:r>
          </w:p>
          <w:p w14:paraId="02925AE1">
            <w:pPr>
              <w:widowControl/>
              <w:suppressAutoHyphens/>
              <w:overflowPunct/>
              <w:spacing w:before="0" w:after="0" w:line="40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3.3.3泵：</w:t>
            </w:r>
          </w:p>
          <w:p w14:paraId="77F203F6">
            <w:pPr>
              <w:spacing w:after="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3.3.3.1四元泵，</w:t>
            </w:r>
            <w:r>
              <w:rPr>
                <w:rFonts w:hint="eastAsia" w:ascii="宋体" w:hAnsi="宋体" w:eastAsia="宋体" w:cs="宋体"/>
                <w:color w:val="auto"/>
                <w:sz w:val="21"/>
                <w:szCs w:val="21"/>
                <w:highlight w:val="none"/>
                <w:lang w:eastAsia="zh-CN"/>
              </w:rPr>
              <w:t>内置4通道脱气机</w:t>
            </w:r>
            <w:r>
              <w:rPr>
                <w:rFonts w:hint="eastAsia" w:ascii="宋体" w:hAnsi="宋体" w:eastAsia="宋体" w:cs="宋体"/>
                <w:color w:val="auto"/>
                <w:sz w:val="21"/>
                <w:szCs w:val="21"/>
                <w:highlight w:val="none"/>
                <w:lang w:val="en-US" w:eastAsia="zh-CN"/>
              </w:rPr>
              <w:t>；</w:t>
            </w:r>
          </w:p>
          <w:p w14:paraId="7C1F7AB7">
            <w:pPr>
              <w:spacing w:after="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3.3.3.2</w:t>
            </w:r>
            <w:r>
              <w:rPr>
                <w:rFonts w:hint="eastAsia" w:ascii="宋体" w:hAnsi="宋体" w:eastAsia="宋体" w:cs="宋体"/>
                <w:color w:val="auto"/>
                <w:sz w:val="21"/>
                <w:szCs w:val="21"/>
                <w:highlight w:val="none"/>
              </w:rPr>
              <w:t>压力范围：0-60</w:t>
            </w:r>
            <w:r>
              <w:rPr>
                <w:rFonts w:hint="eastAsia" w:ascii="宋体" w:hAnsi="宋体" w:eastAsia="宋体" w:cs="宋体"/>
                <w:color w:val="auto"/>
                <w:sz w:val="21"/>
                <w:szCs w:val="21"/>
                <w:highlight w:val="none"/>
                <w:lang w:val="en-US" w:eastAsia="zh-CN"/>
              </w:rPr>
              <w:t>mpa（压力更高为优）；</w:t>
            </w:r>
          </w:p>
          <w:p w14:paraId="2FFA5936">
            <w:pPr>
              <w:spacing w:after="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3.3.3.3</w:t>
            </w:r>
            <w:r>
              <w:rPr>
                <w:rFonts w:hint="eastAsia" w:ascii="宋体" w:hAnsi="宋体" w:eastAsia="宋体" w:cs="宋体"/>
                <w:color w:val="auto"/>
                <w:sz w:val="21"/>
                <w:szCs w:val="21"/>
                <w:highlight w:val="none"/>
                <w:lang w:eastAsia="zh-CN"/>
              </w:rPr>
              <w:t>流量范围0.</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lang w:eastAsia="zh-CN"/>
              </w:rPr>
              <w:t>mL/min连续可调，</w:t>
            </w:r>
            <w:r>
              <w:rPr>
                <w:rFonts w:hint="eastAsia" w:ascii="宋体" w:hAnsi="宋体" w:eastAsia="宋体" w:cs="宋体"/>
                <w:color w:val="auto"/>
                <w:sz w:val="21"/>
                <w:szCs w:val="21"/>
                <w:highlight w:val="none"/>
                <w:lang w:val="en-US" w:eastAsia="zh-CN"/>
              </w:rPr>
              <w:t>步进</w:t>
            </w:r>
            <w:r>
              <w:rPr>
                <w:rFonts w:hint="eastAsia" w:ascii="宋体" w:hAnsi="宋体" w:eastAsia="宋体" w:cs="宋体"/>
                <w:color w:val="auto"/>
                <w:sz w:val="21"/>
                <w:szCs w:val="21"/>
                <w:highlight w:val="none"/>
              </w:rPr>
              <w:t>：0.001ml/min；</w:t>
            </w:r>
          </w:p>
          <w:p w14:paraId="62F317D1">
            <w:pPr>
              <w:spacing w:after="0" w:line="4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3.3.4自动进样系统：</w:t>
            </w:r>
          </w:p>
          <w:p w14:paraId="1641EC80">
            <w:pPr>
              <w:spacing w:after="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3.3.4.1</w:t>
            </w:r>
            <w:r>
              <w:rPr>
                <w:rFonts w:hint="eastAsia" w:ascii="宋体" w:hAnsi="宋体" w:eastAsia="宋体" w:cs="宋体"/>
                <w:color w:val="auto"/>
                <w:sz w:val="21"/>
                <w:szCs w:val="21"/>
                <w:highlight w:val="none"/>
              </w:rPr>
              <w:t>样品</w:t>
            </w:r>
            <w:r>
              <w:rPr>
                <w:rFonts w:hint="eastAsia" w:ascii="宋体" w:hAnsi="宋体" w:eastAsia="宋体" w:cs="宋体"/>
                <w:color w:val="auto"/>
                <w:sz w:val="21"/>
                <w:szCs w:val="21"/>
                <w:highlight w:val="none"/>
                <w:lang w:val="en-US" w:eastAsia="zh-CN"/>
              </w:rPr>
              <w:t>瓶位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0位</w:t>
            </w:r>
            <w:r>
              <w:rPr>
                <w:rFonts w:hint="eastAsia" w:ascii="宋体" w:hAnsi="宋体" w:eastAsia="宋体" w:cs="宋体"/>
                <w:color w:val="auto"/>
                <w:sz w:val="21"/>
                <w:szCs w:val="21"/>
                <w:highlight w:val="none"/>
                <w:lang w:val="en-US" w:eastAsia="zh-CN"/>
              </w:rPr>
              <w:t>；</w:t>
            </w:r>
          </w:p>
          <w:p w14:paraId="53652A72">
            <w:pPr>
              <w:spacing w:after="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3.3.4.2</w:t>
            </w:r>
            <w:r>
              <w:rPr>
                <w:rFonts w:hint="eastAsia" w:ascii="宋体" w:hAnsi="宋体" w:eastAsia="宋体" w:cs="宋体"/>
                <w:color w:val="auto"/>
                <w:sz w:val="21"/>
                <w:szCs w:val="21"/>
                <w:highlight w:val="none"/>
              </w:rPr>
              <w:t>进样</w:t>
            </w:r>
            <w:r>
              <w:rPr>
                <w:rFonts w:hint="eastAsia" w:ascii="宋体" w:hAnsi="宋体" w:eastAsia="宋体" w:cs="宋体"/>
                <w:color w:val="auto"/>
                <w:sz w:val="21"/>
                <w:szCs w:val="21"/>
                <w:highlight w:val="none"/>
                <w:lang w:val="en-US" w:eastAsia="zh-CN"/>
              </w:rPr>
              <w:t>体积</w:t>
            </w:r>
            <w:r>
              <w:rPr>
                <w:rFonts w:hint="eastAsia" w:ascii="宋体" w:hAnsi="宋体" w:eastAsia="宋体" w:cs="宋体"/>
                <w:color w:val="auto"/>
                <w:sz w:val="21"/>
                <w:szCs w:val="21"/>
                <w:highlight w:val="none"/>
              </w:rPr>
              <w:t>：0.1</w:t>
            </w:r>
            <w:r>
              <w:rPr>
                <w:rFonts w:hint="eastAsia" w:ascii="宋体" w:hAnsi="宋体" w:eastAsia="宋体" w:cs="宋体"/>
                <w:bCs/>
                <w:color w:val="auto"/>
                <w:sz w:val="21"/>
                <w:szCs w:val="21"/>
                <w:highlight w:val="none"/>
                <w:lang w:val="en-US" w:eastAsia="zh-CN"/>
              </w:rPr>
              <w:t>～</w:t>
            </w:r>
            <w:r>
              <w:rPr>
                <w:rFonts w:hint="eastAsia" w:ascii="宋体" w:hAnsi="宋体" w:eastAsia="宋体" w:cs="宋体"/>
                <w:color w:val="auto"/>
                <w:sz w:val="21"/>
                <w:szCs w:val="21"/>
                <w:highlight w:val="none"/>
              </w:rPr>
              <w:t>100µL</w:t>
            </w:r>
            <w:r>
              <w:rPr>
                <w:rFonts w:hint="eastAsia" w:ascii="宋体" w:hAnsi="宋体" w:eastAsia="宋体" w:cs="宋体"/>
                <w:color w:val="auto"/>
                <w:sz w:val="21"/>
                <w:szCs w:val="21"/>
                <w:highlight w:val="none"/>
                <w:lang w:val="en-US" w:eastAsia="zh-CN"/>
              </w:rPr>
              <w:t>；</w:t>
            </w:r>
          </w:p>
          <w:p w14:paraId="6A1F787C">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3.3.4.3</w:t>
            </w:r>
            <w:r>
              <w:rPr>
                <w:rFonts w:hint="eastAsia" w:ascii="宋体" w:hAnsi="宋体" w:eastAsia="宋体" w:cs="宋体"/>
                <w:color w:val="auto"/>
                <w:sz w:val="21"/>
                <w:szCs w:val="21"/>
                <w:highlight w:val="none"/>
              </w:rPr>
              <w:t>最高耐压：≥60</w:t>
            </w:r>
            <w:r>
              <w:rPr>
                <w:rFonts w:hint="eastAsia" w:ascii="宋体" w:hAnsi="宋体" w:eastAsia="宋体" w:cs="宋体"/>
                <w:color w:val="auto"/>
                <w:sz w:val="21"/>
                <w:szCs w:val="21"/>
                <w:highlight w:val="none"/>
                <w:lang w:val="en-US" w:eastAsia="zh-CN"/>
              </w:rPr>
              <w:t>mpa</w:t>
            </w:r>
            <w:r>
              <w:rPr>
                <w:rFonts w:hint="eastAsia" w:ascii="宋体" w:hAnsi="宋体" w:eastAsia="宋体" w:cs="宋体"/>
                <w:color w:val="auto"/>
                <w:sz w:val="21"/>
                <w:szCs w:val="21"/>
                <w:highlight w:val="none"/>
              </w:rPr>
              <w:t>；</w:t>
            </w:r>
          </w:p>
          <w:p w14:paraId="416B690C">
            <w:pPr>
              <w:spacing w:after="0" w:line="40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3.3.5</w:t>
            </w:r>
            <w:r>
              <w:rPr>
                <w:rFonts w:hint="eastAsia" w:ascii="宋体" w:hAnsi="宋体" w:eastAsia="宋体" w:cs="宋体"/>
                <w:b w:val="0"/>
                <w:bCs w:val="0"/>
                <w:color w:val="auto"/>
                <w:sz w:val="21"/>
                <w:szCs w:val="21"/>
                <w:highlight w:val="none"/>
              </w:rPr>
              <w:t>柱温箱：</w:t>
            </w:r>
          </w:p>
          <w:p w14:paraId="60FD482B">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3.3.5.1</w:t>
            </w:r>
            <w:r>
              <w:rPr>
                <w:rFonts w:hint="eastAsia" w:ascii="宋体" w:hAnsi="宋体" w:eastAsia="宋体" w:cs="宋体"/>
                <w:color w:val="auto"/>
                <w:sz w:val="21"/>
                <w:szCs w:val="21"/>
                <w:highlight w:val="none"/>
                <w:lang w:eastAsia="zh-CN"/>
              </w:rPr>
              <w:t>容量：</w:t>
            </w:r>
            <w:r>
              <w:rPr>
                <w:rFonts w:hint="eastAsia" w:ascii="宋体" w:hAnsi="宋体" w:eastAsia="宋体" w:cs="宋体"/>
                <w:color w:val="auto"/>
                <w:sz w:val="21"/>
                <w:szCs w:val="21"/>
                <w:highlight w:val="none"/>
              </w:rPr>
              <w:t>可同时放置</w:t>
            </w:r>
            <w:r>
              <w:rPr>
                <w:rFonts w:hint="eastAsia" w:ascii="宋体" w:hAnsi="宋体" w:eastAsia="宋体" w:cs="宋体"/>
                <w:color w:val="auto"/>
                <w:sz w:val="21"/>
                <w:szCs w:val="21"/>
                <w:highlight w:val="none"/>
                <w:lang w:val="en-US" w:eastAsia="zh-CN"/>
              </w:rPr>
              <w:t>至少2</w:t>
            </w:r>
            <w:r>
              <w:rPr>
                <w:rFonts w:hint="eastAsia" w:ascii="宋体" w:hAnsi="宋体" w:eastAsia="宋体" w:cs="宋体"/>
                <w:color w:val="auto"/>
                <w:sz w:val="21"/>
                <w:szCs w:val="21"/>
                <w:highlight w:val="none"/>
              </w:rPr>
              <w:t>根</w:t>
            </w:r>
            <w:r>
              <w:rPr>
                <w:rFonts w:hint="eastAsia" w:ascii="宋体" w:hAnsi="宋体" w:eastAsia="宋体" w:cs="宋体"/>
                <w:color w:val="auto"/>
                <w:sz w:val="21"/>
                <w:szCs w:val="21"/>
                <w:highlight w:val="none"/>
                <w:lang w:val="en-US" w:eastAsia="zh-CN"/>
              </w:rPr>
              <w:t>长度25</w:t>
            </w:r>
            <w:r>
              <w:rPr>
                <w:rFonts w:hint="eastAsia" w:ascii="宋体" w:hAnsi="宋体" w:eastAsia="宋体" w:cs="宋体"/>
                <w:color w:val="auto"/>
                <w:sz w:val="21"/>
                <w:szCs w:val="21"/>
                <w:highlight w:val="none"/>
              </w:rPr>
              <w:t>cm</w:t>
            </w:r>
            <w:r>
              <w:rPr>
                <w:rFonts w:hint="eastAsia" w:ascii="宋体" w:hAnsi="宋体" w:eastAsia="宋体" w:cs="宋体"/>
                <w:color w:val="auto"/>
                <w:sz w:val="21"/>
                <w:szCs w:val="21"/>
                <w:highlight w:val="none"/>
                <w:lang w:val="en-US" w:eastAsia="zh-CN"/>
              </w:rPr>
              <w:t>以上</w:t>
            </w:r>
            <w:r>
              <w:rPr>
                <w:rFonts w:hint="eastAsia" w:ascii="宋体" w:hAnsi="宋体" w:eastAsia="宋体" w:cs="宋体"/>
                <w:color w:val="auto"/>
                <w:sz w:val="21"/>
                <w:szCs w:val="21"/>
                <w:highlight w:val="none"/>
              </w:rPr>
              <w:t>的色谱柱；</w:t>
            </w:r>
          </w:p>
          <w:p w14:paraId="5C60C19F">
            <w:pPr>
              <w:spacing w:after="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3.3.5.2</w:t>
            </w:r>
            <w:r>
              <w:rPr>
                <w:rFonts w:hint="eastAsia" w:ascii="宋体" w:hAnsi="宋体" w:eastAsia="宋体" w:cs="宋体"/>
                <w:color w:val="auto"/>
                <w:sz w:val="21"/>
                <w:szCs w:val="21"/>
                <w:highlight w:val="none"/>
                <w:lang w:eastAsia="zh-CN"/>
              </w:rPr>
              <w:t>温控范围：</w:t>
            </w:r>
            <w:r>
              <w:rPr>
                <w:rFonts w:hint="eastAsia" w:ascii="宋体" w:hAnsi="宋体" w:eastAsia="宋体" w:cs="宋体"/>
                <w:color w:val="auto"/>
                <w:sz w:val="21"/>
                <w:szCs w:val="21"/>
                <w:highlight w:val="none"/>
              </w:rPr>
              <w:t>4</w:t>
            </w:r>
            <w:r>
              <w:rPr>
                <w:rFonts w:hint="eastAsia" w:ascii="宋体" w:hAnsi="宋体" w:eastAsia="宋体" w:cs="宋体"/>
                <w:bCs/>
                <w:color w:val="auto"/>
                <w:sz w:val="21"/>
                <w:szCs w:val="21"/>
                <w:highlight w:val="none"/>
                <w:lang w:val="en-US" w:eastAsia="zh-CN"/>
              </w:rPr>
              <w:t>～</w:t>
            </w:r>
            <w:r>
              <w:rPr>
                <w:rFonts w:hint="eastAsia" w:ascii="宋体" w:hAnsi="宋体" w:eastAsia="宋体" w:cs="宋体"/>
                <w:color w:val="auto"/>
                <w:sz w:val="21"/>
                <w:szCs w:val="21"/>
                <w:highlight w:val="none"/>
              </w:rPr>
              <w:t>85 ℃</w:t>
            </w:r>
            <w:r>
              <w:rPr>
                <w:rFonts w:hint="eastAsia" w:ascii="宋体" w:hAnsi="宋体" w:eastAsia="宋体" w:cs="宋体"/>
                <w:color w:val="auto"/>
                <w:sz w:val="21"/>
                <w:szCs w:val="21"/>
                <w:highlight w:val="none"/>
                <w:lang w:val="en-US" w:eastAsia="zh-CN"/>
              </w:rPr>
              <w:t>；</w:t>
            </w:r>
          </w:p>
          <w:p w14:paraId="3F149E5B">
            <w:pPr>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操作软件</w:t>
            </w:r>
          </w:p>
          <w:p w14:paraId="2953A467">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至少提供2种调谐方式，分别是自动调谐和自定义调谐。自动调谐要求可实现一键式多参数联调，并自动出具调谐报告。自定义调谐要求手动调节某一个参数时，调谐界面最多可实时监控15个元素的信号值和谱图。调节某一方法参数时可随时手动中止信号优化进入下一参数调节</w:t>
            </w:r>
            <w:r>
              <w:rPr>
                <w:rFonts w:hint="eastAsia" w:ascii="宋体" w:hAnsi="宋体" w:eastAsia="宋体" w:cs="宋体"/>
                <w:color w:val="auto"/>
                <w:sz w:val="21"/>
                <w:szCs w:val="21"/>
                <w:highlight w:val="none"/>
                <w:lang w:val="en-US" w:eastAsia="zh-CN"/>
              </w:rPr>
              <w:t>；</w:t>
            </w:r>
          </w:p>
          <w:p w14:paraId="7494CAEF">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.2软件具有半定量功能</w:t>
            </w:r>
            <w:r>
              <w:rPr>
                <w:rFonts w:hint="eastAsia" w:ascii="宋体" w:hAnsi="宋体" w:eastAsia="宋体" w:cs="宋体"/>
                <w:color w:val="auto"/>
                <w:sz w:val="21"/>
                <w:szCs w:val="21"/>
                <w:highlight w:val="none"/>
                <w:lang w:val="en-US" w:eastAsia="zh-CN"/>
              </w:rPr>
              <w:t>；</w:t>
            </w:r>
          </w:p>
          <w:p w14:paraId="17984D9A">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4.3软件具有测定同位素比功能；</w:t>
            </w:r>
          </w:p>
          <w:p w14:paraId="4FBFCBF9">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虚拟内标法通过在已有的多个内标元素之间的插入一个“虚拟”的内标进行校正</w:t>
            </w:r>
            <w:r>
              <w:rPr>
                <w:rFonts w:hint="eastAsia" w:ascii="宋体" w:hAnsi="宋体" w:eastAsia="宋体" w:cs="宋体"/>
                <w:color w:val="auto"/>
                <w:sz w:val="21"/>
                <w:szCs w:val="21"/>
                <w:highlight w:val="none"/>
                <w:lang w:val="en-US" w:eastAsia="zh-CN"/>
              </w:rPr>
              <w:t>；</w:t>
            </w:r>
          </w:p>
          <w:p w14:paraId="308C02A2">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批量数据表功能质量控制标准的在线显示与控制数据直接输出到Excel表格（随机配置）或LIMS数据系统</w:t>
            </w:r>
            <w:r>
              <w:rPr>
                <w:rFonts w:hint="eastAsia" w:ascii="宋体" w:hAnsi="宋体" w:eastAsia="宋体" w:cs="宋体"/>
                <w:color w:val="auto"/>
                <w:sz w:val="21"/>
                <w:szCs w:val="21"/>
                <w:highlight w:val="none"/>
                <w:lang w:val="en-US" w:eastAsia="zh-CN"/>
              </w:rPr>
              <w:t>；</w:t>
            </w:r>
          </w:p>
          <w:p w14:paraId="3A5D34FF">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4.6</w:t>
            </w:r>
            <w:r>
              <w:rPr>
                <w:rFonts w:hint="eastAsia" w:ascii="宋体" w:hAnsi="宋体" w:eastAsia="宋体" w:cs="宋体"/>
                <w:color w:val="auto"/>
                <w:sz w:val="21"/>
                <w:szCs w:val="21"/>
                <w:highlight w:val="none"/>
              </w:rPr>
              <w:t xml:space="preserve"> ICP-MS</w:t>
            </w:r>
            <w:r>
              <w:rPr>
                <w:rFonts w:hint="eastAsia" w:ascii="宋体" w:hAnsi="宋体" w:eastAsia="宋体" w:cs="宋体"/>
                <w:color w:val="auto"/>
                <w:sz w:val="21"/>
                <w:szCs w:val="21"/>
                <w:highlight w:val="none"/>
                <w:lang w:val="en-US" w:eastAsia="zh-CN"/>
              </w:rPr>
              <w:t>/MS</w:t>
            </w:r>
            <w:r>
              <w:rPr>
                <w:rFonts w:hint="eastAsia" w:ascii="宋体" w:hAnsi="宋体" w:eastAsia="宋体" w:cs="宋体"/>
                <w:color w:val="auto"/>
                <w:sz w:val="21"/>
                <w:szCs w:val="21"/>
                <w:highlight w:val="none"/>
              </w:rPr>
              <w:t>操作软件可以安装于个人计算机上（至少5台），样品分析数据可以使用此软件进行离线数据处理并生成报告</w:t>
            </w:r>
            <w:r>
              <w:rPr>
                <w:rFonts w:hint="eastAsia" w:ascii="宋体" w:hAnsi="宋体" w:eastAsia="宋体" w:cs="宋体"/>
                <w:color w:val="auto"/>
                <w:sz w:val="21"/>
                <w:szCs w:val="21"/>
                <w:highlight w:val="none"/>
                <w:lang w:val="en-US" w:eastAsia="zh-CN"/>
              </w:rPr>
              <w:t>；</w:t>
            </w:r>
          </w:p>
          <w:p w14:paraId="3F68D9B5">
            <w:pPr>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五、配置及消耗品清单（可实现技术参数的功能）</w:t>
            </w:r>
          </w:p>
          <w:p w14:paraId="1CB16D67">
            <w:pPr>
              <w:spacing w:after="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w:t>
            </w:r>
            <w:r>
              <w:rPr>
                <w:rFonts w:hint="eastAsia" w:ascii="宋体" w:hAnsi="宋体" w:eastAsia="宋体" w:cs="宋体"/>
                <w:color w:val="auto"/>
                <w:sz w:val="21"/>
                <w:szCs w:val="21"/>
                <w:highlight w:val="none"/>
              </w:rPr>
              <w:t>电感耦合等离子体串联质谱仪（ICP-MS/MS）主机，1套，包含：</w:t>
            </w:r>
          </w:p>
          <w:p w14:paraId="2735B457">
            <w:pPr>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5.1.1机械泵和分子涡轮泵，1套</w:t>
            </w:r>
            <w:r>
              <w:rPr>
                <w:rFonts w:hint="eastAsia" w:ascii="宋体" w:hAnsi="宋体" w:eastAsia="宋体" w:cs="宋体"/>
                <w:bCs/>
                <w:color w:val="auto"/>
                <w:sz w:val="21"/>
                <w:szCs w:val="21"/>
                <w:highlight w:val="none"/>
                <w:lang w:val="en-US" w:eastAsia="zh-CN"/>
              </w:rPr>
              <w:t>；</w:t>
            </w:r>
          </w:p>
          <w:p w14:paraId="0CDE4BA9">
            <w:pPr>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5.1.2射频发生器，1套</w:t>
            </w:r>
            <w:r>
              <w:rPr>
                <w:rFonts w:hint="eastAsia" w:ascii="宋体" w:hAnsi="宋体" w:eastAsia="宋体" w:cs="宋体"/>
                <w:bCs/>
                <w:color w:val="auto"/>
                <w:sz w:val="21"/>
                <w:szCs w:val="21"/>
                <w:highlight w:val="none"/>
                <w:lang w:val="en-US" w:eastAsia="zh-CN"/>
              </w:rPr>
              <w:t>；</w:t>
            </w:r>
          </w:p>
          <w:p w14:paraId="616EE603">
            <w:pPr>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5.1.3提取透镜组＋离子透镜组（如有）或同等功能配件，1套</w:t>
            </w:r>
            <w:r>
              <w:rPr>
                <w:rFonts w:hint="eastAsia" w:ascii="宋体" w:hAnsi="宋体" w:eastAsia="宋体" w:cs="宋体"/>
                <w:bCs/>
                <w:color w:val="auto"/>
                <w:sz w:val="21"/>
                <w:szCs w:val="21"/>
                <w:highlight w:val="none"/>
                <w:lang w:val="en-US" w:eastAsia="zh-CN"/>
              </w:rPr>
              <w:t>；</w:t>
            </w:r>
          </w:p>
          <w:p w14:paraId="3A2A9528">
            <w:pPr>
              <w:spacing w:after="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 xml:space="preserve"> 碰撞反应池，1套；</w:t>
            </w:r>
          </w:p>
          <w:p w14:paraId="3271D199">
            <w:pPr>
              <w:spacing w:after="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5.7质量分析器</w:t>
            </w:r>
            <w:r>
              <w:rPr>
                <w:rFonts w:hint="eastAsia" w:ascii="宋体" w:hAnsi="宋体" w:eastAsia="宋体" w:cs="宋体"/>
                <w:color w:val="auto"/>
                <w:sz w:val="21"/>
                <w:szCs w:val="21"/>
                <w:highlight w:val="none"/>
              </w:rPr>
              <w:t>，2套；</w:t>
            </w:r>
          </w:p>
          <w:p w14:paraId="1F4CDE54">
            <w:pPr>
              <w:spacing w:after="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5.8</w:t>
            </w:r>
            <w:r>
              <w:rPr>
                <w:rFonts w:hint="eastAsia" w:ascii="宋体" w:hAnsi="宋体" w:eastAsia="宋体" w:cs="宋体"/>
                <w:color w:val="auto"/>
                <w:sz w:val="21"/>
                <w:szCs w:val="21"/>
                <w:highlight w:val="none"/>
              </w:rPr>
              <w:t>检测器，1套；</w:t>
            </w:r>
          </w:p>
          <w:p w14:paraId="3B18971A">
            <w:pPr>
              <w:spacing w:after="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5.9</w:t>
            </w:r>
            <w:r>
              <w:rPr>
                <w:rFonts w:hint="eastAsia" w:ascii="宋体" w:hAnsi="宋体" w:eastAsia="宋体" w:cs="宋体"/>
                <w:color w:val="auto"/>
                <w:sz w:val="21"/>
                <w:szCs w:val="21"/>
                <w:highlight w:val="none"/>
              </w:rPr>
              <w:t>必备工具和备件，1套；</w:t>
            </w:r>
          </w:p>
          <w:p w14:paraId="71100F1E">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5.10</w:t>
            </w:r>
            <w:r>
              <w:rPr>
                <w:rFonts w:hint="eastAsia" w:ascii="宋体" w:hAnsi="宋体" w:eastAsia="宋体" w:cs="宋体"/>
                <w:bCs/>
                <w:color w:val="auto"/>
                <w:sz w:val="21"/>
                <w:szCs w:val="21"/>
                <w:highlight w:val="none"/>
              </w:rPr>
              <w:t>开机必备耗材包（包含开机必备的同心雾化器、雾化室、炬管，高灵敏度屏蔽炬（若有）、采样锥和截取锥、样品泵管等），1套</w:t>
            </w:r>
            <w:r>
              <w:rPr>
                <w:rFonts w:hint="eastAsia" w:ascii="宋体" w:hAnsi="宋体" w:eastAsia="宋体" w:cs="宋体"/>
                <w:color w:val="auto"/>
                <w:sz w:val="21"/>
                <w:szCs w:val="21"/>
                <w:highlight w:val="none"/>
              </w:rPr>
              <w:t>；</w:t>
            </w:r>
          </w:p>
          <w:p w14:paraId="03A1E908">
            <w:pPr>
              <w:spacing w:after="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5.11</w:t>
            </w:r>
            <w:r>
              <w:rPr>
                <w:rFonts w:hint="eastAsia" w:ascii="宋体" w:hAnsi="宋体" w:eastAsia="宋体" w:cs="宋体"/>
                <w:color w:val="auto"/>
                <w:sz w:val="21"/>
                <w:szCs w:val="21"/>
                <w:highlight w:val="none"/>
              </w:rPr>
              <w:t>在线</w:t>
            </w:r>
            <w:r>
              <w:rPr>
                <w:rFonts w:hint="eastAsia" w:ascii="宋体" w:hAnsi="宋体" w:eastAsia="宋体" w:cs="宋体"/>
                <w:color w:val="auto"/>
                <w:sz w:val="21"/>
                <w:szCs w:val="21"/>
                <w:highlight w:val="none"/>
                <w:lang w:val="en-US" w:eastAsia="zh-CN"/>
              </w:rPr>
              <w:t>气体</w:t>
            </w:r>
            <w:r>
              <w:rPr>
                <w:rFonts w:hint="eastAsia" w:ascii="宋体" w:hAnsi="宋体" w:eastAsia="宋体" w:cs="宋体"/>
                <w:color w:val="auto"/>
                <w:sz w:val="21"/>
                <w:szCs w:val="21"/>
                <w:highlight w:val="none"/>
              </w:rPr>
              <w:t>稀释高盐进样系统，1套；</w:t>
            </w:r>
          </w:p>
          <w:p w14:paraId="23A83BC1">
            <w:pPr>
              <w:spacing w:after="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5.12</w:t>
            </w:r>
            <w:r>
              <w:rPr>
                <w:rFonts w:hint="eastAsia" w:ascii="宋体" w:hAnsi="宋体" w:eastAsia="宋体" w:cs="宋体"/>
                <w:color w:val="auto"/>
                <w:sz w:val="21"/>
                <w:szCs w:val="21"/>
                <w:highlight w:val="none"/>
              </w:rPr>
              <w:t>自动进样器，1套；</w:t>
            </w:r>
          </w:p>
          <w:p w14:paraId="1E63D325">
            <w:pPr>
              <w:spacing w:after="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5.13</w:t>
            </w:r>
            <w:r>
              <w:rPr>
                <w:rFonts w:hint="eastAsia" w:ascii="宋体" w:hAnsi="宋体" w:eastAsia="宋体" w:cs="宋体"/>
                <w:color w:val="auto"/>
                <w:sz w:val="21"/>
                <w:szCs w:val="21"/>
                <w:highlight w:val="none"/>
              </w:rPr>
              <w:t>循环冷却水机1台；</w:t>
            </w:r>
          </w:p>
          <w:p w14:paraId="7294875C">
            <w:pPr>
              <w:spacing w:after="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5.14</w:t>
            </w:r>
            <w:r>
              <w:rPr>
                <w:rFonts w:hint="eastAsia" w:ascii="宋体" w:hAnsi="宋体" w:eastAsia="宋体" w:cs="宋体"/>
                <w:color w:val="auto"/>
                <w:sz w:val="21"/>
                <w:szCs w:val="21"/>
                <w:highlight w:val="none"/>
              </w:rPr>
              <w:t>根据现场实际情况配置连接气瓶减压阀的不锈钢管路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套数(满足开机分析要求)</w:t>
            </w:r>
            <w:r>
              <w:rPr>
                <w:rFonts w:hint="eastAsia" w:ascii="宋体" w:hAnsi="宋体" w:eastAsia="宋体" w:cs="宋体"/>
                <w:color w:val="auto"/>
                <w:sz w:val="21"/>
                <w:szCs w:val="21"/>
                <w:highlight w:val="none"/>
              </w:rPr>
              <w:t>；</w:t>
            </w:r>
          </w:p>
          <w:p w14:paraId="1B54FE24">
            <w:pPr>
              <w:spacing w:after="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5.15</w:t>
            </w:r>
            <w:r>
              <w:rPr>
                <w:rFonts w:hint="eastAsia" w:ascii="宋体" w:hAnsi="宋体" w:eastAsia="宋体" w:cs="宋体"/>
                <w:color w:val="auto"/>
                <w:sz w:val="21"/>
                <w:szCs w:val="21"/>
                <w:highlight w:val="none"/>
              </w:rPr>
              <w:t>装机验收溶液包，1套；</w:t>
            </w:r>
          </w:p>
          <w:p w14:paraId="591B63D3">
            <w:pPr>
              <w:spacing w:after="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5.16</w:t>
            </w:r>
            <w:r>
              <w:rPr>
                <w:rFonts w:hint="eastAsia" w:ascii="宋体" w:hAnsi="宋体" w:eastAsia="宋体" w:cs="宋体"/>
                <w:color w:val="auto"/>
                <w:sz w:val="21"/>
                <w:szCs w:val="21"/>
                <w:highlight w:val="none"/>
              </w:rPr>
              <w:t>调谐液母液，1套；</w:t>
            </w:r>
          </w:p>
          <w:p w14:paraId="50DC515B">
            <w:pPr>
              <w:spacing w:after="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5.17</w:t>
            </w:r>
            <w:r>
              <w:rPr>
                <w:rFonts w:hint="eastAsia" w:ascii="宋体" w:hAnsi="宋体" w:eastAsia="宋体" w:cs="宋体"/>
                <w:color w:val="auto"/>
                <w:sz w:val="21"/>
                <w:szCs w:val="21"/>
                <w:highlight w:val="none"/>
              </w:rPr>
              <w:t>多元素标准溶液，1套；</w:t>
            </w:r>
          </w:p>
          <w:p w14:paraId="42E47D59">
            <w:pPr>
              <w:spacing w:after="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5.18</w:t>
            </w:r>
            <w:r>
              <w:rPr>
                <w:rFonts w:hint="eastAsia" w:ascii="宋体" w:hAnsi="宋体" w:eastAsia="宋体" w:cs="宋体"/>
                <w:color w:val="auto"/>
                <w:sz w:val="21"/>
                <w:szCs w:val="21"/>
                <w:highlight w:val="none"/>
              </w:rPr>
              <w:t>内标元素混合溶液，1套；</w:t>
            </w:r>
          </w:p>
          <w:p w14:paraId="2DC2EA30">
            <w:pPr>
              <w:spacing w:after="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5.19</w:t>
            </w:r>
            <w:r>
              <w:rPr>
                <w:rFonts w:hint="eastAsia" w:ascii="宋体" w:hAnsi="宋体" w:eastAsia="宋体" w:cs="宋体"/>
                <w:color w:val="auto"/>
                <w:sz w:val="21"/>
                <w:szCs w:val="21"/>
                <w:highlight w:val="none"/>
              </w:rPr>
              <w:t>自动稀释系统，1 套；</w:t>
            </w:r>
          </w:p>
          <w:p w14:paraId="17EAA681">
            <w:pPr>
              <w:spacing w:after="0"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5.20快速进样系统，1套；</w:t>
            </w:r>
          </w:p>
          <w:p w14:paraId="1A4D888A">
            <w:pPr>
              <w:spacing w:after="0"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5.21</w:t>
            </w:r>
            <w:r>
              <w:rPr>
                <w:rFonts w:hint="eastAsia" w:ascii="宋体" w:hAnsi="宋体" w:eastAsia="宋体" w:cs="宋体"/>
                <w:color w:val="auto"/>
                <w:sz w:val="21"/>
                <w:szCs w:val="21"/>
                <w:highlight w:val="none"/>
                <w:lang w:eastAsia="zh-CN"/>
              </w:rPr>
              <w:t>有机加氧模块（</w:t>
            </w:r>
            <w:r>
              <w:rPr>
                <w:rFonts w:hint="eastAsia" w:ascii="宋体" w:hAnsi="宋体" w:eastAsia="宋体" w:cs="宋体"/>
                <w:color w:val="auto"/>
                <w:sz w:val="21"/>
                <w:szCs w:val="21"/>
                <w:highlight w:val="none"/>
                <w:lang w:val="en-US" w:eastAsia="zh-CN"/>
              </w:rPr>
              <w:t>满足有机锡分析要求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1套；</w:t>
            </w:r>
          </w:p>
          <w:p w14:paraId="27325AB4">
            <w:pPr>
              <w:spacing w:after="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5.22</w:t>
            </w:r>
            <w:r>
              <w:rPr>
                <w:rFonts w:hint="eastAsia" w:ascii="宋体" w:hAnsi="宋体" w:eastAsia="宋体" w:cs="宋体"/>
                <w:color w:val="auto"/>
                <w:sz w:val="21"/>
                <w:szCs w:val="21"/>
                <w:highlight w:val="none"/>
              </w:rPr>
              <w:t>高效液相系统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包括但不限于高效液相泵、自动进样器、柱箱、不少于2根色谱柱、联用接口等必须的配件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 套；</w:t>
            </w:r>
          </w:p>
          <w:p w14:paraId="33719B4B">
            <w:pPr>
              <w:spacing w:after="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5.23</w:t>
            </w:r>
            <w:r>
              <w:rPr>
                <w:rFonts w:hint="eastAsia" w:ascii="宋体" w:hAnsi="宋体" w:eastAsia="宋体" w:cs="宋体"/>
                <w:color w:val="auto"/>
                <w:sz w:val="21"/>
                <w:szCs w:val="21"/>
                <w:highlight w:val="none"/>
              </w:rPr>
              <w:t>原装软件工作站，1套；</w:t>
            </w:r>
          </w:p>
          <w:p w14:paraId="25607931">
            <w:pPr>
              <w:spacing w:after="0" w:line="4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5.24</w:t>
            </w:r>
            <w:r>
              <w:rPr>
                <w:rFonts w:hint="eastAsia" w:ascii="宋体" w:hAnsi="宋体" w:eastAsia="宋体" w:cs="宋体"/>
                <w:color w:val="auto"/>
                <w:sz w:val="21"/>
                <w:szCs w:val="21"/>
                <w:highlight w:val="none"/>
              </w:rPr>
              <w:t>工作</w:t>
            </w:r>
            <w:r>
              <w:rPr>
                <w:rFonts w:hint="eastAsia" w:ascii="宋体" w:hAnsi="宋体" w:eastAsia="宋体" w:cs="宋体"/>
                <w:color w:val="auto"/>
                <w:sz w:val="21"/>
                <w:szCs w:val="21"/>
                <w:highlight w:val="none"/>
                <w:lang w:val="en-US" w:eastAsia="zh-CN"/>
              </w:rPr>
              <w:t>站硬件（内存32G，27寸），</w:t>
            </w:r>
            <w:r>
              <w:rPr>
                <w:rFonts w:hint="eastAsia" w:ascii="宋体" w:hAnsi="宋体" w:eastAsia="宋体" w:cs="宋体"/>
                <w:color w:val="auto"/>
                <w:sz w:val="21"/>
                <w:szCs w:val="21"/>
                <w:highlight w:val="none"/>
              </w:rPr>
              <w:t>1套</w:t>
            </w:r>
            <w:r>
              <w:rPr>
                <w:rFonts w:hint="eastAsia" w:ascii="宋体" w:hAnsi="宋体" w:eastAsia="宋体" w:cs="宋体"/>
                <w:color w:val="auto"/>
                <w:sz w:val="21"/>
                <w:szCs w:val="21"/>
                <w:highlight w:val="none"/>
                <w:lang w:eastAsia="zh-CN"/>
              </w:rPr>
              <w:t>；</w:t>
            </w:r>
          </w:p>
          <w:p w14:paraId="75436BE3">
            <w:pPr>
              <w:spacing w:after="0"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5.25移动终端（内存32G，16寸），2台；</w:t>
            </w:r>
          </w:p>
          <w:p w14:paraId="3B99F495">
            <w:pPr>
              <w:spacing w:after="0"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5.</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6输出设备，1台</w:t>
            </w:r>
            <w:r>
              <w:rPr>
                <w:rFonts w:hint="eastAsia" w:ascii="宋体" w:hAnsi="宋体" w:eastAsia="宋体" w:cs="宋体"/>
                <w:bCs/>
                <w:strike w:val="0"/>
                <w:color w:val="auto"/>
                <w:sz w:val="21"/>
                <w:szCs w:val="21"/>
                <w:highlight w:val="none"/>
              </w:rPr>
              <w:t>（支持自动双面和网络输出）</w:t>
            </w:r>
            <w:r>
              <w:rPr>
                <w:rFonts w:hint="eastAsia" w:ascii="宋体" w:hAnsi="宋体" w:eastAsia="宋体" w:cs="宋体"/>
                <w:bCs/>
                <w:color w:val="auto"/>
                <w:sz w:val="21"/>
                <w:szCs w:val="21"/>
                <w:highlight w:val="none"/>
                <w:lang w:val="en-US" w:eastAsia="zh-CN"/>
              </w:rPr>
              <w:t>；</w:t>
            </w:r>
          </w:p>
          <w:p w14:paraId="3B4E1F8E">
            <w:pPr>
              <w:spacing w:after="0" w:line="4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5.27</w:t>
            </w:r>
            <w:r>
              <w:rPr>
                <w:rFonts w:hint="eastAsia" w:ascii="宋体" w:hAnsi="宋体" w:eastAsia="宋体" w:cs="宋体"/>
                <w:color w:val="auto"/>
                <w:sz w:val="21"/>
                <w:szCs w:val="21"/>
                <w:highlight w:val="none"/>
              </w:rPr>
              <w:t>配件及耗材要求（除主机包含之外）</w:t>
            </w:r>
            <w:r>
              <w:rPr>
                <w:rFonts w:hint="eastAsia" w:ascii="宋体" w:hAnsi="宋体" w:eastAsia="宋体" w:cs="宋体"/>
                <w:color w:val="auto"/>
                <w:sz w:val="21"/>
                <w:szCs w:val="21"/>
                <w:highlight w:val="none"/>
                <w:lang w:val="en-US" w:eastAsia="zh-CN"/>
              </w:rPr>
              <w:t>；</w:t>
            </w:r>
          </w:p>
          <w:p w14:paraId="3114C4CC">
            <w:pPr>
              <w:spacing w:after="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5.28铂</w:t>
            </w:r>
            <w:r>
              <w:rPr>
                <w:rFonts w:hint="eastAsia" w:ascii="宋体" w:hAnsi="宋体" w:eastAsia="宋体" w:cs="宋体"/>
                <w:color w:val="auto"/>
                <w:sz w:val="21"/>
                <w:szCs w:val="21"/>
                <w:highlight w:val="none"/>
              </w:rPr>
              <w:t>采样锥，1套；</w:t>
            </w:r>
          </w:p>
          <w:p w14:paraId="348B35D5">
            <w:pPr>
              <w:spacing w:after="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5.29铂</w:t>
            </w:r>
            <w:r>
              <w:rPr>
                <w:rFonts w:hint="eastAsia" w:ascii="宋体" w:hAnsi="宋体" w:eastAsia="宋体" w:cs="宋体"/>
                <w:color w:val="auto"/>
                <w:sz w:val="21"/>
                <w:szCs w:val="21"/>
                <w:highlight w:val="none"/>
              </w:rPr>
              <w:t>截取锥，1套；</w:t>
            </w:r>
          </w:p>
          <w:p w14:paraId="055A9CB7">
            <w:pPr>
              <w:spacing w:after="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5.30</w:t>
            </w:r>
            <w:r>
              <w:rPr>
                <w:rFonts w:hint="eastAsia" w:ascii="宋体" w:hAnsi="宋体" w:eastAsia="宋体" w:cs="宋体"/>
                <w:color w:val="auto"/>
                <w:sz w:val="21"/>
                <w:szCs w:val="21"/>
                <w:highlight w:val="none"/>
              </w:rPr>
              <w:t>一体式炬管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分体式则为中心管+矩管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套</w:t>
            </w:r>
            <w:r>
              <w:rPr>
                <w:rFonts w:hint="eastAsia" w:ascii="宋体" w:hAnsi="宋体" w:eastAsia="宋体" w:cs="宋体"/>
                <w:color w:val="auto"/>
                <w:sz w:val="21"/>
                <w:szCs w:val="21"/>
                <w:highlight w:val="none"/>
              </w:rPr>
              <w:t>；</w:t>
            </w:r>
          </w:p>
          <w:p w14:paraId="4AE4E71C">
            <w:pPr>
              <w:spacing w:after="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5.31</w:t>
            </w:r>
            <w:r>
              <w:rPr>
                <w:rFonts w:hint="eastAsia" w:ascii="宋体" w:hAnsi="宋体" w:eastAsia="宋体" w:cs="宋体"/>
                <w:color w:val="auto"/>
                <w:sz w:val="21"/>
                <w:szCs w:val="21"/>
                <w:highlight w:val="none"/>
              </w:rPr>
              <w:t>蠕动泵进样管，12根；</w:t>
            </w:r>
          </w:p>
          <w:p w14:paraId="7BF83A26">
            <w:pPr>
              <w:spacing w:after="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5.32</w:t>
            </w:r>
            <w:r>
              <w:rPr>
                <w:rFonts w:hint="eastAsia" w:ascii="宋体" w:hAnsi="宋体" w:eastAsia="宋体" w:cs="宋体"/>
                <w:color w:val="auto"/>
                <w:sz w:val="21"/>
                <w:szCs w:val="21"/>
                <w:highlight w:val="none"/>
              </w:rPr>
              <w:t>蠕动泵废液管，12根；</w:t>
            </w:r>
          </w:p>
          <w:p w14:paraId="7F6808A2">
            <w:pPr>
              <w:spacing w:after="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5.33</w:t>
            </w:r>
            <w:r>
              <w:rPr>
                <w:rFonts w:hint="eastAsia" w:ascii="宋体" w:hAnsi="宋体" w:eastAsia="宋体" w:cs="宋体"/>
                <w:color w:val="auto"/>
                <w:sz w:val="21"/>
                <w:szCs w:val="21"/>
                <w:highlight w:val="none"/>
              </w:rPr>
              <w:t>蠕动泵内标管，12根；</w:t>
            </w:r>
          </w:p>
          <w:p w14:paraId="7FD3E483">
            <w:pPr>
              <w:spacing w:after="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5.34</w:t>
            </w:r>
            <w:r>
              <w:rPr>
                <w:rFonts w:hint="eastAsia" w:ascii="宋体" w:hAnsi="宋体" w:eastAsia="宋体" w:cs="宋体"/>
                <w:color w:val="auto"/>
                <w:sz w:val="21"/>
                <w:szCs w:val="21"/>
                <w:highlight w:val="none"/>
              </w:rPr>
              <w:t>采样锥垫片，3个；</w:t>
            </w:r>
          </w:p>
          <w:p w14:paraId="67C46772">
            <w:pPr>
              <w:spacing w:after="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5.35</w:t>
            </w:r>
            <w:r>
              <w:rPr>
                <w:rFonts w:hint="eastAsia" w:ascii="宋体" w:hAnsi="宋体" w:eastAsia="宋体" w:cs="宋体"/>
                <w:color w:val="auto"/>
                <w:sz w:val="21"/>
                <w:szCs w:val="21"/>
                <w:highlight w:val="none"/>
              </w:rPr>
              <w:t>样品管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PFA</w:t>
            </w:r>
            <w:r>
              <w:rPr>
                <w:rFonts w:hint="eastAsia" w:ascii="宋体" w:hAnsi="宋体" w:eastAsia="宋体" w:cs="宋体"/>
                <w:color w:val="auto"/>
                <w:sz w:val="21"/>
                <w:szCs w:val="21"/>
                <w:highlight w:val="none"/>
                <w:lang w:val="en-US" w:eastAsia="zh-CN"/>
              </w:rPr>
              <w:t>材质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，5米；</w:t>
            </w:r>
          </w:p>
          <w:p w14:paraId="6A68B981">
            <w:pPr>
              <w:spacing w:after="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5.36</w:t>
            </w:r>
            <w:r>
              <w:rPr>
                <w:rFonts w:hint="eastAsia" w:ascii="宋体" w:hAnsi="宋体" w:eastAsia="宋体" w:cs="宋体"/>
                <w:color w:val="auto"/>
                <w:sz w:val="21"/>
                <w:szCs w:val="21"/>
                <w:highlight w:val="none"/>
              </w:rPr>
              <w:t>超纯机械泵油，1瓶；</w:t>
            </w:r>
          </w:p>
          <w:p w14:paraId="6BAE8205">
            <w:pPr>
              <w:spacing w:after="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5.37</w:t>
            </w:r>
            <w:r>
              <w:rPr>
                <w:rFonts w:hint="eastAsia" w:ascii="宋体" w:hAnsi="宋体" w:eastAsia="宋体" w:cs="宋体"/>
                <w:color w:val="auto"/>
                <w:sz w:val="21"/>
                <w:szCs w:val="21"/>
                <w:highlight w:val="none"/>
              </w:rPr>
              <w:t>同心雾化器，1个；</w:t>
            </w:r>
          </w:p>
          <w:p w14:paraId="0CFE6ACF">
            <w:pPr>
              <w:spacing w:after="0"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5.38 电源保护装置（</w:t>
            </w:r>
            <w:r>
              <w:rPr>
                <w:rFonts w:hint="eastAsia" w:ascii="宋体" w:hAnsi="宋体" w:eastAsia="宋体" w:cs="宋体"/>
                <w:color w:val="auto"/>
                <w:sz w:val="21"/>
                <w:szCs w:val="21"/>
                <w:highlight w:val="none"/>
              </w:rPr>
              <w:t>输出电压为220V，功率满足系统需求并留有50%余量，1 小时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，1套</w:t>
            </w:r>
            <w:r>
              <w:rPr>
                <w:rFonts w:hint="eastAsia" w:ascii="宋体" w:hAnsi="宋体" w:eastAsia="宋体" w:cs="宋体"/>
                <w:color w:val="auto"/>
                <w:sz w:val="21"/>
                <w:szCs w:val="21"/>
                <w:highlight w:val="none"/>
                <w:lang w:eastAsia="zh-CN"/>
              </w:rPr>
              <w:t>；</w:t>
            </w:r>
          </w:p>
          <w:p w14:paraId="5F2EA60E">
            <w:pPr>
              <w:spacing w:after="0" w:line="400" w:lineRule="exac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5.39液氩杜瓦罐（几何容积≥175L，工作压力≥1.4MPa，最大充装量208Kg，含减压阀），2套。</w:t>
            </w:r>
          </w:p>
        </w:tc>
      </w:tr>
    </w:tbl>
    <w:p w14:paraId="08E57CAB">
      <w:pPr>
        <w:spacing w:after="0" w:line="600" w:lineRule="exact"/>
        <w:jc w:val="left"/>
        <w:outlineLvl w:val="9"/>
        <w:rPr>
          <w:rFonts w:hint="eastAsia" w:ascii="仿宋" w:hAnsi="仿宋" w:eastAsia="仿宋" w:cs="仿宋"/>
          <w:color w:val="auto"/>
          <w:sz w:val="32"/>
          <w:szCs w:val="32"/>
          <w:highlight w:val="none"/>
          <w:lang w:eastAsia="zh-CN"/>
        </w:rPr>
      </w:pPr>
    </w:p>
    <w:p w14:paraId="0A4BDCAD">
      <w:pPr>
        <w:rPr>
          <w:rFonts w:hint="default"/>
          <w:color w:val="auto"/>
          <w:highlight w:val="none"/>
          <w:lang w:val="en-US" w:eastAsia="zh-CN"/>
        </w:rPr>
      </w:pPr>
    </w:p>
    <w:p w14:paraId="369AA8FC">
      <w:pPr>
        <w:rPr>
          <w:rFonts w:hint="eastAsia"/>
          <w:color w:val="auto"/>
          <w:highlight w:val="none"/>
          <w:lang w:val="en-US" w:eastAsia="zh-CN"/>
        </w:rPr>
      </w:pPr>
    </w:p>
    <w:p w14:paraId="70ABA789">
      <w:pPr>
        <w:rPr>
          <w:rFonts w:hint="eastAsia" w:ascii="宋体" w:hAnsi="宋体" w:eastAsia="宋体" w:cs="宋体"/>
          <w:b/>
          <w:bCs/>
          <w:color w:val="auto"/>
          <w:kern w:val="0"/>
          <w:sz w:val="21"/>
          <w:szCs w:val="21"/>
          <w:highlight w:val="none"/>
          <w:lang w:val="en-US" w:eastAsia="zh-CN" w:bidi="ar-SA"/>
        </w:rPr>
      </w:pPr>
      <w:bookmarkStart w:id="101" w:name="_Toc17139"/>
      <w:bookmarkStart w:id="102" w:name="_Toc25637"/>
      <w:r>
        <w:rPr>
          <w:rFonts w:hint="eastAsia" w:ascii="宋体" w:hAnsi="宋体" w:eastAsia="宋体" w:cs="宋体"/>
          <w:b/>
          <w:bCs/>
          <w:color w:val="auto"/>
          <w:kern w:val="0"/>
          <w:sz w:val="21"/>
          <w:szCs w:val="21"/>
          <w:highlight w:val="none"/>
          <w:lang w:val="en-US" w:eastAsia="zh-CN" w:bidi="ar-SA"/>
        </w:rPr>
        <w:br w:type="page"/>
      </w:r>
    </w:p>
    <w:p w14:paraId="1520C17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1"/>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五</w:t>
      </w:r>
      <w:r>
        <w:rPr>
          <w:rFonts w:hint="eastAsia" w:ascii="宋体" w:hAnsi="宋体" w:eastAsia="宋体" w:cs="宋体"/>
          <w:b/>
          <w:bCs/>
          <w:color w:val="auto"/>
          <w:kern w:val="0"/>
          <w:sz w:val="21"/>
          <w:szCs w:val="21"/>
          <w:highlight w:val="none"/>
          <w:lang w:val="en-US" w:eastAsia="zh-CN" w:bidi="ar-SA"/>
        </w:rPr>
        <w:t>）标项</w:t>
      </w:r>
      <w:r>
        <w:rPr>
          <w:rFonts w:hint="eastAsia" w:ascii="宋体" w:hAnsi="宋体" w:cs="宋体"/>
          <w:b/>
          <w:bCs/>
          <w:color w:val="auto"/>
          <w:kern w:val="0"/>
          <w:sz w:val="21"/>
          <w:szCs w:val="21"/>
          <w:highlight w:val="none"/>
          <w:lang w:val="en-US" w:eastAsia="zh-CN" w:bidi="ar-SA"/>
        </w:rPr>
        <w:t>五</w:t>
      </w:r>
      <w:r>
        <w:rPr>
          <w:rFonts w:hint="eastAsia" w:ascii="宋体" w:hAnsi="宋体" w:eastAsia="宋体" w:cs="宋体"/>
          <w:b/>
          <w:bCs/>
          <w:color w:val="auto"/>
          <w:kern w:val="0"/>
          <w:sz w:val="21"/>
          <w:szCs w:val="21"/>
          <w:highlight w:val="none"/>
          <w:lang w:val="en-US" w:eastAsia="zh-CN" w:bidi="ar-SA"/>
        </w:rPr>
        <w:t>（分包</w:t>
      </w:r>
      <w:r>
        <w:rPr>
          <w:rFonts w:hint="eastAsia" w:ascii="宋体" w:hAnsi="宋体" w:cs="宋体"/>
          <w:b/>
          <w:bCs/>
          <w:color w:val="auto"/>
          <w:kern w:val="0"/>
          <w:sz w:val="21"/>
          <w:szCs w:val="21"/>
          <w:highlight w:val="none"/>
          <w:lang w:val="en-US" w:eastAsia="zh-CN" w:bidi="ar-SA"/>
        </w:rPr>
        <w:t>5</w:t>
      </w:r>
      <w:r>
        <w:rPr>
          <w:rFonts w:hint="eastAsia" w:ascii="宋体" w:hAnsi="宋体" w:eastAsia="宋体" w:cs="宋体"/>
          <w:b/>
          <w:bCs/>
          <w:color w:val="auto"/>
          <w:kern w:val="0"/>
          <w:sz w:val="21"/>
          <w:szCs w:val="21"/>
          <w:highlight w:val="none"/>
          <w:lang w:val="en-US" w:eastAsia="zh-CN" w:bidi="ar-SA"/>
        </w:rPr>
        <w:t>）的技术要求</w:t>
      </w:r>
      <w:bookmarkEnd w:id="101"/>
      <w:bookmarkEnd w:id="102"/>
    </w:p>
    <w:tbl>
      <w:tblPr>
        <w:tblStyle w:val="48"/>
        <w:tblW w:w="88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9"/>
        <w:gridCol w:w="814"/>
        <w:gridCol w:w="605"/>
        <w:gridCol w:w="750"/>
        <w:gridCol w:w="814"/>
        <w:gridCol w:w="5099"/>
      </w:tblGrid>
      <w:tr w14:paraId="57F71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0" w:hRule="atLeast"/>
        </w:trPr>
        <w:tc>
          <w:tcPr>
            <w:tcW w:w="749" w:type="dxa"/>
            <w:noWrap w:val="0"/>
            <w:vAlign w:val="center"/>
          </w:tcPr>
          <w:p w14:paraId="3323CA4E">
            <w:pPr>
              <w:tabs>
                <w:tab w:val="left" w:pos="180"/>
                <w:tab w:val="left" w:pos="1620"/>
              </w:tabs>
              <w:spacing w:after="0"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rPr>
              <w:t>序号</w:t>
            </w:r>
          </w:p>
        </w:tc>
        <w:tc>
          <w:tcPr>
            <w:tcW w:w="814" w:type="dxa"/>
            <w:noWrap w:val="0"/>
            <w:vAlign w:val="center"/>
          </w:tcPr>
          <w:p w14:paraId="05E9F3B8">
            <w:pPr>
              <w:tabs>
                <w:tab w:val="left" w:pos="180"/>
                <w:tab w:val="left" w:pos="1620"/>
              </w:tabs>
              <w:spacing w:after="0" w:line="400" w:lineRule="exact"/>
              <w:jc w:val="center"/>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标的名称</w:t>
            </w:r>
          </w:p>
        </w:tc>
        <w:tc>
          <w:tcPr>
            <w:tcW w:w="605" w:type="dxa"/>
            <w:tcBorders>
              <w:right w:val="single" w:color="auto" w:sz="4" w:space="0"/>
            </w:tcBorders>
            <w:noWrap w:val="0"/>
            <w:vAlign w:val="center"/>
          </w:tcPr>
          <w:p w14:paraId="196AB8F8">
            <w:pPr>
              <w:tabs>
                <w:tab w:val="left" w:pos="180"/>
                <w:tab w:val="left" w:pos="1620"/>
              </w:tabs>
              <w:spacing w:after="0"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rPr>
              <w:t>数量</w:t>
            </w:r>
          </w:p>
        </w:tc>
        <w:tc>
          <w:tcPr>
            <w:tcW w:w="750" w:type="dxa"/>
            <w:tcBorders>
              <w:left w:val="single" w:color="auto" w:sz="4" w:space="0"/>
              <w:right w:val="single" w:color="auto" w:sz="4" w:space="0"/>
            </w:tcBorders>
            <w:noWrap w:val="0"/>
            <w:vAlign w:val="center"/>
          </w:tcPr>
          <w:p w14:paraId="4B34A0A2">
            <w:pPr>
              <w:tabs>
                <w:tab w:val="left" w:pos="180"/>
                <w:tab w:val="left" w:pos="1620"/>
              </w:tabs>
              <w:spacing w:after="0"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控制</w:t>
            </w:r>
            <w:r>
              <w:rPr>
                <w:rFonts w:hint="eastAsia" w:ascii="宋体" w:hAnsi="宋体" w:eastAsia="宋体" w:cs="宋体"/>
                <w:b/>
                <w:color w:val="auto"/>
                <w:sz w:val="21"/>
                <w:szCs w:val="21"/>
                <w:highlight w:val="none"/>
              </w:rPr>
              <w:t>单价</w:t>
            </w:r>
          </w:p>
          <w:p w14:paraId="3BCA7F70">
            <w:pPr>
              <w:tabs>
                <w:tab w:val="left" w:pos="180"/>
                <w:tab w:val="left" w:pos="1620"/>
              </w:tabs>
              <w:spacing w:after="0" w:line="400" w:lineRule="exact"/>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color w:val="auto"/>
                <w:sz w:val="21"/>
                <w:szCs w:val="21"/>
                <w:highlight w:val="none"/>
              </w:rPr>
              <w:t>（万元）</w:t>
            </w:r>
          </w:p>
        </w:tc>
        <w:tc>
          <w:tcPr>
            <w:tcW w:w="814" w:type="dxa"/>
            <w:tcBorders>
              <w:left w:val="single" w:color="auto" w:sz="4" w:space="0"/>
              <w:right w:val="single" w:color="auto" w:sz="4" w:space="0"/>
            </w:tcBorders>
            <w:noWrap w:val="0"/>
            <w:vAlign w:val="center"/>
          </w:tcPr>
          <w:p w14:paraId="4F6DD5C0">
            <w:pPr>
              <w:tabs>
                <w:tab w:val="left" w:pos="180"/>
                <w:tab w:val="left" w:pos="1620"/>
              </w:tabs>
              <w:spacing w:after="0" w:line="400" w:lineRule="exact"/>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color w:val="auto"/>
                <w:sz w:val="21"/>
                <w:szCs w:val="21"/>
                <w:highlight w:val="none"/>
                <w:lang w:val="en-US" w:eastAsia="zh-CN"/>
              </w:rPr>
              <w:t>控制总价</w:t>
            </w:r>
            <w:r>
              <w:rPr>
                <w:rFonts w:hint="eastAsia" w:ascii="宋体" w:hAnsi="宋体" w:eastAsia="宋体" w:cs="宋体"/>
                <w:b/>
                <w:color w:val="auto"/>
                <w:sz w:val="21"/>
                <w:szCs w:val="21"/>
                <w:highlight w:val="none"/>
              </w:rPr>
              <w:t>（万元）</w:t>
            </w:r>
          </w:p>
        </w:tc>
        <w:tc>
          <w:tcPr>
            <w:tcW w:w="5099" w:type="dxa"/>
            <w:tcBorders>
              <w:left w:val="single" w:color="auto" w:sz="4" w:space="0"/>
            </w:tcBorders>
            <w:noWrap w:val="0"/>
            <w:vAlign w:val="center"/>
          </w:tcPr>
          <w:p w14:paraId="1D0F7665">
            <w:pPr>
              <w:tabs>
                <w:tab w:val="left" w:pos="180"/>
                <w:tab w:val="left" w:pos="1620"/>
              </w:tabs>
              <w:spacing w:after="0"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技术参数要求</w:t>
            </w:r>
          </w:p>
          <w:p w14:paraId="09BD89F5">
            <w:pPr>
              <w:pStyle w:val="31"/>
              <w:rPr>
                <w:rFonts w:hint="eastAsia" w:eastAsia="宋体"/>
                <w:color w:val="auto"/>
                <w:highlight w:val="none"/>
                <w:lang w:eastAsia="zh-CN"/>
              </w:rPr>
            </w:pPr>
            <w:r>
              <w:rPr>
                <w:rFonts w:hint="eastAsia" w:ascii="宋体" w:hAnsi="宋体" w:eastAsia="宋体" w:cs="宋体"/>
                <w:b w:val="0"/>
                <w:bCs/>
                <w:color w:val="auto"/>
                <w:sz w:val="21"/>
                <w:szCs w:val="21"/>
                <w:highlight w:val="none"/>
                <w:lang w:eastAsia="zh-CN"/>
              </w:rPr>
              <w:t>（“▲”为实质性</w:t>
            </w:r>
            <w:r>
              <w:rPr>
                <w:rFonts w:hint="eastAsia" w:ascii="宋体" w:hAnsi="宋体" w:eastAsia="宋体" w:cs="宋体"/>
                <w:b w:val="0"/>
                <w:bCs/>
                <w:color w:val="auto"/>
                <w:sz w:val="21"/>
                <w:szCs w:val="21"/>
                <w:highlight w:val="none"/>
                <w:lang w:val="en-US" w:eastAsia="zh-CN"/>
              </w:rPr>
              <w:t>参数</w:t>
            </w:r>
            <w:r>
              <w:rPr>
                <w:rFonts w:hint="eastAsia" w:ascii="宋体" w:hAnsi="宋体" w:eastAsia="宋体" w:cs="宋体"/>
                <w:b w:val="0"/>
                <w:bCs/>
                <w:color w:val="auto"/>
                <w:sz w:val="21"/>
                <w:szCs w:val="21"/>
                <w:highlight w:val="none"/>
                <w:lang w:eastAsia="zh-CN"/>
              </w:rPr>
              <w:t>，投标时必须满足，“■”为重要参数，其他为一般性参数，</w:t>
            </w:r>
            <w:r>
              <w:rPr>
                <w:rFonts w:hint="eastAsia" w:ascii="宋体" w:hAnsi="宋体" w:eastAsia="宋体" w:cs="宋体"/>
                <w:b w:val="0"/>
                <w:bCs/>
                <w:color w:val="auto"/>
                <w:sz w:val="21"/>
                <w:szCs w:val="21"/>
                <w:highlight w:val="none"/>
                <w:lang w:val="en-US" w:eastAsia="zh-CN"/>
              </w:rPr>
              <w:t>按评标标准评审</w:t>
            </w:r>
            <w:r>
              <w:rPr>
                <w:rFonts w:hint="eastAsia" w:ascii="宋体" w:hAnsi="宋体" w:eastAsia="宋体" w:cs="宋体"/>
                <w:b w:val="0"/>
                <w:bCs/>
                <w:color w:val="auto"/>
                <w:sz w:val="21"/>
                <w:szCs w:val="21"/>
                <w:highlight w:val="none"/>
                <w:lang w:eastAsia="zh-CN"/>
              </w:rPr>
              <w:t>）</w:t>
            </w:r>
          </w:p>
        </w:tc>
      </w:tr>
      <w:tr w14:paraId="40AE1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trPr>
        <w:tc>
          <w:tcPr>
            <w:tcW w:w="749" w:type="dxa"/>
            <w:noWrap w:val="0"/>
            <w:vAlign w:val="center"/>
          </w:tcPr>
          <w:p w14:paraId="07E3B409">
            <w:pPr>
              <w:spacing w:after="0" w:line="40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814" w:type="dxa"/>
            <w:noWrap w:val="0"/>
            <w:vAlign w:val="center"/>
          </w:tcPr>
          <w:p w14:paraId="4B39DFB5">
            <w:pPr>
              <w:spacing w:after="0" w:line="40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电感耦合等离子体质谱仪</w:t>
            </w:r>
          </w:p>
        </w:tc>
        <w:tc>
          <w:tcPr>
            <w:tcW w:w="605" w:type="dxa"/>
            <w:tcBorders>
              <w:right w:val="single" w:color="auto" w:sz="4" w:space="0"/>
            </w:tcBorders>
            <w:noWrap w:val="0"/>
            <w:vAlign w:val="center"/>
          </w:tcPr>
          <w:p w14:paraId="20B5495C">
            <w:pPr>
              <w:spacing w:after="0" w:line="40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bidi="ar"/>
              </w:rPr>
              <w:t>2</w:t>
            </w:r>
          </w:p>
        </w:tc>
        <w:tc>
          <w:tcPr>
            <w:tcW w:w="750" w:type="dxa"/>
            <w:tcBorders>
              <w:left w:val="single" w:color="auto" w:sz="4" w:space="0"/>
              <w:right w:val="single" w:color="auto" w:sz="4" w:space="0"/>
            </w:tcBorders>
            <w:noWrap w:val="0"/>
            <w:vAlign w:val="center"/>
          </w:tcPr>
          <w:p w14:paraId="092CBBD0">
            <w:pPr>
              <w:spacing w:after="0" w:line="40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bidi="ar"/>
              </w:rPr>
              <w:t>98</w:t>
            </w:r>
          </w:p>
        </w:tc>
        <w:tc>
          <w:tcPr>
            <w:tcW w:w="814" w:type="dxa"/>
            <w:tcBorders>
              <w:left w:val="single" w:color="auto" w:sz="4" w:space="0"/>
              <w:right w:val="single" w:color="auto" w:sz="4" w:space="0"/>
            </w:tcBorders>
            <w:noWrap w:val="0"/>
            <w:vAlign w:val="center"/>
          </w:tcPr>
          <w:p w14:paraId="22910E8E">
            <w:pPr>
              <w:spacing w:after="0" w:line="400" w:lineRule="exact"/>
              <w:ind w:firstLine="0" w:firstLineChars="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196</w:t>
            </w:r>
          </w:p>
        </w:tc>
        <w:tc>
          <w:tcPr>
            <w:tcW w:w="5099" w:type="dxa"/>
            <w:tcBorders>
              <w:left w:val="single" w:color="auto" w:sz="4" w:space="0"/>
            </w:tcBorders>
            <w:noWrap w:val="0"/>
            <w:vAlign w:val="center"/>
          </w:tcPr>
          <w:p w14:paraId="5CE3B5B1">
            <w:pPr>
              <w:spacing w:after="0" w:line="400" w:lineRule="exact"/>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1.功能要求</w:t>
            </w:r>
          </w:p>
          <w:p w14:paraId="083CCFB2">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电感耦合等离子体质谱仪(ICP-MS)：该仪器应适用于不同应用领域的各类样品的元素分析，满足金属、环境、地质等分析要求。可与自动进样器、水土金属前处理单元等多种设备联用。</w:t>
            </w:r>
          </w:p>
          <w:p w14:paraId="06C13A06">
            <w:pPr>
              <w:spacing w:after="0" w:line="400" w:lineRule="exact"/>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2.仪器硬件参数</w:t>
            </w:r>
          </w:p>
          <w:p w14:paraId="696F4268">
            <w:pPr>
              <w:spacing w:after="0" w:line="400" w:lineRule="exact"/>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2.1进样系统</w:t>
            </w:r>
          </w:p>
          <w:p w14:paraId="65B2D1C5">
            <w:pPr>
              <w:spacing w:after="0" w:line="400" w:lineRule="exac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2.1.1雾化器:高效同心雾化器，保证仪器高灵敏度的同时具有良好的耐盐特性</w:t>
            </w:r>
            <w:r>
              <w:rPr>
                <w:rFonts w:hint="eastAsia" w:ascii="宋体" w:hAnsi="宋体" w:eastAsia="宋体" w:cs="宋体"/>
                <w:color w:val="auto"/>
                <w:sz w:val="21"/>
                <w:szCs w:val="21"/>
                <w:highlight w:val="none"/>
                <w:lang w:val="en-US" w:eastAsia="zh-CN"/>
              </w:rPr>
              <w:t>；</w:t>
            </w:r>
          </w:p>
          <w:p w14:paraId="1057C88E">
            <w:pPr>
              <w:spacing w:after="0" w:line="400" w:lineRule="exac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2.1.2雾化室:提供高效稳定的小体积旋流型雾室，配备半导体制冷雾室系统。雾室温度可调</w:t>
            </w:r>
            <w:r>
              <w:rPr>
                <w:rFonts w:hint="eastAsia" w:ascii="宋体" w:hAnsi="宋体" w:eastAsia="宋体" w:cs="宋体"/>
                <w:color w:val="auto"/>
                <w:sz w:val="21"/>
                <w:szCs w:val="21"/>
                <w:highlight w:val="none"/>
                <w:lang w:val="en-US" w:eastAsia="zh-CN"/>
              </w:rPr>
              <w:t>；</w:t>
            </w:r>
          </w:p>
          <w:p w14:paraId="61DF1C4B">
            <w:pPr>
              <w:spacing w:after="0" w:line="400" w:lineRule="exac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2.1.3</w:t>
            </w:r>
            <w:r>
              <w:rPr>
                <w:rFonts w:hint="eastAsia" w:ascii="宋体" w:hAnsi="宋体" w:eastAsia="宋体" w:cs="宋体"/>
                <w:color w:val="auto"/>
                <w:sz w:val="21"/>
                <w:szCs w:val="21"/>
                <w:highlight w:val="none"/>
                <w:lang w:val="en-US" w:eastAsia="zh-CN"/>
              </w:rPr>
              <w:t>炬管：配备可灵活拆装的分体式或一体式石英炬管，采用气路快插拔设计，方便清洗维护；</w:t>
            </w:r>
          </w:p>
          <w:p w14:paraId="64C77A49">
            <w:pPr>
              <w:spacing w:after="0" w:line="400" w:lineRule="exac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2.1.4蠕动泵：配备泵速可调的不少于四通道蠕动泵系统</w:t>
            </w:r>
            <w:r>
              <w:rPr>
                <w:rFonts w:hint="eastAsia" w:ascii="宋体" w:hAnsi="宋体" w:eastAsia="宋体" w:cs="宋体"/>
                <w:color w:val="auto"/>
                <w:sz w:val="21"/>
                <w:szCs w:val="21"/>
                <w:highlight w:val="none"/>
                <w:lang w:val="en-US" w:eastAsia="zh-CN"/>
              </w:rPr>
              <w:t>；</w:t>
            </w:r>
          </w:p>
          <w:p w14:paraId="3B5A63C9">
            <w:pPr>
              <w:spacing w:after="0" w:line="400" w:lineRule="exac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2.1.5标配4路工作气体（包括冷却气、辅助气、载气、碰撞气），流量连续可调</w:t>
            </w:r>
            <w:r>
              <w:rPr>
                <w:rFonts w:hint="eastAsia" w:ascii="宋体" w:hAnsi="宋体" w:eastAsia="宋体" w:cs="宋体"/>
                <w:color w:val="auto"/>
                <w:sz w:val="21"/>
                <w:szCs w:val="21"/>
                <w:highlight w:val="none"/>
                <w:lang w:val="en-US" w:eastAsia="zh-CN"/>
              </w:rPr>
              <w:t>；</w:t>
            </w:r>
          </w:p>
          <w:p w14:paraId="40032743">
            <w:pPr>
              <w:spacing w:after="0" w:line="400" w:lineRule="exact"/>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2.2 等离子源</w:t>
            </w:r>
          </w:p>
          <w:p w14:paraId="76745E62">
            <w:pPr>
              <w:spacing w:after="0" w:line="400" w:lineRule="exac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▲2.2.1射频电源：采用固态光源技术，功率范围</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00～1600W或更宽，连续可调</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7B757A1B">
            <w:pPr>
              <w:spacing w:after="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2.2.2屏蔽矩：采用屏蔽炬设计，能够消除二次离子放电影响，提升离子源工作稳定性。</w:t>
            </w:r>
          </w:p>
          <w:p w14:paraId="1F6609EC">
            <w:pPr>
              <w:spacing w:after="0" w:line="400" w:lineRule="exac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2.2.3等离子体位置控制: 三维(X, Y, Z方向)位置由计算机精确控制，定位精度0.01mm</w:t>
            </w:r>
            <w:r>
              <w:rPr>
                <w:rFonts w:hint="eastAsia" w:ascii="宋体" w:hAnsi="宋体" w:eastAsia="宋体" w:cs="宋体"/>
                <w:color w:val="auto"/>
                <w:sz w:val="21"/>
                <w:szCs w:val="21"/>
                <w:highlight w:val="none"/>
                <w:lang w:val="en-US" w:eastAsia="zh-CN"/>
              </w:rPr>
              <w:t>；</w:t>
            </w:r>
          </w:p>
          <w:p w14:paraId="2A10D3F8">
            <w:pPr>
              <w:spacing w:after="0" w:line="400" w:lineRule="exac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2.3接口：</w:t>
            </w:r>
            <w:r>
              <w:rPr>
                <w:rFonts w:hint="eastAsia" w:ascii="宋体" w:hAnsi="宋体" w:eastAsia="宋体" w:cs="宋体"/>
                <w:color w:val="auto"/>
                <w:sz w:val="21"/>
                <w:szCs w:val="21"/>
                <w:highlight w:val="none"/>
              </w:rPr>
              <w:t>方便维护的双锥接口设计，无需卸载真空即可进行两锥的维护，清洗操作简单方便，基体耐受性好</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3022E5FC">
            <w:pPr>
              <w:spacing w:after="0" w:line="400" w:lineRule="exac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2.4提取透镜：</w:t>
            </w:r>
            <w:r>
              <w:rPr>
                <w:rFonts w:hint="eastAsia" w:ascii="宋体" w:hAnsi="宋体" w:eastAsia="宋体" w:cs="宋体"/>
                <w:color w:val="auto"/>
                <w:sz w:val="21"/>
                <w:szCs w:val="21"/>
                <w:highlight w:val="none"/>
              </w:rPr>
              <w:t>至少配备一个透镜，保证检测数据稳定性</w:t>
            </w:r>
            <w:r>
              <w:rPr>
                <w:rFonts w:hint="eastAsia" w:ascii="宋体" w:hAnsi="宋体" w:eastAsia="宋体" w:cs="宋体"/>
                <w:color w:val="auto"/>
                <w:sz w:val="21"/>
                <w:szCs w:val="21"/>
                <w:highlight w:val="none"/>
                <w:lang w:val="en-US" w:eastAsia="zh-CN"/>
              </w:rPr>
              <w:t>；</w:t>
            </w:r>
          </w:p>
          <w:p w14:paraId="6E3A4440">
            <w:pPr>
              <w:spacing w:after="0" w:line="400" w:lineRule="exac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2.5 真空系统：</w:t>
            </w:r>
            <w:r>
              <w:rPr>
                <w:rFonts w:hint="eastAsia" w:ascii="宋体" w:hAnsi="宋体" w:eastAsia="宋体" w:cs="宋体"/>
                <w:color w:val="auto"/>
                <w:sz w:val="21"/>
                <w:szCs w:val="21"/>
                <w:highlight w:val="none"/>
              </w:rPr>
              <w:t>配备≥1个机械泵，≥1个分子涡轮泵</w:t>
            </w:r>
            <w:r>
              <w:rPr>
                <w:rFonts w:hint="eastAsia" w:ascii="宋体" w:hAnsi="宋体" w:eastAsia="宋体" w:cs="宋体"/>
                <w:color w:val="auto"/>
                <w:sz w:val="21"/>
                <w:szCs w:val="21"/>
                <w:highlight w:val="none"/>
                <w:lang w:val="en-US" w:eastAsia="zh-CN"/>
              </w:rPr>
              <w:t>；</w:t>
            </w:r>
          </w:p>
          <w:p w14:paraId="06AC030D">
            <w:pPr>
              <w:spacing w:after="0" w:line="400" w:lineRule="exac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2.6离子传输系统：</w:t>
            </w:r>
            <w:r>
              <w:rPr>
                <w:rFonts w:hint="eastAsia" w:ascii="宋体" w:hAnsi="宋体" w:eastAsia="宋体" w:cs="宋体"/>
                <w:b w:val="0"/>
                <w:bCs w:val="0"/>
                <w:color w:val="auto"/>
                <w:sz w:val="21"/>
                <w:szCs w:val="21"/>
                <w:highlight w:val="none"/>
                <w:lang w:val="en-US" w:eastAsia="zh-CN"/>
              </w:rPr>
              <w:t>离轴的离子传输通道设计</w:t>
            </w:r>
            <w:r>
              <w:rPr>
                <w:rFonts w:hint="eastAsia" w:ascii="宋体" w:hAnsi="宋体" w:eastAsia="宋体" w:cs="宋体"/>
                <w:color w:val="auto"/>
                <w:sz w:val="21"/>
                <w:szCs w:val="21"/>
                <w:highlight w:val="none"/>
                <w:lang w:val="en-US" w:eastAsia="zh-CN"/>
              </w:rPr>
              <w:t>；</w:t>
            </w:r>
          </w:p>
          <w:p w14:paraId="70F5FED6">
            <w:pPr>
              <w:spacing w:after="0" w:line="400" w:lineRule="exac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2.7碰撞反应池：</w:t>
            </w:r>
            <w:r>
              <w:rPr>
                <w:rFonts w:hint="eastAsia" w:ascii="宋体" w:hAnsi="宋体" w:eastAsia="宋体" w:cs="宋体"/>
                <w:color w:val="auto"/>
                <w:sz w:val="21"/>
                <w:szCs w:val="21"/>
                <w:highlight w:val="none"/>
              </w:rPr>
              <w:t>配备四级杆以上碰撞/反应池，至少拥有两种工作模式，标准模式（No Gas）、氦气碰撞模式（KED）</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投标时需提供操作软件界面的参数截图或照片并加盖投标人单位公章</w:t>
            </w:r>
            <w:r>
              <w:rPr>
                <w:rFonts w:hint="eastAsia" w:ascii="宋体" w:hAnsi="宋体" w:eastAsia="宋体" w:cs="宋体"/>
                <w:color w:val="auto"/>
                <w:sz w:val="21"/>
                <w:szCs w:val="21"/>
                <w:highlight w:val="none"/>
                <w:lang w:eastAsia="zh-CN"/>
              </w:rPr>
              <w:t>】</w:t>
            </w:r>
          </w:p>
          <w:p w14:paraId="786EEAB1">
            <w:pPr>
              <w:spacing w:after="0" w:line="400" w:lineRule="exact"/>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2.8四极杆质量分析系统：</w:t>
            </w:r>
          </w:p>
          <w:p w14:paraId="0576AC19">
            <w:pPr>
              <w:spacing w:after="0" w:line="400" w:lineRule="exac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2.8.1四极杆驱动频率≥2.0 MHz</w:t>
            </w:r>
            <w:r>
              <w:rPr>
                <w:rFonts w:hint="eastAsia" w:ascii="宋体" w:hAnsi="宋体" w:eastAsia="宋体" w:cs="宋体"/>
                <w:color w:val="auto"/>
                <w:sz w:val="21"/>
                <w:szCs w:val="21"/>
                <w:highlight w:val="none"/>
                <w:lang w:val="en-US" w:eastAsia="zh-CN"/>
              </w:rPr>
              <w:t>；</w:t>
            </w:r>
          </w:p>
          <w:p w14:paraId="161715D9">
            <w:pPr>
              <w:spacing w:after="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2.8.2四极杆质量数范围：</w:t>
            </w:r>
            <w:r>
              <w:rPr>
                <w:rFonts w:hint="eastAsia" w:ascii="宋体" w:hAnsi="宋体" w:eastAsia="宋体" w:cs="宋体"/>
                <w:color w:val="auto"/>
                <w:sz w:val="21"/>
                <w:szCs w:val="21"/>
                <w:highlight w:val="none"/>
                <w:lang w:val="en-US" w:eastAsia="zh-CN"/>
              </w:rPr>
              <w:t>5-260amu或更宽；</w:t>
            </w:r>
          </w:p>
          <w:p w14:paraId="4C64A88C">
            <w:pPr>
              <w:spacing w:after="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2.8.3质量轴稳定性：≤0.05amu/24h；</w:t>
            </w:r>
          </w:p>
          <w:p w14:paraId="497B4C1F">
            <w:pPr>
              <w:spacing w:after="0" w:line="400" w:lineRule="exac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2.8.4质量分辨率：0.3amu-</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.0amu可调</w:t>
            </w:r>
            <w:r>
              <w:rPr>
                <w:rFonts w:hint="eastAsia" w:ascii="宋体" w:hAnsi="宋体" w:eastAsia="宋体" w:cs="宋体"/>
                <w:color w:val="auto"/>
                <w:sz w:val="21"/>
                <w:szCs w:val="21"/>
                <w:highlight w:val="none"/>
                <w:lang w:val="en-US" w:eastAsia="zh-CN"/>
              </w:rPr>
              <w:t>；</w:t>
            </w:r>
          </w:p>
          <w:p w14:paraId="2A90DB1F">
            <w:pPr>
              <w:spacing w:after="0" w:line="400" w:lineRule="exact"/>
              <w:ind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2.9检测系统：</w:t>
            </w:r>
            <w:r>
              <w:rPr>
                <w:rFonts w:hint="eastAsia" w:ascii="宋体" w:hAnsi="宋体" w:eastAsia="宋体" w:cs="宋体"/>
                <w:b w:val="0"/>
                <w:bCs w:val="0"/>
                <w:color w:val="auto"/>
                <w:sz w:val="21"/>
                <w:szCs w:val="21"/>
                <w:highlight w:val="none"/>
                <w:lang w:val="en-US" w:eastAsia="zh-CN"/>
              </w:rPr>
              <w:t>电子倍增器； 【投标时需提供包含该功能章节的仪器使用说明书并加盖投标人单位公章】</w:t>
            </w:r>
          </w:p>
          <w:p w14:paraId="25A9DFAA">
            <w:pPr>
              <w:spacing w:after="0" w:line="400" w:lineRule="exact"/>
              <w:ind w:firstLine="0" w:firstLineChars="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2.10其他：</w:t>
            </w:r>
            <w:r>
              <w:rPr>
                <w:rFonts w:hint="eastAsia" w:ascii="宋体" w:hAnsi="宋体" w:eastAsia="宋体" w:cs="宋体"/>
                <w:color w:val="auto"/>
                <w:sz w:val="21"/>
                <w:szCs w:val="21"/>
                <w:highlight w:val="none"/>
              </w:rPr>
              <w:t>软件实时监控仪器电源，四极杆电源，真空系统，等离子体状态等系统状态，发生错误时主动提示</w:t>
            </w:r>
            <w:r>
              <w:rPr>
                <w:rFonts w:hint="eastAsia" w:ascii="宋体" w:hAnsi="宋体" w:eastAsia="宋体" w:cs="宋体"/>
                <w:color w:val="auto"/>
                <w:sz w:val="21"/>
                <w:szCs w:val="21"/>
                <w:highlight w:val="none"/>
                <w:lang w:val="en-US" w:eastAsia="zh-CN"/>
              </w:rPr>
              <w:t>；</w:t>
            </w:r>
          </w:p>
          <w:p w14:paraId="1CC4D1A0">
            <w:pPr>
              <w:spacing w:after="0" w:line="400" w:lineRule="exact"/>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3.仪器性能要求</w:t>
            </w:r>
          </w:p>
          <w:p w14:paraId="6806231A">
            <w:pPr>
              <w:spacing w:after="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3.1灵敏度(Mcps/ppm)：Li(7)≥40，</w:t>
            </w:r>
            <w:r>
              <w:rPr>
                <w:rFonts w:hint="eastAsia" w:ascii="宋体" w:hAnsi="宋体" w:eastAsia="宋体" w:cs="宋体"/>
                <w:color w:val="auto"/>
                <w:sz w:val="21"/>
                <w:szCs w:val="21"/>
                <w:highlight w:val="none"/>
                <w:vertAlign w:val="superscript"/>
              </w:rPr>
              <w:t xml:space="preserve"> </w:t>
            </w:r>
            <w:r>
              <w:rPr>
                <w:rFonts w:hint="eastAsia" w:ascii="宋体" w:hAnsi="宋体" w:eastAsia="宋体" w:cs="宋体"/>
                <w:color w:val="auto"/>
                <w:sz w:val="21"/>
                <w:szCs w:val="21"/>
                <w:highlight w:val="none"/>
              </w:rPr>
              <w:t>In(115)≥200，U(238)≥200；</w:t>
            </w:r>
          </w:p>
          <w:p w14:paraId="33DE1299">
            <w:pPr>
              <w:spacing w:after="0" w:line="400" w:lineRule="exac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3.2 </w:t>
            </w:r>
            <w:r>
              <w:rPr>
                <w:rFonts w:hint="eastAsia" w:ascii="宋体" w:hAnsi="宋体" w:eastAsia="宋体" w:cs="宋体"/>
                <w:color w:val="auto"/>
                <w:sz w:val="21"/>
                <w:szCs w:val="21"/>
                <w:highlight w:val="none"/>
                <w:lang w:val="en-US" w:eastAsia="zh-CN"/>
              </w:rPr>
              <w:t>检出限(3*sigma,ppt)：Be(9)≤5.0，In(115)≤0.5，U(238)≤0.5；</w:t>
            </w:r>
          </w:p>
          <w:p w14:paraId="7EB2FDD7">
            <w:pPr>
              <w:spacing w:after="0" w:line="400" w:lineRule="exact"/>
              <w:ind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3.3背景：≤1cps （在质量数5 amu处实测背景）</w:t>
            </w:r>
            <w:r>
              <w:rPr>
                <w:rFonts w:hint="eastAsia" w:ascii="宋体" w:hAnsi="宋体" w:eastAsia="宋体" w:cs="宋体"/>
                <w:color w:val="auto"/>
                <w:sz w:val="21"/>
                <w:szCs w:val="21"/>
                <w:highlight w:val="none"/>
                <w:lang w:val="en-US" w:eastAsia="zh-CN"/>
              </w:rPr>
              <w:t>；</w:t>
            </w:r>
          </w:p>
          <w:p w14:paraId="77A13198">
            <w:pPr>
              <w:spacing w:after="0"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3.4氧化物产率(CeO+/Ce+) ：≤2.0%</w:t>
            </w:r>
            <w:r>
              <w:rPr>
                <w:rFonts w:hint="eastAsia" w:ascii="宋体" w:hAnsi="宋体" w:eastAsia="宋体" w:cs="宋体"/>
                <w:color w:val="auto"/>
                <w:sz w:val="21"/>
                <w:szCs w:val="21"/>
                <w:highlight w:val="none"/>
                <w:lang w:val="en-US" w:eastAsia="zh-CN"/>
              </w:rPr>
              <w:t>；</w:t>
            </w:r>
          </w:p>
          <w:p w14:paraId="619BC854">
            <w:pPr>
              <w:spacing w:after="0"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3.5双电荷产率(Ce2+/Ce+)：≤3.0 %</w:t>
            </w:r>
            <w:r>
              <w:rPr>
                <w:rFonts w:hint="eastAsia" w:ascii="宋体" w:hAnsi="宋体" w:eastAsia="宋体" w:cs="宋体"/>
                <w:color w:val="auto"/>
                <w:sz w:val="21"/>
                <w:szCs w:val="21"/>
                <w:highlight w:val="none"/>
                <w:lang w:val="en-US" w:eastAsia="zh-CN"/>
              </w:rPr>
              <w:t>；</w:t>
            </w:r>
          </w:p>
          <w:p w14:paraId="18542EA7">
            <w:pPr>
              <w:spacing w:after="0"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3.6短期稳定性(RSD)： ≤2% (20 min) (须在1ppb 标准溶液中测定)</w:t>
            </w:r>
            <w:r>
              <w:rPr>
                <w:rFonts w:hint="eastAsia" w:ascii="宋体" w:hAnsi="宋体" w:eastAsia="宋体" w:cs="宋体"/>
                <w:color w:val="auto"/>
                <w:sz w:val="21"/>
                <w:szCs w:val="21"/>
                <w:highlight w:val="none"/>
                <w:lang w:val="en-US" w:eastAsia="zh-CN"/>
              </w:rPr>
              <w:t>；</w:t>
            </w:r>
          </w:p>
          <w:p w14:paraId="0CA671E3">
            <w:pPr>
              <w:spacing w:after="0"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7长期稳定性(RSD)：≤3% (2 hrs) (须在1ppb 标准溶液中测定)</w:t>
            </w:r>
            <w:r>
              <w:rPr>
                <w:rFonts w:hint="eastAsia" w:ascii="宋体" w:hAnsi="宋体" w:eastAsia="宋体" w:cs="宋体"/>
                <w:color w:val="auto"/>
                <w:sz w:val="21"/>
                <w:szCs w:val="21"/>
                <w:highlight w:val="none"/>
                <w:lang w:val="en-US" w:eastAsia="zh-CN"/>
              </w:rPr>
              <w:t>；</w:t>
            </w:r>
          </w:p>
          <w:p w14:paraId="16F901CD">
            <w:pPr>
              <w:spacing w:after="0" w:line="400" w:lineRule="exact"/>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w:t>
            </w:r>
            <w:r>
              <w:rPr>
                <w:rFonts w:hint="eastAsia" w:ascii="宋体" w:hAnsi="宋体" w:eastAsia="宋体" w:cs="宋体"/>
                <w:b/>
                <w:bCs/>
                <w:color w:val="auto"/>
                <w:sz w:val="21"/>
                <w:szCs w:val="21"/>
                <w:highlight w:val="none"/>
                <w:lang w:val="en-US" w:eastAsia="zh-CN"/>
              </w:rPr>
              <w:t>控制系统</w:t>
            </w:r>
            <w:r>
              <w:rPr>
                <w:rFonts w:hint="eastAsia" w:ascii="宋体" w:hAnsi="宋体" w:eastAsia="宋体" w:cs="宋体"/>
                <w:b/>
                <w:bCs/>
                <w:color w:val="auto"/>
                <w:sz w:val="21"/>
                <w:szCs w:val="21"/>
                <w:highlight w:val="none"/>
              </w:rPr>
              <w:t xml:space="preserve">参数 </w:t>
            </w:r>
          </w:p>
          <w:p w14:paraId="59435094">
            <w:pPr>
              <w:spacing w:after="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4.1全自动分析功能工作软件(自动点火、 自动错误提示、定制化用户报告、自动启动关闭仪器, 炬位调整,等离子体参数,离子透镜,电压优化,标准计数模式与碰撞池工作模式切换等) ，提供可自定义的全参数自动调谐和校准</w:t>
            </w:r>
            <w:r>
              <w:rPr>
                <w:rFonts w:hint="eastAsia" w:ascii="宋体" w:hAnsi="宋体" w:eastAsia="宋体" w:cs="宋体"/>
                <w:color w:val="auto"/>
                <w:sz w:val="21"/>
                <w:szCs w:val="21"/>
                <w:highlight w:val="none"/>
                <w:lang w:val="en-US" w:eastAsia="zh-CN"/>
              </w:rPr>
              <w:t>；</w:t>
            </w:r>
          </w:p>
          <w:p w14:paraId="2F228994">
            <w:pPr>
              <w:spacing w:after="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4.2软件集成自动进样器控制,支持自动进样器操作</w:t>
            </w:r>
            <w:r>
              <w:rPr>
                <w:rFonts w:hint="eastAsia" w:ascii="宋体" w:hAnsi="宋体" w:eastAsia="宋体" w:cs="宋体"/>
                <w:color w:val="auto"/>
                <w:sz w:val="21"/>
                <w:szCs w:val="21"/>
                <w:highlight w:val="none"/>
                <w:lang w:val="en-US" w:eastAsia="zh-CN"/>
              </w:rPr>
              <w:t>；</w:t>
            </w:r>
          </w:p>
          <w:p w14:paraId="6FCEC3FF">
            <w:pPr>
              <w:spacing w:after="0" w:line="400" w:lineRule="exact"/>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5.配置要求：</w:t>
            </w:r>
            <w:r>
              <w:rPr>
                <w:rFonts w:hint="eastAsia" w:ascii="宋体" w:hAnsi="宋体" w:eastAsia="宋体" w:cs="宋体"/>
                <w:color w:val="auto"/>
                <w:sz w:val="21"/>
                <w:szCs w:val="21"/>
                <w:highlight w:val="none"/>
              </w:rPr>
              <w:t xml:space="preserve"> </w:t>
            </w:r>
          </w:p>
          <w:p w14:paraId="179D3A7A">
            <w:pPr>
              <w:spacing w:after="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5.1电感耦合等离子体质谱仪</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1台；</w:t>
            </w:r>
          </w:p>
          <w:p w14:paraId="0FA7C043">
            <w:pPr>
              <w:spacing w:after="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5.2智能循环冷却水装置（配有水管10米）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1套；</w:t>
            </w:r>
          </w:p>
          <w:p w14:paraId="796F06E1">
            <w:pPr>
              <w:spacing w:after="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5.3随机标准品配置  1套；</w:t>
            </w:r>
          </w:p>
          <w:p w14:paraId="50B941CD">
            <w:pPr>
              <w:spacing w:after="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5.4仪器使用说明书 1本；</w:t>
            </w:r>
          </w:p>
          <w:p w14:paraId="1BA5BB68">
            <w:pPr>
              <w:spacing w:after="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5.5分析软件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1套；</w:t>
            </w:r>
          </w:p>
          <w:p w14:paraId="4DF10C1B">
            <w:pPr>
              <w:spacing w:after="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5.6工作站 1套；</w:t>
            </w:r>
          </w:p>
          <w:p w14:paraId="674A605A">
            <w:pPr>
              <w:spacing w:after="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5.7数据输出设备 1套；</w:t>
            </w:r>
          </w:p>
          <w:p w14:paraId="62FFFBDA">
            <w:pPr>
              <w:spacing w:after="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5.8耐高盐透镜系统 1套；</w:t>
            </w:r>
          </w:p>
          <w:p w14:paraId="5CF42D57">
            <w:pPr>
              <w:spacing w:after="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5.9自动进样器（240位） 1套；</w:t>
            </w:r>
          </w:p>
          <w:p w14:paraId="14E1256F">
            <w:pPr>
              <w:spacing w:after="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5.10 </w:t>
            </w:r>
            <w:r>
              <w:rPr>
                <w:rFonts w:hint="eastAsia" w:ascii="宋体" w:hAnsi="宋体" w:eastAsia="宋体" w:cs="宋体"/>
                <w:color w:val="auto"/>
                <w:sz w:val="21"/>
                <w:szCs w:val="21"/>
                <w:highlight w:val="none"/>
                <w:lang w:val="en-US" w:eastAsia="zh-CN"/>
              </w:rPr>
              <w:t>电源保护装置（4小时以上）</w:t>
            </w:r>
            <w:r>
              <w:rPr>
                <w:rFonts w:hint="eastAsia" w:ascii="宋体" w:hAnsi="宋体" w:eastAsia="宋体" w:cs="宋体"/>
                <w:color w:val="auto"/>
                <w:sz w:val="21"/>
                <w:szCs w:val="21"/>
                <w:highlight w:val="none"/>
              </w:rPr>
              <w:t>1套；</w:t>
            </w:r>
          </w:p>
          <w:p w14:paraId="6DD2A9EF">
            <w:pPr>
              <w:spacing w:after="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5.11在线气体稀释装置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1套；</w:t>
            </w:r>
          </w:p>
          <w:p w14:paraId="32B845F6">
            <w:pPr>
              <w:spacing w:after="0" w:line="400" w:lineRule="exac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5.12快速进样系统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1套</w:t>
            </w:r>
            <w:r>
              <w:rPr>
                <w:rFonts w:hint="eastAsia" w:ascii="宋体" w:hAnsi="宋体" w:eastAsia="宋体" w:cs="宋体"/>
                <w:color w:val="auto"/>
                <w:sz w:val="21"/>
                <w:szCs w:val="21"/>
                <w:highlight w:val="none"/>
                <w:lang w:eastAsia="zh-CN"/>
              </w:rPr>
              <w:t>；</w:t>
            </w:r>
          </w:p>
          <w:p w14:paraId="666A8911">
            <w:pPr>
              <w:spacing w:after="0" w:line="400" w:lineRule="exac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5.13移液器（包含100μL，1ml、5ml、10ml）1套</w:t>
            </w:r>
            <w:r>
              <w:rPr>
                <w:rFonts w:hint="eastAsia" w:ascii="宋体" w:hAnsi="宋体" w:eastAsia="宋体" w:cs="宋体"/>
                <w:color w:val="auto"/>
                <w:sz w:val="21"/>
                <w:szCs w:val="21"/>
                <w:highlight w:val="none"/>
                <w:lang w:eastAsia="zh-CN"/>
              </w:rPr>
              <w:t>；</w:t>
            </w:r>
          </w:p>
          <w:p w14:paraId="25D4D12C">
            <w:pPr>
              <w:spacing w:after="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5.14高纯</w:t>
            </w:r>
            <w:r>
              <w:rPr>
                <w:rFonts w:hint="eastAsia" w:ascii="宋体" w:hAnsi="宋体" w:eastAsia="宋体" w:cs="宋体"/>
                <w:color w:val="auto"/>
                <w:sz w:val="21"/>
                <w:szCs w:val="21"/>
                <w:highlight w:val="none"/>
                <w:lang w:val="en-US" w:eastAsia="zh-CN"/>
              </w:rPr>
              <w:t>氩</w:t>
            </w:r>
            <w:r>
              <w:rPr>
                <w:rFonts w:hint="eastAsia" w:ascii="宋体" w:hAnsi="宋体" w:eastAsia="宋体" w:cs="宋体"/>
                <w:color w:val="auto"/>
                <w:sz w:val="21"/>
                <w:szCs w:val="21"/>
                <w:highlight w:val="none"/>
              </w:rPr>
              <w:t>气钢瓶</w:t>
            </w:r>
            <w:r>
              <w:rPr>
                <w:rFonts w:hint="eastAsia" w:ascii="宋体" w:hAnsi="宋体" w:eastAsia="宋体" w:cs="宋体"/>
                <w:color w:val="auto"/>
                <w:sz w:val="21"/>
                <w:szCs w:val="21"/>
                <w:highlight w:val="none"/>
                <w:lang w:val="en-US" w:eastAsia="zh-CN"/>
              </w:rPr>
              <w:t>（几何容积40L，含纯度＞99.999%氩气，压力600 KPa±3.5%，</w:t>
            </w:r>
            <w:r>
              <w:rPr>
                <w:rFonts w:hint="eastAsia" w:ascii="宋体" w:hAnsi="宋体" w:eastAsia="宋体" w:cs="宋体"/>
                <w:color w:val="auto"/>
                <w:sz w:val="21"/>
                <w:szCs w:val="21"/>
                <w:highlight w:val="none"/>
              </w:rPr>
              <w:t>含减压阀</w:t>
            </w:r>
            <w:r>
              <w:rPr>
                <w:rFonts w:hint="eastAsia" w:ascii="宋体" w:hAnsi="宋体" w:eastAsia="宋体" w:cs="宋体"/>
                <w:color w:val="auto"/>
                <w:sz w:val="21"/>
                <w:szCs w:val="21"/>
                <w:highlight w:val="none"/>
                <w:lang w:val="en-US" w:eastAsia="zh-CN"/>
              </w:rPr>
              <w:t>），2套；</w:t>
            </w:r>
          </w:p>
          <w:p w14:paraId="2CF603BE">
            <w:pPr>
              <w:spacing w:after="0" w:line="40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5.15高纯氦气钢瓶（</w:t>
            </w:r>
            <w:r>
              <w:rPr>
                <w:rFonts w:hint="eastAsia" w:ascii="宋体" w:hAnsi="宋体" w:eastAsia="宋体" w:cs="宋体"/>
                <w:color w:val="auto"/>
                <w:sz w:val="21"/>
                <w:szCs w:val="21"/>
                <w:highlight w:val="none"/>
                <w:lang w:val="en-US" w:eastAsia="zh-CN"/>
              </w:rPr>
              <w:t>几何容积40L，含纯度＞99.999%氦气，压力40KPa±20 KPa，</w:t>
            </w:r>
            <w:r>
              <w:rPr>
                <w:rFonts w:hint="eastAsia" w:ascii="宋体" w:hAnsi="宋体" w:eastAsia="宋体" w:cs="宋体"/>
                <w:color w:val="auto"/>
                <w:sz w:val="21"/>
                <w:szCs w:val="21"/>
                <w:highlight w:val="none"/>
              </w:rPr>
              <w:t>含减压阀），1套。</w:t>
            </w:r>
          </w:p>
        </w:tc>
      </w:tr>
      <w:tr w14:paraId="22392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2" w:hRule="atLeast"/>
        </w:trPr>
        <w:tc>
          <w:tcPr>
            <w:tcW w:w="749" w:type="dxa"/>
            <w:noWrap w:val="0"/>
            <w:vAlign w:val="center"/>
          </w:tcPr>
          <w:p w14:paraId="45D4F8D3">
            <w:pPr>
              <w:spacing w:after="0"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14" w:type="dxa"/>
            <w:noWrap w:val="0"/>
            <w:vAlign w:val="center"/>
          </w:tcPr>
          <w:p w14:paraId="39E2567A">
            <w:pPr>
              <w:widowControl/>
              <w:spacing w:after="0"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电感耦合等离子体发射光谱仪</w:t>
            </w:r>
          </w:p>
        </w:tc>
        <w:tc>
          <w:tcPr>
            <w:tcW w:w="605" w:type="dxa"/>
            <w:tcBorders>
              <w:right w:val="single" w:color="auto" w:sz="4" w:space="0"/>
            </w:tcBorders>
            <w:noWrap w:val="0"/>
            <w:vAlign w:val="center"/>
          </w:tcPr>
          <w:p w14:paraId="37BD0606">
            <w:pPr>
              <w:widowControl/>
              <w:spacing w:after="0"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1</w:t>
            </w:r>
          </w:p>
        </w:tc>
        <w:tc>
          <w:tcPr>
            <w:tcW w:w="750" w:type="dxa"/>
            <w:tcBorders>
              <w:left w:val="single" w:color="auto" w:sz="4" w:space="0"/>
              <w:right w:val="single" w:color="auto" w:sz="4" w:space="0"/>
            </w:tcBorders>
            <w:noWrap w:val="0"/>
            <w:vAlign w:val="center"/>
          </w:tcPr>
          <w:p w14:paraId="5D5F77A7">
            <w:pPr>
              <w:widowControl/>
              <w:spacing w:after="0" w:line="400" w:lineRule="exact"/>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68</w:t>
            </w:r>
          </w:p>
        </w:tc>
        <w:tc>
          <w:tcPr>
            <w:tcW w:w="814" w:type="dxa"/>
            <w:tcBorders>
              <w:left w:val="single" w:color="auto" w:sz="4" w:space="0"/>
              <w:right w:val="single" w:color="auto" w:sz="4" w:space="0"/>
            </w:tcBorders>
            <w:noWrap w:val="0"/>
            <w:vAlign w:val="center"/>
          </w:tcPr>
          <w:p w14:paraId="7AFFCF91">
            <w:pPr>
              <w:widowControl/>
              <w:spacing w:after="0" w:line="400" w:lineRule="exact"/>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68</w:t>
            </w:r>
          </w:p>
        </w:tc>
        <w:tc>
          <w:tcPr>
            <w:tcW w:w="5099" w:type="dxa"/>
            <w:tcBorders>
              <w:left w:val="single" w:color="auto" w:sz="4" w:space="0"/>
            </w:tcBorders>
            <w:noWrap w:val="0"/>
            <w:vAlign w:val="center"/>
          </w:tcPr>
          <w:p w14:paraId="3861884C">
            <w:pPr>
              <w:spacing w:after="0" w:line="40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一、仪器总体要求</w:t>
            </w:r>
          </w:p>
          <w:p w14:paraId="4564614A">
            <w:pPr>
              <w:spacing w:after="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仪器适用于不同应用领域的各类样品的元素分析、同位素分析和元素形态分析任务，满足水和废水、土壤、固体废物等分析要求。</w:t>
            </w:r>
          </w:p>
          <w:p w14:paraId="3E562E09">
            <w:pPr>
              <w:spacing w:after="0"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二、工作条件</w:t>
            </w:r>
          </w:p>
          <w:p w14:paraId="66CF2EBA">
            <w:pPr>
              <w:spacing w:after="0"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1.环境温度：10℃～35℃</w:t>
            </w:r>
            <w:r>
              <w:rPr>
                <w:rFonts w:hint="eastAsia" w:ascii="宋体" w:hAnsi="宋体" w:eastAsia="宋体" w:cs="宋体"/>
                <w:color w:val="auto"/>
                <w:sz w:val="21"/>
                <w:szCs w:val="21"/>
                <w:highlight w:val="none"/>
                <w:lang w:val="en-US" w:eastAsia="zh-CN"/>
              </w:rPr>
              <w:t>；</w:t>
            </w:r>
          </w:p>
          <w:p w14:paraId="11969383">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2.相对湿度：20%～80%</w:t>
            </w:r>
            <w:r>
              <w:rPr>
                <w:rFonts w:hint="eastAsia" w:ascii="宋体" w:hAnsi="宋体" w:eastAsia="宋体" w:cs="宋体"/>
                <w:color w:val="auto"/>
                <w:sz w:val="21"/>
                <w:szCs w:val="21"/>
                <w:highlight w:val="none"/>
                <w:lang w:val="en-US" w:eastAsia="zh-CN"/>
              </w:rPr>
              <w:t>；</w:t>
            </w:r>
          </w:p>
          <w:p w14:paraId="092F447E">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3.电压：220VAC±10%</w:t>
            </w:r>
            <w:r>
              <w:rPr>
                <w:rFonts w:hint="eastAsia" w:ascii="宋体" w:hAnsi="宋体" w:eastAsia="宋体" w:cs="宋体"/>
                <w:color w:val="auto"/>
                <w:sz w:val="21"/>
                <w:szCs w:val="21"/>
                <w:highlight w:val="none"/>
                <w:lang w:val="en-US" w:eastAsia="zh-CN"/>
              </w:rPr>
              <w:t>；</w:t>
            </w:r>
          </w:p>
          <w:p w14:paraId="1BEAC2CD">
            <w:pPr>
              <w:spacing w:after="0"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三、硬件参数要求</w:t>
            </w:r>
          </w:p>
          <w:p w14:paraId="1192FD98">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1.进样系统</w:t>
            </w:r>
          </w:p>
          <w:p w14:paraId="0B0243AD">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1.1耐高盐耐氢氟酸自动进样器；</w:t>
            </w:r>
          </w:p>
          <w:p w14:paraId="6DC5B7F3">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1.2快速进样系统：6通切换阀</w:t>
            </w:r>
            <w:r>
              <w:rPr>
                <w:rFonts w:hint="eastAsia" w:ascii="宋体" w:hAnsi="宋体" w:eastAsia="宋体" w:cs="宋体"/>
                <w:color w:val="auto"/>
                <w:sz w:val="21"/>
                <w:szCs w:val="21"/>
                <w:highlight w:val="none"/>
                <w:lang w:val="en-US" w:eastAsia="zh-CN"/>
              </w:rPr>
              <w:t>；</w:t>
            </w:r>
          </w:p>
          <w:p w14:paraId="26CA1474">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2.蠕动泵</w:t>
            </w:r>
          </w:p>
          <w:p w14:paraId="10E3C6A9">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2.1不低于4通道蠕动泵；</w:t>
            </w:r>
          </w:p>
          <w:p w14:paraId="684E2D56">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2.2泵速连续可调；</w:t>
            </w:r>
          </w:p>
          <w:p w14:paraId="347587C8">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蠕动泵滚轮耐腐蚀</w:t>
            </w:r>
            <w:r>
              <w:rPr>
                <w:rFonts w:hint="eastAsia" w:ascii="宋体" w:hAnsi="宋体" w:eastAsia="宋体" w:cs="宋体"/>
                <w:color w:val="auto"/>
                <w:sz w:val="21"/>
                <w:szCs w:val="21"/>
                <w:highlight w:val="none"/>
                <w:lang w:val="en-US" w:eastAsia="zh-CN"/>
              </w:rPr>
              <w:t>；</w:t>
            </w:r>
          </w:p>
          <w:p w14:paraId="61930904">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▲3.雾化器：耐高盐同心雾化器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2D5500D7">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▲4.雾化室：旋流雾化室</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56F04559">
            <w:pPr>
              <w:spacing w:after="0"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5.矩管：可拆卸式炬管或一体化炬管，准直定位，易于安装维护</w:t>
            </w:r>
            <w:r>
              <w:rPr>
                <w:rFonts w:hint="eastAsia" w:ascii="宋体" w:hAnsi="宋体" w:eastAsia="宋体" w:cs="宋体"/>
                <w:color w:val="auto"/>
                <w:sz w:val="21"/>
                <w:szCs w:val="21"/>
                <w:highlight w:val="none"/>
                <w:lang w:val="en-US" w:eastAsia="zh-CN"/>
              </w:rPr>
              <w:t>；</w:t>
            </w:r>
          </w:p>
          <w:p w14:paraId="2E9B55FC">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6.等离子体</w:t>
            </w:r>
          </w:p>
          <w:p w14:paraId="491BD522">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6.1观测方式：双向观测；</w:t>
            </w:r>
          </w:p>
          <w:p w14:paraId="08A518CC">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6.2自激式RF射频发生器，频率≤27.12MHZ，耦合效率＞75%；</w:t>
            </w:r>
          </w:p>
          <w:p w14:paraId="6BB1D1C3">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▲6.3功率稳定性≤0.1%；频率稳定性≤0.01%；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474F9983">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▲6.4功率范围：750W～1500W或更宽，功率连续可调；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649EB4E4">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■6.5具有尾焰处理功能；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正偏离：具备</w:t>
            </w:r>
            <w:r>
              <w:rPr>
                <w:rFonts w:hint="eastAsia" w:ascii="宋体" w:hAnsi="宋体" w:eastAsia="宋体" w:cs="宋体"/>
                <w:color w:val="auto"/>
                <w:sz w:val="21"/>
                <w:szCs w:val="21"/>
                <w:highlight w:val="none"/>
              </w:rPr>
              <w:t>尾焰处理功能</w:t>
            </w:r>
            <w:r>
              <w:rPr>
                <w:rFonts w:hint="eastAsia" w:ascii="宋体" w:hAnsi="宋体" w:eastAsia="宋体" w:cs="宋体"/>
                <w:color w:val="auto"/>
                <w:sz w:val="21"/>
                <w:szCs w:val="21"/>
                <w:highlight w:val="none"/>
                <w:lang w:val="en-US" w:eastAsia="zh-CN"/>
              </w:rPr>
              <w:t>且佐证图片清晰；无偏离：不具备</w:t>
            </w:r>
            <w:r>
              <w:rPr>
                <w:rFonts w:hint="eastAsia" w:ascii="宋体" w:hAnsi="宋体" w:eastAsia="宋体" w:cs="宋体"/>
                <w:color w:val="auto"/>
                <w:sz w:val="21"/>
                <w:szCs w:val="21"/>
                <w:highlight w:val="none"/>
              </w:rPr>
              <w:t>尾焰处理功能</w:t>
            </w:r>
            <w:r>
              <w:rPr>
                <w:rFonts w:hint="eastAsia" w:ascii="宋体" w:hAnsi="宋体" w:eastAsia="宋体" w:cs="宋体"/>
                <w:color w:val="auto"/>
                <w:sz w:val="21"/>
                <w:szCs w:val="21"/>
                <w:highlight w:val="none"/>
                <w:lang w:val="en-US" w:eastAsia="zh-CN"/>
              </w:rPr>
              <w:t>或佐证材料不够完整清晰。投标时需提供操作软件界面的参数截图或照片并加盖投标人单位公章</w:t>
            </w:r>
            <w:r>
              <w:rPr>
                <w:rFonts w:hint="eastAsia" w:ascii="宋体" w:hAnsi="宋体" w:eastAsia="宋体" w:cs="宋体"/>
                <w:color w:val="auto"/>
                <w:sz w:val="21"/>
                <w:szCs w:val="21"/>
                <w:highlight w:val="none"/>
                <w:lang w:eastAsia="zh-CN"/>
              </w:rPr>
              <w:t>】</w:t>
            </w:r>
          </w:p>
          <w:p w14:paraId="21F9273D">
            <w:pPr>
              <w:spacing w:after="0"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6.6等离子体相关气体均为质量流量计控制，软件在线调节，精度0.01L/min（等离子体气精度0.1L/min以上）</w:t>
            </w:r>
            <w:r>
              <w:rPr>
                <w:rFonts w:hint="eastAsia" w:ascii="宋体" w:hAnsi="宋体" w:eastAsia="宋体" w:cs="宋体"/>
                <w:color w:val="auto"/>
                <w:sz w:val="21"/>
                <w:szCs w:val="21"/>
                <w:highlight w:val="none"/>
                <w:lang w:val="en-US" w:eastAsia="zh-CN"/>
              </w:rPr>
              <w:t>；</w:t>
            </w:r>
          </w:p>
          <w:p w14:paraId="32988F29">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7.光学系统</w:t>
            </w:r>
          </w:p>
          <w:p w14:paraId="2D7762F1">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7.1恒温驱气型中阶梯光栅和棱镜色散系统；</w:t>
            </w:r>
          </w:p>
          <w:p w14:paraId="0EC6FEC6">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7.2所有光学元件均密封于热平衡光室中；</w:t>
            </w:r>
          </w:p>
          <w:p w14:paraId="725FCDAB">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▲7.3波长连续覆盖167nm～785nm或更宽，可测Al 167.079nm；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267D0421">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7.4自动进行波长校正；</w:t>
            </w:r>
          </w:p>
          <w:p w14:paraId="09B822F5">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▲7.5光学分辨率≤0.007nm (在As 189.042nm 处实际测量半峰宽)；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034309FD">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7.6杂散光≤2.50mg/L（10000mg/L Ca溶液在As 188.980nm处测定）；</w:t>
            </w:r>
          </w:p>
          <w:p w14:paraId="5B3312DC">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7.7焦距≤400mm。</w:t>
            </w:r>
          </w:p>
          <w:p w14:paraId="411881DA">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8.检测器</w:t>
            </w:r>
          </w:p>
          <w:p w14:paraId="37574F8B">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 CCD检测器，在光谱仪波长范围内具有连续像素，能任意选择波长，全谱段响应，且具有防溢出功能设计；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投标时需提供操作软件界面的参数截图或照片并加盖投标人单位公章</w:t>
            </w:r>
            <w:r>
              <w:rPr>
                <w:rFonts w:hint="eastAsia" w:ascii="宋体" w:hAnsi="宋体" w:eastAsia="宋体" w:cs="宋体"/>
                <w:color w:val="auto"/>
                <w:sz w:val="21"/>
                <w:szCs w:val="21"/>
                <w:highlight w:val="none"/>
                <w:lang w:eastAsia="zh-CN"/>
              </w:rPr>
              <w:t>】</w:t>
            </w:r>
          </w:p>
          <w:p w14:paraId="45F40FDA">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▲8.2检测器表面无任何光转换化学涂膜；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43C33E1D">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w:t>
            </w:r>
            <w:r>
              <w:rPr>
                <w:rFonts w:hint="eastAsia" w:ascii="宋体" w:hAnsi="宋体" w:eastAsia="宋体" w:cs="宋体"/>
                <w:b w:val="0"/>
                <w:bCs w:val="0"/>
                <w:color w:val="auto"/>
                <w:sz w:val="21"/>
                <w:szCs w:val="21"/>
                <w:highlight w:val="none"/>
                <w:lang w:val="en-US" w:eastAsia="zh-CN"/>
              </w:rPr>
              <w:t>具备检测器制冷功能，制冷温度≤-</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0℃ ；【正偏离：制冷温度＜-</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0℃；无偏离：制冷温度=-</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0℃。投标时需提供产品彩页或有关证明材料并加盖投标人单位公章】</w:t>
            </w:r>
          </w:p>
          <w:p w14:paraId="0A6CE1DD">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8.4智能积分设计，自动计算谱线最佳曝光时间，同时以最佳信噪比获得高强度信号和弱信号，高低含量元素同时检测。</w:t>
            </w:r>
          </w:p>
          <w:p w14:paraId="7D03B788">
            <w:pPr>
              <w:spacing w:after="0"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四、操作软件</w:t>
            </w:r>
          </w:p>
          <w:p w14:paraId="0DE43256">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▲1.软件操作方便、直观，具有定性、半定量、定量分析功能；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投标时需提供操作软件界面的参数截图或照片并加盖投标人单位公章</w:t>
            </w:r>
            <w:r>
              <w:rPr>
                <w:rFonts w:hint="eastAsia" w:ascii="宋体" w:hAnsi="宋体" w:eastAsia="宋体" w:cs="宋体"/>
                <w:color w:val="auto"/>
                <w:sz w:val="21"/>
                <w:szCs w:val="21"/>
                <w:highlight w:val="none"/>
                <w:lang w:eastAsia="zh-CN"/>
              </w:rPr>
              <w:t>】</w:t>
            </w:r>
          </w:p>
          <w:p w14:paraId="1189C42B">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2.具有同时记录所有元素谱线的“摄谱”功能；</w:t>
            </w:r>
          </w:p>
          <w:p w14:paraId="2689B44A">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3.具有元素间干扰校正技术和实时背景扣除等不少于三种干扰校正技术；</w:t>
            </w:r>
          </w:p>
          <w:p w14:paraId="2621AE7D">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4.仪器诊断软件和网络通讯，数据再处理功能；</w:t>
            </w:r>
          </w:p>
          <w:p w14:paraId="66C607E4">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5.提供多种光谱分析方法：如标准比较法、内标法、干扰元素校正系数法（IEC）、标准加入曲线法等；</w:t>
            </w:r>
          </w:p>
          <w:p w14:paraId="585514DD">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6.数据存取：所有结果、方法和顺序可以在同一工作页面一起保存和读取，支持Excel、XML、CSV数据导出；快速运行过往数据的编辑。</w:t>
            </w:r>
          </w:p>
          <w:p w14:paraId="2E6AD64E">
            <w:pPr>
              <w:spacing w:after="0"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五、仪器性能</w:t>
            </w:r>
          </w:p>
          <w:p w14:paraId="2C9C2826">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1.启动时间：从待机状态到等离子体点燃时间小于35分钟；</w:t>
            </w:r>
          </w:p>
          <w:p w14:paraId="3460BE8A">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i w:val="0"/>
                <w:iCs w:val="0"/>
                <w:color w:val="auto"/>
                <w:kern w:val="0"/>
                <w:sz w:val="21"/>
                <w:szCs w:val="21"/>
                <w:highlight w:val="none"/>
                <w:u w:val="none"/>
                <w:lang w:val="en-US" w:eastAsia="zh-CN" w:bidi="ar"/>
              </w:rPr>
              <w:t>样品消耗量≤</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mL；【投标时需提供产品彩页或有关证明材料并加盖投标人单位公章】</w:t>
            </w:r>
          </w:p>
          <w:p w14:paraId="493B903E">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3.谱线灵活性：可对分析元素的任何一条谱线进行定性、半定量和定量分析，便于分析研究；</w:t>
            </w:r>
          </w:p>
          <w:p w14:paraId="4C2822E1">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4.测定谱线的线性动态范围：≥10</w:t>
            </w:r>
            <w:r>
              <w:rPr>
                <w:rFonts w:hint="eastAsia" w:ascii="宋体" w:hAnsi="宋体" w:eastAsia="宋体" w:cs="宋体"/>
                <w:color w:val="auto"/>
                <w:sz w:val="21"/>
                <w:szCs w:val="21"/>
                <w:highlight w:val="none"/>
                <w:vertAlign w:val="superscript"/>
              </w:rPr>
              <w:t>5</w:t>
            </w:r>
            <w:r>
              <w:rPr>
                <w:rFonts w:hint="eastAsia" w:ascii="宋体" w:hAnsi="宋体" w:eastAsia="宋体" w:cs="宋体"/>
                <w:color w:val="auto"/>
                <w:sz w:val="21"/>
                <w:szCs w:val="21"/>
                <w:highlight w:val="none"/>
              </w:rPr>
              <w:t>（以Mn257.6nm 来测定，相关系数≥0.999）；</w:t>
            </w:r>
          </w:p>
          <w:p w14:paraId="229FC3C6">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短期稳定性：RSD≤0.5%；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50EB67A4">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长期稳定性：RSD≤1%（8小时，不加内标，不采用基线飘移修正）；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560752B3">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▲7.精密度：测定1ppm多元素混合标准溶液，重复测定十次的RSD≤0.5%。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2362D339">
            <w:pPr>
              <w:spacing w:after="0"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六、配置要求</w:t>
            </w:r>
          </w:p>
          <w:p w14:paraId="5D0F5278">
            <w:pPr>
              <w:spacing w:after="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1.电感耦合等离子体发射光谱仪主机1套</w:t>
            </w:r>
            <w:r>
              <w:rPr>
                <w:rFonts w:hint="eastAsia" w:ascii="宋体" w:hAnsi="宋体" w:eastAsia="宋体" w:cs="宋体"/>
                <w:color w:val="auto"/>
                <w:sz w:val="21"/>
                <w:szCs w:val="21"/>
                <w:highlight w:val="none"/>
                <w:lang w:val="en-US" w:eastAsia="zh-CN"/>
              </w:rPr>
              <w:t>；</w:t>
            </w:r>
          </w:p>
          <w:p w14:paraId="3C6B5A29">
            <w:pPr>
              <w:spacing w:after="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2.自动进样器（240位）</w:t>
            </w:r>
            <w:r>
              <w:rPr>
                <w:rFonts w:hint="eastAsia" w:ascii="宋体" w:hAnsi="宋体" w:eastAsia="宋体" w:cs="宋体"/>
                <w:color w:val="auto"/>
                <w:sz w:val="21"/>
                <w:szCs w:val="21"/>
                <w:highlight w:val="none"/>
                <w:lang w:val="en-US" w:eastAsia="zh-CN"/>
              </w:rPr>
              <w:t>1套；</w:t>
            </w:r>
          </w:p>
          <w:p w14:paraId="16CD7E7F">
            <w:pPr>
              <w:spacing w:after="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3.冷却循环水系统1套</w:t>
            </w:r>
            <w:r>
              <w:rPr>
                <w:rFonts w:hint="eastAsia" w:ascii="宋体" w:hAnsi="宋体" w:eastAsia="宋体" w:cs="宋体"/>
                <w:color w:val="auto"/>
                <w:sz w:val="21"/>
                <w:szCs w:val="21"/>
                <w:highlight w:val="none"/>
                <w:lang w:val="en-US" w:eastAsia="zh-CN"/>
              </w:rPr>
              <w:t>；</w:t>
            </w:r>
          </w:p>
          <w:p w14:paraId="27716812">
            <w:pPr>
              <w:spacing w:after="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4.同心雾化器1个</w:t>
            </w:r>
            <w:r>
              <w:rPr>
                <w:rFonts w:hint="eastAsia" w:ascii="宋体" w:hAnsi="宋体" w:eastAsia="宋体" w:cs="宋体"/>
                <w:color w:val="auto"/>
                <w:sz w:val="21"/>
                <w:szCs w:val="21"/>
                <w:highlight w:val="none"/>
                <w:lang w:val="en-US" w:eastAsia="zh-CN"/>
              </w:rPr>
              <w:t>；</w:t>
            </w:r>
          </w:p>
          <w:p w14:paraId="29BD4158">
            <w:pPr>
              <w:spacing w:after="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5.旋流雾化室1个</w:t>
            </w:r>
            <w:r>
              <w:rPr>
                <w:rFonts w:hint="eastAsia" w:ascii="宋体" w:hAnsi="宋体" w:eastAsia="宋体" w:cs="宋体"/>
                <w:color w:val="auto"/>
                <w:sz w:val="21"/>
                <w:szCs w:val="21"/>
                <w:highlight w:val="none"/>
                <w:lang w:val="en-US" w:eastAsia="zh-CN"/>
              </w:rPr>
              <w:t>；</w:t>
            </w:r>
          </w:p>
          <w:p w14:paraId="4191197A">
            <w:pPr>
              <w:spacing w:after="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6.炬管1个</w:t>
            </w:r>
            <w:r>
              <w:rPr>
                <w:rFonts w:hint="eastAsia" w:ascii="宋体" w:hAnsi="宋体" w:eastAsia="宋体" w:cs="宋体"/>
                <w:color w:val="auto"/>
                <w:sz w:val="21"/>
                <w:szCs w:val="21"/>
                <w:highlight w:val="none"/>
                <w:lang w:val="en-US" w:eastAsia="zh-CN"/>
              </w:rPr>
              <w:t>；</w:t>
            </w:r>
          </w:p>
          <w:p w14:paraId="6FBE4214">
            <w:pPr>
              <w:spacing w:after="0" w:line="4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7.工作</w:t>
            </w:r>
            <w:r>
              <w:rPr>
                <w:rFonts w:hint="eastAsia" w:ascii="宋体" w:hAnsi="宋体" w:eastAsia="宋体" w:cs="宋体"/>
                <w:color w:val="auto"/>
                <w:sz w:val="21"/>
                <w:szCs w:val="21"/>
                <w:highlight w:val="none"/>
                <w:lang w:val="en-US" w:eastAsia="zh-CN"/>
              </w:rPr>
              <w:t>站硬件1套（内存32G，27寸）</w:t>
            </w:r>
            <w:r>
              <w:rPr>
                <w:rFonts w:hint="eastAsia" w:ascii="宋体" w:hAnsi="宋体" w:eastAsia="宋体" w:cs="宋体"/>
                <w:color w:val="auto"/>
                <w:sz w:val="21"/>
                <w:szCs w:val="21"/>
                <w:highlight w:val="none"/>
                <w:lang w:eastAsia="zh-CN"/>
              </w:rPr>
              <w:t>；</w:t>
            </w:r>
          </w:p>
          <w:p w14:paraId="5F9A769A">
            <w:pPr>
              <w:spacing w:after="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8.移动终端（内存32G，16寸）；</w:t>
            </w:r>
          </w:p>
          <w:p w14:paraId="203CFEA8">
            <w:pPr>
              <w:spacing w:after="0" w:line="40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输出设备1台（支持自动双面和网络输出</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w:t>
            </w:r>
          </w:p>
          <w:p w14:paraId="66A7FD5A">
            <w:pPr>
              <w:spacing w:after="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.废液泵管 1套</w:t>
            </w:r>
            <w:r>
              <w:rPr>
                <w:rFonts w:hint="eastAsia" w:ascii="宋体" w:hAnsi="宋体" w:eastAsia="宋体" w:cs="宋体"/>
                <w:color w:val="auto"/>
                <w:sz w:val="21"/>
                <w:szCs w:val="21"/>
                <w:highlight w:val="none"/>
                <w:lang w:val="en-US" w:eastAsia="zh-CN"/>
              </w:rPr>
              <w:t>；</w:t>
            </w:r>
          </w:p>
          <w:p w14:paraId="7DFA77A4">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.进样泵管 1套</w:t>
            </w:r>
            <w:r>
              <w:rPr>
                <w:rFonts w:hint="eastAsia" w:ascii="宋体" w:hAnsi="宋体" w:eastAsia="宋体" w:cs="宋体"/>
                <w:color w:val="auto"/>
                <w:sz w:val="21"/>
                <w:szCs w:val="21"/>
                <w:highlight w:val="none"/>
                <w:lang w:val="en-US" w:eastAsia="zh-CN"/>
              </w:rPr>
              <w:t>；</w:t>
            </w:r>
          </w:p>
          <w:p w14:paraId="7840C25D">
            <w:pPr>
              <w:spacing w:after="0"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.耐高盐进样系统</w:t>
            </w:r>
            <w:r>
              <w:rPr>
                <w:rFonts w:hint="eastAsia" w:ascii="宋体" w:hAnsi="宋体" w:eastAsia="宋体" w:cs="宋体"/>
                <w:color w:val="auto"/>
                <w:sz w:val="21"/>
                <w:szCs w:val="21"/>
                <w:highlight w:val="none"/>
                <w:lang w:eastAsia="zh-CN"/>
              </w:rPr>
              <w:t>：</w:t>
            </w:r>
          </w:p>
          <w:p w14:paraId="1D90613A">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.主机以外的随机消耗品</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正偏离：配置清单齐全、图片清晰；无偏离：承诺配置但清单或图片不够完整清晰。投标时需提供拟配置装置清单列表及照片图片】</w:t>
            </w:r>
          </w:p>
          <w:p w14:paraId="09B6747F">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.1同心雾化器</w:t>
            </w:r>
            <w:r>
              <w:rPr>
                <w:rFonts w:hint="eastAsia" w:ascii="宋体" w:hAnsi="宋体" w:eastAsia="宋体" w:cs="宋体"/>
                <w:color w:val="auto"/>
                <w:sz w:val="21"/>
                <w:szCs w:val="21"/>
                <w:highlight w:val="none"/>
                <w:lang w:val="en-US" w:eastAsia="zh-CN"/>
              </w:rPr>
              <w:t>；</w:t>
            </w:r>
          </w:p>
          <w:p w14:paraId="2B75890E">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.2旋流雾化室</w:t>
            </w:r>
            <w:r>
              <w:rPr>
                <w:rFonts w:hint="eastAsia" w:ascii="宋体" w:hAnsi="宋体" w:eastAsia="宋体" w:cs="宋体"/>
                <w:color w:val="auto"/>
                <w:sz w:val="21"/>
                <w:szCs w:val="21"/>
                <w:highlight w:val="none"/>
                <w:lang w:val="en-US" w:eastAsia="zh-CN"/>
              </w:rPr>
              <w:t>；</w:t>
            </w:r>
          </w:p>
          <w:p w14:paraId="5FD3D44F">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.3 矩管</w:t>
            </w:r>
            <w:r>
              <w:rPr>
                <w:rFonts w:hint="eastAsia" w:ascii="宋体" w:hAnsi="宋体" w:eastAsia="宋体" w:cs="宋体"/>
                <w:color w:val="auto"/>
                <w:sz w:val="21"/>
                <w:szCs w:val="21"/>
                <w:highlight w:val="none"/>
                <w:lang w:val="en-US" w:eastAsia="zh-CN"/>
              </w:rPr>
              <w:t>；</w:t>
            </w:r>
          </w:p>
          <w:p w14:paraId="32C2A1E8">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.4进样毛细管</w:t>
            </w:r>
            <w:r>
              <w:rPr>
                <w:rFonts w:hint="eastAsia" w:ascii="宋体" w:hAnsi="宋体" w:eastAsia="宋体" w:cs="宋体"/>
                <w:color w:val="auto"/>
                <w:sz w:val="21"/>
                <w:szCs w:val="21"/>
                <w:highlight w:val="none"/>
                <w:lang w:val="en-US" w:eastAsia="zh-CN"/>
              </w:rPr>
              <w:t>；</w:t>
            </w:r>
          </w:p>
          <w:p w14:paraId="59E7BB3F">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.5蠕动泵管</w:t>
            </w:r>
            <w:r>
              <w:rPr>
                <w:rFonts w:hint="eastAsia" w:ascii="宋体" w:hAnsi="宋体" w:eastAsia="宋体" w:cs="宋体"/>
                <w:color w:val="auto"/>
                <w:sz w:val="21"/>
                <w:szCs w:val="21"/>
                <w:highlight w:val="none"/>
                <w:lang w:val="en-US" w:eastAsia="zh-CN"/>
              </w:rPr>
              <w:t>；</w:t>
            </w:r>
          </w:p>
          <w:p w14:paraId="7DFA8735">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.6管路接头</w:t>
            </w:r>
            <w:r>
              <w:rPr>
                <w:rFonts w:hint="eastAsia" w:ascii="宋体" w:hAnsi="宋体" w:eastAsia="宋体" w:cs="宋体"/>
                <w:color w:val="auto"/>
                <w:sz w:val="21"/>
                <w:szCs w:val="21"/>
                <w:highlight w:val="none"/>
                <w:lang w:val="en-US" w:eastAsia="zh-CN"/>
              </w:rPr>
              <w:t>；</w:t>
            </w:r>
          </w:p>
          <w:p w14:paraId="305F8514">
            <w:pPr>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.7调试液</w:t>
            </w:r>
            <w:r>
              <w:rPr>
                <w:rFonts w:hint="eastAsia" w:ascii="宋体" w:hAnsi="宋体" w:eastAsia="宋体" w:cs="宋体"/>
                <w:color w:val="auto"/>
                <w:sz w:val="21"/>
                <w:szCs w:val="21"/>
                <w:highlight w:val="none"/>
                <w:lang w:val="en-US" w:eastAsia="zh-CN"/>
              </w:rPr>
              <w:t>；</w:t>
            </w:r>
          </w:p>
          <w:p w14:paraId="17A52F88">
            <w:pPr>
              <w:spacing w:after="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13.8移动终端（内存32G，16寸）1台。</w:t>
            </w:r>
          </w:p>
        </w:tc>
      </w:tr>
      <w:tr w14:paraId="3AE2F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trPr>
        <w:tc>
          <w:tcPr>
            <w:tcW w:w="749" w:type="dxa"/>
            <w:noWrap w:val="0"/>
            <w:vAlign w:val="center"/>
          </w:tcPr>
          <w:p w14:paraId="0D9C6F2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14" w:type="dxa"/>
            <w:noWrap w:val="0"/>
            <w:vAlign w:val="center"/>
          </w:tcPr>
          <w:p w14:paraId="646A4F1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原子吸收光谱仪</w:t>
            </w:r>
          </w:p>
        </w:tc>
        <w:tc>
          <w:tcPr>
            <w:tcW w:w="605" w:type="dxa"/>
            <w:tcBorders>
              <w:right w:val="single" w:color="auto" w:sz="4" w:space="0"/>
            </w:tcBorders>
            <w:noWrap w:val="0"/>
            <w:vAlign w:val="center"/>
          </w:tcPr>
          <w:p w14:paraId="75F5C57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50" w:type="dxa"/>
            <w:tcBorders>
              <w:left w:val="single" w:color="auto" w:sz="4" w:space="0"/>
              <w:right w:val="single" w:color="auto" w:sz="4" w:space="0"/>
            </w:tcBorders>
            <w:noWrap w:val="0"/>
            <w:vAlign w:val="center"/>
          </w:tcPr>
          <w:p w14:paraId="08D0CCF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56</w:t>
            </w:r>
          </w:p>
        </w:tc>
        <w:tc>
          <w:tcPr>
            <w:tcW w:w="814" w:type="dxa"/>
            <w:tcBorders>
              <w:left w:val="single" w:color="auto" w:sz="4" w:space="0"/>
              <w:right w:val="single" w:color="auto" w:sz="4" w:space="0"/>
            </w:tcBorders>
            <w:noWrap w:val="0"/>
            <w:vAlign w:val="center"/>
          </w:tcPr>
          <w:p w14:paraId="0B1F9BF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56</w:t>
            </w:r>
          </w:p>
        </w:tc>
        <w:tc>
          <w:tcPr>
            <w:tcW w:w="5099" w:type="dxa"/>
            <w:tcBorders>
              <w:left w:val="single" w:color="auto" w:sz="4" w:space="0"/>
            </w:tcBorders>
            <w:noWrap w:val="0"/>
            <w:vAlign w:val="center"/>
          </w:tcPr>
          <w:p w14:paraId="3EEB7905">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一、基本要求</w:t>
            </w:r>
          </w:p>
          <w:p w14:paraId="7560CC41">
            <w:pPr>
              <w:keepNext w:val="0"/>
              <w:keepLines w:val="0"/>
              <w:pageBreakBefore w:val="0"/>
              <w:widowControl/>
              <w:kinsoku/>
              <w:wordWrap/>
              <w:overflowPunct/>
              <w:topLinePunct w:val="0"/>
              <w:autoSpaceDE/>
              <w:autoSpaceDN/>
              <w:bidi w:val="0"/>
              <w:adjustRightInd/>
              <w:snapToGrid/>
              <w:spacing w:after="0" w:line="400" w:lineRule="exact"/>
              <w:ind w:firstLine="0" w:firstLineChars="0"/>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能适用于环境监测各种样品的元素分析</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满足</w:t>
            </w:r>
            <w:r>
              <w:rPr>
                <w:rFonts w:hint="eastAsia" w:ascii="宋体" w:hAnsi="宋体" w:eastAsia="宋体" w:cs="宋体"/>
                <w:bCs/>
                <w:color w:val="auto"/>
                <w:sz w:val="21"/>
                <w:szCs w:val="21"/>
                <w:highlight w:val="none"/>
                <w:lang w:val="en-US" w:eastAsia="zh-CN"/>
              </w:rPr>
              <w:t>水质</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包括地表水、地下水、生活污水、工业废水等</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、环境中大气、土壤、固体废弃物样品分析等</w:t>
            </w:r>
            <w:r>
              <w:rPr>
                <w:rFonts w:hint="eastAsia" w:ascii="宋体" w:hAnsi="宋体" w:eastAsia="宋体" w:cs="宋体"/>
                <w:bCs/>
                <w:color w:val="auto"/>
                <w:sz w:val="21"/>
                <w:szCs w:val="21"/>
                <w:highlight w:val="none"/>
                <w:lang w:eastAsia="zh-CN"/>
              </w:rPr>
              <w:t>。</w:t>
            </w:r>
          </w:p>
          <w:p w14:paraId="653330C5">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二、工作条件</w:t>
            </w:r>
          </w:p>
          <w:p w14:paraId="4E566014">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2.1工作环境温度：15-30℃</w:t>
            </w:r>
            <w:r>
              <w:rPr>
                <w:rFonts w:hint="eastAsia" w:ascii="宋体" w:hAnsi="宋体" w:eastAsia="宋体" w:cs="宋体"/>
                <w:bCs/>
                <w:color w:val="auto"/>
                <w:sz w:val="21"/>
                <w:szCs w:val="21"/>
                <w:highlight w:val="none"/>
                <w:lang w:val="en-US" w:eastAsia="zh-CN"/>
              </w:rPr>
              <w:t>；</w:t>
            </w:r>
          </w:p>
          <w:p w14:paraId="63B10DB0">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2.2工作环境湿度：＜80%</w:t>
            </w:r>
            <w:r>
              <w:rPr>
                <w:rFonts w:hint="eastAsia" w:ascii="宋体" w:hAnsi="宋体" w:eastAsia="宋体" w:cs="宋体"/>
                <w:bCs/>
                <w:color w:val="auto"/>
                <w:sz w:val="21"/>
                <w:szCs w:val="21"/>
                <w:highlight w:val="none"/>
                <w:lang w:val="en-US" w:eastAsia="zh-CN"/>
              </w:rPr>
              <w:t>；</w:t>
            </w:r>
          </w:p>
          <w:p w14:paraId="1406AD13">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2.3电源：200-240V，50Hz。</w:t>
            </w:r>
          </w:p>
          <w:p w14:paraId="327D8109">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三、技术参数</w:t>
            </w:r>
          </w:p>
          <w:p w14:paraId="3F66EBE7">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3.1仪器系统：</w:t>
            </w:r>
            <w:r>
              <w:rPr>
                <w:rFonts w:hint="eastAsia" w:ascii="宋体" w:hAnsi="宋体" w:eastAsia="宋体" w:cs="宋体"/>
                <w:bCs/>
                <w:color w:val="auto"/>
                <w:sz w:val="21"/>
                <w:szCs w:val="21"/>
                <w:highlight w:val="none"/>
                <w:lang w:val="en-US" w:eastAsia="zh-CN"/>
              </w:rPr>
              <w:t>原子吸收光谱分析系统，包括火焰分析系统和石墨炉分析系统。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投标时需提供操作软件界面的参数截图或照片并加盖投标人单位公章</w:t>
            </w:r>
            <w:r>
              <w:rPr>
                <w:rFonts w:hint="eastAsia" w:ascii="宋体" w:hAnsi="宋体" w:eastAsia="宋体" w:cs="宋体"/>
                <w:color w:val="auto"/>
                <w:sz w:val="21"/>
                <w:szCs w:val="21"/>
                <w:highlight w:val="none"/>
                <w:lang w:eastAsia="zh-CN"/>
              </w:rPr>
              <w:t>】</w:t>
            </w:r>
          </w:p>
          <w:p w14:paraId="08A3CC73">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光学系统</w:t>
            </w:r>
            <w:r>
              <w:rPr>
                <w:rFonts w:hint="eastAsia" w:ascii="宋体" w:hAnsi="宋体" w:eastAsia="宋体" w:cs="宋体"/>
                <w:bCs/>
                <w:color w:val="auto"/>
                <w:sz w:val="21"/>
                <w:szCs w:val="21"/>
                <w:highlight w:val="none"/>
                <w:lang w:eastAsia="zh-CN"/>
              </w:rPr>
              <w:t>：</w:t>
            </w:r>
          </w:p>
          <w:p w14:paraId="10C873D0">
            <w:pPr>
              <w:spacing w:after="0" w:line="400" w:lineRule="exact"/>
              <w:jc w:val="lef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1光路结构：</w:t>
            </w:r>
            <w:r>
              <w:rPr>
                <w:rFonts w:hint="eastAsia" w:ascii="宋体" w:hAnsi="宋体" w:eastAsia="宋体" w:cs="宋体"/>
                <w:bCs/>
                <w:color w:val="auto"/>
                <w:sz w:val="21"/>
                <w:szCs w:val="21"/>
                <w:highlight w:val="none"/>
                <w:lang w:val="en-US" w:eastAsia="zh-CN"/>
              </w:rPr>
              <w:t>实时</w:t>
            </w:r>
            <w:r>
              <w:rPr>
                <w:rFonts w:hint="eastAsia" w:ascii="宋体" w:hAnsi="宋体" w:eastAsia="宋体" w:cs="宋体"/>
                <w:bCs/>
                <w:color w:val="auto"/>
                <w:sz w:val="21"/>
                <w:szCs w:val="21"/>
                <w:highlight w:val="none"/>
              </w:rPr>
              <w:t>双光束</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样品光束和参比光束同时检测</w:t>
            </w:r>
            <w:r>
              <w:rPr>
                <w:rFonts w:hint="eastAsia" w:ascii="宋体" w:hAnsi="宋体" w:eastAsia="宋体" w:cs="宋体"/>
                <w:bCs/>
                <w:color w:val="auto"/>
                <w:sz w:val="21"/>
                <w:szCs w:val="21"/>
                <w:highlight w:val="none"/>
                <w:lang w:val="en-US" w:eastAsia="zh-CN"/>
              </w:rPr>
              <w:t>；</w:t>
            </w:r>
          </w:p>
          <w:p w14:paraId="68565681">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2波长范围：</w:t>
            </w:r>
            <w:r>
              <w:rPr>
                <w:rFonts w:hint="eastAsia" w:ascii="宋体" w:hAnsi="宋体" w:eastAsia="宋体" w:cs="宋体"/>
                <w:bCs/>
                <w:color w:val="auto"/>
                <w:sz w:val="21"/>
                <w:szCs w:val="21"/>
                <w:highlight w:val="none"/>
                <w:lang w:val="en-US" w:eastAsia="zh-CN"/>
              </w:rPr>
              <w:t>200</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00nm</w:t>
            </w:r>
            <w:r>
              <w:rPr>
                <w:rFonts w:hint="eastAsia" w:ascii="宋体" w:hAnsi="宋体" w:eastAsia="宋体" w:cs="宋体"/>
                <w:bCs/>
                <w:color w:val="auto"/>
                <w:sz w:val="21"/>
                <w:szCs w:val="21"/>
                <w:highlight w:val="none"/>
                <w:lang w:val="en-US" w:eastAsia="zh-CN"/>
              </w:rPr>
              <w:t>；</w:t>
            </w:r>
          </w:p>
          <w:p w14:paraId="689BFAF1">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3光栅刻线密度：≥1800条/mm</w:t>
            </w:r>
            <w:r>
              <w:rPr>
                <w:rFonts w:hint="eastAsia" w:ascii="宋体" w:hAnsi="宋体" w:eastAsia="宋体" w:cs="宋体"/>
                <w:bCs/>
                <w:color w:val="auto"/>
                <w:sz w:val="21"/>
                <w:szCs w:val="21"/>
                <w:highlight w:val="none"/>
                <w:lang w:val="en-US" w:eastAsia="zh-CN"/>
              </w:rPr>
              <w:t>；</w:t>
            </w:r>
          </w:p>
          <w:p w14:paraId="0594ED65">
            <w:pPr>
              <w:spacing w:after="0" w:line="40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4检测器：PMT（光电倍增管）</w:t>
            </w:r>
            <w:r>
              <w:rPr>
                <w:rFonts w:hint="eastAsia" w:ascii="宋体" w:hAnsi="宋体" w:eastAsia="宋体" w:cs="宋体"/>
                <w:bCs/>
                <w:color w:val="auto"/>
                <w:sz w:val="21"/>
                <w:szCs w:val="21"/>
                <w:highlight w:val="none"/>
                <w:lang w:val="en-US" w:eastAsia="zh-CN"/>
              </w:rPr>
              <w:t>或</w:t>
            </w:r>
            <w:r>
              <w:rPr>
                <w:rFonts w:hint="eastAsia" w:ascii="宋体" w:hAnsi="宋体" w:eastAsia="宋体" w:cs="宋体"/>
                <w:bCs/>
                <w:color w:val="auto"/>
                <w:sz w:val="21"/>
                <w:szCs w:val="21"/>
                <w:highlight w:val="none"/>
              </w:rPr>
              <w:t>CCD（电荷耦合器件）</w:t>
            </w:r>
            <w:r>
              <w:rPr>
                <w:rFonts w:hint="eastAsia" w:ascii="宋体" w:hAnsi="宋体" w:eastAsia="宋体" w:cs="宋体"/>
                <w:bCs/>
                <w:color w:val="auto"/>
                <w:sz w:val="21"/>
                <w:szCs w:val="21"/>
                <w:highlight w:val="none"/>
                <w:lang w:val="en-US" w:eastAsia="zh-CN"/>
              </w:rPr>
              <w:t>；</w:t>
            </w:r>
          </w:p>
          <w:p w14:paraId="6D8A086E">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5灯座：≥8灯座（全自动切换），</w:t>
            </w:r>
            <w:r>
              <w:rPr>
                <w:rFonts w:hint="eastAsia" w:ascii="宋体" w:hAnsi="宋体" w:eastAsia="宋体" w:cs="宋体"/>
                <w:bCs/>
                <w:color w:val="auto"/>
                <w:sz w:val="21"/>
                <w:szCs w:val="21"/>
                <w:highlight w:val="none"/>
                <w:lang w:val="en-US" w:eastAsia="zh-CN"/>
              </w:rPr>
              <w:t>可同时进行预热灯数</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2灯；</w:t>
            </w:r>
          </w:p>
          <w:p w14:paraId="07A01C96">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6</w:t>
            </w:r>
            <w:r>
              <w:rPr>
                <w:rFonts w:hint="eastAsia" w:ascii="宋体" w:hAnsi="宋体" w:eastAsia="宋体" w:cs="宋体"/>
                <w:bCs/>
                <w:color w:val="auto"/>
                <w:sz w:val="21"/>
                <w:szCs w:val="21"/>
                <w:highlight w:val="none"/>
                <w:lang w:val="en-US" w:eastAsia="zh-CN"/>
              </w:rPr>
              <w:t>光谱带宽：</w:t>
            </w:r>
            <w:r>
              <w:rPr>
                <w:rFonts w:hint="eastAsia" w:ascii="宋体" w:hAnsi="宋体" w:eastAsia="宋体" w:cs="宋体"/>
                <w:bCs/>
                <w:color w:val="auto"/>
                <w:sz w:val="21"/>
                <w:szCs w:val="21"/>
                <w:highlight w:val="none"/>
              </w:rPr>
              <w:t>狭缝宽度可调</w:t>
            </w:r>
            <w:r>
              <w:rPr>
                <w:rFonts w:hint="eastAsia" w:ascii="宋体" w:hAnsi="宋体" w:eastAsia="宋体" w:cs="宋体"/>
                <w:bCs/>
                <w:color w:val="auto"/>
                <w:sz w:val="21"/>
                <w:szCs w:val="21"/>
                <w:highlight w:val="none"/>
                <w:lang w:val="en-US" w:eastAsia="zh-CN"/>
              </w:rPr>
              <w:t>档位</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4档；</w:t>
            </w:r>
          </w:p>
          <w:p w14:paraId="2A22A8A2">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3.3</w:t>
            </w:r>
            <w:r>
              <w:rPr>
                <w:rFonts w:hint="eastAsia" w:ascii="宋体" w:hAnsi="宋体" w:eastAsia="宋体" w:cs="宋体"/>
                <w:bCs/>
                <w:color w:val="auto"/>
                <w:sz w:val="21"/>
                <w:szCs w:val="21"/>
                <w:highlight w:val="none"/>
              </w:rPr>
              <w:t>火焰系统</w:t>
            </w:r>
            <w:r>
              <w:rPr>
                <w:rFonts w:hint="eastAsia" w:ascii="宋体" w:hAnsi="宋体" w:eastAsia="宋体" w:cs="宋体"/>
                <w:bCs/>
                <w:color w:val="auto"/>
                <w:sz w:val="21"/>
                <w:szCs w:val="21"/>
                <w:highlight w:val="none"/>
                <w:lang w:eastAsia="zh-CN"/>
              </w:rPr>
              <w:t>：</w:t>
            </w:r>
          </w:p>
          <w:p w14:paraId="5D593345">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3.3</w:t>
            </w:r>
            <w:r>
              <w:rPr>
                <w:rFonts w:hint="eastAsia" w:ascii="宋体" w:hAnsi="宋体" w:eastAsia="宋体" w:cs="宋体"/>
                <w:bCs/>
                <w:color w:val="auto"/>
                <w:sz w:val="21"/>
                <w:szCs w:val="21"/>
                <w:highlight w:val="none"/>
              </w:rPr>
              <w:t>.1</w:t>
            </w:r>
            <w:r>
              <w:rPr>
                <w:rFonts w:hint="eastAsia" w:ascii="宋体" w:hAnsi="宋体" w:eastAsia="宋体" w:cs="宋体"/>
                <w:b w:val="0"/>
                <w:bCs/>
                <w:color w:val="auto"/>
                <w:sz w:val="21"/>
                <w:szCs w:val="21"/>
                <w:highlight w:val="none"/>
                <w:lang w:val="en-US" w:eastAsia="zh-CN"/>
              </w:rPr>
              <w:t>燃烧头：10cm 缝长，高度可调整，角度可旋转</w:t>
            </w:r>
            <w:r>
              <w:rPr>
                <w:rFonts w:hint="eastAsia" w:ascii="宋体" w:hAnsi="宋体" w:cs="宋体"/>
                <w:b w:val="0"/>
                <w:bCs/>
                <w:color w:val="auto"/>
                <w:sz w:val="21"/>
                <w:szCs w:val="21"/>
                <w:highlight w:val="none"/>
                <w:lang w:val="en-US" w:eastAsia="zh-CN"/>
              </w:rPr>
              <w:t>或有与旋转角度同等效果的其它方式</w:t>
            </w:r>
            <w:r>
              <w:rPr>
                <w:rFonts w:hint="eastAsia" w:ascii="宋体" w:hAnsi="宋体" w:eastAsia="宋体" w:cs="宋体"/>
                <w:bCs/>
                <w:color w:val="auto"/>
                <w:sz w:val="21"/>
                <w:szCs w:val="21"/>
                <w:highlight w:val="none"/>
                <w:lang w:val="en-US" w:eastAsia="zh-CN"/>
              </w:rPr>
              <w:t>；</w:t>
            </w:r>
          </w:p>
          <w:p w14:paraId="7462B8DB">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3.3</w:t>
            </w:r>
            <w:r>
              <w:rPr>
                <w:rFonts w:hint="eastAsia" w:ascii="宋体" w:hAnsi="宋体" w:eastAsia="宋体" w:cs="宋体"/>
                <w:bCs/>
                <w:color w:val="auto"/>
                <w:sz w:val="21"/>
                <w:szCs w:val="21"/>
                <w:highlight w:val="none"/>
              </w:rPr>
              <w:t>.2雾化器：</w:t>
            </w:r>
            <w:r>
              <w:rPr>
                <w:rFonts w:hint="eastAsia" w:ascii="宋体" w:hAnsi="宋体" w:eastAsia="宋体" w:cs="宋体"/>
                <w:bCs/>
                <w:color w:val="auto"/>
                <w:sz w:val="21"/>
                <w:szCs w:val="21"/>
                <w:highlight w:val="none"/>
                <w:lang w:val="en-US" w:eastAsia="zh-CN"/>
              </w:rPr>
              <w:t>可调式</w:t>
            </w:r>
            <w:r>
              <w:rPr>
                <w:rStyle w:val="127"/>
                <w:rFonts w:hint="eastAsia" w:ascii="宋体" w:hAnsi="宋体" w:eastAsia="宋体" w:cs="宋体"/>
                <w:color w:val="auto"/>
                <w:sz w:val="21"/>
                <w:szCs w:val="21"/>
                <w:highlight w:val="none"/>
                <w:lang w:val="en-US" w:eastAsia="zh-CN" w:bidi="ar"/>
              </w:rPr>
              <w:t>耐腐蚀高效雾化器</w:t>
            </w:r>
            <w:r>
              <w:rPr>
                <w:rFonts w:hint="eastAsia" w:ascii="宋体" w:hAnsi="宋体" w:eastAsia="宋体" w:cs="宋体"/>
                <w:bCs/>
                <w:color w:val="auto"/>
                <w:sz w:val="21"/>
                <w:szCs w:val="21"/>
                <w:highlight w:val="none"/>
                <w:lang w:val="en-US" w:eastAsia="zh-CN"/>
              </w:rPr>
              <w:t>；</w:t>
            </w:r>
          </w:p>
          <w:p w14:paraId="79C91394">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3.3</w:t>
            </w:r>
            <w:r>
              <w:rPr>
                <w:rFonts w:hint="eastAsia" w:ascii="宋体" w:hAnsi="宋体" w:eastAsia="宋体" w:cs="宋体"/>
                <w:bCs/>
                <w:color w:val="auto"/>
                <w:sz w:val="21"/>
                <w:szCs w:val="21"/>
                <w:highlight w:val="none"/>
              </w:rPr>
              <w:t>.3火焰安全系统：</w:t>
            </w:r>
            <w:r>
              <w:rPr>
                <w:rFonts w:hint="eastAsia" w:ascii="宋体" w:hAnsi="宋体" w:eastAsia="宋体" w:cs="宋体"/>
                <w:bCs/>
                <w:color w:val="auto"/>
                <w:sz w:val="21"/>
                <w:szCs w:val="21"/>
                <w:highlight w:val="none"/>
                <w:lang w:val="en-US" w:eastAsia="zh-CN"/>
              </w:rPr>
              <w:t>至少包含</w:t>
            </w:r>
            <w:r>
              <w:rPr>
                <w:rFonts w:hint="eastAsia" w:ascii="宋体" w:hAnsi="宋体" w:eastAsia="宋体" w:cs="宋体"/>
                <w:bCs/>
                <w:color w:val="auto"/>
                <w:sz w:val="21"/>
                <w:szCs w:val="21"/>
                <w:highlight w:val="none"/>
              </w:rPr>
              <w:t>气体压力</w:t>
            </w:r>
            <w:r>
              <w:rPr>
                <w:rFonts w:hint="eastAsia" w:ascii="宋体" w:hAnsi="宋体" w:eastAsia="宋体" w:cs="宋体"/>
                <w:bCs/>
                <w:color w:val="auto"/>
                <w:sz w:val="21"/>
                <w:szCs w:val="21"/>
                <w:highlight w:val="none"/>
                <w:lang w:val="en-US" w:eastAsia="zh-CN"/>
              </w:rPr>
              <w:t>监控、低压/高压切断、泄漏检测、</w:t>
            </w:r>
            <w:r>
              <w:rPr>
                <w:rFonts w:hint="eastAsia" w:ascii="宋体" w:hAnsi="宋体" w:eastAsia="宋体" w:cs="宋体"/>
                <w:bCs/>
                <w:color w:val="auto"/>
                <w:sz w:val="21"/>
                <w:szCs w:val="21"/>
                <w:highlight w:val="none"/>
              </w:rPr>
              <w:t>防回火装置</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燃烧头安全联锁、火焰监测、紧急切断装置；</w:t>
            </w:r>
          </w:p>
          <w:p w14:paraId="7D4F93F9">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3.3</w:t>
            </w:r>
            <w:r>
              <w:rPr>
                <w:rFonts w:hint="eastAsia" w:ascii="宋体" w:hAnsi="宋体" w:eastAsia="宋体" w:cs="宋体"/>
                <w:bCs/>
                <w:color w:val="auto"/>
                <w:sz w:val="21"/>
                <w:szCs w:val="21"/>
                <w:highlight w:val="none"/>
              </w:rPr>
              <w:t>.4气体控制：可</w:t>
            </w:r>
            <w:r>
              <w:rPr>
                <w:rFonts w:hint="eastAsia" w:ascii="宋体" w:hAnsi="宋体" w:eastAsia="宋体" w:cs="宋体"/>
                <w:bCs/>
                <w:color w:val="auto"/>
                <w:sz w:val="21"/>
                <w:szCs w:val="21"/>
                <w:highlight w:val="none"/>
                <w:lang w:val="en-US" w:eastAsia="zh-CN"/>
              </w:rPr>
              <w:t>自动设置、优化</w:t>
            </w:r>
            <w:r>
              <w:rPr>
                <w:rFonts w:hint="eastAsia" w:ascii="宋体" w:hAnsi="宋体" w:eastAsia="宋体" w:cs="宋体"/>
                <w:bCs/>
                <w:color w:val="auto"/>
                <w:sz w:val="21"/>
                <w:szCs w:val="21"/>
                <w:highlight w:val="none"/>
              </w:rPr>
              <w:t>燃气比</w:t>
            </w:r>
            <w:r>
              <w:rPr>
                <w:rFonts w:hint="eastAsia" w:ascii="宋体" w:hAnsi="宋体" w:eastAsia="宋体" w:cs="宋体"/>
                <w:bCs/>
                <w:color w:val="auto"/>
                <w:sz w:val="21"/>
                <w:szCs w:val="21"/>
                <w:highlight w:val="none"/>
                <w:lang w:val="en-US" w:eastAsia="zh-CN"/>
              </w:rPr>
              <w:t>；</w:t>
            </w:r>
          </w:p>
          <w:p w14:paraId="4F732C46">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3.3</w:t>
            </w:r>
            <w:r>
              <w:rPr>
                <w:rFonts w:hint="eastAsia" w:ascii="宋体" w:hAnsi="宋体" w:eastAsia="宋体" w:cs="宋体"/>
                <w:bCs/>
                <w:color w:val="auto"/>
                <w:sz w:val="21"/>
                <w:szCs w:val="21"/>
                <w:highlight w:val="none"/>
              </w:rPr>
              <w:t>.5背景校正：氘灯</w:t>
            </w:r>
            <w:r>
              <w:rPr>
                <w:rFonts w:hint="eastAsia" w:ascii="宋体" w:hAnsi="宋体" w:eastAsia="宋体" w:cs="宋体"/>
                <w:bCs/>
                <w:color w:val="auto"/>
                <w:sz w:val="21"/>
                <w:szCs w:val="21"/>
                <w:highlight w:val="none"/>
                <w:lang w:val="en-US" w:eastAsia="zh-CN"/>
              </w:rPr>
              <w:t>或塞曼；</w:t>
            </w:r>
          </w:p>
          <w:p w14:paraId="55A1F55A">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3.3</w:t>
            </w:r>
            <w:r>
              <w:rPr>
                <w:rFonts w:hint="eastAsia" w:ascii="宋体" w:hAnsi="宋体" w:eastAsia="宋体" w:cs="宋体"/>
                <w:bCs/>
                <w:color w:val="auto"/>
                <w:sz w:val="21"/>
                <w:szCs w:val="21"/>
                <w:highlight w:val="none"/>
              </w:rPr>
              <w:t>.6检出限：Cu ≤ 0.005 mg/L</w:t>
            </w:r>
            <w:r>
              <w:rPr>
                <w:rFonts w:hint="eastAsia" w:ascii="宋体" w:hAnsi="宋体" w:eastAsia="宋体" w:cs="宋体"/>
                <w:bCs/>
                <w:color w:val="auto"/>
                <w:sz w:val="21"/>
                <w:szCs w:val="21"/>
                <w:highlight w:val="none"/>
                <w:lang w:val="en-US" w:eastAsia="zh-CN"/>
              </w:rPr>
              <w:t>；</w:t>
            </w:r>
          </w:p>
          <w:p w14:paraId="4F2DE3C9">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3.3</w:t>
            </w:r>
            <w:r>
              <w:rPr>
                <w:rFonts w:hint="eastAsia" w:ascii="宋体" w:hAnsi="宋体" w:eastAsia="宋体" w:cs="宋体"/>
                <w:bCs/>
                <w:color w:val="auto"/>
                <w:sz w:val="21"/>
                <w:szCs w:val="21"/>
                <w:highlight w:val="none"/>
              </w:rPr>
              <w:t>.7精密度：RSD≤ 0.5%</w:t>
            </w:r>
            <w:r>
              <w:rPr>
                <w:rFonts w:hint="eastAsia" w:ascii="宋体" w:hAnsi="宋体" w:eastAsia="宋体" w:cs="宋体"/>
                <w:bCs/>
                <w:color w:val="auto"/>
                <w:sz w:val="21"/>
                <w:szCs w:val="21"/>
                <w:highlight w:val="none"/>
                <w:lang w:val="en-US" w:eastAsia="zh-CN"/>
              </w:rPr>
              <w:t>；</w:t>
            </w:r>
          </w:p>
          <w:p w14:paraId="44C43EC4">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3.4</w:t>
            </w:r>
            <w:r>
              <w:rPr>
                <w:rFonts w:hint="eastAsia" w:ascii="宋体" w:hAnsi="宋体" w:eastAsia="宋体" w:cs="宋体"/>
                <w:bCs/>
                <w:color w:val="auto"/>
                <w:sz w:val="21"/>
                <w:szCs w:val="21"/>
                <w:highlight w:val="none"/>
              </w:rPr>
              <w:t>石墨炉系统</w:t>
            </w:r>
            <w:r>
              <w:rPr>
                <w:rFonts w:hint="eastAsia" w:ascii="宋体" w:hAnsi="宋体" w:eastAsia="宋体" w:cs="宋体"/>
                <w:bCs/>
                <w:color w:val="auto"/>
                <w:sz w:val="21"/>
                <w:szCs w:val="21"/>
                <w:highlight w:val="none"/>
                <w:lang w:eastAsia="zh-CN"/>
              </w:rPr>
              <w:t>：</w:t>
            </w:r>
          </w:p>
          <w:p w14:paraId="6421D7B4">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3.4</w:t>
            </w:r>
            <w:r>
              <w:rPr>
                <w:rFonts w:hint="eastAsia" w:ascii="宋体" w:hAnsi="宋体" w:eastAsia="宋体" w:cs="宋体"/>
                <w:bCs/>
                <w:color w:val="auto"/>
                <w:sz w:val="21"/>
                <w:szCs w:val="21"/>
                <w:highlight w:val="none"/>
              </w:rPr>
              <w:t>.1加热方式：横向加热</w:t>
            </w:r>
            <w:r>
              <w:rPr>
                <w:rFonts w:hint="eastAsia" w:ascii="宋体" w:hAnsi="宋体" w:eastAsia="宋体" w:cs="宋体"/>
                <w:bCs/>
                <w:color w:val="auto"/>
                <w:sz w:val="21"/>
                <w:szCs w:val="21"/>
                <w:highlight w:val="none"/>
                <w:lang w:val="en-US" w:eastAsia="zh-CN"/>
              </w:rPr>
              <w:t>；</w:t>
            </w:r>
          </w:p>
          <w:p w14:paraId="50D24168">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3.4</w:t>
            </w:r>
            <w:r>
              <w:rPr>
                <w:rFonts w:hint="eastAsia" w:ascii="宋体" w:hAnsi="宋体" w:eastAsia="宋体" w:cs="宋体"/>
                <w:bCs/>
                <w:color w:val="auto"/>
                <w:sz w:val="21"/>
                <w:szCs w:val="21"/>
                <w:highlight w:val="none"/>
              </w:rPr>
              <w:t>.2工作温度：</w:t>
            </w:r>
            <w:r>
              <w:rPr>
                <w:rFonts w:hint="eastAsia" w:ascii="宋体" w:hAnsi="宋体" w:eastAsia="宋体" w:cs="宋体"/>
                <w:bCs/>
                <w:color w:val="auto"/>
                <w:sz w:val="21"/>
                <w:szCs w:val="21"/>
                <w:highlight w:val="none"/>
                <w:lang w:val="en-US" w:eastAsia="zh-CN"/>
              </w:rPr>
              <w:t>最高温度≥2</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00℃</w:t>
            </w:r>
            <w:r>
              <w:rPr>
                <w:rFonts w:hint="eastAsia" w:ascii="宋体" w:hAnsi="宋体" w:eastAsia="宋体" w:cs="宋体"/>
                <w:bCs/>
                <w:color w:val="auto"/>
                <w:sz w:val="21"/>
                <w:szCs w:val="21"/>
                <w:highlight w:val="none"/>
                <w:lang w:val="en-US" w:eastAsia="zh-CN"/>
              </w:rPr>
              <w:t>；</w:t>
            </w:r>
          </w:p>
          <w:p w14:paraId="4DDB25A9">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3.4</w:t>
            </w:r>
            <w:r>
              <w:rPr>
                <w:rFonts w:hint="eastAsia" w:ascii="宋体" w:hAnsi="宋体" w:eastAsia="宋体" w:cs="宋体"/>
                <w:bCs/>
                <w:color w:val="auto"/>
                <w:sz w:val="21"/>
                <w:szCs w:val="21"/>
                <w:highlight w:val="none"/>
              </w:rPr>
              <w:t>.3背景校正：塞曼</w:t>
            </w:r>
            <w:r>
              <w:rPr>
                <w:rFonts w:hint="eastAsia" w:ascii="宋体" w:hAnsi="宋体" w:eastAsia="宋体" w:cs="宋体"/>
                <w:bCs/>
                <w:color w:val="auto"/>
                <w:sz w:val="21"/>
                <w:szCs w:val="21"/>
                <w:highlight w:val="none"/>
                <w:lang w:val="en-US" w:eastAsia="zh-CN"/>
              </w:rPr>
              <w:t>；</w:t>
            </w:r>
          </w:p>
          <w:p w14:paraId="5E6689AC">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3.4</w:t>
            </w:r>
            <w:r>
              <w:rPr>
                <w:rFonts w:hint="eastAsia" w:ascii="宋体" w:hAnsi="宋体" w:eastAsia="宋体" w:cs="宋体"/>
                <w:bCs/>
                <w:color w:val="auto"/>
                <w:sz w:val="21"/>
                <w:szCs w:val="21"/>
                <w:highlight w:val="none"/>
              </w:rPr>
              <w:t>.4自动进样器：样品位数≥</w:t>
            </w:r>
            <w:r>
              <w:rPr>
                <w:rFonts w:hint="eastAsia" w:ascii="宋体" w:hAnsi="宋体" w:eastAsia="宋体" w:cs="宋体"/>
                <w:bCs/>
                <w:color w:val="auto"/>
                <w:sz w:val="21"/>
                <w:szCs w:val="21"/>
                <w:highlight w:val="none"/>
                <w:lang w:val="en-US" w:eastAsia="zh-CN"/>
              </w:rPr>
              <w:t>90</w:t>
            </w:r>
            <w:r>
              <w:rPr>
                <w:rFonts w:hint="eastAsia" w:ascii="宋体" w:hAnsi="宋体" w:eastAsia="宋体" w:cs="宋体"/>
                <w:bCs/>
                <w:color w:val="auto"/>
                <w:sz w:val="21"/>
                <w:szCs w:val="21"/>
                <w:highlight w:val="none"/>
              </w:rPr>
              <w:t>个，具备自动稀释功能</w:t>
            </w:r>
            <w:r>
              <w:rPr>
                <w:rFonts w:hint="eastAsia" w:ascii="宋体" w:hAnsi="宋体" w:eastAsia="宋体" w:cs="宋体"/>
                <w:bCs/>
                <w:color w:val="auto"/>
                <w:sz w:val="21"/>
                <w:szCs w:val="21"/>
                <w:highlight w:val="none"/>
                <w:lang w:val="en-US" w:eastAsia="zh-CN"/>
              </w:rPr>
              <w:t>；</w:t>
            </w:r>
          </w:p>
          <w:p w14:paraId="2288AEB8">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3.4</w:t>
            </w:r>
            <w:r>
              <w:rPr>
                <w:rFonts w:hint="eastAsia" w:ascii="宋体" w:hAnsi="宋体" w:eastAsia="宋体" w:cs="宋体"/>
                <w:bCs/>
                <w:color w:val="auto"/>
                <w:sz w:val="21"/>
                <w:szCs w:val="21"/>
                <w:highlight w:val="none"/>
              </w:rPr>
              <w:t>.5可视系统：</w:t>
            </w:r>
            <w:r>
              <w:rPr>
                <w:rFonts w:hint="eastAsia" w:ascii="宋体" w:hAnsi="宋体" w:eastAsia="宋体" w:cs="宋体"/>
                <w:bCs/>
                <w:color w:val="auto"/>
                <w:sz w:val="21"/>
                <w:szCs w:val="21"/>
                <w:highlight w:val="none"/>
                <w:lang w:val="en-US" w:eastAsia="zh-CN"/>
              </w:rPr>
              <w:t>石墨炉配备摄像装置</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能</w:t>
            </w:r>
            <w:r>
              <w:rPr>
                <w:rFonts w:hint="eastAsia" w:ascii="宋体" w:hAnsi="宋体" w:eastAsia="宋体" w:cs="宋体"/>
                <w:bCs/>
                <w:color w:val="auto"/>
                <w:sz w:val="21"/>
                <w:szCs w:val="21"/>
                <w:highlight w:val="none"/>
              </w:rPr>
              <w:t>实时</w:t>
            </w:r>
            <w:r>
              <w:rPr>
                <w:rFonts w:hint="eastAsia" w:ascii="宋体" w:hAnsi="宋体" w:eastAsia="宋体" w:cs="宋体"/>
                <w:bCs/>
                <w:color w:val="auto"/>
                <w:sz w:val="21"/>
                <w:szCs w:val="21"/>
                <w:highlight w:val="none"/>
                <w:lang w:val="en-US" w:eastAsia="zh-CN"/>
              </w:rPr>
              <w:t>监控</w:t>
            </w:r>
            <w:r>
              <w:rPr>
                <w:rFonts w:hint="eastAsia" w:ascii="宋体" w:hAnsi="宋体" w:eastAsia="宋体" w:cs="宋体"/>
                <w:bCs/>
                <w:color w:val="auto"/>
                <w:sz w:val="21"/>
                <w:szCs w:val="21"/>
                <w:highlight w:val="none"/>
              </w:rPr>
              <w:t>石墨管内状况</w:t>
            </w:r>
            <w:r>
              <w:rPr>
                <w:rFonts w:hint="eastAsia" w:ascii="宋体" w:hAnsi="宋体" w:eastAsia="宋体" w:cs="宋体"/>
                <w:bCs/>
                <w:color w:val="auto"/>
                <w:sz w:val="21"/>
                <w:szCs w:val="21"/>
                <w:highlight w:val="none"/>
                <w:lang w:val="en-US" w:eastAsia="zh-CN"/>
              </w:rPr>
              <w:t>；</w:t>
            </w:r>
          </w:p>
          <w:p w14:paraId="15909B1C">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3.4</w:t>
            </w:r>
            <w:r>
              <w:rPr>
                <w:rFonts w:hint="eastAsia" w:ascii="宋体" w:hAnsi="宋体" w:eastAsia="宋体" w:cs="宋体"/>
                <w:bCs/>
                <w:color w:val="auto"/>
                <w:sz w:val="21"/>
                <w:szCs w:val="21"/>
                <w:highlight w:val="none"/>
              </w:rPr>
              <w:t>.5检出限：Cd ≤ 0.01 μg/L</w:t>
            </w:r>
            <w:r>
              <w:rPr>
                <w:rFonts w:hint="eastAsia" w:ascii="宋体" w:hAnsi="宋体" w:eastAsia="宋体" w:cs="宋体"/>
                <w:bCs/>
                <w:color w:val="auto"/>
                <w:sz w:val="21"/>
                <w:szCs w:val="21"/>
                <w:highlight w:val="none"/>
                <w:lang w:val="en-US" w:eastAsia="zh-CN"/>
              </w:rPr>
              <w:t>；</w:t>
            </w:r>
          </w:p>
          <w:p w14:paraId="0848C386">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3.4</w:t>
            </w:r>
            <w:r>
              <w:rPr>
                <w:rFonts w:hint="eastAsia" w:ascii="宋体" w:hAnsi="宋体" w:eastAsia="宋体" w:cs="宋体"/>
                <w:bCs/>
                <w:color w:val="auto"/>
                <w:sz w:val="21"/>
                <w:szCs w:val="21"/>
                <w:highlight w:val="none"/>
              </w:rPr>
              <w:t>.6精密度：RSD ≤2%</w:t>
            </w:r>
            <w:r>
              <w:rPr>
                <w:rFonts w:hint="eastAsia" w:ascii="宋体" w:hAnsi="宋体" w:eastAsia="宋体" w:cs="宋体"/>
                <w:bCs/>
                <w:color w:val="auto"/>
                <w:sz w:val="21"/>
                <w:szCs w:val="21"/>
                <w:highlight w:val="none"/>
                <w:lang w:eastAsia="zh-CN"/>
              </w:rPr>
              <w:t>。</w:t>
            </w:r>
          </w:p>
          <w:p w14:paraId="5ACCAF54">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四、单台配置及消耗品清单（可实现技术参数的功能）</w:t>
            </w:r>
          </w:p>
          <w:p w14:paraId="5E604B43">
            <w:pPr>
              <w:spacing w:after="0" w:line="40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.1</w:t>
            </w:r>
            <w:r>
              <w:rPr>
                <w:rFonts w:hint="eastAsia" w:ascii="宋体" w:hAnsi="宋体" w:eastAsia="宋体" w:cs="宋体"/>
                <w:color w:val="auto"/>
                <w:kern w:val="0"/>
                <w:sz w:val="21"/>
                <w:szCs w:val="21"/>
                <w:highlight w:val="none"/>
                <w:u w:val="none"/>
                <w:lang w:val="en-US" w:eastAsia="zh-CN" w:bidi="ar"/>
              </w:rPr>
              <w:t>原子吸收火焰石墨炉主机，1套</w:t>
            </w:r>
            <w:r>
              <w:rPr>
                <w:rFonts w:hint="eastAsia" w:ascii="宋体" w:hAnsi="宋体" w:eastAsia="宋体" w:cs="宋体"/>
                <w:color w:val="auto"/>
                <w:kern w:val="0"/>
                <w:sz w:val="21"/>
                <w:szCs w:val="21"/>
                <w:highlight w:val="none"/>
                <w:lang w:val="en-US" w:eastAsia="zh-CN"/>
              </w:rPr>
              <w:t>；</w:t>
            </w:r>
          </w:p>
          <w:p w14:paraId="46FFE4CE">
            <w:pPr>
              <w:spacing w:after="0" w:line="40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bCs/>
                <w:color w:val="auto"/>
                <w:sz w:val="21"/>
                <w:szCs w:val="21"/>
                <w:highlight w:val="none"/>
                <w:lang w:val="en-US" w:eastAsia="zh-CN"/>
              </w:rPr>
              <w:t>4.2</w:t>
            </w:r>
            <w:r>
              <w:rPr>
                <w:rFonts w:hint="eastAsia" w:ascii="宋体" w:hAnsi="宋体" w:eastAsia="宋体" w:cs="宋体"/>
                <w:bCs/>
                <w:color w:val="auto"/>
                <w:sz w:val="21"/>
                <w:szCs w:val="21"/>
                <w:highlight w:val="none"/>
              </w:rPr>
              <w:t>石墨炉自动进样器（</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位）</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1套</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配套</w:t>
            </w:r>
            <w:r>
              <w:rPr>
                <w:rFonts w:hint="eastAsia" w:ascii="宋体" w:hAnsi="宋体" w:eastAsia="宋体" w:cs="宋体"/>
                <w:color w:val="auto"/>
                <w:kern w:val="0"/>
                <w:sz w:val="21"/>
                <w:szCs w:val="21"/>
                <w:highlight w:val="none"/>
              </w:rPr>
              <w:t>石墨炉自动进样器样品盘</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1个</w:t>
            </w:r>
            <w:r>
              <w:rPr>
                <w:rFonts w:hint="eastAsia" w:ascii="宋体" w:hAnsi="宋体" w:eastAsia="宋体" w:cs="宋体"/>
                <w:color w:val="auto"/>
                <w:kern w:val="0"/>
                <w:sz w:val="21"/>
                <w:szCs w:val="21"/>
                <w:highlight w:val="none"/>
                <w:lang w:val="en-US" w:eastAsia="zh-CN"/>
              </w:rPr>
              <w:t>；</w:t>
            </w:r>
          </w:p>
          <w:p w14:paraId="299A6F39">
            <w:pPr>
              <w:spacing w:after="0" w:line="40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bCs/>
                <w:color w:val="auto"/>
                <w:sz w:val="21"/>
                <w:szCs w:val="21"/>
                <w:highlight w:val="none"/>
                <w:lang w:val="en-US" w:eastAsia="zh-CN"/>
              </w:rPr>
              <w:t>4.3</w:t>
            </w:r>
            <w:r>
              <w:rPr>
                <w:rFonts w:hint="eastAsia" w:ascii="宋体" w:hAnsi="宋体" w:eastAsia="宋体" w:cs="宋体"/>
                <w:bCs/>
                <w:color w:val="auto"/>
                <w:sz w:val="21"/>
                <w:szCs w:val="21"/>
                <w:highlight w:val="none"/>
              </w:rPr>
              <w:t>空心阴极灯</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个</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铜、锌、铅、镉、镍、铬、铁、锰</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w:t>
            </w:r>
          </w:p>
          <w:p w14:paraId="7E62B3F2">
            <w:pPr>
              <w:spacing w:after="0" w:line="40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工作站硬件</w:t>
            </w:r>
            <w:r>
              <w:rPr>
                <w:rFonts w:hint="eastAsia" w:ascii="宋体" w:hAnsi="宋体" w:eastAsia="宋体" w:cs="宋体"/>
                <w:color w:val="auto"/>
                <w:sz w:val="21"/>
                <w:szCs w:val="21"/>
                <w:highlight w:val="none"/>
                <w:lang w:val="en-US" w:eastAsia="zh-CN"/>
              </w:rPr>
              <w:t>（内存32G，27寸）</w:t>
            </w:r>
            <w:r>
              <w:rPr>
                <w:rFonts w:hint="eastAsia" w:ascii="宋体" w:hAnsi="宋体" w:eastAsia="宋体" w:cs="宋体"/>
                <w:color w:val="auto"/>
                <w:kern w:val="0"/>
                <w:sz w:val="21"/>
                <w:szCs w:val="21"/>
                <w:highlight w:val="none"/>
              </w:rPr>
              <w:t>1套</w:t>
            </w:r>
            <w:r>
              <w:rPr>
                <w:rFonts w:hint="eastAsia" w:ascii="宋体" w:hAnsi="宋体" w:eastAsia="宋体" w:cs="宋体"/>
                <w:color w:val="auto"/>
                <w:kern w:val="0"/>
                <w:sz w:val="21"/>
                <w:szCs w:val="21"/>
                <w:highlight w:val="none"/>
                <w:lang w:eastAsia="zh-CN"/>
              </w:rPr>
              <w:t>；</w:t>
            </w:r>
          </w:p>
          <w:p w14:paraId="014D4A33">
            <w:pPr>
              <w:spacing w:after="0" w:line="40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4.5</w:t>
            </w:r>
            <w:r>
              <w:rPr>
                <w:rFonts w:hint="eastAsia" w:ascii="宋体" w:hAnsi="宋体" w:eastAsia="宋体" w:cs="宋体"/>
                <w:bCs/>
                <w:color w:val="auto"/>
                <w:sz w:val="21"/>
                <w:szCs w:val="21"/>
                <w:highlight w:val="none"/>
              </w:rPr>
              <w:t>输出设备，1台（支持自动双面和网络输出）</w:t>
            </w:r>
            <w:r>
              <w:rPr>
                <w:rFonts w:hint="eastAsia" w:ascii="宋体" w:hAnsi="宋体" w:eastAsia="宋体" w:cs="宋体"/>
                <w:bCs/>
                <w:color w:val="auto"/>
                <w:sz w:val="21"/>
                <w:szCs w:val="21"/>
                <w:highlight w:val="none"/>
                <w:lang w:val="en-US" w:eastAsia="zh-CN"/>
              </w:rPr>
              <w:t>；</w:t>
            </w:r>
          </w:p>
          <w:p w14:paraId="79875C94">
            <w:pPr>
              <w:spacing w:after="0" w:line="40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4.6</w:t>
            </w:r>
            <w:r>
              <w:rPr>
                <w:rFonts w:hint="eastAsia" w:ascii="宋体" w:hAnsi="宋体" w:eastAsia="宋体" w:cs="宋体"/>
                <w:bCs/>
                <w:color w:val="auto"/>
                <w:sz w:val="21"/>
                <w:szCs w:val="21"/>
                <w:highlight w:val="none"/>
              </w:rPr>
              <w:t>无油静音空气压缩机</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1台</w:t>
            </w:r>
            <w:r>
              <w:rPr>
                <w:rFonts w:hint="eastAsia" w:ascii="宋体" w:hAnsi="宋体" w:eastAsia="宋体" w:cs="宋体"/>
                <w:bCs/>
                <w:color w:val="auto"/>
                <w:sz w:val="21"/>
                <w:szCs w:val="21"/>
                <w:highlight w:val="none"/>
                <w:lang w:val="en-US" w:eastAsia="zh-CN"/>
              </w:rPr>
              <w:t>；</w:t>
            </w:r>
          </w:p>
          <w:p w14:paraId="0242DD7C">
            <w:pPr>
              <w:spacing w:after="0" w:line="40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冷却水循环系统</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1台</w:t>
            </w:r>
            <w:r>
              <w:rPr>
                <w:rFonts w:hint="eastAsia" w:ascii="宋体" w:hAnsi="宋体" w:eastAsia="宋体" w:cs="宋体"/>
                <w:bCs/>
                <w:color w:val="auto"/>
                <w:sz w:val="21"/>
                <w:szCs w:val="21"/>
                <w:highlight w:val="none"/>
                <w:lang w:val="en-US" w:eastAsia="zh-CN"/>
              </w:rPr>
              <w:t>；</w:t>
            </w:r>
          </w:p>
          <w:p w14:paraId="61B8F9A6">
            <w:pPr>
              <w:spacing w:after="0" w:line="40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4.8</w:t>
            </w:r>
            <w:r>
              <w:rPr>
                <w:rFonts w:hint="eastAsia" w:ascii="宋体" w:hAnsi="宋体" w:eastAsia="宋体" w:cs="宋体"/>
                <w:bCs/>
                <w:color w:val="auto"/>
                <w:sz w:val="21"/>
                <w:szCs w:val="21"/>
                <w:highlight w:val="none"/>
              </w:rPr>
              <w:t>石墨炉可视系统，1套</w:t>
            </w:r>
            <w:r>
              <w:rPr>
                <w:rFonts w:hint="eastAsia" w:ascii="宋体" w:hAnsi="宋体" w:eastAsia="宋体" w:cs="宋体"/>
                <w:bCs/>
                <w:color w:val="auto"/>
                <w:sz w:val="21"/>
                <w:szCs w:val="21"/>
                <w:highlight w:val="none"/>
                <w:lang w:val="en-US" w:eastAsia="zh-CN"/>
              </w:rPr>
              <w:t>；</w:t>
            </w:r>
          </w:p>
          <w:p w14:paraId="7818A539">
            <w:pPr>
              <w:spacing w:after="0" w:line="40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bCs/>
                <w:color w:val="auto"/>
                <w:sz w:val="21"/>
                <w:szCs w:val="21"/>
                <w:highlight w:val="none"/>
                <w:lang w:val="en-US" w:eastAsia="zh-CN"/>
              </w:rPr>
              <w:t>4.9</w:t>
            </w:r>
            <w:r>
              <w:rPr>
                <w:rFonts w:hint="eastAsia" w:ascii="宋体" w:hAnsi="宋体" w:eastAsia="宋体" w:cs="宋体"/>
                <w:bCs/>
                <w:color w:val="auto"/>
                <w:sz w:val="21"/>
                <w:szCs w:val="21"/>
                <w:highlight w:val="none"/>
              </w:rPr>
              <w:t>热解涂层石墨管</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根</w:t>
            </w:r>
            <w:r>
              <w:rPr>
                <w:rFonts w:hint="eastAsia" w:ascii="宋体" w:hAnsi="宋体" w:eastAsia="宋体" w:cs="宋体"/>
                <w:color w:val="auto"/>
                <w:kern w:val="0"/>
                <w:sz w:val="21"/>
                <w:szCs w:val="21"/>
                <w:highlight w:val="none"/>
                <w:lang w:val="en-US" w:eastAsia="zh-CN"/>
              </w:rPr>
              <w:t>；</w:t>
            </w:r>
          </w:p>
          <w:p w14:paraId="1B3702FD">
            <w:pPr>
              <w:spacing w:after="0" w:line="40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4.10配套</w:t>
            </w:r>
            <w:r>
              <w:rPr>
                <w:rFonts w:hint="eastAsia" w:ascii="宋体" w:hAnsi="宋体" w:eastAsia="宋体" w:cs="宋体"/>
                <w:bCs/>
                <w:color w:val="auto"/>
                <w:sz w:val="21"/>
                <w:szCs w:val="21"/>
                <w:highlight w:val="none"/>
              </w:rPr>
              <w:t>样品杯</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100</w:t>
            </w: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个</w:t>
            </w:r>
            <w:r>
              <w:rPr>
                <w:rFonts w:hint="eastAsia" w:ascii="宋体" w:hAnsi="宋体" w:eastAsia="宋体" w:cs="宋体"/>
                <w:bCs/>
                <w:color w:val="auto"/>
                <w:sz w:val="21"/>
                <w:szCs w:val="21"/>
                <w:highlight w:val="none"/>
                <w:lang w:val="en-US" w:eastAsia="zh-CN"/>
              </w:rPr>
              <w:t>；</w:t>
            </w:r>
          </w:p>
          <w:p w14:paraId="1AFD3775">
            <w:pPr>
              <w:spacing w:after="0" w:line="40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4.11配套进样管、毛细管，1套（不含自动进样器内1套）；</w:t>
            </w:r>
          </w:p>
          <w:p w14:paraId="2CF6F46E">
            <w:pPr>
              <w:spacing w:after="0" w:line="40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4.12原装废液桶，1只；</w:t>
            </w:r>
          </w:p>
          <w:p w14:paraId="7275EDDC">
            <w:pPr>
              <w:spacing w:after="0" w:line="40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4.13软件操作系统，1套；</w:t>
            </w:r>
          </w:p>
          <w:p w14:paraId="17B694FB">
            <w:pPr>
              <w:spacing w:after="0" w:line="400" w:lineRule="exact"/>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4.14</w:t>
            </w:r>
            <w:r>
              <w:rPr>
                <w:rFonts w:hint="eastAsia" w:ascii="宋体" w:hAnsi="宋体" w:eastAsia="宋体" w:cs="宋体"/>
                <w:bCs/>
                <w:color w:val="auto"/>
                <w:sz w:val="21"/>
                <w:szCs w:val="21"/>
                <w:highlight w:val="none"/>
              </w:rPr>
              <w:t>中文软件包、中文使用手册，1套</w:t>
            </w:r>
            <w:r>
              <w:rPr>
                <w:rFonts w:hint="eastAsia" w:ascii="宋体" w:hAnsi="宋体" w:eastAsia="宋体" w:cs="宋体"/>
                <w:bCs/>
                <w:color w:val="auto"/>
                <w:sz w:val="21"/>
                <w:szCs w:val="21"/>
                <w:highlight w:val="none"/>
                <w:lang w:val="en-US" w:eastAsia="zh-CN"/>
              </w:rPr>
              <w:t>。</w:t>
            </w:r>
          </w:p>
        </w:tc>
      </w:tr>
      <w:tr w14:paraId="03517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749" w:type="dxa"/>
            <w:shd w:val="clear" w:color="auto" w:fill="auto"/>
            <w:noWrap w:val="0"/>
            <w:vAlign w:val="center"/>
          </w:tcPr>
          <w:p w14:paraId="34035B8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814" w:type="dxa"/>
            <w:shd w:val="clear" w:color="auto" w:fill="auto"/>
            <w:noWrap w:val="0"/>
            <w:vAlign w:val="center"/>
          </w:tcPr>
          <w:p w14:paraId="64F9D8E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超级微波消解仪</w:t>
            </w:r>
          </w:p>
        </w:tc>
        <w:tc>
          <w:tcPr>
            <w:tcW w:w="605" w:type="dxa"/>
            <w:tcBorders>
              <w:right w:val="single" w:color="auto" w:sz="4" w:space="0"/>
            </w:tcBorders>
            <w:shd w:val="clear" w:color="auto" w:fill="auto"/>
            <w:noWrap w:val="0"/>
            <w:vAlign w:val="center"/>
          </w:tcPr>
          <w:p w14:paraId="595EA92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750" w:type="dxa"/>
            <w:tcBorders>
              <w:left w:val="single" w:color="auto" w:sz="4" w:space="0"/>
              <w:right w:val="single" w:color="auto" w:sz="4" w:space="0"/>
            </w:tcBorders>
            <w:shd w:val="clear" w:color="auto" w:fill="auto"/>
            <w:noWrap w:val="0"/>
            <w:vAlign w:val="center"/>
          </w:tcPr>
          <w:p w14:paraId="02656DC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59.5</w:t>
            </w:r>
          </w:p>
        </w:tc>
        <w:tc>
          <w:tcPr>
            <w:tcW w:w="814" w:type="dxa"/>
            <w:tcBorders>
              <w:left w:val="single" w:color="auto" w:sz="4" w:space="0"/>
              <w:right w:val="single" w:color="auto" w:sz="4" w:space="0"/>
            </w:tcBorders>
            <w:shd w:val="clear" w:color="auto" w:fill="auto"/>
            <w:noWrap w:val="0"/>
            <w:vAlign w:val="center"/>
          </w:tcPr>
          <w:p w14:paraId="103CADA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59.5</w:t>
            </w:r>
          </w:p>
        </w:tc>
        <w:tc>
          <w:tcPr>
            <w:tcW w:w="5099" w:type="dxa"/>
            <w:tcBorders>
              <w:left w:val="single" w:color="auto" w:sz="4" w:space="0"/>
            </w:tcBorders>
            <w:shd w:val="clear" w:color="auto" w:fill="auto"/>
            <w:noWrap w:val="0"/>
            <w:vAlign w:val="center"/>
          </w:tcPr>
          <w:p w14:paraId="152ADCC3">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一、基本要求</w:t>
            </w:r>
          </w:p>
          <w:p w14:paraId="25129EC4">
            <w:pPr>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预加压单反应室超级微波系统，用于各种样品的微波超高压高温消解，用于实验室中各种类型样品的消解制备前处理，为AAS，AFS，ICP，ICP-MS等分析仪器制备样品。</w:t>
            </w:r>
          </w:p>
          <w:p w14:paraId="387E14A4">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二、工作条件</w:t>
            </w:r>
          </w:p>
          <w:p w14:paraId="78A4E20A">
            <w:pPr>
              <w:numPr>
                <w:ilvl w:val="-1"/>
                <w:numId w:val="0"/>
              </w:numPr>
              <w:spacing w:after="0" w:line="400" w:lineRule="exact"/>
              <w:ind w:leftChars="0"/>
              <w:rPr>
                <w:rFonts w:hint="eastAsia" w:ascii="宋体" w:hAnsi="宋体" w:eastAsia="宋体" w:cs="宋体"/>
                <w:bCs/>
                <w:color w:val="auto"/>
                <w:sz w:val="21"/>
                <w:szCs w:val="21"/>
                <w:highlight w:val="none"/>
                <w:rtl w:val="0"/>
                <w:lang w:val="en-US" w:eastAsia="zh-CN"/>
              </w:rPr>
            </w:pPr>
            <w:r>
              <w:rPr>
                <w:rFonts w:hint="eastAsia" w:ascii="宋体" w:hAnsi="宋体" w:eastAsia="宋体" w:cs="宋体"/>
                <w:bCs/>
                <w:color w:val="auto"/>
                <w:sz w:val="21"/>
                <w:szCs w:val="21"/>
                <w:highlight w:val="none"/>
                <w:rtl w:val="0"/>
                <w:lang w:val="en-US" w:eastAsia="zh-CN"/>
              </w:rPr>
              <w:t>2.1工作电压：220V±10；</w:t>
            </w:r>
          </w:p>
          <w:p w14:paraId="7ACBA982">
            <w:pPr>
              <w:numPr>
                <w:ilvl w:val="-1"/>
                <w:numId w:val="0"/>
              </w:numPr>
              <w:spacing w:after="0" w:line="400" w:lineRule="exact"/>
              <w:ind w:leftChars="0"/>
              <w:rPr>
                <w:rFonts w:hint="eastAsia" w:ascii="宋体" w:hAnsi="宋体" w:eastAsia="宋体" w:cs="宋体"/>
                <w:bCs/>
                <w:color w:val="auto"/>
                <w:sz w:val="21"/>
                <w:szCs w:val="21"/>
                <w:highlight w:val="none"/>
                <w:rtl w:val="0"/>
                <w:lang w:val="en-US" w:eastAsia="zh-CN"/>
              </w:rPr>
            </w:pPr>
            <w:r>
              <w:rPr>
                <w:rFonts w:hint="eastAsia" w:ascii="宋体" w:hAnsi="宋体" w:eastAsia="宋体" w:cs="宋体"/>
                <w:bCs/>
                <w:color w:val="auto"/>
                <w:sz w:val="21"/>
                <w:szCs w:val="21"/>
                <w:highlight w:val="none"/>
                <w:rtl w:val="0"/>
                <w:lang w:val="en-US" w:eastAsia="zh-CN"/>
              </w:rPr>
              <w:t>2.2工作温度：15℃-35℃；</w:t>
            </w:r>
          </w:p>
          <w:p w14:paraId="4FB78222">
            <w:pPr>
              <w:numPr>
                <w:ilvl w:val="-1"/>
                <w:numId w:val="0"/>
              </w:numPr>
              <w:spacing w:after="0" w:line="400" w:lineRule="exact"/>
              <w:ind w:leftChars="0"/>
              <w:rPr>
                <w:rFonts w:hint="eastAsia" w:ascii="宋体" w:hAnsi="宋体" w:eastAsia="宋体" w:cs="宋体"/>
                <w:bCs/>
                <w:color w:val="auto"/>
                <w:sz w:val="21"/>
                <w:szCs w:val="21"/>
                <w:highlight w:val="none"/>
                <w:rtl w:val="0"/>
                <w:lang w:val="en-US" w:eastAsia="zh-CN"/>
              </w:rPr>
            </w:pPr>
            <w:r>
              <w:rPr>
                <w:rFonts w:hint="eastAsia" w:ascii="宋体" w:hAnsi="宋体" w:eastAsia="宋体" w:cs="宋体"/>
                <w:bCs/>
                <w:color w:val="auto"/>
                <w:sz w:val="21"/>
                <w:szCs w:val="21"/>
                <w:highlight w:val="none"/>
                <w:rtl w:val="0"/>
                <w:lang w:val="en-US" w:eastAsia="zh-CN"/>
              </w:rPr>
              <w:t>2.3工作湿度：20%-80%；</w:t>
            </w:r>
          </w:p>
          <w:p w14:paraId="6D0F81AD">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三、技术参数</w:t>
            </w:r>
          </w:p>
          <w:p w14:paraId="12763B8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3.1硬件参数要求</w:t>
            </w:r>
            <w:r>
              <w:rPr>
                <w:rFonts w:hint="eastAsia" w:ascii="宋体" w:hAnsi="宋体" w:eastAsia="宋体" w:cs="宋体"/>
                <w:bCs/>
                <w:color w:val="auto"/>
                <w:sz w:val="21"/>
                <w:szCs w:val="21"/>
                <w:highlight w:val="none"/>
                <w:lang w:eastAsia="zh-CN"/>
              </w:rPr>
              <w:t>：</w:t>
            </w:r>
          </w:p>
          <w:p w14:paraId="32595676">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rtl w:val="0"/>
                <w:lang w:val="en-US" w:eastAsia="zh-CN"/>
              </w:rPr>
            </w:pPr>
            <w:r>
              <w:rPr>
                <w:rFonts w:hint="eastAsia" w:ascii="宋体" w:hAnsi="宋体" w:eastAsia="宋体" w:cs="宋体"/>
                <w:bCs/>
                <w:color w:val="auto"/>
                <w:sz w:val="21"/>
                <w:szCs w:val="21"/>
                <w:highlight w:val="none"/>
              </w:rPr>
              <w:t>3.1.1</w:t>
            </w:r>
            <w:r>
              <w:rPr>
                <w:rFonts w:hint="eastAsia" w:ascii="宋体" w:hAnsi="宋体" w:eastAsia="宋体" w:cs="宋体"/>
                <w:bCs/>
                <w:color w:val="auto"/>
                <w:sz w:val="21"/>
                <w:szCs w:val="21"/>
                <w:highlight w:val="none"/>
                <w:rtl w:val="0"/>
                <w:lang w:val="zh-Hans" w:eastAsia="zh-Hans"/>
              </w:rPr>
              <w:t>微波功率≥</w:t>
            </w:r>
            <w:r>
              <w:rPr>
                <w:rFonts w:hint="eastAsia" w:ascii="宋体" w:hAnsi="宋体" w:eastAsia="宋体" w:cs="宋体"/>
                <w:bCs/>
                <w:color w:val="auto"/>
                <w:sz w:val="21"/>
                <w:szCs w:val="21"/>
                <w:highlight w:val="none"/>
                <w:rtl w:val="0"/>
                <w:lang w:val="en-US" w:eastAsia="zh-CN"/>
              </w:rPr>
              <w:t>15</w:t>
            </w:r>
            <w:r>
              <w:rPr>
                <w:rFonts w:hint="eastAsia" w:ascii="宋体" w:hAnsi="宋体" w:eastAsia="宋体" w:cs="宋体"/>
                <w:bCs/>
                <w:color w:val="auto"/>
                <w:sz w:val="21"/>
                <w:szCs w:val="21"/>
                <w:highlight w:val="none"/>
                <w:rtl w:val="0"/>
                <w:lang w:val="zh-Hans" w:eastAsia="zh-Hans"/>
              </w:rPr>
              <w:t>00</w:t>
            </w:r>
            <w:r>
              <w:rPr>
                <w:rFonts w:hint="eastAsia" w:ascii="宋体" w:hAnsi="宋体" w:eastAsia="宋体" w:cs="宋体"/>
                <w:bCs/>
                <w:color w:val="auto"/>
                <w:sz w:val="21"/>
                <w:szCs w:val="21"/>
                <w:highlight w:val="none"/>
                <w:rtl w:val="0"/>
                <w:lang w:val="en-US" w:eastAsia="zh-CN"/>
              </w:rPr>
              <w:t xml:space="preserve"> </w:t>
            </w:r>
            <w:r>
              <w:rPr>
                <w:rFonts w:hint="eastAsia" w:ascii="宋体" w:hAnsi="宋体" w:eastAsia="宋体" w:cs="宋体"/>
                <w:bCs/>
                <w:color w:val="auto"/>
                <w:sz w:val="21"/>
                <w:szCs w:val="21"/>
                <w:highlight w:val="none"/>
                <w:rtl w:val="0"/>
                <w:lang w:val="zh-Hans" w:eastAsia="zh-Hans"/>
              </w:rPr>
              <w:t>W</w:t>
            </w:r>
            <w:r>
              <w:rPr>
                <w:rFonts w:hint="eastAsia" w:ascii="宋体" w:hAnsi="宋体" w:eastAsia="宋体" w:cs="宋体"/>
                <w:bCs/>
                <w:color w:val="auto"/>
                <w:sz w:val="21"/>
                <w:szCs w:val="21"/>
                <w:highlight w:val="none"/>
                <w:rtl w:val="0"/>
                <w:lang w:val="en-US" w:eastAsia="zh-CN"/>
              </w:rPr>
              <w:t>；</w:t>
            </w:r>
          </w:p>
          <w:p w14:paraId="321E8644">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rtl w:val="0"/>
                <w:lang w:val="zh-Hans"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rtl w:val="0"/>
                <w:lang w:val="en-US" w:eastAsia="zh-CN"/>
              </w:rPr>
              <w:t>3.1.2</w:t>
            </w:r>
            <w:r>
              <w:rPr>
                <w:rFonts w:hint="eastAsia" w:ascii="宋体" w:hAnsi="宋体" w:eastAsia="宋体" w:cs="宋体"/>
                <w:bCs/>
                <w:color w:val="auto"/>
                <w:sz w:val="21"/>
                <w:szCs w:val="21"/>
                <w:highlight w:val="none"/>
                <w:rtl w:val="0"/>
                <w:lang w:val="zh-Hans" w:eastAsia="zh-Hans"/>
              </w:rPr>
              <w:t>最大工作压力≥200 Bar</w:t>
            </w:r>
            <w:r>
              <w:rPr>
                <w:rFonts w:hint="eastAsia" w:ascii="宋体" w:hAnsi="宋体" w:eastAsia="宋体" w:cs="宋体"/>
                <w:bCs/>
                <w:color w:val="auto"/>
                <w:sz w:val="21"/>
                <w:szCs w:val="21"/>
                <w:highlight w:val="none"/>
                <w:rtl w:val="0"/>
                <w:lang w:val="zh-Hans" w:eastAsia="zh-CN"/>
              </w:rPr>
              <w:t>，</w:t>
            </w:r>
            <w:r>
              <w:rPr>
                <w:rFonts w:hint="eastAsia" w:ascii="宋体" w:hAnsi="宋体" w:eastAsia="宋体" w:cs="宋体"/>
                <w:bCs/>
                <w:color w:val="auto"/>
                <w:sz w:val="21"/>
                <w:szCs w:val="21"/>
                <w:highlight w:val="none"/>
                <w:rtl w:val="0"/>
                <w:lang w:val="zh-Hans" w:eastAsia="zh-Hans"/>
              </w:rPr>
              <w:t>最大操作温度≥300</w:t>
            </w:r>
            <w:r>
              <w:rPr>
                <w:rFonts w:hint="eastAsia" w:ascii="宋体" w:hAnsi="宋体" w:eastAsia="宋体" w:cs="宋体"/>
                <w:bCs/>
                <w:color w:val="auto"/>
                <w:sz w:val="21"/>
                <w:szCs w:val="21"/>
                <w:highlight w:val="none"/>
                <w:rtl w:val="0"/>
                <w:lang w:val="en-US" w:eastAsia="zh-CN"/>
              </w:rPr>
              <w:t xml:space="preserve"> </w:t>
            </w:r>
            <w:r>
              <w:rPr>
                <w:rFonts w:hint="eastAsia" w:ascii="宋体" w:hAnsi="宋体" w:eastAsia="宋体" w:cs="宋体"/>
                <w:bCs/>
                <w:color w:val="auto"/>
                <w:sz w:val="21"/>
                <w:szCs w:val="21"/>
                <w:highlight w:val="none"/>
                <w:rtl w:val="0"/>
                <w:lang w:val="zh-Hans" w:eastAsia="zh-Hans"/>
              </w:rPr>
              <w:sym w:font="Symbol" w:char="F0B0"/>
            </w:r>
            <w:r>
              <w:rPr>
                <w:rFonts w:hint="eastAsia" w:ascii="宋体" w:hAnsi="宋体" w:eastAsia="宋体" w:cs="宋体"/>
                <w:bCs/>
                <w:color w:val="auto"/>
                <w:sz w:val="21"/>
                <w:szCs w:val="21"/>
                <w:highlight w:val="none"/>
                <w:rtl w:val="0"/>
                <w:lang w:val="zh-Hans" w:eastAsia="zh-Hans"/>
              </w:rPr>
              <w:t>C</w:t>
            </w:r>
            <w:r>
              <w:rPr>
                <w:rFonts w:hint="eastAsia" w:ascii="宋体" w:hAnsi="宋体" w:eastAsia="宋体" w:cs="宋体"/>
                <w:bCs/>
                <w:color w:val="auto"/>
                <w:sz w:val="21"/>
                <w:szCs w:val="21"/>
                <w:highlight w:val="none"/>
                <w:rtl w:val="0"/>
                <w:lang w:val="en-US" w:eastAsia="zh-CN"/>
              </w:rPr>
              <w:t>；</w:t>
            </w:r>
            <w:r>
              <w:rPr>
                <w:rFonts w:hint="eastAsia" w:ascii="宋体" w:hAnsi="宋体" w:eastAsia="宋体" w:cs="宋体"/>
                <w:bCs/>
                <w:color w:val="auto"/>
                <w:sz w:val="21"/>
                <w:szCs w:val="21"/>
                <w:highlight w:val="none"/>
                <w:rtl w:val="0"/>
                <w:lang w:val="zh-Hans"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bCs/>
                <w:color w:val="auto"/>
                <w:sz w:val="21"/>
                <w:szCs w:val="21"/>
                <w:highlight w:val="none"/>
                <w:rtl w:val="0"/>
                <w:lang w:val="zh-Hans" w:eastAsia="zh-CN"/>
              </w:rPr>
              <w:t>】</w:t>
            </w:r>
          </w:p>
          <w:p w14:paraId="504100D8">
            <w:pPr>
              <w:numPr>
                <w:ilvl w:val="-1"/>
                <w:numId w:val="0"/>
              </w:numPr>
              <w:spacing w:after="0" w:line="400" w:lineRule="exact"/>
              <w:ind w:leftChars="0"/>
              <w:rPr>
                <w:rFonts w:hint="eastAsia" w:ascii="宋体" w:hAnsi="宋体" w:eastAsia="宋体" w:cs="宋体"/>
                <w:bCs/>
                <w:color w:val="auto"/>
                <w:sz w:val="21"/>
                <w:szCs w:val="21"/>
                <w:highlight w:val="none"/>
                <w:rtl w:val="0"/>
                <w:lang w:val="en-US" w:eastAsia="zh-CN"/>
              </w:rPr>
            </w:pPr>
            <w:r>
              <w:rPr>
                <w:rFonts w:hint="eastAsia" w:ascii="宋体" w:hAnsi="宋体" w:eastAsia="宋体" w:cs="宋体"/>
                <w:bCs/>
                <w:color w:val="auto"/>
                <w:sz w:val="21"/>
                <w:szCs w:val="21"/>
                <w:highlight w:val="none"/>
                <w:rtl w:val="0"/>
                <w:lang w:val="en-US" w:eastAsia="zh-CN"/>
              </w:rPr>
              <w:t>3.1.3</w:t>
            </w:r>
            <w:r>
              <w:rPr>
                <w:rFonts w:hint="eastAsia" w:ascii="宋体" w:hAnsi="宋体" w:eastAsia="宋体" w:cs="宋体"/>
                <w:bCs/>
                <w:color w:val="auto"/>
                <w:sz w:val="21"/>
                <w:szCs w:val="21"/>
                <w:highlight w:val="none"/>
                <w:rtl w:val="0"/>
                <w:lang w:val="zh-Hans" w:eastAsia="zh-Hans"/>
              </w:rPr>
              <w:t>反应腔体积≥</w:t>
            </w:r>
            <w:r>
              <w:rPr>
                <w:rFonts w:hint="eastAsia" w:ascii="宋体" w:hAnsi="宋体" w:eastAsia="宋体" w:cs="宋体"/>
                <w:bCs/>
                <w:color w:val="auto"/>
                <w:sz w:val="21"/>
                <w:szCs w:val="21"/>
                <w:highlight w:val="none"/>
                <w:rtl w:val="0"/>
                <w:lang w:val="en-US" w:eastAsia="zh-CN"/>
              </w:rPr>
              <w:t>1.0L；</w:t>
            </w:r>
            <w:r>
              <w:rPr>
                <w:rFonts w:hint="eastAsia" w:ascii="宋体" w:hAnsi="宋体" w:eastAsia="宋体" w:cs="宋体"/>
                <w:bCs/>
                <w:color w:val="auto"/>
                <w:sz w:val="21"/>
                <w:szCs w:val="21"/>
                <w:highlight w:val="none"/>
                <w:rtl w:val="0"/>
                <w:lang w:val="zh-Hans" w:eastAsia="zh-Hans"/>
              </w:rPr>
              <w:t>最大样品处理通量：≥26个/批，单支反应管体积≥7</w:t>
            </w:r>
            <w:r>
              <w:rPr>
                <w:rFonts w:hint="eastAsia" w:ascii="宋体" w:hAnsi="宋体" w:eastAsia="宋体" w:cs="宋体"/>
                <w:bCs/>
                <w:color w:val="auto"/>
                <w:sz w:val="21"/>
                <w:szCs w:val="21"/>
                <w:highlight w:val="none"/>
                <w:rtl w:val="0"/>
                <w:lang w:val="en-US" w:eastAsia="zh-CN"/>
              </w:rPr>
              <w:t xml:space="preserve"> </w:t>
            </w:r>
            <w:r>
              <w:rPr>
                <w:rFonts w:hint="eastAsia" w:ascii="宋体" w:hAnsi="宋体" w:eastAsia="宋体" w:cs="宋体"/>
                <w:bCs/>
                <w:color w:val="auto"/>
                <w:sz w:val="21"/>
                <w:szCs w:val="21"/>
                <w:highlight w:val="none"/>
                <w:rtl w:val="0"/>
                <w:lang w:val="zh-Hans" w:eastAsia="zh-Hans"/>
              </w:rPr>
              <w:t>ml</w:t>
            </w:r>
            <w:r>
              <w:rPr>
                <w:rFonts w:hint="eastAsia" w:ascii="宋体" w:hAnsi="宋体" w:eastAsia="宋体" w:cs="宋体"/>
                <w:bCs/>
                <w:color w:val="auto"/>
                <w:sz w:val="21"/>
                <w:szCs w:val="21"/>
                <w:highlight w:val="none"/>
                <w:rtl w:val="0"/>
                <w:lang w:val="en-US" w:eastAsia="zh-CN"/>
              </w:rPr>
              <w:t>；</w:t>
            </w:r>
          </w:p>
          <w:p w14:paraId="58FBD3B4">
            <w:pPr>
              <w:numPr>
                <w:ilvl w:val="-1"/>
                <w:numId w:val="0"/>
              </w:numPr>
              <w:spacing w:after="0" w:line="400" w:lineRule="exact"/>
              <w:ind w:leftChars="0"/>
              <w:rPr>
                <w:rFonts w:hint="eastAsia" w:ascii="宋体" w:hAnsi="宋体" w:eastAsia="宋体" w:cs="宋体"/>
                <w:bCs/>
                <w:color w:val="auto"/>
                <w:sz w:val="21"/>
                <w:szCs w:val="21"/>
                <w:highlight w:val="none"/>
                <w:rtl w:val="0"/>
                <w:lang w:val="en-US"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tl w:val="0"/>
                <w:lang w:val="en-US" w:eastAsia="zh-CN"/>
              </w:rPr>
              <w:t>1.4内置式自动排酸系统；</w:t>
            </w:r>
          </w:p>
          <w:p w14:paraId="1F4FF9F3">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rtl w:val="0"/>
                <w:lang w:val="en-US" w:eastAsia="zh-CN"/>
              </w:rPr>
            </w:pPr>
            <w:r>
              <w:rPr>
                <w:rFonts w:hint="eastAsia" w:ascii="宋体" w:hAnsi="宋体" w:eastAsia="宋体" w:cs="宋体"/>
                <w:bCs/>
                <w:color w:val="auto"/>
                <w:sz w:val="21"/>
                <w:szCs w:val="21"/>
                <w:highlight w:val="none"/>
                <w:rtl w:val="0"/>
                <w:lang w:val="en-US" w:eastAsia="zh-CN"/>
              </w:rPr>
              <w:t>3.1.5自动预加压：反应腔样品消解前可预先充入高压氮气，使反应腔压力达到30-90 bar。 可自动加压和泄压，无需手动操作；</w:t>
            </w:r>
          </w:p>
          <w:p w14:paraId="21962670">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rtl w:val="0"/>
                <w:lang w:val="en-US" w:eastAsia="zh-CN"/>
              </w:rPr>
            </w:pPr>
            <w:r>
              <w:rPr>
                <w:rFonts w:hint="eastAsia" w:ascii="宋体" w:hAnsi="宋体" w:eastAsia="宋体" w:cs="宋体"/>
                <w:bCs/>
                <w:color w:val="auto"/>
                <w:sz w:val="21"/>
                <w:szCs w:val="21"/>
                <w:highlight w:val="none"/>
                <w:rtl w:val="0"/>
                <w:lang w:val="en-US" w:eastAsia="zh-CN"/>
              </w:rPr>
              <w:t>3.1.6 冷却系统：反应过程中在高温下实时冷却保护反应腔，反应结束后快速冷却降温，提高反应效率；智能控温，控温精度±1℃，确保主机正常使用；</w:t>
            </w:r>
          </w:p>
          <w:p w14:paraId="7512E4F2">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rtl w:val="0"/>
                <w:lang w:val="en-US" w:eastAsia="zh-CN"/>
              </w:rPr>
            </w:pPr>
            <w:r>
              <w:rPr>
                <w:rFonts w:hint="eastAsia" w:ascii="宋体" w:hAnsi="宋体" w:eastAsia="宋体" w:cs="宋体"/>
                <w:bCs/>
                <w:color w:val="auto"/>
                <w:sz w:val="21"/>
                <w:szCs w:val="21"/>
                <w:highlight w:val="none"/>
                <w:lang w:val="en-US" w:eastAsia="zh-CN"/>
              </w:rPr>
              <w:t>3.1.7</w:t>
            </w:r>
            <w:r>
              <w:rPr>
                <w:rFonts w:hint="eastAsia" w:ascii="宋体" w:hAnsi="宋体" w:eastAsia="宋体" w:cs="宋体"/>
                <w:bCs/>
                <w:color w:val="auto"/>
                <w:sz w:val="21"/>
                <w:szCs w:val="21"/>
                <w:highlight w:val="none"/>
                <w:rtl w:val="0"/>
                <w:lang w:val="zh-Hans" w:eastAsia="zh-Hans"/>
              </w:rPr>
              <w:t>内置一体式触摸屏，</w:t>
            </w:r>
            <w:r>
              <w:rPr>
                <w:rFonts w:hint="eastAsia" w:ascii="宋体" w:hAnsi="宋体" w:eastAsia="宋体" w:cs="宋体"/>
                <w:bCs/>
                <w:color w:val="auto"/>
                <w:sz w:val="21"/>
                <w:szCs w:val="21"/>
                <w:highlight w:val="none"/>
                <w:rtl w:val="0"/>
                <w:lang w:val="en-US" w:eastAsia="zh-CN"/>
              </w:rPr>
              <w:t>屏幕≥8英寸；</w:t>
            </w:r>
          </w:p>
          <w:p w14:paraId="0B262ACD">
            <w:pPr>
              <w:spacing w:after="0" w:line="400" w:lineRule="exact"/>
              <w:jc w:val="left"/>
              <w:rPr>
                <w:rFonts w:hint="eastAsia" w:ascii="宋体" w:hAnsi="宋体" w:eastAsia="宋体" w:cs="宋体"/>
                <w:color w:val="auto"/>
                <w:kern w:val="2"/>
                <w:sz w:val="21"/>
                <w:szCs w:val="21"/>
                <w:highlight w:val="none"/>
                <w:lang w:eastAsia="zh-CN"/>
              </w:rPr>
            </w:pPr>
            <w:r>
              <w:rPr>
                <w:rFonts w:hint="eastAsia" w:ascii="宋体" w:hAnsi="宋体" w:eastAsia="宋体" w:cs="宋体"/>
                <w:bCs/>
                <w:color w:val="auto"/>
                <w:sz w:val="21"/>
                <w:szCs w:val="21"/>
                <w:highlight w:val="none"/>
                <w:rtl w:val="0"/>
                <w:lang w:val="en-US" w:eastAsia="zh-CN"/>
              </w:rPr>
              <w:t>3.1.8温度控制</w:t>
            </w:r>
            <w:r>
              <w:rPr>
                <w:rFonts w:hint="eastAsia" w:ascii="宋体" w:hAnsi="宋体" w:eastAsia="宋体" w:cs="宋体"/>
                <w:bCs/>
                <w:color w:val="auto"/>
                <w:sz w:val="21"/>
                <w:szCs w:val="21"/>
                <w:highlight w:val="none"/>
                <w:rtl w:val="0"/>
                <w:lang w:val="zh-Hans" w:eastAsia="zh-Hans"/>
              </w:rPr>
              <w:t>系统：</w:t>
            </w:r>
            <w:r>
              <w:rPr>
                <w:rFonts w:hint="eastAsia" w:ascii="宋体" w:hAnsi="宋体" w:eastAsia="宋体" w:cs="宋体"/>
                <w:color w:val="auto"/>
                <w:kern w:val="2"/>
                <w:sz w:val="21"/>
                <w:szCs w:val="21"/>
                <w:highlight w:val="none"/>
              </w:rPr>
              <w:t>内置温度传感系统，实时监测、控制反应腔内温度，实时显示温度数据与温度曲线</w:t>
            </w:r>
            <w:r>
              <w:rPr>
                <w:rFonts w:hint="eastAsia" w:ascii="宋体" w:hAnsi="宋体" w:eastAsia="宋体" w:cs="宋体"/>
                <w:color w:val="auto"/>
                <w:kern w:val="2"/>
                <w:sz w:val="21"/>
                <w:szCs w:val="21"/>
                <w:highlight w:val="none"/>
                <w:lang w:val="en-US" w:eastAsia="zh-CN"/>
              </w:rPr>
              <w:t>；</w:t>
            </w:r>
          </w:p>
          <w:p w14:paraId="401ECB79">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rtl w:val="0"/>
                <w:lang w:val="zh-Hans" w:eastAsia="zh-CN"/>
              </w:rPr>
            </w:pPr>
            <w:r>
              <w:rPr>
                <w:rFonts w:hint="eastAsia" w:ascii="宋体" w:hAnsi="宋体" w:eastAsia="宋体" w:cs="宋体"/>
                <w:bCs/>
                <w:color w:val="auto"/>
                <w:sz w:val="21"/>
                <w:szCs w:val="21"/>
                <w:highlight w:val="none"/>
                <w:rtl w:val="0"/>
                <w:lang w:val="en-US" w:eastAsia="zh-CN"/>
              </w:rPr>
              <w:t>3.1.9压力控制系统：</w:t>
            </w:r>
            <w:r>
              <w:rPr>
                <w:rFonts w:hint="eastAsia" w:ascii="宋体" w:hAnsi="宋体" w:eastAsia="宋体" w:cs="宋体"/>
                <w:bCs/>
                <w:color w:val="auto"/>
                <w:sz w:val="21"/>
                <w:szCs w:val="21"/>
                <w:highlight w:val="none"/>
                <w:rtl w:val="0"/>
                <w:lang w:val="zh-Hans" w:eastAsia="zh-Hans"/>
              </w:rPr>
              <w:t>内置压力传感系统，实时监测反应腔内压力，实时显示压力数据与压力曲线</w:t>
            </w:r>
            <w:r>
              <w:rPr>
                <w:rFonts w:hint="eastAsia" w:ascii="宋体" w:hAnsi="宋体" w:eastAsia="宋体" w:cs="宋体"/>
                <w:bCs/>
                <w:color w:val="auto"/>
                <w:sz w:val="21"/>
                <w:szCs w:val="21"/>
                <w:highlight w:val="none"/>
                <w:rtl w:val="0"/>
                <w:lang w:val="en-US" w:eastAsia="zh-CN"/>
              </w:rPr>
              <w:t>；</w:t>
            </w:r>
          </w:p>
          <w:p w14:paraId="187593C4">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rtl w:val="0"/>
                <w:lang w:val="zh-Hans"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rtl w:val="0"/>
                <w:lang w:val="en-US" w:eastAsia="zh-CN"/>
              </w:rPr>
              <w:t>3.1.10 消解完成以后，内衬杯或腔盖可整体自动提升；【投标时需提供内衬杯或腔盖自动提升过程照片并加盖投保人单位公章】</w:t>
            </w:r>
          </w:p>
          <w:p w14:paraId="0958BDC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rtl w:val="0"/>
                <w:lang w:val="en-US"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rtl w:val="0"/>
                <w:lang w:val="en-US" w:eastAsia="zh-CN"/>
              </w:rPr>
              <w:t xml:space="preserve">3.1.11 </w:t>
            </w:r>
            <w:r>
              <w:rPr>
                <w:rFonts w:hint="eastAsia" w:ascii="宋体" w:hAnsi="宋体" w:eastAsia="宋体" w:cs="宋体"/>
                <w:bCs/>
                <w:color w:val="auto"/>
                <w:sz w:val="21"/>
                <w:szCs w:val="21"/>
                <w:highlight w:val="none"/>
                <w:rtl w:val="0"/>
                <w:lang w:val="zh-Hans" w:eastAsia="zh-Hans"/>
              </w:rPr>
              <w:t>仪器反应腔支持使用</w:t>
            </w:r>
            <w:r>
              <w:rPr>
                <w:rFonts w:hint="eastAsia" w:ascii="宋体" w:hAnsi="宋体" w:eastAsia="宋体" w:cs="宋体"/>
                <w:bCs/>
                <w:color w:val="auto"/>
                <w:sz w:val="21"/>
                <w:szCs w:val="21"/>
                <w:highlight w:val="none"/>
                <w:rtl w:val="0"/>
                <w:lang w:val="en-US" w:eastAsia="zh-CN"/>
              </w:rPr>
              <w:t>逆王水等</w:t>
            </w:r>
            <w:r>
              <w:rPr>
                <w:rFonts w:hint="eastAsia" w:ascii="宋体" w:hAnsi="宋体" w:eastAsia="宋体" w:cs="宋体"/>
                <w:bCs/>
                <w:color w:val="auto"/>
                <w:sz w:val="21"/>
                <w:szCs w:val="21"/>
                <w:highlight w:val="none"/>
                <w:rtl w:val="0"/>
                <w:lang w:val="zh-Hans" w:eastAsia="zh-Hans"/>
              </w:rPr>
              <w:t>试剂消解样品</w:t>
            </w:r>
            <w:r>
              <w:rPr>
                <w:rFonts w:hint="eastAsia" w:ascii="宋体" w:hAnsi="宋体" w:eastAsia="宋体" w:cs="宋体"/>
                <w:bCs/>
                <w:color w:val="auto"/>
                <w:sz w:val="21"/>
                <w:szCs w:val="21"/>
                <w:highlight w:val="none"/>
                <w:rtl w:val="0"/>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投标时需提供参数部件照片及说明</w:t>
            </w:r>
            <w:r>
              <w:rPr>
                <w:rFonts w:hint="eastAsia" w:ascii="宋体" w:hAnsi="宋体" w:eastAsia="宋体" w:cs="宋体"/>
                <w:color w:val="auto"/>
                <w:sz w:val="21"/>
                <w:szCs w:val="21"/>
                <w:highlight w:val="none"/>
                <w:lang w:eastAsia="zh-CN"/>
              </w:rPr>
              <w:t>】</w:t>
            </w:r>
          </w:p>
          <w:p w14:paraId="2EC5CF4C">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rtl w:val="0"/>
                <w:lang w:val="en-US"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rtl w:val="0"/>
                <w:lang w:val="en-US" w:eastAsia="zh-CN"/>
              </w:rPr>
              <w:t>3.1.12 支架及消解管：消解管类型可选玻璃，石英，特氟龙等，消解管体积5-50mL范围内最少三种规格可选，并匹配相应规格的特氟龙支架；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投标时需提供拟配置装置清单列表及照片图片</w:t>
            </w:r>
            <w:r>
              <w:rPr>
                <w:rFonts w:hint="eastAsia" w:ascii="宋体" w:hAnsi="宋体" w:eastAsia="宋体" w:cs="宋体"/>
                <w:color w:val="auto"/>
                <w:sz w:val="21"/>
                <w:szCs w:val="21"/>
                <w:highlight w:val="none"/>
                <w:lang w:eastAsia="zh-CN"/>
              </w:rPr>
              <w:t>】</w:t>
            </w:r>
          </w:p>
          <w:p w14:paraId="681DC3EC">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rtl w:val="0"/>
                <w:lang w:val="en-US" w:eastAsia="zh-CN"/>
              </w:rPr>
            </w:pPr>
            <w:r>
              <w:rPr>
                <w:rFonts w:hint="eastAsia" w:ascii="宋体" w:hAnsi="宋体" w:eastAsia="宋体" w:cs="宋体"/>
                <w:bCs/>
                <w:color w:val="auto"/>
                <w:sz w:val="21"/>
                <w:szCs w:val="21"/>
                <w:highlight w:val="none"/>
                <w:rtl w:val="0"/>
                <w:lang w:val="en-US" w:eastAsia="zh-CN"/>
              </w:rPr>
              <w:t>3.2 软件控制系统：</w:t>
            </w:r>
          </w:p>
          <w:p w14:paraId="7F75EA0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rtl w:val="0"/>
                <w:lang w:val="zh-Hans" w:eastAsia="zh-CN"/>
              </w:rPr>
            </w:pPr>
            <w:r>
              <w:rPr>
                <w:rFonts w:hint="eastAsia" w:ascii="宋体" w:hAnsi="宋体" w:eastAsia="宋体" w:cs="宋体"/>
                <w:bCs/>
                <w:color w:val="auto"/>
                <w:sz w:val="21"/>
                <w:szCs w:val="21"/>
                <w:highlight w:val="none"/>
                <w:rtl w:val="0"/>
                <w:lang w:val="en-US" w:eastAsia="zh-CN"/>
              </w:rPr>
              <w:t>3.2.1</w:t>
            </w:r>
            <w:r>
              <w:rPr>
                <w:rFonts w:hint="eastAsia" w:ascii="宋体" w:hAnsi="宋体" w:eastAsia="宋体" w:cs="宋体"/>
                <w:bCs/>
                <w:color w:val="auto"/>
                <w:sz w:val="21"/>
                <w:szCs w:val="21"/>
                <w:highlight w:val="none"/>
                <w:rtl w:val="0"/>
                <w:lang w:val="zh-Hans" w:eastAsia="zh-Hans"/>
              </w:rPr>
              <w:t>通过预设方法曲线自动调节微波功率，实时显示微波功率曲线</w:t>
            </w:r>
            <w:r>
              <w:rPr>
                <w:rFonts w:hint="eastAsia" w:ascii="宋体" w:hAnsi="宋体" w:eastAsia="宋体" w:cs="宋体"/>
                <w:bCs/>
                <w:color w:val="auto"/>
                <w:sz w:val="21"/>
                <w:szCs w:val="21"/>
                <w:highlight w:val="none"/>
                <w:rtl w:val="0"/>
                <w:lang w:val="en-US" w:eastAsia="zh-CN"/>
              </w:rPr>
              <w:t>；</w:t>
            </w:r>
          </w:p>
          <w:p w14:paraId="40FA81FC">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rtl w:val="0"/>
                <w:lang w:val="zh-Hans" w:eastAsia="zh-CN"/>
              </w:rPr>
            </w:pPr>
            <w:r>
              <w:rPr>
                <w:rFonts w:hint="eastAsia" w:ascii="宋体" w:hAnsi="宋体" w:eastAsia="宋体" w:cs="宋体"/>
                <w:bCs/>
                <w:color w:val="auto"/>
                <w:sz w:val="21"/>
                <w:szCs w:val="21"/>
                <w:highlight w:val="none"/>
                <w:rtl w:val="0"/>
                <w:lang w:val="en-US" w:eastAsia="zh-CN"/>
              </w:rPr>
              <w:t xml:space="preserve">3.2.2 </w:t>
            </w:r>
            <w:r>
              <w:rPr>
                <w:rFonts w:hint="eastAsia" w:ascii="宋体" w:hAnsi="宋体" w:eastAsia="宋体" w:cs="宋体"/>
                <w:bCs/>
                <w:color w:val="auto"/>
                <w:sz w:val="21"/>
                <w:szCs w:val="21"/>
                <w:highlight w:val="none"/>
                <w:rtl w:val="0"/>
                <w:lang w:val="zh-Hans" w:eastAsia="zh-Hans"/>
              </w:rPr>
              <w:t>可控制和修改所有的反应参数</w:t>
            </w:r>
            <w:r>
              <w:rPr>
                <w:rFonts w:hint="eastAsia" w:ascii="宋体" w:hAnsi="宋体" w:eastAsia="宋体" w:cs="宋体"/>
                <w:bCs/>
                <w:color w:val="auto"/>
                <w:sz w:val="21"/>
                <w:szCs w:val="21"/>
                <w:highlight w:val="none"/>
                <w:rtl w:val="0"/>
                <w:lang w:val="en-US" w:eastAsia="zh-CN"/>
              </w:rPr>
              <w:t>；</w:t>
            </w:r>
          </w:p>
          <w:p w14:paraId="6B524642">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rtl w:val="0"/>
                <w:lang w:val="en-US" w:eastAsia="zh-CN"/>
              </w:rPr>
            </w:pPr>
            <w:r>
              <w:rPr>
                <w:rFonts w:hint="eastAsia" w:ascii="宋体" w:hAnsi="宋体" w:eastAsia="宋体" w:cs="宋体"/>
                <w:bCs/>
                <w:color w:val="auto"/>
                <w:sz w:val="21"/>
                <w:szCs w:val="21"/>
                <w:highlight w:val="none"/>
                <w:rtl w:val="0"/>
                <w:lang w:val="en-US" w:eastAsia="zh-CN"/>
              </w:rPr>
              <w:t xml:space="preserve">3.2.3 </w:t>
            </w:r>
            <w:r>
              <w:rPr>
                <w:rFonts w:hint="eastAsia" w:ascii="宋体" w:hAnsi="宋体" w:eastAsia="宋体" w:cs="宋体"/>
                <w:bCs/>
                <w:color w:val="auto"/>
                <w:sz w:val="21"/>
                <w:szCs w:val="21"/>
                <w:highlight w:val="none"/>
                <w:rtl w:val="0"/>
                <w:lang w:val="zh-Hans" w:eastAsia="zh-Hans"/>
              </w:rPr>
              <w:t>具有智能程序升温、梯度升温功能，实时显示反应腔内温度、压力</w:t>
            </w:r>
            <w:r>
              <w:rPr>
                <w:rFonts w:hint="eastAsia" w:ascii="宋体" w:hAnsi="宋体" w:eastAsia="宋体" w:cs="宋体"/>
                <w:bCs/>
                <w:color w:val="auto"/>
                <w:sz w:val="21"/>
                <w:szCs w:val="21"/>
                <w:highlight w:val="none"/>
                <w:rtl w:val="0"/>
                <w:lang w:val="en-US" w:eastAsia="zh-CN"/>
              </w:rPr>
              <w:t>；</w:t>
            </w:r>
          </w:p>
          <w:p w14:paraId="39970026">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rtl w:val="0"/>
                <w:lang w:val="en-US" w:eastAsia="zh-CN"/>
              </w:rPr>
            </w:pPr>
            <w:r>
              <w:rPr>
                <w:rFonts w:hint="eastAsia" w:ascii="宋体" w:hAnsi="宋体" w:eastAsia="宋体" w:cs="宋体"/>
                <w:bCs/>
                <w:color w:val="auto"/>
                <w:sz w:val="21"/>
                <w:szCs w:val="21"/>
                <w:highlight w:val="none"/>
                <w:rtl w:val="0"/>
                <w:lang w:val="en-US" w:eastAsia="zh-CN"/>
              </w:rPr>
              <w:t>3.2.4 智能移动终端（手机、平板电脑等）可远程监测仪器设备的运行状态，智能移动终端等实时显示所有数据及曲线；</w:t>
            </w:r>
          </w:p>
          <w:p w14:paraId="5B088612">
            <w:pPr>
              <w:spacing w:after="0" w:line="400" w:lineRule="exact"/>
              <w:rPr>
                <w:rFonts w:hint="eastAsia" w:ascii="宋体" w:hAnsi="宋体" w:eastAsia="宋体" w:cs="宋体"/>
                <w:b w:val="0"/>
                <w:bCs w:val="0"/>
                <w:color w:val="auto"/>
                <w:sz w:val="21"/>
                <w:szCs w:val="21"/>
                <w:highlight w:val="none"/>
                <w:lang w:eastAsia="zh-CN"/>
              </w:rPr>
            </w:pPr>
            <w:r>
              <w:rPr>
                <w:rFonts w:hint="eastAsia" w:ascii="宋体" w:hAnsi="宋体" w:eastAsia="宋体" w:cs="宋体"/>
                <w:bCs/>
                <w:color w:val="auto"/>
                <w:sz w:val="21"/>
                <w:szCs w:val="21"/>
                <w:highlight w:val="none"/>
                <w:rtl w:val="0"/>
                <w:lang w:val="en-US" w:eastAsia="zh-CN"/>
              </w:rPr>
              <w:t>3.2.5仪</w:t>
            </w:r>
            <w:r>
              <w:rPr>
                <w:rFonts w:hint="eastAsia" w:ascii="宋体" w:hAnsi="宋体" w:eastAsia="宋体" w:cs="宋体"/>
                <w:b w:val="0"/>
                <w:bCs w:val="0"/>
                <w:color w:val="auto"/>
                <w:sz w:val="21"/>
                <w:szCs w:val="21"/>
                <w:highlight w:val="none"/>
              </w:rPr>
              <w:t>器具有状态灯光系统，</w:t>
            </w:r>
            <w:r>
              <w:rPr>
                <w:rFonts w:hint="eastAsia" w:ascii="宋体" w:hAnsi="宋体" w:eastAsia="宋体" w:cs="宋体"/>
                <w:b w:val="0"/>
                <w:bCs w:val="0"/>
                <w:color w:val="auto"/>
                <w:sz w:val="21"/>
                <w:szCs w:val="21"/>
                <w:highlight w:val="none"/>
                <w:lang w:val="en-US" w:eastAsia="zh-CN"/>
              </w:rPr>
              <w:t>实时显示</w:t>
            </w:r>
            <w:r>
              <w:rPr>
                <w:rFonts w:hint="eastAsia" w:ascii="宋体" w:hAnsi="宋体" w:eastAsia="宋体" w:cs="宋体"/>
                <w:bCs/>
                <w:color w:val="auto"/>
                <w:sz w:val="21"/>
                <w:szCs w:val="21"/>
                <w:highlight w:val="none"/>
                <w:rtl w:val="0"/>
                <w:lang w:val="zh-Hans" w:eastAsia="zh-Hans"/>
              </w:rPr>
              <w:t>设备状态</w:t>
            </w:r>
            <w:r>
              <w:rPr>
                <w:rFonts w:hint="eastAsia" w:ascii="宋体" w:hAnsi="宋体" w:eastAsia="宋体" w:cs="宋体"/>
                <w:b w:val="0"/>
                <w:bCs w:val="0"/>
                <w:color w:val="auto"/>
                <w:sz w:val="21"/>
                <w:szCs w:val="21"/>
                <w:highlight w:val="none"/>
                <w:lang w:val="en-US" w:eastAsia="zh-CN"/>
              </w:rPr>
              <w:t>；</w:t>
            </w:r>
          </w:p>
          <w:p w14:paraId="59C5E27E">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rtl w:val="0"/>
                <w:lang w:val="en-US" w:eastAsia="zh-CN"/>
              </w:rPr>
            </w:pPr>
            <w:r>
              <w:rPr>
                <w:rFonts w:hint="eastAsia" w:ascii="宋体" w:hAnsi="宋体" w:eastAsia="宋体" w:cs="宋体"/>
                <w:bCs/>
                <w:color w:val="auto"/>
                <w:sz w:val="21"/>
                <w:szCs w:val="21"/>
                <w:highlight w:val="none"/>
                <w:rtl w:val="0"/>
                <w:lang w:val="en-US" w:eastAsia="zh-CN"/>
              </w:rPr>
              <w:t>3.3赶酸模块：</w:t>
            </w:r>
          </w:p>
          <w:p w14:paraId="660FF0E7">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rtl w:val="0"/>
                <w:lang w:val="en-US" w:eastAsia="zh-CN"/>
              </w:rPr>
            </w:pPr>
            <w:r>
              <w:rPr>
                <w:rFonts w:hint="eastAsia" w:ascii="宋体" w:hAnsi="宋体" w:eastAsia="宋体" w:cs="宋体"/>
                <w:bCs/>
                <w:color w:val="auto"/>
                <w:sz w:val="21"/>
                <w:szCs w:val="21"/>
                <w:highlight w:val="none"/>
                <w:rtl w:val="0"/>
                <w:lang w:val="en-US" w:eastAsia="zh-CN"/>
              </w:rPr>
              <w:t>3.3.1控温范围：室温-200℃；</w:t>
            </w:r>
          </w:p>
          <w:p w14:paraId="4DD2F3F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rtl w:val="0"/>
                <w:lang w:val="en-US" w:eastAsia="zh-CN"/>
              </w:rPr>
            </w:pPr>
            <w:r>
              <w:rPr>
                <w:rFonts w:hint="eastAsia" w:ascii="宋体" w:hAnsi="宋体" w:eastAsia="宋体" w:cs="宋体"/>
                <w:bCs/>
                <w:color w:val="auto"/>
                <w:sz w:val="21"/>
                <w:szCs w:val="21"/>
                <w:highlight w:val="none"/>
                <w:rtl w:val="0"/>
                <w:lang w:val="en-US" w:eastAsia="zh-CN"/>
              </w:rPr>
              <w:t>3.3.2控温精度： ±1℃；</w:t>
            </w:r>
          </w:p>
          <w:p w14:paraId="071C2219">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rtl w:val="0"/>
                <w:lang w:val="en-US" w:eastAsia="zh-CN"/>
              </w:rPr>
            </w:pPr>
            <w:r>
              <w:rPr>
                <w:rFonts w:hint="eastAsia" w:ascii="宋体" w:hAnsi="宋体" w:eastAsia="宋体" w:cs="宋体"/>
                <w:bCs/>
                <w:color w:val="auto"/>
                <w:sz w:val="21"/>
                <w:szCs w:val="21"/>
                <w:highlight w:val="none"/>
                <w:rtl w:val="0"/>
                <w:lang w:val="en-US" w:eastAsia="zh-CN"/>
              </w:rPr>
              <w:t>3.3.3整机通过防腐处理，加热材质为石墨，表面喷有特氟龙防腐涂层，操作台面喷涂特氟龙防腐涂层；</w:t>
            </w:r>
          </w:p>
          <w:p w14:paraId="3A432B92">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rtl w:val="0"/>
                <w:lang w:val="en-US"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rtl w:val="0"/>
                <w:lang w:val="en-US" w:eastAsia="zh-CN"/>
              </w:rPr>
              <w:t>3.3.4样品孔数：大于等于27个；至少满足三种规格消解管；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投标时需提供拟配置装置清单列表及照片图片</w:t>
            </w:r>
            <w:r>
              <w:rPr>
                <w:rFonts w:hint="eastAsia" w:ascii="宋体" w:hAnsi="宋体" w:eastAsia="宋体" w:cs="宋体"/>
                <w:color w:val="auto"/>
                <w:sz w:val="21"/>
                <w:szCs w:val="21"/>
                <w:highlight w:val="none"/>
                <w:lang w:eastAsia="zh-CN"/>
              </w:rPr>
              <w:t>】</w:t>
            </w:r>
          </w:p>
          <w:p w14:paraId="0057309B">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rtl w:val="0"/>
                <w:lang w:val="en-US" w:eastAsia="zh-CN"/>
              </w:rPr>
            </w:pPr>
            <w:r>
              <w:rPr>
                <w:rFonts w:hint="eastAsia" w:ascii="宋体" w:hAnsi="宋体" w:eastAsia="宋体" w:cs="宋体"/>
                <w:bCs/>
                <w:color w:val="auto"/>
                <w:sz w:val="21"/>
                <w:szCs w:val="21"/>
                <w:highlight w:val="none"/>
                <w:rtl w:val="0"/>
                <w:lang w:val="en-US" w:eastAsia="zh-CN"/>
              </w:rPr>
              <w:t>3.3.5定时范围：1-999分钟。</w:t>
            </w:r>
          </w:p>
          <w:p w14:paraId="30FCF954">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、单台配置及消耗品清单（可实现技术参数的功能）</w:t>
            </w:r>
          </w:p>
          <w:p w14:paraId="2E992EBC">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rtl w:val="0"/>
                <w:lang w:val="en-US" w:eastAsia="zh-CN"/>
              </w:rPr>
            </w:pPr>
            <w:r>
              <w:rPr>
                <w:rFonts w:hint="eastAsia" w:ascii="宋体" w:hAnsi="宋体" w:eastAsia="宋体" w:cs="宋体"/>
                <w:bCs/>
                <w:color w:val="auto"/>
                <w:sz w:val="21"/>
                <w:szCs w:val="21"/>
                <w:highlight w:val="none"/>
                <w:rtl w:val="0"/>
                <w:lang w:val="en-US" w:eastAsia="zh-CN"/>
              </w:rPr>
              <w:t>4.1超级微波消解仪主机（含一体式控制系统和操作软件，</w:t>
            </w:r>
            <w:r>
              <w:rPr>
                <w:rFonts w:hint="eastAsia" w:ascii="宋体" w:hAnsi="宋体" w:eastAsia="宋体" w:cs="宋体"/>
                <w:bCs/>
                <w:color w:val="auto"/>
                <w:sz w:val="21"/>
                <w:szCs w:val="21"/>
                <w:highlight w:val="none"/>
                <w:rtl w:val="0"/>
                <w:lang w:val="zh-Hans" w:eastAsia="zh-Hans"/>
              </w:rPr>
              <w:t>内置一体式触摸屏，</w:t>
            </w:r>
            <w:r>
              <w:rPr>
                <w:rFonts w:hint="eastAsia" w:ascii="宋体" w:hAnsi="宋体" w:eastAsia="宋体" w:cs="宋体"/>
                <w:bCs/>
                <w:color w:val="auto"/>
                <w:sz w:val="21"/>
                <w:szCs w:val="21"/>
                <w:highlight w:val="none"/>
                <w:rtl w:val="0"/>
                <w:lang w:val="en-US" w:eastAsia="zh-CN"/>
              </w:rPr>
              <w:t>屏幕≥8英寸），1套；</w:t>
            </w:r>
          </w:p>
          <w:p w14:paraId="16439F16">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rtl w:val="0"/>
                <w:lang w:val="en-US" w:eastAsia="zh-CN"/>
              </w:rPr>
            </w:pPr>
            <w:r>
              <w:rPr>
                <w:rFonts w:hint="eastAsia" w:ascii="宋体" w:hAnsi="宋体" w:eastAsia="宋体" w:cs="宋体"/>
                <w:bCs/>
                <w:color w:val="auto"/>
                <w:sz w:val="21"/>
                <w:szCs w:val="21"/>
                <w:highlight w:val="none"/>
                <w:rtl w:val="0"/>
                <w:lang w:val="en-US" w:eastAsia="zh-CN"/>
              </w:rPr>
              <w:t>4.2高精度温度控制系统，1套；</w:t>
            </w:r>
          </w:p>
          <w:p w14:paraId="08477D91">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rtl w:val="0"/>
                <w:lang w:val="en-US" w:eastAsia="zh-CN"/>
              </w:rPr>
            </w:pPr>
            <w:r>
              <w:rPr>
                <w:rFonts w:hint="eastAsia" w:ascii="宋体" w:hAnsi="宋体" w:eastAsia="宋体" w:cs="宋体"/>
                <w:bCs/>
                <w:color w:val="auto"/>
                <w:sz w:val="21"/>
                <w:szCs w:val="21"/>
                <w:highlight w:val="none"/>
                <w:rtl w:val="0"/>
                <w:lang w:val="en-US" w:eastAsia="zh-CN"/>
              </w:rPr>
              <w:t>4.3自动压力控制系统，1套；</w:t>
            </w:r>
          </w:p>
          <w:p w14:paraId="52AA402C">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rtl w:val="0"/>
                <w:lang w:val="en-US" w:eastAsia="zh-CN"/>
              </w:rPr>
            </w:pPr>
            <w:r>
              <w:rPr>
                <w:rFonts w:hint="eastAsia" w:ascii="宋体" w:hAnsi="宋体" w:eastAsia="宋体" w:cs="宋体"/>
                <w:bCs/>
                <w:color w:val="auto"/>
                <w:sz w:val="21"/>
                <w:szCs w:val="21"/>
                <w:highlight w:val="none"/>
                <w:rtl w:val="0"/>
                <w:lang w:val="en-US" w:eastAsia="zh-CN"/>
              </w:rPr>
              <w:t>4.4冷却系统，1套；</w:t>
            </w:r>
          </w:p>
          <w:p w14:paraId="7F1E9383">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rtl w:val="0"/>
                <w:lang w:val="en-US" w:eastAsia="zh-CN"/>
              </w:rPr>
            </w:pPr>
            <w:r>
              <w:rPr>
                <w:rFonts w:hint="eastAsia" w:ascii="宋体" w:hAnsi="宋体" w:eastAsia="宋体" w:cs="宋体"/>
                <w:bCs/>
                <w:color w:val="auto"/>
                <w:sz w:val="21"/>
                <w:szCs w:val="21"/>
                <w:highlight w:val="none"/>
                <w:rtl w:val="0"/>
                <w:lang w:val="en-US" w:eastAsia="zh-CN"/>
              </w:rPr>
              <w:t>4.5特氟龙支架及配套消解管1（位数≥7位，配消解管体积≥30ml，数量18根，特氟龙盖子18个，若有配套专用</w:t>
            </w:r>
            <w:r>
              <w:rPr>
                <w:rFonts w:hint="eastAsia" w:ascii="宋体" w:hAnsi="宋体" w:eastAsia="宋体" w:cs="宋体"/>
                <w:color w:val="auto"/>
                <w:sz w:val="21"/>
                <w:szCs w:val="21"/>
                <w:highlight w:val="none"/>
                <w:lang w:val="en-US" w:eastAsia="zh-CN"/>
              </w:rPr>
              <w:t>定位盘，须提供</w:t>
            </w:r>
            <w:r>
              <w:rPr>
                <w:rFonts w:hint="eastAsia" w:ascii="宋体" w:hAnsi="宋体" w:eastAsia="宋体" w:cs="宋体"/>
                <w:bCs/>
                <w:color w:val="auto"/>
                <w:sz w:val="21"/>
                <w:szCs w:val="21"/>
                <w:highlight w:val="none"/>
                <w:rtl w:val="0"/>
                <w:lang w:val="en-US" w:eastAsia="zh-CN"/>
              </w:rPr>
              <w:t>），1套；</w:t>
            </w:r>
          </w:p>
          <w:p w14:paraId="71119697">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rtl w:val="0"/>
                <w:lang w:val="en-US" w:eastAsia="zh-CN"/>
              </w:rPr>
            </w:pPr>
            <w:r>
              <w:rPr>
                <w:rFonts w:hint="eastAsia" w:ascii="宋体" w:hAnsi="宋体" w:eastAsia="宋体" w:cs="宋体"/>
                <w:bCs/>
                <w:color w:val="auto"/>
                <w:sz w:val="21"/>
                <w:szCs w:val="21"/>
                <w:highlight w:val="none"/>
                <w:rtl w:val="0"/>
                <w:lang w:val="en-US" w:eastAsia="zh-CN"/>
              </w:rPr>
              <w:t>4.6特氟龙支架及配套消解管2（位数≥18位，配套特氟龙消解管体积≥14ml，36 根，特氟龙盖子36个，若有配套专用</w:t>
            </w:r>
            <w:r>
              <w:rPr>
                <w:rFonts w:hint="eastAsia" w:ascii="宋体" w:hAnsi="宋体" w:eastAsia="宋体" w:cs="宋体"/>
                <w:color w:val="auto"/>
                <w:sz w:val="21"/>
                <w:szCs w:val="21"/>
                <w:highlight w:val="none"/>
                <w:lang w:val="en-US" w:eastAsia="zh-CN"/>
              </w:rPr>
              <w:t>定位盘，须提供</w:t>
            </w:r>
            <w:r>
              <w:rPr>
                <w:rFonts w:hint="eastAsia" w:ascii="宋体" w:hAnsi="宋体" w:eastAsia="宋体" w:cs="宋体"/>
                <w:bCs/>
                <w:color w:val="auto"/>
                <w:sz w:val="21"/>
                <w:szCs w:val="21"/>
                <w:highlight w:val="none"/>
                <w:rtl w:val="0"/>
                <w:lang w:val="en-US" w:eastAsia="zh-CN"/>
              </w:rPr>
              <w:t>），1套；</w:t>
            </w:r>
          </w:p>
          <w:p w14:paraId="38A8DBAE">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sz w:val="21"/>
                <w:szCs w:val="21"/>
                <w:highlight w:val="none"/>
                <w:rtl w:val="0"/>
                <w:lang w:val="en-US" w:eastAsia="zh-CN"/>
              </w:rPr>
            </w:pPr>
            <w:r>
              <w:rPr>
                <w:rFonts w:hint="eastAsia" w:ascii="宋体" w:hAnsi="宋体" w:eastAsia="宋体" w:cs="宋体"/>
                <w:bCs/>
                <w:color w:val="auto"/>
                <w:sz w:val="21"/>
                <w:szCs w:val="21"/>
                <w:highlight w:val="none"/>
                <w:rtl w:val="0"/>
                <w:lang w:val="en-US" w:eastAsia="zh-CN"/>
              </w:rPr>
              <w:t>4.7特氟龙支架及配套消解管3（位数≥24位，配套特氟龙消解管体积≥7ml，48根，特氟龙盖子48个，若有配套专用</w:t>
            </w:r>
            <w:r>
              <w:rPr>
                <w:rFonts w:hint="eastAsia" w:ascii="宋体" w:hAnsi="宋体" w:eastAsia="宋体" w:cs="宋体"/>
                <w:color w:val="auto"/>
                <w:sz w:val="21"/>
                <w:szCs w:val="21"/>
                <w:highlight w:val="none"/>
                <w:lang w:val="en-US" w:eastAsia="zh-CN"/>
              </w:rPr>
              <w:t>定位盘，须提供</w:t>
            </w:r>
            <w:r>
              <w:rPr>
                <w:rFonts w:hint="eastAsia" w:ascii="宋体" w:hAnsi="宋体" w:eastAsia="宋体" w:cs="宋体"/>
                <w:bCs/>
                <w:color w:val="auto"/>
                <w:sz w:val="21"/>
                <w:szCs w:val="21"/>
                <w:highlight w:val="none"/>
                <w:rtl w:val="0"/>
                <w:lang w:val="en-US" w:eastAsia="zh-CN"/>
              </w:rPr>
              <w:t>），1套；</w:t>
            </w:r>
          </w:p>
          <w:p w14:paraId="7F456E32">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tl w:val="0"/>
                <w:lang w:val="en-US" w:eastAsia="zh-CN"/>
              </w:rPr>
              <w:t>4.8赶酸模块（孔位大小和位数同时满足4.5、4.6、4.7要求），1套。</w:t>
            </w:r>
          </w:p>
        </w:tc>
      </w:tr>
    </w:tbl>
    <w:p w14:paraId="1F6E7033">
      <w:pPr>
        <w:pStyle w:val="31"/>
        <w:rPr>
          <w:rFonts w:hint="eastAsia"/>
          <w:color w:val="auto"/>
          <w:highlight w:val="none"/>
          <w:lang w:val="en-US" w:eastAsia="zh-CN"/>
        </w:rPr>
      </w:pPr>
    </w:p>
    <w:p w14:paraId="612BC6FB">
      <w:pP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br w:type="page"/>
      </w:r>
    </w:p>
    <w:p w14:paraId="3D1DAC86">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outlineLvl w:val="1"/>
        <w:rPr>
          <w:rFonts w:hint="eastAsia" w:ascii="宋体" w:hAnsi="宋体" w:eastAsia="宋体" w:cs="宋体"/>
          <w:b/>
          <w:bCs/>
          <w:color w:val="auto"/>
          <w:kern w:val="0"/>
          <w:sz w:val="21"/>
          <w:szCs w:val="21"/>
          <w:highlight w:val="none"/>
          <w:lang w:val="en-US" w:eastAsia="zh-CN" w:bidi="ar-SA"/>
        </w:rPr>
      </w:pPr>
      <w:bookmarkStart w:id="103" w:name="_Toc20536"/>
      <w:bookmarkStart w:id="104" w:name="_Toc22305"/>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六</w:t>
      </w:r>
      <w:r>
        <w:rPr>
          <w:rFonts w:hint="eastAsia" w:ascii="宋体" w:hAnsi="宋体" w:eastAsia="宋体" w:cs="宋体"/>
          <w:b/>
          <w:bCs/>
          <w:color w:val="auto"/>
          <w:kern w:val="0"/>
          <w:sz w:val="21"/>
          <w:szCs w:val="21"/>
          <w:highlight w:val="none"/>
          <w:lang w:val="en-US" w:eastAsia="zh-CN" w:bidi="ar-SA"/>
        </w:rPr>
        <w:t>）标项</w:t>
      </w:r>
      <w:r>
        <w:rPr>
          <w:rFonts w:hint="eastAsia" w:ascii="宋体" w:hAnsi="宋体" w:cs="宋体"/>
          <w:b/>
          <w:bCs/>
          <w:color w:val="auto"/>
          <w:kern w:val="0"/>
          <w:sz w:val="21"/>
          <w:szCs w:val="21"/>
          <w:highlight w:val="none"/>
          <w:lang w:val="en-US" w:eastAsia="zh-CN" w:bidi="ar-SA"/>
        </w:rPr>
        <w:t>六</w:t>
      </w:r>
      <w:r>
        <w:rPr>
          <w:rFonts w:hint="eastAsia" w:ascii="宋体" w:hAnsi="宋体" w:eastAsia="宋体" w:cs="宋体"/>
          <w:b/>
          <w:bCs/>
          <w:color w:val="auto"/>
          <w:kern w:val="0"/>
          <w:sz w:val="21"/>
          <w:szCs w:val="21"/>
          <w:highlight w:val="none"/>
          <w:lang w:val="en-US" w:eastAsia="zh-CN" w:bidi="ar-SA"/>
        </w:rPr>
        <w:t>（分包</w:t>
      </w:r>
      <w:r>
        <w:rPr>
          <w:rFonts w:hint="eastAsia" w:ascii="宋体" w:hAnsi="宋体" w:cs="宋体"/>
          <w:b/>
          <w:bCs/>
          <w:color w:val="auto"/>
          <w:kern w:val="0"/>
          <w:sz w:val="21"/>
          <w:szCs w:val="21"/>
          <w:highlight w:val="none"/>
          <w:lang w:val="en-US" w:eastAsia="zh-CN" w:bidi="ar-SA"/>
        </w:rPr>
        <w:t>6</w:t>
      </w:r>
      <w:r>
        <w:rPr>
          <w:rFonts w:hint="eastAsia" w:ascii="宋体" w:hAnsi="宋体" w:eastAsia="宋体" w:cs="宋体"/>
          <w:b/>
          <w:bCs/>
          <w:color w:val="auto"/>
          <w:kern w:val="0"/>
          <w:sz w:val="21"/>
          <w:szCs w:val="21"/>
          <w:highlight w:val="none"/>
          <w:lang w:val="en-US" w:eastAsia="zh-CN" w:bidi="ar-SA"/>
        </w:rPr>
        <w:t>）的技术要求</w:t>
      </w:r>
      <w:bookmarkEnd w:id="103"/>
      <w:bookmarkEnd w:id="104"/>
    </w:p>
    <w:tbl>
      <w:tblPr>
        <w:tblStyle w:val="48"/>
        <w:tblpPr w:leftFromText="180" w:rightFromText="180" w:vertAnchor="text" w:horzAnchor="page" w:tblpX="1361" w:tblpY="605"/>
        <w:tblOverlap w:val="never"/>
        <w:tblW w:w="93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807"/>
        <w:gridCol w:w="600"/>
        <w:gridCol w:w="896"/>
        <w:gridCol w:w="927"/>
        <w:gridCol w:w="5594"/>
      </w:tblGrid>
      <w:tr w14:paraId="63FA7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567" w:type="dxa"/>
            <w:noWrap w:val="0"/>
            <w:vAlign w:val="center"/>
          </w:tcPr>
          <w:p w14:paraId="01CB3926">
            <w:pPr>
              <w:keepNext w:val="0"/>
              <w:keepLines w:val="0"/>
              <w:suppressLineNumbers w:val="0"/>
              <w:tabs>
                <w:tab w:val="left" w:pos="180"/>
                <w:tab w:val="left" w:pos="1620"/>
              </w:tabs>
              <w:spacing w:before="0" w:beforeAutospacing="0" w:after="0" w:afterAutospacing="0" w:line="40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807" w:type="dxa"/>
            <w:noWrap w:val="0"/>
            <w:vAlign w:val="center"/>
          </w:tcPr>
          <w:p w14:paraId="2BC5542F">
            <w:pPr>
              <w:keepNext w:val="0"/>
              <w:keepLines w:val="0"/>
              <w:suppressLineNumbers w:val="0"/>
              <w:tabs>
                <w:tab w:val="left" w:pos="180"/>
                <w:tab w:val="left" w:pos="1620"/>
              </w:tabs>
              <w:spacing w:before="0" w:beforeAutospacing="0" w:after="0" w:afterAutospacing="0" w:line="40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标的名称</w:t>
            </w:r>
          </w:p>
        </w:tc>
        <w:tc>
          <w:tcPr>
            <w:tcW w:w="600" w:type="dxa"/>
            <w:noWrap w:val="0"/>
            <w:vAlign w:val="center"/>
          </w:tcPr>
          <w:p w14:paraId="61308681">
            <w:pPr>
              <w:keepNext w:val="0"/>
              <w:keepLines w:val="0"/>
              <w:suppressLineNumbers w:val="0"/>
              <w:tabs>
                <w:tab w:val="left" w:pos="180"/>
                <w:tab w:val="left" w:pos="1620"/>
              </w:tabs>
              <w:spacing w:before="0" w:beforeAutospacing="0" w:after="0" w:afterAutospacing="0" w:line="40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896" w:type="dxa"/>
            <w:noWrap w:val="0"/>
            <w:vAlign w:val="center"/>
          </w:tcPr>
          <w:p w14:paraId="6D80DA0F">
            <w:pPr>
              <w:keepNext w:val="0"/>
              <w:keepLines w:val="0"/>
              <w:suppressLineNumbers w:val="0"/>
              <w:tabs>
                <w:tab w:val="left" w:pos="180"/>
                <w:tab w:val="left" w:pos="1620"/>
              </w:tabs>
              <w:spacing w:before="0" w:beforeAutospacing="0" w:after="0" w:afterAutospacing="0" w:line="40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控制</w:t>
            </w:r>
            <w:r>
              <w:rPr>
                <w:rFonts w:hint="eastAsia" w:ascii="宋体" w:hAnsi="宋体" w:eastAsia="宋体" w:cs="宋体"/>
                <w:b/>
                <w:color w:val="auto"/>
                <w:sz w:val="21"/>
                <w:szCs w:val="21"/>
                <w:highlight w:val="none"/>
              </w:rPr>
              <w:t>单价</w:t>
            </w:r>
          </w:p>
          <w:p w14:paraId="1E1C69BD">
            <w:pPr>
              <w:keepNext w:val="0"/>
              <w:keepLines w:val="0"/>
              <w:suppressLineNumbers w:val="0"/>
              <w:tabs>
                <w:tab w:val="left" w:pos="180"/>
                <w:tab w:val="left" w:pos="1620"/>
              </w:tabs>
              <w:spacing w:before="0" w:beforeAutospacing="0" w:after="0" w:afterAutospacing="0" w:line="40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（万元）</w:t>
            </w:r>
          </w:p>
        </w:tc>
        <w:tc>
          <w:tcPr>
            <w:tcW w:w="927" w:type="dxa"/>
            <w:noWrap w:val="0"/>
            <w:vAlign w:val="center"/>
          </w:tcPr>
          <w:p w14:paraId="1ABB26DD">
            <w:pPr>
              <w:keepNext w:val="0"/>
              <w:keepLines w:val="0"/>
              <w:suppressLineNumbers w:val="0"/>
              <w:tabs>
                <w:tab w:val="left" w:pos="180"/>
                <w:tab w:val="left" w:pos="1620"/>
              </w:tabs>
              <w:spacing w:before="0" w:beforeAutospacing="0" w:after="0" w:afterAutospacing="0" w:line="40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控制总价</w:t>
            </w:r>
            <w:r>
              <w:rPr>
                <w:rFonts w:hint="eastAsia" w:ascii="宋体" w:hAnsi="宋体" w:eastAsia="宋体" w:cs="宋体"/>
                <w:b/>
                <w:color w:val="auto"/>
                <w:sz w:val="21"/>
                <w:szCs w:val="21"/>
                <w:highlight w:val="none"/>
              </w:rPr>
              <w:t>（万元）</w:t>
            </w:r>
          </w:p>
        </w:tc>
        <w:tc>
          <w:tcPr>
            <w:tcW w:w="5594" w:type="dxa"/>
            <w:noWrap w:val="0"/>
            <w:vAlign w:val="center"/>
          </w:tcPr>
          <w:p w14:paraId="49F8F5F4">
            <w:pPr>
              <w:keepNext w:val="0"/>
              <w:keepLines w:val="0"/>
              <w:suppressLineNumbers w:val="0"/>
              <w:tabs>
                <w:tab w:val="left" w:pos="180"/>
                <w:tab w:val="left" w:pos="1620"/>
              </w:tabs>
              <w:spacing w:before="0" w:beforeAutospacing="0" w:after="0" w:afterAutospacing="0" w:line="40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技术参数要求</w:t>
            </w:r>
          </w:p>
          <w:p w14:paraId="48809344">
            <w:pPr>
              <w:keepNext w:val="0"/>
              <w:keepLines w:val="0"/>
              <w:suppressLineNumbers w:val="0"/>
              <w:tabs>
                <w:tab w:val="left" w:pos="180"/>
                <w:tab w:val="left" w:pos="1620"/>
              </w:tabs>
              <w:spacing w:before="0" w:beforeAutospacing="0" w:after="0" w:afterAutospacing="0" w:line="400" w:lineRule="exact"/>
              <w:ind w:left="0" w:right="0"/>
              <w:jc w:val="center"/>
              <w:rPr>
                <w:rFonts w:hint="eastAsia" w:ascii="宋体" w:hAnsi="宋体" w:eastAsia="宋体" w:cs="宋体"/>
                <w:b/>
                <w:color w:val="auto"/>
                <w:sz w:val="21"/>
                <w:szCs w:val="21"/>
                <w:highlight w:val="none"/>
                <w:lang w:eastAsia="zh-CN"/>
              </w:rPr>
            </w:pPr>
            <w:r>
              <w:rPr>
                <w:rFonts w:hint="eastAsia" w:ascii="宋体" w:hAnsi="宋体" w:eastAsia="宋体" w:cs="宋体"/>
                <w:b w:val="0"/>
                <w:bCs/>
                <w:color w:val="auto"/>
                <w:sz w:val="21"/>
                <w:szCs w:val="21"/>
                <w:highlight w:val="none"/>
                <w:lang w:eastAsia="zh-CN"/>
              </w:rPr>
              <w:t>（“▲”为实质性</w:t>
            </w:r>
            <w:r>
              <w:rPr>
                <w:rFonts w:hint="eastAsia" w:ascii="宋体" w:hAnsi="宋体" w:eastAsia="宋体" w:cs="宋体"/>
                <w:b w:val="0"/>
                <w:bCs/>
                <w:color w:val="auto"/>
                <w:sz w:val="21"/>
                <w:szCs w:val="21"/>
                <w:highlight w:val="none"/>
                <w:lang w:val="en-US" w:eastAsia="zh-CN"/>
              </w:rPr>
              <w:t>参数</w:t>
            </w:r>
            <w:r>
              <w:rPr>
                <w:rFonts w:hint="eastAsia" w:ascii="宋体" w:hAnsi="宋体" w:eastAsia="宋体" w:cs="宋体"/>
                <w:b w:val="0"/>
                <w:bCs/>
                <w:color w:val="auto"/>
                <w:sz w:val="21"/>
                <w:szCs w:val="21"/>
                <w:highlight w:val="none"/>
                <w:lang w:eastAsia="zh-CN"/>
              </w:rPr>
              <w:t>，投标时必须满足，“■”为重要参数，其他为一般性参数，</w:t>
            </w:r>
            <w:r>
              <w:rPr>
                <w:rFonts w:hint="eastAsia" w:ascii="宋体" w:hAnsi="宋体" w:eastAsia="宋体" w:cs="宋体"/>
                <w:b w:val="0"/>
                <w:bCs/>
                <w:color w:val="auto"/>
                <w:sz w:val="21"/>
                <w:szCs w:val="21"/>
                <w:highlight w:val="none"/>
                <w:lang w:val="en-US" w:eastAsia="zh-CN"/>
              </w:rPr>
              <w:t>按评标标准评审</w:t>
            </w:r>
            <w:r>
              <w:rPr>
                <w:rFonts w:hint="eastAsia" w:ascii="宋体" w:hAnsi="宋体" w:eastAsia="宋体" w:cs="宋体"/>
                <w:b w:val="0"/>
                <w:bCs/>
                <w:color w:val="auto"/>
                <w:sz w:val="21"/>
                <w:szCs w:val="21"/>
                <w:highlight w:val="none"/>
                <w:lang w:eastAsia="zh-CN"/>
              </w:rPr>
              <w:t>）</w:t>
            </w:r>
          </w:p>
        </w:tc>
      </w:tr>
      <w:tr w14:paraId="4BAB3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567" w:type="dxa"/>
            <w:shd w:val="clear" w:color="auto" w:fill="auto"/>
            <w:noWrap w:val="0"/>
            <w:vAlign w:val="center"/>
          </w:tcPr>
          <w:p w14:paraId="478266FF">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807" w:type="dxa"/>
            <w:shd w:val="clear" w:color="auto" w:fill="auto"/>
            <w:noWrap w:val="0"/>
            <w:vAlign w:val="center"/>
          </w:tcPr>
          <w:p w14:paraId="1A673DA0">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遥感影像接收处理工作站</w:t>
            </w:r>
          </w:p>
        </w:tc>
        <w:tc>
          <w:tcPr>
            <w:tcW w:w="600" w:type="dxa"/>
            <w:shd w:val="clear" w:color="auto" w:fill="auto"/>
            <w:noWrap w:val="0"/>
            <w:vAlign w:val="center"/>
          </w:tcPr>
          <w:p w14:paraId="5A7354A2">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896" w:type="dxa"/>
            <w:shd w:val="clear" w:color="auto" w:fill="auto"/>
            <w:noWrap w:val="0"/>
            <w:vAlign w:val="center"/>
          </w:tcPr>
          <w:p w14:paraId="3B067FCC">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280.5</w:t>
            </w:r>
          </w:p>
        </w:tc>
        <w:tc>
          <w:tcPr>
            <w:tcW w:w="927" w:type="dxa"/>
            <w:shd w:val="clear" w:color="auto" w:fill="auto"/>
            <w:noWrap w:val="0"/>
            <w:vAlign w:val="center"/>
          </w:tcPr>
          <w:p w14:paraId="28A9D891">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280.5</w:t>
            </w:r>
          </w:p>
        </w:tc>
        <w:tc>
          <w:tcPr>
            <w:tcW w:w="5594" w:type="dxa"/>
            <w:shd w:val="clear" w:color="auto" w:fill="auto"/>
            <w:noWrap w:val="0"/>
            <w:vAlign w:val="top"/>
          </w:tcPr>
          <w:p w14:paraId="044B684A">
            <w:pPr>
              <w:keepNext w:val="0"/>
              <w:keepLines w:val="0"/>
              <w:numPr>
                <w:ilvl w:val="0"/>
                <w:numId w:val="0"/>
              </w:numPr>
              <w:suppressLineNumbers w:val="0"/>
              <w:spacing w:before="0" w:beforeAutospacing="0" w:after="0" w:afterAutospacing="0" w:line="400" w:lineRule="exact"/>
              <w:ind w:left="0" w:right="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一、遥感影像接收处理工作站设备组成：</w:t>
            </w:r>
          </w:p>
          <w:p w14:paraId="3E24D1BC">
            <w:pPr>
              <w:keepNext w:val="0"/>
              <w:keepLines w:val="0"/>
              <w:numPr>
                <w:ilvl w:val="0"/>
                <w:numId w:val="0"/>
              </w:numPr>
              <w:suppressLineNumbers w:val="0"/>
              <w:spacing w:before="0" w:beforeAutospacing="0" w:after="0" w:afterAutospacing="0" w:line="40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1.主体部分包括：2台数据获取处理工作站、1台地图制作工作站、存储设备；</w:t>
            </w:r>
          </w:p>
          <w:p w14:paraId="7FE44C01">
            <w:pPr>
              <w:keepNext w:val="0"/>
              <w:keepLines w:val="0"/>
              <w:numPr>
                <w:ilvl w:val="0"/>
                <w:numId w:val="0"/>
              </w:numPr>
              <w:suppressLineNumbers w:val="0"/>
              <w:spacing w:before="0" w:beforeAutospacing="0" w:after="0" w:afterAutospacing="0" w:line="40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2.配件部分包括：5台固定遥感影像处理终端、2台移动数据处理终端、5台移动手持采集器。</w:t>
            </w:r>
          </w:p>
          <w:p w14:paraId="11E8DED7">
            <w:pPr>
              <w:keepNext w:val="0"/>
              <w:keepLines w:val="0"/>
              <w:numPr>
                <w:ilvl w:val="-1"/>
                <w:numId w:val="0"/>
              </w:numPr>
              <w:suppressLineNumbers w:val="0"/>
              <w:spacing w:before="0" w:beforeAutospacing="0" w:after="0" w:afterAutospacing="0" w:line="400" w:lineRule="exact"/>
              <w:ind w:left="0" w:right="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二、技术参数：</w:t>
            </w:r>
          </w:p>
          <w:p w14:paraId="160EC212">
            <w:pPr>
              <w:keepNext w:val="0"/>
              <w:keepLines w:val="0"/>
              <w:numPr>
                <w:ilvl w:val="-1"/>
                <w:numId w:val="0"/>
              </w:numPr>
              <w:suppressLineNumbers w:val="0"/>
              <w:spacing w:before="0" w:beforeAutospacing="0" w:after="0" w:afterAutospacing="0" w:line="400" w:lineRule="exact"/>
              <w:ind w:left="0" w:right="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（一）主体部分</w:t>
            </w:r>
          </w:p>
          <w:p w14:paraId="00EE9CF1">
            <w:pPr>
              <w:keepNext w:val="0"/>
              <w:keepLines w:val="0"/>
              <w:numPr>
                <w:ilvl w:val="0"/>
                <w:numId w:val="0"/>
              </w:numPr>
              <w:suppressLineNumbers w:val="0"/>
              <w:spacing w:before="0" w:beforeAutospacing="0" w:after="0" w:afterAutospacing="0" w:line="40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1.数据获取处理工作站：</w:t>
            </w:r>
          </w:p>
          <w:p w14:paraId="17FF4FF8">
            <w:pPr>
              <w:keepNext w:val="0"/>
              <w:keepLines w:val="0"/>
              <w:numPr>
                <w:ilvl w:val="0"/>
                <w:numId w:val="0"/>
              </w:numPr>
              <w:suppressLineNumbers w:val="0"/>
              <w:spacing w:before="0" w:beforeAutospacing="0" w:after="0" w:afterAutospacing="0" w:line="40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CPU：不低于20核*2</w:t>
            </w:r>
          </w:p>
          <w:p w14:paraId="596BA59B">
            <w:pPr>
              <w:keepNext w:val="0"/>
              <w:keepLines w:val="0"/>
              <w:numPr>
                <w:ilvl w:val="0"/>
                <w:numId w:val="0"/>
              </w:numPr>
              <w:suppressLineNumbers w:val="0"/>
              <w:spacing w:before="0" w:beforeAutospacing="0" w:after="0" w:afterAutospacing="0" w:line="40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内存：不低于</w:t>
            </w:r>
            <w:r>
              <w:rPr>
                <w:rFonts w:hint="eastAsia" w:ascii="宋体" w:hAnsi="宋体" w:cs="宋体"/>
                <w:color w:val="auto"/>
                <w:sz w:val="21"/>
                <w:szCs w:val="21"/>
                <w:highlight w:val="none"/>
                <w:lang w:val="en-US" w:eastAsia="zh-CN"/>
              </w:rPr>
              <w:t>128</w:t>
            </w:r>
            <w:r>
              <w:rPr>
                <w:rFonts w:hint="eastAsia" w:ascii="宋体" w:hAnsi="宋体" w:eastAsia="宋体" w:cs="宋体"/>
                <w:color w:val="auto"/>
                <w:sz w:val="21"/>
                <w:szCs w:val="21"/>
                <w:highlight w:val="none"/>
                <w:lang w:val="en-US" w:eastAsia="zh-CN"/>
              </w:rPr>
              <w:t>GB</w:t>
            </w:r>
          </w:p>
          <w:p w14:paraId="17E8DA1F">
            <w:pPr>
              <w:keepNext w:val="0"/>
              <w:keepLines w:val="0"/>
              <w:numPr>
                <w:ilvl w:val="0"/>
                <w:numId w:val="0"/>
              </w:numPr>
              <w:suppressLineNumbers w:val="0"/>
              <w:spacing w:before="0" w:beforeAutospacing="0" w:after="0" w:afterAutospacing="0" w:line="40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系统盘：不低于2TB SSD</w:t>
            </w:r>
          </w:p>
          <w:p w14:paraId="4FC68A8C">
            <w:pPr>
              <w:keepNext w:val="0"/>
              <w:keepLines w:val="0"/>
              <w:numPr>
                <w:ilvl w:val="0"/>
                <w:numId w:val="0"/>
              </w:numPr>
              <w:suppressLineNumbers w:val="0"/>
              <w:spacing w:before="0" w:beforeAutospacing="0" w:after="0" w:afterAutospacing="0" w:line="40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生产盘：不低于</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TB SSD</w:t>
            </w:r>
          </w:p>
          <w:p w14:paraId="370AD9E1">
            <w:pPr>
              <w:keepNext w:val="0"/>
              <w:keepLines w:val="0"/>
              <w:numPr>
                <w:ilvl w:val="0"/>
                <w:numId w:val="0"/>
              </w:numPr>
              <w:suppressLineNumbers w:val="0"/>
              <w:spacing w:before="0" w:beforeAutospacing="0" w:after="0" w:afterAutospacing="0" w:line="40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存储盘：数据集中存放</w:t>
            </w:r>
          </w:p>
          <w:p w14:paraId="71BEDCCA">
            <w:pPr>
              <w:keepNext w:val="0"/>
              <w:keepLines w:val="0"/>
              <w:numPr>
                <w:ilvl w:val="0"/>
                <w:numId w:val="0"/>
              </w:numPr>
              <w:suppressLineNumbers w:val="0"/>
              <w:spacing w:before="0" w:beforeAutospacing="0" w:after="0" w:afterAutospacing="0" w:line="40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▲操作系统：国产麒麟操作系统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1C4EB73D">
            <w:pPr>
              <w:keepNext w:val="0"/>
              <w:keepLines w:val="0"/>
              <w:numPr>
                <w:ilvl w:val="-1"/>
                <w:numId w:val="0"/>
              </w:numPr>
              <w:suppressLineNumbers w:val="0"/>
              <w:spacing w:before="0" w:beforeAutospacing="0" w:after="0" w:afterAutospacing="0" w:line="400" w:lineRule="exact"/>
              <w:ind w:left="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2.地图制作工作站：</w:t>
            </w:r>
          </w:p>
          <w:p w14:paraId="2F602E76">
            <w:pPr>
              <w:keepNext w:val="0"/>
              <w:keepLines w:val="0"/>
              <w:numPr>
                <w:ilvl w:val="-1"/>
                <w:numId w:val="0"/>
              </w:numPr>
              <w:suppressLineNumbers w:val="0"/>
              <w:spacing w:before="0" w:beforeAutospacing="0" w:after="0" w:afterAutospacing="0" w:line="400" w:lineRule="exact"/>
              <w:ind w:left="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CPU：不低于20核*2</w:t>
            </w:r>
          </w:p>
          <w:p w14:paraId="4641BFFD">
            <w:pPr>
              <w:keepNext w:val="0"/>
              <w:keepLines w:val="0"/>
              <w:numPr>
                <w:ilvl w:val="-1"/>
                <w:numId w:val="0"/>
              </w:numPr>
              <w:suppressLineNumbers w:val="0"/>
              <w:spacing w:before="0" w:beforeAutospacing="0" w:after="0" w:afterAutospacing="0" w:line="400" w:lineRule="exact"/>
              <w:ind w:left="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GPU：不低于24G显存独立显卡</w:t>
            </w:r>
          </w:p>
          <w:p w14:paraId="238753B6">
            <w:pPr>
              <w:keepNext w:val="0"/>
              <w:keepLines w:val="0"/>
              <w:numPr>
                <w:ilvl w:val="-1"/>
                <w:numId w:val="0"/>
              </w:numPr>
              <w:suppressLineNumbers w:val="0"/>
              <w:spacing w:before="0" w:beforeAutospacing="0" w:after="0" w:afterAutospacing="0" w:line="400" w:lineRule="exact"/>
              <w:ind w:left="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内存：不低于</w:t>
            </w:r>
            <w:r>
              <w:rPr>
                <w:rFonts w:hint="eastAsia" w:ascii="宋体" w:hAnsi="宋体" w:cs="宋体"/>
                <w:color w:val="auto"/>
                <w:sz w:val="21"/>
                <w:szCs w:val="21"/>
                <w:highlight w:val="none"/>
                <w:lang w:val="en-US" w:eastAsia="zh-CN"/>
              </w:rPr>
              <w:t>128</w:t>
            </w:r>
            <w:r>
              <w:rPr>
                <w:rFonts w:hint="eastAsia" w:ascii="宋体" w:hAnsi="宋体" w:eastAsia="宋体" w:cs="宋体"/>
                <w:color w:val="auto"/>
                <w:sz w:val="21"/>
                <w:szCs w:val="21"/>
                <w:highlight w:val="none"/>
                <w:lang w:val="en-US" w:eastAsia="zh-CN"/>
              </w:rPr>
              <w:t>GB</w:t>
            </w:r>
          </w:p>
          <w:p w14:paraId="6FD3F241">
            <w:pPr>
              <w:keepNext w:val="0"/>
              <w:keepLines w:val="0"/>
              <w:numPr>
                <w:ilvl w:val="-1"/>
                <w:numId w:val="0"/>
              </w:numPr>
              <w:suppressLineNumbers w:val="0"/>
              <w:spacing w:before="0" w:beforeAutospacing="0" w:after="0" w:afterAutospacing="0" w:line="400" w:lineRule="exact"/>
              <w:ind w:left="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系统盘：不低于2TB SSD</w:t>
            </w:r>
          </w:p>
          <w:p w14:paraId="779FC9C7">
            <w:pPr>
              <w:keepNext w:val="0"/>
              <w:keepLines w:val="0"/>
              <w:numPr>
                <w:ilvl w:val="-1"/>
                <w:numId w:val="0"/>
              </w:numPr>
              <w:suppressLineNumbers w:val="0"/>
              <w:spacing w:before="0" w:beforeAutospacing="0" w:after="0" w:afterAutospacing="0" w:line="400" w:lineRule="exact"/>
              <w:ind w:left="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生产盘：不低于</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TB SSD</w:t>
            </w:r>
          </w:p>
          <w:p w14:paraId="3A3CC4FA">
            <w:pPr>
              <w:keepNext w:val="0"/>
              <w:keepLines w:val="0"/>
              <w:numPr>
                <w:ilvl w:val="-1"/>
                <w:numId w:val="0"/>
              </w:numPr>
              <w:suppressLineNumbers w:val="0"/>
              <w:spacing w:before="0" w:beforeAutospacing="0" w:after="0" w:afterAutospacing="0" w:line="400" w:lineRule="exact"/>
              <w:ind w:left="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存储盘：数据集中存放</w:t>
            </w:r>
          </w:p>
          <w:p w14:paraId="7C08A69E">
            <w:pPr>
              <w:keepNext w:val="0"/>
              <w:keepLines w:val="0"/>
              <w:numPr>
                <w:ilvl w:val="-1"/>
                <w:numId w:val="0"/>
              </w:numPr>
              <w:suppressLineNumbers w:val="0"/>
              <w:spacing w:before="0" w:beforeAutospacing="0" w:after="0" w:afterAutospacing="0" w:line="400" w:lineRule="exact"/>
              <w:ind w:left="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▲操作系统：国产麒麟操作系统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49D29DB2">
            <w:pPr>
              <w:keepNext w:val="0"/>
              <w:keepLines w:val="0"/>
              <w:numPr>
                <w:ilvl w:val="-1"/>
                <w:numId w:val="0"/>
              </w:numPr>
              <w:suppressLineNumbers w:val="0"/>
              <w:spacing w:before="0" w:beforeAutospacing="0" w:after="0" w:afterAutospacing="0" w:line="400" w:lineRule="exact"/>
              <w:ind w:left="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3.存储设备：</w:t>
            </w:r>
          </w:p>
          <w:p w14:paraId="1869F47D">
            <w:pPr>
              <w:keepNext w:val="0"/>
              <w:keepLines w:val="0"/>
              <w:numPr>
                <w:ilvl w:val="-1"/>
                <w:numId w:val="0"/>
              </w:numPr>
              <w:suppressLineNumbers w:val="0"/>
              <w:spacing w:before="0" w:beforeAutospacing="0" w:after="0" w:afterAutospacing="0" w:line="400" w:lineRule="exact"/>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不低于</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0TB，4U 双控制器，含</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块2.5英寸SAS硬盘-10000RPM-600GB-DSU2624-G2，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块3.5英寸SAS硬盘-7200RPM-10TB-DSU2624-G2。在现有的参数上，采购的硬件设备必须支持存储内存可扩容到PB级别的能力。如，目前是</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0T，后续必须支持在保持数据不迁移的情况下可继续扩展存储内存。</w:t>
            </w:r>
          </w:p>
          <w:p w14:paraId="082746F8">
            <w:pPr>
              <w:keepNext w:val="0"/>
              <w:keepLines w:val="0"/>
              <w:numPr>
                <w:ilvl w:val="-1"/>
                <w:numId w:val="0"/>
              </w:numPr>
              <w:suppressLineNumbers w:val="0"/>
              <w:spacing w:before="0" w:beforeAutospacing="0" w:after="0" w:afterAutospacing="0" w:line="400" w:lineRule="exact"/>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lang w:val="en-US" w:eastAsia="zh-CN"/>
              </w:rPr>
              <w:t>遥感影像接收处理工作站功能，包括影像自动接入与入库管理、影像处理、影像切片与影像</w:t>
            </w:r>
            <w:r>
              <w:rPr>
                <w:rFonts w:hint="eastAsia" w:ascii="宋体" w:hAnsi="宋体" w:cs="宋体"/>
                <w:color w:val="auto"/>
                <w:sz w:val="21"/>
                <w:szCs w:val="21"/>
                <w:highlight w:val="none"/>
                <w:lang w:val="en-US" w:eastAsia="zh-CN"/>
              </w:rPr>
              <w:t>地</w:t>
            </w:r>
            <w:r>
              <w:rPr>
                <w:rFonts w:hint="eastAsia" w:ascii="宋体" w:hAnsi="宋体" w:eastAsia="宋体" w:cs="宋体"/>
                <w:color w:val="auto"/>
                <w:sz w:val="21"/>
                <w:szCs w:val="21"/>
                <w:highlight w:val="none"/>
                <w:lang w:val="en-US" w:eastAsia="zh-CN"/>
              </w:rPr>
              <w:t>图制作功能、遥感影像一张图生产功能、生态参数计算功能模块扩展等。</w:t>
            </w:r>
          </w:p>
          <w:p w14:paraId="1613695C">
            <w:pPr>
              <w:keepNext w:val="0"/>
              <w:keepLines w:val="0"/>
              <w:numPr>
                <w:ilvl w:val="-1"/>
                <w:numId w:val="0"/>
              </w:numPr>
              <w:suppressLineNumbers w:val="0"/>
              <w:spacing w:before="0" w:beforeAutospacing="0" w:after="0" w:afterAutospacing="0" w:line="400" w:lineRule="exact"/>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 影像自动入库管理功能</w:t>
            </w:r>
          </w:p>
          <w:p w14:paraId="62FF6AAA">
            <w:pPr>
              <w:keepNext w:val="0"/>
              <w:keepLines w:val="0"/>
              <w:numPr>
                <w:ilvl w:val="-1"/>
                <w:numId w:val="0"/>
              </w:numPr>
              <w:suppressLineNumbers w:val="0"/>
              <w:spacing w:before="0" w:beforeAutospacing="0" w:after="0" w:afterAutospacing="0" w:line="400" w:lineRule="exact"/>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支持国产卫星影像（高分、ZY、FY 系列）自动接入与归档入库；多源数据编目、时空、关键字检索、可视化及元数据管理，提供2年数据</w:t>
            </w:r>
            <w:r>
              <w:rPr>
                <w:rFonts w:hint="eastAsia" w:ascii="宋体" w:hAnsi="宋体" w:cs="宋体"/>
                <w:color w:val="auto"/>
                <w:sz w:val="21"/>
                <w:szCs w:val="21"/>
                <w:highlight w:val="none"/>
                <w:lang w:val="en-US" w:eastAsia="zh-CN"/>
              </w:rPr>
              <w:t>免费</w:t>
            </w:r>
            <w:r>
              <w:rPr>
                <w:rFonts w:hint="eastAsia" w:ascii="宋体" w:hAnsi="宋体" w:eastAsia="宋体" w:cs="宋体"/>
                <w:color w:val="auto"/>
                <w:sz w:val="21"/>
                <w:szCs w:val="21"/>
                <w:highlight w:val="none"/>
                <w:lang w:val="en-US" w:eastAsia="zh-CN"/>
              </w:rPr>
              <w:t>使用。</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正偏离：</w:t>
            </w:r>
            <w:r>
              <w:rPr>
                <w:rFonts w:hint="eastAsia" w:ascii="宋体" w:hAnsi="宋体" w:eastAsia="宋体" w:cs="宋体"/>
                <w:color w:val="auto"/>
                <w:sz w:val="21"/>
                <w:szCs w:val="21"/>
                <w:highlight w:val="none"/>
                <w:lang w:val="en-US" w:eastAsia="zh-CN"/>
              </w:rPr>
              <w:t>提供2年</w:t>
            </w:r>
            <w:r>
              <w:rPr>
                <w:rFonts w:hint="eastAsia" w:ascii="宋体" w:hAnsi="宋体" w:cs="宋体"/>
                <w:color w:val="auto"/>
                <w:sz w:val="21"/>
                <w:szCs w:val="21"/>
                <w:highlight w:val="none"/>
                <w:lang w:val="en-US" w:eastAsia="zh-CN"/>
              </w:rPr>
              <w:t>以上</w:t>
            </w:r>
            <w:r>
              <w:rPr>
                <w:rFonts w:hint="eastAsia" w:ascii="宋体" w:hAnsi="宋体" w:eastAsia="宋体" w:cs="宋体"/>
                <w:color w:val="auto"/>
                <w:sz w:val="21"/>
                <w:szCs w:val="21"/>
                <w:highlight w:val="none"/>
                <w:lang w:val="en-US" w:eastAsia="zh-CN"/>
              </w:rPr>
              <w:t>数据</w:t>
            </w:r>
            <w:r>
              <w:rPr>
                <w:rFonts w:hint="eastAsia" w:ascii="宋体" w:hAnsi="宋体" w:cs="宋体"/>
                <w:color w:val="auto"/>
                <w:sz w:val="21"/>
                <w:szCs w:val="21"/>
                <w:highlight w:val="none"/>
                <w:lang w:val="en-US" w:eastAsia="zh-CN"/>
              </w:rPr>
              <w:t>免费</w:t>
            </w:r>
            <w:r>
              <w:rPr>
                <w:rFonts w:hint="eastAsia" w:ascii="宋体" w:hAnsi="宋体" w:eastAsia="宋体" w:cs="宋体"/>
                <w:color w:val="auto"/>
                <w:sz w:val="21"/>
                <w:szCs w:val="21"/>
                <w:highlight w:val="none"/>
                <w:lang w:val="en-US" w:eastAsia="zh-CN"/>
              </w:rPr>
              <w:t>使用</w:t>
            </w:r>
            <w:r>
              <w:rPr>
                <w:rFonts w:hint="eastAsia" w:ascii="宋体" w:hAnsi="宋体" w:cs="宋体"/>
                <w:color w:val="auto"/>
                <w:sz w:val="21"/>
                <w:szCs w:val="21"/>
                <w:highlight w:val="none"/>
                <w:lang w:val="en-US" w:eastAsia="zh-CN"/>
              </w:rPr>
              <w:t>；无偏离：</w:t>
            </w:r>
            <w:r>
              <w:rPr>
                <w:rFonts w:hint="eastAsia" w:ascii="宋体" w:hAnsi="宋体" w:eastAsia="宋体" w:cs="宋体"/>
                <w:color w:val="auto"/>
                <w:sz w:val="21"/>
                <w:szCs w:val="21"/>
                <w:highlight w:val="none"/>
                <w:lang w:val="en-US" w:eastAsia="zh-CN"/>
              </w:rPr>
              <w:t>提供2年数据</w:t>
            </w:r>
            <w:r>
              <w:rPr>
                <w:rFonts w:hint="eastAsia" w:ascii="宋体" w:hAnsi="宋体" w:cs="宋体"/>
                <w:color w:val="auto"/>
                <w:sz w:val="21"/>
                <w:szCs w:val="21"/>
                <w:highlight w:val="none"/>
                <w:lang w:val="en-US" w:eastAsia="zh-CN"/>
              </w:rPr>
              <w:t>免费</w:t>
            </w:r>
            <w:r>
              <w:rPr>
                <w:rFonts w:hint="eastAsia" w:ascii="宋体" w:hAnsi="宋体" w:eastAsia="宋体" w:cs="宋体"/>
                <w:color w:val="auto"/>
                <w:sz w:val="21"/>
                <w:szCs w:val="21"/>
                <w:highlight w:val="none"/>
                <w:lang w:val="en-US" w:eastAsia="zh-CN"/>
              </w:rPr>
              <w:t>使用</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投标时需提供</w:t>
            </w:r>
            <w:r>
              <w:rPr>
                <w:rFonts w:hint="eastAsia" w:ascii="宋体" w:hAnsi="宋体" w:cs="宋体"/>
                <w:color w:val="auto"/>
                <w:sz w:val="21"/>
                <w:szCs w:val="21"/>
                <w:highlight w:val="none"/>
                <w:lang w:val="en-US" w:eastAsia="zh-CN"/>
              </w:rPr>
              <w:t>承诺函承诺</w:t>
            </w:r>
            <w:r>
              <w:rPr>
                <w:rFonts w:hint="eastAsia" w:ascii="宋体" w:hAnsi="宋体" w:eastAsia="宋体" w:cs="宋体"/>
                <w:color w:val="auto"/>
                <w:sz w:val="21"/>
                <w:szCs w:val="21"/>
                <w:highlight w:val="none"/>
                <w:lang w:val="en-US" w:eastAsia="zh-CN"/>
              </w:rPr>
              <w:t>影像自动入库管理功能</w:t>
            </w:r>
            <w:r>
              <w:rPr>
                <w:rFonts w:hint="eastAsia" w:ascii="宋体" w:hAnsi="宋体" w:cs="宋体"/>
                <w:color w:val="auto"/>
                <w:sz w:val="21"/>
                <w:szCs w:val="21"/>
                <w:highlight w:val="none"/>
                <w:lang w:val="en-US" w:eastAsia="zh-CN"/>
              </w:rPr>
              <w:t>免费使用年限</w:t>
            </w:r>
            <w:r>
              <w:rPr>
                <w:rFonts w:hint="eastAsia" w:ascii="宋体" w:hAnsi="宋体" w:eastAsia="宋体" w:cs="宋体"/>
                <w:color w:val="auto"/>
                <w:sz w:val="21"/>
                <w:szCs w:val="21"/>
                <w:highlight w:val="none"/>
                <w:lang w:eastAsia="zh-CN"/>
              </w:rPr>
              <w:t>】</w:t>
            </w:r>
          </w:p>
          <w:p w14:paraId="5BBA6B90">
            <w:pPr>
              <w:keepNext w:val="0"/>
              <w:keepLines w:val="0"/>
              <w:numPr>
                <w:ilvl w:val="-1"/>
                <w:numId w:val="0"/>
              </w:numPr>
              <w:suppressLineNumbers w:val="0"/>
              <w:spacing w:before="0" w:beforeAutospacing="0" w:after="0" w:afterAutospacing="0" w:line="400" w:lineRule="exact"/>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 影像处理功能</w:t>
            </w:r>
          </w:p>
          <w:p w14:paraId="634DAFCA">
            <w:pPr>
              <w:keepNext w:val="0"/>
              <w:keepLines w:val="0"/>
              <w:numPr>
                <w:ilvl w:val="-1"/>
                <w:numId w:val="0"/>
              </w:numPr>
              <w:suppressLineNumbers w:val="0"/>
              <w:spacing w:before="0" w:beforeAutospacing="0" w:after="0" w:afterAutospacing="0" w:line="400" w:lineRule="exact"/>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通用处理：解压缩、金字塔创建、波段合成等；</w:t>
            </w:r>
          </w:p>
          <w:p w14:paraId="681F9398">
            <w:pPr>
              <w:keepNext w:val="0"/>
              <w:keepLines w:val="0"/>
              <w:numPr>
                <w:ilvl w:val="-1"/>
                <w:numId w:val="0"/>
              </w:numPr>
              <w:suppressLineNumbers w:val="0"/>
              <w:spacing w:before="0" w:beforeAutospacing="0" w:after="0" w:afterAutospacing="0" w:line="400" w:lineRule="exact"/>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基础处理：正射校正、融合、真彩色等全流程。</w:t>
            </w:r>
          </w:p>
          <w:p w14:paraId="03E7649E">
            <w:pPr>
              <w:keepNext w:val="0"/>
              <w:keepLines w:val="0"/>
              <w:numPr>
                <w:ilvl w:val="-1"/>
                <w:numId w:val="0"/>
              </w:numPr>
              <w:suppressLineNumbers w:val="0"/>
              <w:spacing w:before="0" w:beforeAutospacing="0" w:after="0" w:afterAutospacing="0" w:line="400" w:lineRule="exact"/>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其中空间参考要求：（1）坐标系统为2000 国家大地坐标系（CGCS2000）（2）投影方式为高斯-克吕格投影，按3°分带，中央子午线分别为东经105°E、108°E、111°E，坐标单位为米。</w:t>
            </w:r>
          </w:p>
          <w:p w14:paraId="740D72B6">
            <w:pPr>
              <w:keepNext w:val="0"/>
              <w:keepLines w:val="0"/>
              <w:numPr>
                <w:ilvl w:val="-1"/>
                <w:numId w:val="0"/>
              </w:numPr>
              <w:suppressLineNumbers w:val="0"/>
              <w:spacing w:before="0" w:beforeAutospacing="0" w:after="0" w:afterAutospacing="0" w:line="400" w:lineRule="exact"/>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高程基准：1985 国家高程基准。</w:t>
            </w:r>
          </w:p>
          <w:p w14:paraId="1A3FBF8B">
            <w:pPr>
              <w:keepNext w:val="0"/>
              <w:keepLines w:val="0"/>
              <w:numPr>
                <w:ilvl w:val="-1"/>
                <w:numId w:val="0"/>
              </w:numPr>
              <w:suppressLineNumbers w:val="0"/>
              <w:spacing w:before="0" w:beforeAutospacing="0" w:after="0" w:afterAutospacing="0" w:line="400" w:lineRule="exact"/>
              <w:ind w:left="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 影像切片与</w:t>
            </w:r>
            <w:r>
              <w:rPr>
                <w:rFonts w:hint="eastAsia" w:ascii="宋体" w:hAnsi="宋体" w:cs="宋体"/>
                <w:color w:val="auto"/>
                <w:sz w:val="21"/>
                <w:szCs w:val="21"/>
                <w:highlight w:val="none"/>
                <w:lang w:val="en-US" w:eastAsia="zh-CN"/>
              </w:rPr>
              <w:t>地</w:t>
            </w:r>
            <w:r>
              <w:rPr>
                <w:rFonts w:hint="eastAsia" w:ascii="宋体" w:hAnsi="宋体" w:eastAsia="宋体" w:cs="宋体"/>
                <w:color w:val="auto"/>
                <w:sz w:val="21"/>
                <w:szCs w:val="21"/>
                <w:highlight w:val="none"/>
                <w:lang w:val="en-US" w:eastAsia="zh-CN"/>
              </w:rPr>
              <w:t>图制作功能</w:t>
            </w:r>
          </w:p>
          <w:p w14:paraId="33177B1D">
            <w:pPr>
              <w:keepNext w:val="0"/>
              <w:keepLines w:val="0"/>
              <w:numPr>
                <w:ilvl w:val="-1"/>
                <w:numId w:val="0"/>
              </w:numPr>
              <w:suppressLineNumbers w:val="0"/>
              <w:spacing w:before="0" w:beforeAutospacing="0" w:after="0" w:afterAutospacing="0" w:line="400" w:lineRule="exact"/>
              <w:ind w:left="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 OGC协议；地图服务瓦片调用响应≤</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s，支持任务集管理。</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正偏离：</w:t>
            </w:r>
            <w:r>
              <w:rPr>
                <w:rFonts w:hint="eastAsia" w:ascii="宋体" w:hAnsi="宋体" w:eastAsia="宋体" w:cs="宋体"/>
                <w:color w:val="auto"/>
                <w:sz w:val="21"/>
                <w:szCs w:val="21"/>
                <w:highlight w:val="none"/>
                <w:lang w:val="en-US" w:eastAsia="zh-CN"/>
              </w:rPr>
              <w:t>地图服务瓦片调用响应＜</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s</w:t>
            </w:r>
            <w:r>
              <w:rPr>
                <w:rFonts w:hint="eastAsia" w:ascii="宋体" w:hAnsi="宋体" w:cs="宋体"/>
                <w:color w:val="auto"/>
                <w:sz w:val="21"/>
                <w:szCs w:val="21"/>
                <w:highlight w:val="none"/>
                <w:lang w:val="en-US" w:eastAsia="zh-CN"/>
              </w:rPr>
              <w:t>同时</w:t>
            </w:r>
            <w:r>
              <w:rPr>
                <w:rFonts w:hint="eastAsia" w:ascii="宋体" w:hAnsi="宋体" w:eastAsia="宋体" w:cs="宋体"/>
                <w:color w:val="auto"/>
                <w:sz w:val="21"/>
                <w:szCs w:val="21"/>
                <w:highlight w:val="none"/>
                <w:lang w:val="en-US" w:eastAsia="zh-CN"/>
              </w:rPr>
              <w:t>支持任务集管理</w:t>
            </w:r>
            <w:r>
              <w:rPr>
                <w:rFonts w:hint="eastAsia" w:ascii="宋体" w:hAnsi="宋体" w:cs="宋体"/>
                <w:color w:val="auto"/>
                <w:sz w:val="21"/>
                <w:szCs w:val="21"/>
                <w:highlight w:val="none"/>
                <w:lang w:val="en-US" w:eastAsia="zh-CN"/>
              </w:rPr>
              <w:t>；无偏离：</w:t>
            </w:r>
            <w:r>
              <w:rPr>
                <w:rFonts w:hint="eastAsia" w:ascii="宋体" w:hAnsi="宋体" w:eastAsia="宋体" w:cs="宋体"/>
                <w:color w:val="auto"/>
                <w:sz w:val="21"/>
                <w:szCs w:val="21"/>
                <w:highlight w:val="none"/>
                <w:lang w:val="en-US" w:eastAsia="zh-CN"/>
              </w:rPr>
              <w:t>地图服务瓦片调用响应</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s</w:t>
            </w:r>
            <w:r>
              <w:rPr>
                <w:rFonts w:hint="eastAsia" w:ascii="宋体" w:hAnsi="宋体" w:cs="宋体"/>
                <w:color w:val="auto"/>
                <w:sz w:val="21"/>
                <w:szCs w:val="21"/>
                <w:highlight w:val="none"/>
                <w:lang w:val="en-US" w:eastAsia="zh-CN"/>
              </w:rPr>
              <w:t>同时</w:t>
            </w:r>
            <w:r>
              <w:rPr>
                <w:rFonts w:hint="eastAsia" w:ascii="宋体" w:hAnsi="宋体" w:eastAsia="宋体" w:cs="宋体"/>
                <w:color w:val="auto"/>
                <w:sz w:val="21"/>
                <w:szCs w:val="21"/>
                <w:highlight w:val="none"/>
                <w:lang w:val="en-US" w:eastAsia="zh-CN"/>
              </w:rPr>
              <w:t>支持任务集管理。投标时需提供产品彩页或有关证明材料并加盖投标人单位公章</w:t>
            </w:r>
            <w:r>
              <w:rPr>
                <w:rFonts w:hint="eastAsia" w:ascii="宋体" w:hAnsi="宋体" w:eastAsia="宋体" w:cs="宋体"/>
                <w:color w:val="auto"/>
                <w:sz w:val="21"/>
                <w:szCs w:val="21"/>
                <w:highlight w:val="none"/>
                <w:lang w:eastAsia="zh-CN"/>
              </w:rPr>
              <w:t>】</w:t>
            </w:r>
          </w:p>
          <w:p w14:paraId="03B87DD8">
            <w:pPr>
              <w:keepNext w:val="0"/>
              <w:keepLines w:val="0"/>
              <w:numPr>
                <w:ilvl w:val="-1"/>
                <w:numId w:val="0"/>
              </w:numPr>
              <w:suppressLineNumbers w:val="0"/>
              <w:spacing w:before="0" w:beforeAutospacing="0" w:after="0" w:afterAutospacing="0" w:line="400" w:lineRule="exact"/>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4.4</w:t>
            </w:r>
            <w:r>
              <w:rPr>
                <w:rFonts w:hint="eastAsia" w:ascii="宋体" w:hAnsi="宋体" w:eastAsia="宋体" w:cs="宋体"/>
                <w:color w:val="auto"/>
                <w:sz w:val="21"/>
                <w:szCs w:val="21"/>
                <w:highlight w:val="none"/>
                <w:lang w:val="en-US" w:eastAsia="zh-CN"/>
              </w:rPr>
              <w:t>影像产品一张图生产功能</w:t>
            </w:r>
          </w:p>
          <w:p w14:paraId="5869B093">
            <w:pPr>
              <w:keepNext w:val="0"/>
              <w:keepLines w:val="0"/>
              <w:numPr>
                <w:ilvl w:val="-1"/>
                <w:numId w:val="0"/>
              </w:numPr>
              <w:suppressLineNumbers w:val="0"/>
              <w:spacing w:before="0" w:beforeAutospacing="0" w:after="0" w:afterAutospacing="0" w:line="400" w:lineRule="exact"/>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支持自主选择区域、优选数据进行影像正射、融合、真彩色、匀色、镶嵌、分幅等处理，形成影像产品一张图。</w:t>
            </w:r>
          </w:p>
          <w:p w14:paraId="67632FCB">
            <w:pPr>
              <w:keepNext w:val="0"/>
              <w:keepLines w:val="0"/>
              <w:numPr>
                <w:ilvl w:val="-1"/>
                <w:numId w:val="0"/>
              </w:numPr>
              <w:suppressLineNumbers w:val="0"/>
              <w:spacing w:before="0" w:beforeAutospacing="0" w:after="0" w:afterAutospacing="0" w:line="400" w:lineRule="exact"/>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■4.5</w:t>
            </w:r>
            <w:r>
              <w:rPr>
                <w:rFonts w:hint="eastAsia" w:ascii="宋体" w:hAnsi="宋体" w:eastAsia="宋体" w:cs="宋体"/>
                <w:color w:val="auto"/>
                <w:sz w:val="21"/>
                <w:szCs w:val="21"/>
                <w:highlight w:val="none"/>
                <w:lang w:val="en-US" w:eastAsia="zh-CN"/>
              </w:rPr>
              <w:t>生态参数计算功能</w:t>
            </w:r>
          </w:p>
          <w:p w14:paraId="1A63BA17">
            <w:pPr>
              <w:keepNext w:val="0"/>
              <w:keepLines w:val="0"/>
              <w:numPr>
                <w:ilvl w:val="-1"/>
                <w:numId w:val="0"/>
              </w:numPr>
              <w:suppressLineNumbers w:val="0"/>
              <w:spacing w:before="0" w:beforeAutospacing="0" w:after="0" w:afterAutospacing="0" w:line="400" w:lineRule="exact"/>
              <w:ind w:left="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 FVC（植被覆盖度）、NDVI（归一化植被指数）计算</w:t>
            </w:r>
            <w:r>
              <w:rPr>
                <w:rFonts w:hint="eastAsia" w:ascii="宋体" w:hAnsi="宋体" w:cs="宋体"/>
                <w:color w:val="auto"/>
                <w:sz w:val="21"/>
                <w:szCs w:val="21"/>
                <w:highlight w:val="none"/>
                <w:lang w:val="en-US" w:eastAsia="zh-CN"/>
              </w:rPr>
              <w:t>，LAI（叶面积指数）、NPP（净初级生产力）等生态参数拓展</w:t>
            </w:r>
            <w:r>
              <w:rPr>
                <w:rFonts w:hint="eastAsia" w:ascii="宋体" w:hAnsi="宋体" w:eastAsia="宋体" w:cs="宋体"/>
                <w:color w:val="auto"/>
                <w:sz w:val="21"/>
                <w:szCs w:val="21"/>
                <w:highlight w:val="none"/>
                <w:lang w:val="en-US" w:eastAsia="zh-CN"/>
              </w:rPr>
              <w:t>功能，满足区域生态监测精度要求。</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正偏离：同时支持</w:t>
            </w:r>
            <w:r>
              <w:rPr>
                <w:rFonts w:hint="eastAsia" w:ascii="宋体" w:hAnsi="宋体" w:eastAsia="宋体" w:cs="宋体"/>
                <w:color w:val="auto"/>
                <w:sz w:val="21"/>
                <w:szCs w:val="21"/>
                <w:highlight w:val="none"/>
                <w:lang w:val="en-US" w:eastAsia="zh-CN"/>
              </w:rPr>
              <w:t>FVC</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NDVI</w:t>
            </w:r>
            <w:r>
              <w:rPr>
                <w:rFonts w:hint="eastAsia" w:ascii="宋体" w:hAnsi="宋体" w:cs="宋体"/>
                <w:color w:val="auto"/>
                <w:sz w:val="21"/>
                <w:szCs w:val="21"/>
                <w:highlight w:val="none"/>
                <w:lang w:val="en-US" w:eastAsia="zh-CN"/>
              </w:rPr>
              <w:t>计算和LAI、NPP拓展等4项功能；无偏离：支持</w:t>
            </w:r>
            <w:r>
              <w:rPr>
                <w:rFonts w:hint="eastAsia" w:ascii="宋体" w:hAnsi="宋体" w:eastAsia="宋体" w:cs="宋体"/>
                <w:color w:val="auto"/>
                <w:sz w:val="21"/>
                <w:szCs w:val="21"/>
                <w:highlight w:val="none"/>
                <w:lang w:val="en-US" w:eastAsia="zh-CN"/>
              </w:rPr>
              <w:t>FVC</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NDVI</w:t>
            </w:r>
            <w:r>
              <w:rPr>
                <w:rFonts w:hint="eastAsia" w:ascii="宋体" w:hAnsi="宋体" w:cs="宋体"/>
                <w:color w:val="auto"/>
                <w:sz w:val="21"/>
                <w:szCs w:val="21"/>
                <w:highlight w:val="none"/>
                <w:lang w:val="en-US" w:eastAsia="zh-CN"/>
              </w:rPr>
              <w:t>计算，但LAI、NPP拓展功能不全或佐证不够清晰。</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305727A9">
            <w:pPr>
              <w:keepNext w:val="0"/>
              <w:keepLines w:val="0"/>
              <w:numPr>
                <w:ilvl w:val="-1"/>
                <w:numId w:val="0"/>
              </w:numPr>
              <w:suppressLineNumbers w:val="0"/>
              <w:spacing w:before="0" w:beforeAutospacing="0" w:after="0" w:afterAutospacing="0" w:line="400" w:lineRule="exact"/>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4.6 质量控制与监控</w:t>
            </w:r>
          </w:p>
          <w:p w14:paraId="5ED883FE">
            <w:pPr>
              <w:keepNext w:val="0"/>
              <w:keepLines w:val="0"/>
              <w:numPr>
                <w:ilvl w:val="-1"/>
                <w:numId w:val="0"/>
              </w:numPr>
              <w:suppressLineNumbers w:val="0"/>
              <w:spacing w:before="0" w:beforeAutospacing="0" w:after="0" w:afterAutospacing="0" w:line="400" w:lineRule="exact"/>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具备数据完整性及精度检查与资源监控（节点、存储、服务）、告警及日志管理。</w:t>
            </w:r>
          </w:p>
          <w:p w14:paraId="47DDD35C">
            <w:pPr>
              <w:keepNext w:val="0"/>
              <w:keepLines w:val="0"/>
              <w:numPr>
                <w:ilvl w:val="-1"/>
                <w:numId w:val="0"/>
              </w:numPr>
              <w:suppressLineNumbers w:val="0"/>
              <w:spacing w:before="0" w:beforeAutospacing="0" w:after="0" w:afterAutospacing="0" w:line="400" w:lineRule="exact"/>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■4.7 自动化与效率</w:t>
            </w:r>
          </w:p>
          <w:p w14:paraId="3AE5CA6B">
            <w:pPr>
              <w:keepNext w:val="0"/>
              <w:keepLines w:val="0"/>
              <w:numPr>
                <w:ilvl w:val="-1"/>
                <w:numId w:val="0"/>
              </w:numPr>
              <w:suppressLineNumbers w:val="0"/>
              <w:spacing w:before="0" w:beforeAutospacing="0" w:after="0" w:afterAutospacing="0" w:line="400" w:lineRule="exact"/>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 万平方公里米级影像处理不超过24 小时；每小时入库效率，原始影像不少于200 景、融合影像不少于150景、真彩色影像不少于200景；应急数据</w:t>
            </w:r>
            <w:r>
              <w:rPr>
                <w:rFonts w:hint="eastAsia" w:ascii="宋体" w:hAnsi="宋体" w:cs="宋体"/>
                <w:color w:val="auto"/>
                <w:sz w:val="21"/>
                <w:szCs w:val="21"/>
                <w:highlight w:val="none"/>
                <w:lang w:val="en-US" w:eastAsia="zh-CN"/>
              </w:rPr>
              <w:t>生产</w:t>
            </w:r>
            <w:r>
              <w:rPr>
                <w:rFonts w:hint="eastAsia" w:ascii="宋体" w:hAnsi="宋体" w:eastAsia="宋体" w:cs="宋体"/>
                <w:color w:val="auto"/>
                <w:sz w:val="21"/>
                <w:szCs w:val="21"/>
                <w:highlight w:val="none"/>
                <w:lang w:val="en-US" w:eastAsia="zh-CN"/>
              </w:rPr>
              <w:t>时效不超过2 天。</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正偏离：同时满足</w:t>
            </w:r>
            <w:r>
              <w:rPr>
                <w:rFonts w:hint="eastAsia" w:ascii="宋体" w:hAnsi="宋体" w:eastAsia="宋体" w:cs="宋体"/>
                <w:color w:val="auto"/>
                <w:sz w:val="21"/>
                <w:szCs w:val="21"/>
                <w:highlight w:val="none"/>
                <w:lang w:val="en-US" w:eastAsia="zh-CN"/>
              </w:rPr>
              <w:t>10 万平方公里米级影像处理</w:t>
            </w:r>
            <w:r>
              <w:rPr>
                <w:rFonts w:hint="eastAsia" w:ascii="宋体" w:hAnsi="宋体" w:cs="宋体"/>
                <w:color w:val="auto"/>
                <w:sz w:val="21"/>
                <w:szCs w:val="21"/>
                <w:highlight w:val="none"/>
                <w:lang w:val="en-US" w:eastAsia="zh-CN"/>
              </w:rPr>
              <w:t>时长≤24小时、</w:t>
            </w:r>
            <w:r>
              <w:rPr>
                <w:rFonts w:hint="eastAsia" w:ascii="宋体" w:hAnsi="宋体" w:eastAsia="宋体" w:cs="宋体"/>
                <w:color w:val="auto"/>
                <w:sz w:val="21"/>
                <w:szCs w:val="21"/>
                <w:highlight w:val="none"/>
                <w:lang w:val="en-US" w:eastAsia="zh-CN"/>
              </w:rPr>
              <w:t>原始影像</w:t>
            </w:r>
            <w:r>
              <w:rPr>
                <w:rFonts w:hint="eastAsia" w:ascii="宋体" w:hAnsi="宋体" w:cs="宋体"/>
                <w:color w:val="auto"/>
                <w:sz w:val="21"/>
                <w:szCs w:val="21"/>
                <w:highlight w:val="none"/>
                <w:lang w:val="en-US" w:eastAsia="zh-CN"/>
              </w:rPr>
              <w:t>入库效率≥200景/小时、</w:t>
            </w:r>
            <w:r>
              <w:rPr>
                <w:rFonts w:hint="eastAsia" w:ascii="宋体" w:hAnsi="宋体" w:eastAsia="宋体" w:cs="宋体"/>
                <w:color w:val="auto"/>
                <w:sz w:val="21"/>
                <w:szCs w:val="21"/>
                <w:highlight w:val="none"/>
                <w:lang w:val="en-US" w:eastAsia="zh-CN"/>
              </w:rPr>
              <w:t>融合影像</w:t>
            </w:r>
            <w:r>
              <w:rPr>
                <w:rFonts w:hint="eastAsia" w:ascii="宋体" w:hAnsi="宋体" w:cs="宋体"/>
                <w:color w:val="auto"/>
                <w:sz w:val="21"/>
                <w:szCs w:val="21"/>
                <w:highlight w:val="none"/>
                <w:lang w:val="en-US" w:eastAsia="zh-CN"/>
              </w:rPr>
              <w:t>入库效率≥150景/小时、</w:t>
            </w:r>
            <w:r>
              <w:rPr>
                <w:rFonts w:hint="eastAsia" w:ascii="宋体" w:hAnsi="宋体" w:eastAsia="宋体" w:cs="宋体"/>
                <w:color w:val="auto"/>
                <w:sz w:val="21"/>
                <w:szCs w:val="21"/>
                <w:highlight w:val="none"/>
                <w:lang w:val="en-US" w:eastAsia="zh-CN"/>
              </w:rPr>
              <w:t>真彩色影像</w:t>
            </w:r>
            <w:r>
              <w:rPr>
                <w:rFonts w:hint="eastAsia" w:ascii="宋体" w:hAnsi="宋体" w:cs="宋体"/>
                <w:color w:val="auto"/>
                <w:sz w:val="21"/>
                <w:szCs w:val="21"/>
                <w:highlight w:val="none"/>
                <w:lang w:val="en-US" w:eastAsia="zh-CN"/>
              </w:rPr>
              <w:t>入库效率≥200景/小时、</w:t>
            </w:r>
            <w:r>
              <w:rPr>
                <w:rFonts w:hint="eastAsia" w:ascii="宋体" w:hAnsi="宋体" w:eastAsia="宋体" w:cs="宋体"/>
                <w:color w:val="auto"/>
                <w:sz w:val="21"/>
                <w:szCs w:val="21"/>
                <w:highlight w:val="none"/>
                <w:lang w:val="en-US" w:eastAsia="zh-CN"/>
              </w:rPr>
              <w:t>应急数据</w:t>
            </w:r>
            <w:r>
              <w:rPr>
                <w:rFonts w:hint="eastAsia" w:ascii="宋体" w:hAnsi="宋体" w:cs="宋体"/>
                <w:color w:val="auto"/>
                <w:sz w:val="21"/>
                <w:szCs w:val="21"/>
                <w:highlight w:val="none"/>
                <w:lang w:val="en-US" w:eastAsia="zh-CN"/>
              </w:rPr>
              <w:t>生产</w:t>
            </w:r>
            <w:r>
              <w:rPr>
                <w:rFonts w:hint="eastAsia" w:ascii="宋体" w:hAnsi="宋体" w:eastAsia="宋体" w:cs="宋体"/>
                <w:color w:val="auto"/>
                <w:sz w:val="21"/>
                <w:szCs w:val="21"/>
                <w:highlight w:val="none"/>
                <w:lang w:val="en-US" w:eastAsia="zh-CN"/>
              </w:rPr>
              <w:t>时效</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 天</w:t>
            </w:r>
            <w:r>
              <w:rPr>
                <w:rFonts w:hint="eastAsia" w:ascii="宋体" w:hAnsi="宋体" w:cs="宋体"/>
                <w:color w:val="auto"/>
                <w:sz w:val="21"/>
                <w:szCs w:val="21"/>
                <w:highlight w:val="none"/>
                <w:lang w:val="en-US" w:eastAsia="zh-CN"/>
              </w:rPr>
              <w:t>等5项功能要求；无偏离：以上5项功能要求仅满足部分或佐证不够清晰。</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p w14:paraId="16B14A0A">
            <w:pPr>
              <w:keepNext w:val="0"/>
              <w:keepLines w:val="0"/>
              <w:numPr>
                <w:ilvl w:val="-1"/>
                <w:numId w:val="0"/>
              </w:numPr>
              <w:suppressLineNumbers w:val="0"/>
              <w:spacing w:before="0" w:beforeAutospacing="0" w:after="0" w:afterAutospacing="0" w:line="400" w:lineRule="exact"/>
              <w:ind w:left="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lang w:val="en-US" w:eastAsia="zh-CN"/>
              </w:rPr>
              <w:t>国产化与安全</w:t>
            </w:r>
          </w:p>
          <w:p w14:paraId="5F311FEF">
            <w:pPr>
              <w:keepNext w:val="0"/>
              <w:keepLines w:val="0"/>
              <w:numPr>
                <w:ilvl w:val="-1"/>
                <w:numId w:val="0"/>
              </w:numPr>
              <w:suppressLineNumbers w:val="0"/>
              <w:spacing w:before="0" w:beforeAutospacing="0" w:after="0" w:afterAutospacing="0" w:line="400" w:lineRule="exact"/>
              <w:ind w:left="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5.1</w:t>
            </w:r>
            <w:r>
              <w:rPr>
                <w:rFonts w:hint="eastAsia" w:ascii="宋体" w:hAnsi="宋体" w:eastAsia="宋体" w:cs="宋体"/>
                <w:color w:val="auto"/>
                <w:sz w:val="21"/>
                <w:szCs w:val="21"/>
                <w:highlight w:val="none"/>
                <w:lang w:val="en-US" w:eastAsia="zh-CN"/>
              </w:rPr>
              <w:t>与国产软硬件兼容，提供与国产 CPU、国产操作系统的有效性兼容性认证证书或测试报告。</w:t>
            </w:r>
          </w:p>
          <w:p w14:paraId="16C26D3A">
            <w:pPr>
              <w:keepNext w:val="0"/>
              <w:keepLines w:val="0"/>
              <w:numPr>
                <w:ilvl w:val="-1"/>
                <w:numId w:val="0"/>
              </w:numPr>
              <w:suppressLineNumbers w:val="0"/>
              <w:spacing w:before="0" w:beforeAutospacing="0" w:after="0" w:afterAutospacing="0" w:line="400" w:lineRule="exact"/>
              <w:ind w:left="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5.2</w:t>
            </w:r>
            <w:r>
              <w:rPr>
                <w:rFonts w:hint="eastAsia" w:ascii="宋体" w:hAnsi="宋体" w:eastAsia="宋体" w:cs="宋体"/>
                <w:color w:val="auto"/>
                <w:sz w:val="21"/>
                <w:szCs w:val="21"/>
                <w:highlight w:val="none"/>
                <w:lang w:val="en-US" w:eastAsia="zh-CN"/>
              </w:rPr>
              <w:t>核心遥感处理算法需具备知识产权（专利证书、软件著作权登记证书），承诺不侵犯第三方知识产权，并提供核心算法源代码及技术文档，保障后期维护可持续性。</w:t>
            </w:r>
          </w:p>
          <w:p w14:paraId="5D91C6A4">
            <w:pPr>
              <w:keepNext w:val="0"/>
              <w:keepLines w:val="0"/>
              <w:numPr>
                <w:ilvl w:val="-1"/>
                <w:numId w:val="0"/>
              </w:numPr>
              <w:suppressLineNumbers w:val="0"/>
              <w:spacing w:before="0" w:beforeAutospacing="0" w:after="0" w:afterAutospacing="0" w:line="400" w:lineRule="exact"/>
              <w:ind w:left="0" w:leftChars="0" w:right="0" w:right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（二）配件部分</w:t>
            </w:r>
          </w:p>
          <w:p w14:paraId="1F229862">
            <w:pPr>
              <w:keepNext w:val="0"/>
              <w:keepLines w:val="0"/>
              <w:numPr>
                <w:ilvl w:val="-1"/>
                <w:numId w:val="0"/>
              </w:numPr>
              <w:suppressLineNumbers w:val="0"/>
              <w:spacing w:before="0" w:beforeAutospacing="0" w:after="0" w:afterAutospacing="0" w:line="400" w:lineRule="exact"/>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1.固定遥感影像处理终端5台套，每台套参数（不低于）如下：</w:t>
            </w:r>
          </w:p>
          <w:p w14:paraId="540FC204">
            <w:pPr>
              <w:keepNext w:val="0"/>
              <w:keepLines w:val="0"/>
              <w:numPr>
                <w:ilvl w:val="-1"/>
                <w:numId w:val="0"/>
              </w:numPr>
              <w:suppressLineNumbers w:val="0"/>
              <w:spacing w:before="0" w:beforeAutospacing="0" w:after="0" w:afterAutospacing="0" w:line="400" w:lineRule="exact"/>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处理器：</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核</w:t>
            </w:r>
            <w:r>
              <w:rPr>
                <w:rFonts w:hint="eastAsia" w:ascii="宋体" w:hAnsi="宋体" w:cs="宋体"/>
                <w:color w:val="auto"/>
                <w:sz w:val="21"/>
                <w:szCs w:val="21"/>
                <w:highlight w:val="none"/>
                <w:lang w:val="en-US" w:eastAsia="zh-CN"/>
              </w:rPr>
              <w:t>28</w:t>
            </w:r>
            <w:r>
              <w:rPr>
                <w:rFonts w:hint="eastAsia" w:ascii="宋体" w:hAnsi="宋体" w:eastAsia="宋体" w:cs="宋体"/>
                <w:color w:val="auto"/>
                <w:sz w:val="21"/>
                <w:szCs w:val="21"/>
                <w:highlight w:val="none"/>
                <w:lang w:val="en-US" w:eastAsia="zh-CN"/>
              </w:rPr>
              <w:t>线程</w:t>
            </w:r>
          </w:p>
          <w:p w14:paraId="422C562C">
            <w:pPr>
              <w:keepNext w:val="0"/>
              <w:keepLines w:val="0"/>
              <w:numPr>
                <w:ilvl w:val="-1"/>
                <w:numId w:val="0"/>
              </w:numPr>
              <w:suppressLineNumbers w:val="0"/>
              <w:spacing w:before="0" w:beforeAutospacing="0" w:after="0" w:afterAutospacing="0" w:line="400" w:lineRule="exact"/>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内存：128GB DDR5</w:t>
            </w:r>
          </w:p>
          <w:p w14:paraId="3EC848D4">
            <w:pPr>
              <w:keepNext w:val="0"/>
              <w:keepLines w:val="0"/>
              <w:numPr>
                <w:ilvl w:val="-1"/>
                <w:numId w:val="0"/>
              </w:numPr>
              <w:suppressLineNumbers w:val="0"/>
              <w:spacing w:before="0" w:beforeAutospacing="0" w:after="0" w:afterAutospacing="0" w:line="400" w:lineRule="exact"/>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硬盘：1TB NVMe SSD + 4TB SATA HDD</w:t>
            </w:r>
          </w:p>
          <w:p w14:paraId="2878F924">
            <w:pPr>
              <w:keepNext w:val="0"/>
              <w:keepLines w:val="0"/>
              <w:numPr>
                <w:ilvl w:val="-1"/>
                <w:numId w:val="0"/>
              </w:numPr>
              <w:suppressLineNumbers w:val="0"/>
              <w:spacing w:before="0" w:beforeAutospacing="0" w:after="0" w:afterAutospacing="0" w:line="400" w:lineRule="exact"/>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显卡：不低于20GB专业卡</w:t>
            </w:r>
          </w:p>
          <w:p w14:paraId="24BFD1AC">
            <w:pPr>
              <w:keepNext w:val="0"/>
              <w:keepLines w:val="0"/>
              <w:numPr>
                <w:ilvl w:val="-1"/>
                <w:numId w:val="0"/>
              </w:numPr>
              <w:suppressLineNumbers w:val="0"/>
              <w:spacing w:before="0" w:beforeAutospacing="0" w:after="0" w:afterAutospacing="0" w:line="400" w:lineRule="exact"/>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配备27英寸4K显示器</w:t>
            </w:r>
          </w:p>
          <w:p w14:paraId="39668C60">
            <w:pPr>
              <w:keepNext w:val="0"/>
              <w:keepLines w:val="0"/>
              <w:numPr>
                <w:ilvl w:val="-1"/>
                <w:numId w:val="0"/>
              </w:numPr>
              <w:suppressLineNumbers w:val="0"/>
              <w:spacing w:before="0" w:beforeAutospacing="0" w:after="0" w:afterAutospacing="0" w:line="400" w:lineRule="exact"/>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lang w:val="en-US" w:eastAsia="zh-CN"/>
              </w:rPr>
              <w:t>移动数据处理终端2台套，每台套参数（不低于）如下：</w:t>
            </w:r>
          </w:p>
          <w:p w14:paraId="21A5BBEF">
            <w:pPr>
              <w:keepNext w:val="0"/>
              <w:keepLines w:val="0"/>
              <w:numPr>
                <w:ilvl w:val="-1"/>
                <w:numId w:val="0"/>
              </w:numPr>
              <w:suppressLineNumbers w:val="0"/>
              <w:spacing w:before="0" w:beforeAutospacing="0" w:after="0" w:afterAutospacing="0" w:line="400" w:lineRule="exact"/>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处理器：Ultra 9 HX 16核22线程</w:t>
            </w:r>
          </w:p>
          <w:p w14:paraId="473FCC61">
            <w:pPr>
              <w:keepNext w:val="0"/>
              <w:keepLines w:val="0"/>
              <w:numPr>
                <w:ilvl w:val="-1"/>
                <w:numId w:val="0"/>
              </w:numPr>
              <w:suppressLineNumbers w:val="0"/>
              <w:spacing w:before="0" w:beforeAutospacing="0" w:after="0" w:afterAutospacing="0" w:line="400" w:lineRule="exact"/>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内存：64GB DDR5</w:t>
            </w:r>
          </w:p>
          <w:p w14:paraId="4E8E4D02">
            <w:pPr>
              <w:keepNext w:val="0"/>
              <w:keepLines w:val="0"/>
              <w:numPr>
                <w:ilvl w:val="-1"/>
                <w:numId w:val="0"/>
              </w:numPr>
              <w:suppressLineNumbers w:val="0"/>
              <w:spacing w:before="0" w:beforeAutospacing="0" w:after="0" w:afterAutospacing="0" w:line="400" w:lineRule="exact"/>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硬盘：不低于2TB SSD</w:t>
            </w:r>
          </w:p>
          <w:p w14:paraId="15304852">
            <w:pPr>
              <w:keepNext w:val="0"/>
              <w:keepLines w:val="0"/>
              <w:numPr>
                <w:ilvl w:val="-1"/>
                <w:numId w:val="0"/>
              </w:numPr>
              <w:suppressLineNumbers w:val="0"/>
              <w:spacing w:before="0" w:beforeAutospacing="0" w:after="0" w:afterAutospacing="0" w:line="400" w:lineRule="exact"/>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显卡：不低于12GB</w:t>
            </w:r>
          </w:p>
          <w:p w14:paraId="7D95FB91">
            <w:pPr>
              <w:keepNext w:val="0"/>
              <w:keepLines w:val="0"/>
              <w:numPr>
                <w:ilvl w:val="-1"/>
                <w:numId w:val="0"/>
              </w:numPr>
              <w:suppressLineNumbers w:val="0"/>
              <w:spacing w:before="0" w:beforeAutospacing="0" w:after="0" w:afterAutospacing="0" w:line="400" w:lineRule="exact"/>
              <w:ind w:left="0" w:leftChars="0" w:right="0" w:rightChars="0"/>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3.移动手持数据采集器5台套 ，每台套参数（不低于）如下：</w:t>
            </w:r>
          </w:p>
          <w:p w14:paraId="367100CE">
            <w:pPr>
              <w:keepNext w:val="0"/>
              <w:keepLines w:val="0"/>
              <w:numPr>
                <w:ilvl w:val="-1"/>
                <w:numId w:val="0"/>
              </w:numPr>
              <w:suppressLineNumbers w:val="0"/>
              <w:spacing w:before="0" w:beforeAutospacing="0" w:after="0" w:afterAutospacing="0" w:line="400" w:lineRule="exact"/>
              <w:ind w:left="0" w:leftChars="0" w:right="0" w:righ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内存：不低于12GB</w:t>
            </w:r>
          </w:p>
          <w:p w14:paraId="36841F24">
            <w:pPr>
              <w:keepNext w:val="0"/>
              <w:keepLines w:val="0"/>
              <w:numPr>
                <w:ilvl w:val="-1"/>
                <w:numId w:val="0"/>
              </w:numPr>
              <w:suppressLineNumbers w:val="0"/>
              <w:spacing w:before="0" w:beforeAutospacing="0" w:after="0" w:afterAutospacing="0" w:line="400" w:lineRule="exact"/>
              <w:ind w:left="0" w:leftChars="0" w:right="0" w:righ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存储容量：不低于256GB</w:t>
            </w:r>
          </w:p>
          <w:p w14:paraId="1CDDBB4F">
            <w:pPr>
              <w:keepNext w:val="0"/>
              <w:keepLines w:val="0"/>
              <w:numPr>
                <w:ilvl w:val="-1"/>
                <w:numId w:val="0"/>
              </w:numPr>
              <w:suppressLineNumbers w:val="0"/>
              <w:spacing w:before="0" w:beforeAutospacing="0" w:after="0" w:afterAutospacing="0" w:line="400" w:lineRule="exact"/>
              <w:ind w:left="0" w:leftChars="0" w:right="0" w:righ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卫星通信功能：支持天通卫星通信。</w:t>
            </w:r>
          </w:p>
          <w:p w14:paraId="6A46AF5B">
            <w:pPr>
              <w:keepNext w:val="0"/>
              <w:keepLines w:val="0"/>
              <w:numPr>
                <w:ilvl w:val="-1"/>
                <w:numId w:val="0"/>
              </w:numPr>
              <w:suppressLineNumbers w:val="0"/>
              <w:spacing w:before="0" w:beforeAutospacing="0" w:after="0" w:afterAutospacing="0" w:line="400" w:lineRule="exact"/>
              <w:ind w:left="0" w:right="0" w:right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三、软件对接需求</w:t>
            </w:r>
          </w:p>
          <w:p w14:paraId="26EF225B">
            <w:pPr>
              <w:keepNext w:val="0"/>
              <w:keepLines w:val="0"/>
              <w:numPr>
                <w:ilvl w:val="-1"/>
                <w:numId w:val="0"/>
              </w:numPr>
              <w:suppressLineNumbers w:val="0"/>
              <w:spacing w:before="0" w:beforeAutospacing="0" w:after="0" w:afterAutospacing="0" w:line="400" w:lineRule="exact"/>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1.技术中台对接采购需求</w:t>
            </w:r>
          </w:p>
          <w:p w14:paraId="1CEBFEE0">
            <w:pPr>
              <w:keepNext w:val="0"/>
              <w:keepLines w:val="0"/>
              <w:numPr>
                <w:ilvl w:val="-1"/>
                <w:numId w:val="0"/>
              </w:numPr>
              <w:suppressLineNumbers w:val="0"/>
              <w:spacing w:before="0" w:beforeAutospacing="0" w:after="0" w:afterAutospacing="0" w:line="400" w:lineRule="exact"/>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基于生态环境统一支撑平台提供的能力进行建设，需遵循统一的建设要求。业务应用系统相关的接口和服务需通过统一应用网关对外暴露，需按平台统一的路由配置规范设置访问路径。业务应用系统需支持广西水生态环境监管平台提供的统一身份认证协议，与平台提供的统一单点登录系统对接，通过解析平台签发的密钥来获取用户身份信息，并以此为依据进行系统内部的权限判断和控制。业务应用系统内需要触达用户的通知（如事项办理、业务告警、状态变更等），需按平台定义的消息模板规范，调用统一消息中心的接口实现消息的接入。业务应用系统的日志需输出到标准输出和标准错误，建议输出结构化日志，并对接统一的日志管理模块，便于后续的日志检索和分析。</w:t>
            </w:r>
          </w:p>
          <w:p w14:paraId="3691BD23">
            <w:pPr>
              <w:keepNext w:val="0"/>
              <w:keepLines w:val="0"/>
              <w:numPr>
                <w:ilvl w:val="-1"/>
                <w:numId w:val="0"/>
              </w:numPr>
              <w:suppressLineNumbers w:val="0"/>
              <w:spacing w:before="0" w:beforeAutospacing="0" w:after="0" w:afterAutospacing="0" w:line="400" w:lineRule="exact"/>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2.数据资源方面对接需求</w:t>
            </w:r>
          </w:p>
          <w:p w14:paraId="2CC0A823">
            <w:pPr>
              <w:keepNext w:val="0"/>
              <w:keepLines w:val="0"/>
              <w:numPr>
                <w:ilvl w:val="-1"/>
                <w:numId w:val="0"/>
              </w:numPr>
              <w:suppressLineNumbers w:val="0"/>
              <w:spacing w:before="0" w:beforeAutospacing="0" w:after="0" w:afterAutospacing="0" w:line="400" w:lineRule="exact"/>
              <w:ind w:left="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必须在生态环境厅提供的数据资源平台上实现数据接入、调用和共享，严格遵循统一的数据标准、接口规范和安全策略。所有的交互（如数据交换、数据接口调用、目录共享等）均由生态环境厅制定统一要求并提供对接服务，必须无缝对接。</w:t>
            </w:r>
          </w:p>
        </w:tc>
      </w:tr>
    </w:tbl>
    <w:p w14:paraId="3195ED43">
      <w:pPr>
        <w:rPr>
          <w:rFonts w:hint="eastAsia" w:ascii="宋体" w:hAnsi="宋体" w:eastAsia="宋体" w:cs="宋体"/>
          <w:b/>
          <w:bCs/>
          <w:color w:val="auto"/>
          <w:kern w:val="0"/>
          <w:sz w:val="21"/>
          <w:szCs w:val="21"/>
          <w:highlight w:val="none"/>
          <w:lang w:val="en-US" w:eastAsia="zh-CN" w:bidi="ar-SA"/>
        </w:rPr>
      </w:pPr>
    </w:p>
    <w:p w14:paraId="54434C90">
      <w:pP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br w:type="page"/>
      </w:r>
    </w:p>
    <w:p w14:paraId="5DD961D1">
      <w:pPr>
        <w:keepNext w:val="0"/>
        <w:keepLines w:val="0"/>
        <w:pageBreakBefore w:val="0"/>
        <w:numPr>
          <w:ilvl w:val="0"/>
          <w:numId w:val="0"/>
        </w:numPr>
        <w:kinsoku/>
        <w:wordWrap/>
        <w:overflowPunct/>
        <w:topLinePunct w:val="0"/>
        <w:autoSpaceDE/>
        <w:autoSpaceDN/>
        <w:bidi w:val="0"/>
        <w:adjustRightInd/>
        <w:spacing w:line="400" w:lineRule="exact"/>
        <w:textAlignment w:val="auto"/>
        <w:outlineLvl w:val="1"/>
        <w:rPr>
          <w:rFonts w:hint="eastAsia" w:ascii="宋体" w:hAnsi="宋体" w:eastAsia="宋体" w:cs="宋体"/>
          <w:b/>
          <w:bCs/>
          <w:color w:val="auto"/>
          <w:sz w:val="21"/>
          <w:szCs w:val="21"/>
          <w:highlight w:val="none"/>
          <w:lang w:val="en-US" w:eastAsia="zh-CN"/>
        </w:rPr>
      </w:pPr>
      <w:bookmarkStart w:id="105" w:name="_Toc2082"/>
      <w:bookmarkStart w:id="106" w:name="_Toc6925"/>
      <w:r>
        <w:rPr>
          <w:rFonts w:hint="eastAsia" w:ascii="宋体" w:hAnsi="宋体" w:eastAsia="宋体" w:cs="宋体"/>
          <w:b/>
          <w:bCs/>
          <w:color w:val="auto"/>
          <w:kern w:val="2"/>
          <w:sz w:val="21"/>
          <w:szCs w:val="21"/>
          <w:highlight w:val="none"/>
          <w:lang w:val="en-US" w:eastAsia="zh-CN" w:bidi="ar-SA"/>
        </w:rPr>
        <w:t>二、</w:t>
      </w:r>
      <w:r>
        <w:rPr>
          <w:rFonts w:hint="eastAsia" w:ascii="宋体" w:hAnsi="宋体" w:eastAsia="宋体" w:cs="宋体"/>
          <w:b/>
          <w:bCs/>
          <w:color w:val="auto"/>
          <w:sz w:val="21"/>
          <w:szCs w:val="21"/>
          <w:highlight w:val="none"/>
          <w:lang w:val="en-US" w:eastAsia="zh-CN"/>
        </w:rPr>
        <w:t>商务要求</w:t>
      </w:r>
      <w:bookmarkEnd w:id="105"/>
      <w:bookmarkEnd w:id="106"/>
    </w:p>
    <w:p w14:paraId="43236845">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color w:val="auto"/>
          <w:kern w:val="0"/>
          <w:sz w:val="21"/>
          <w:szCs w:val="21"/>
          <w:highlight w:val="none"/>
          <w:lang w:val="en-US" w:eastAsia="zh-CN" w:bidi="ar-SA"/>
        </w:rPr>
      </w:pPr>
      <w:bookmarkStart w:id="107" w:name="_Toc7351"/>
      <w:bookmarkStart w:id="108" w:name="_Toc27989"/>
      <w:r>
        <w:rPr>
          <w:rFonts w:hint="eastAsia" w:ascii="宋体" w:hAnsi="宋体" w:eastAsia="宋体" w:cs="宋体"/>
          <w:b/>
          <w:bCs/>
          <w:color w:val="auto"/>
          <w:kern w:val="0"/>
          <w:sz w:val="21"/>
          <w:szCs w:val="21"/>
          <w:highlight w:val="none"/>
          <w:lang w:val="en-US" w:eastAsia="zh-CN" w:bidi="ar-SA"/>
        </w:rPr>
        <w:t>（一）标项一（分包1）的</w:t>
      </w:r>
      <w:r>
        <w:rPr>
          <w:rFonts w:hint="eastAsia" w:ascii="宋体" w:hAnsi="宋体" w:cs="宋体"/>
          <w:b/>
          <w:bCs/>
          <w:color w:val="auto"/>
          <w:kern w:val="0"/>
          <w:sz w:val="21"/>
          <w:szCs w:val="21"/>
          <w:highlight w:val="none"/>
          <w:lang w:val="en-US" w:eastAsia="zh-CN" w:bidi="ar-SA"/>
        </w:rPr>
        <w:t>商务</w:t>
      </w:r>
      <w:r>
        <w:rPr>
          <w:rFonts w:hint="eastAsia" w:ascii="宋体" w:hAnsi="宋体" w:eastAsia="宋体" w:cs="宋体"/>
          <w:b/>
          <w:bCs/>
          <w:color w:val="auto"/>
          <w:kern w:val="0"/>
          <w:sz w:val="21"/>
          <w:szCs w:val="21"/>
          <w:highlight w:val="none"/>
          <w:lang w:val="en-US" w:eastAsia="zh-CN" w:bidi="ar-SA"/>
        </w:rPr>
        <w:t>要求</w:t>
      </w:r>
      <w:bookmarkEnd w:id="107"/>
      <w:bookmarkEnd w:id="108"/>
    </w:p>
    <w:tbl>
      <w:tblPr>
        <w:tblStyle w:val="48"/>
        <w:tblW w:w="88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5"/>
        <w:gridCol w:w="1135"/>
        <w:gridCol w:w="6574"/>
      </w:tblGrid>
      <w:tr w14:paraId="72489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1145" w:type="dxa"/>
            <w:noWrap/>
            <w:vAlign w:val="center"/>
          </w:tcPr>
          <w:p w14:paraId="6706D99F">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35" w:type="dxa"/>
            <w:noWrap/>
            <w:vAlign w:val="center"/>
          </w:tcPr>
          <w:p w14:paraId="72390818">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商务条款</w:t>
            </w:r>
          </w:p>
        </w:tc>
        <w:tc>
          <w:tcPr>
            <w:tcW w:w="6574" w:type="dxa"/>
            <w:noWrap/>
            <w:vAlign w:val="center"/>
          </w:tcPr>
          <w:p w14:paraId="33E432E6">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商务要求</w:t>
            </w:r>
          </w:p>
        </w:tc>
      </w:tr>
      <w:tr w14:paraId="79FE3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jc w:val="center"/>
        </w:trPr>
        <w:tc>
          <w:tcPr>
            <w:tcW w:w="1145" w:type="dxa"/>
            <w:noWrap/>
            <w:vAlign w:val="center"/>
          </w:tcPr>
          <w:p w14:paraId="264AF9E3">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p>
        </w:tc>
        <w:tc>
          <w:tcPr>
            <w:tcW w:w="1135" w:type="dxa"/>
            <w:noWrap/>
            <w:vAlign w:val="center"/>
          </w:tcPr>
          <w:p w14:paraId="0FF02C32">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报价要求</w:t>
            </w:r>
          </w:p>
        </w:tc>
        <w:tc>
          <w:tcPr>
            <w:tcW w:w="6574" w:type="dxa"/>
            <w:noWrap/>
            <w:vAlign w:val="center"/>
          </w:tcPr>
          <w:p w14:paraId="6B038088">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报价须为人民币报价，包含产品价、运输费（含装卸费）、保险费、安装调试费（仪器安装所需要水电改造及实验室改造费用）、税费、培训费、产品检测费、产品质保期内维护费等费用。对于本文件中明确列明必须报价的货物或服务，投标人应分别报价。对于本文件中未列明，而投标人认为必需的费用也需列入总报价。在合同实施时，采购人将不予支付中标人没有列入的项目费用，并认为此项目的费用已包括在投标总报价中。</w:t>
            </w:r>
          </w:p>
        </w:tc>
      </w:tr>
      <w:tr w14:paraId="10E26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145" w:type="dxa"/>
            <w:noWrap/>
            <w:vAlign w:val="center"/>
          </w:tcPr>
          <w:p w14:paraId="4A4F7BCD">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p>
        </w:tc>
        <w:tc>
          <w:tcPr>
            <w:tcW w:w="1135" w:type="dxa"/>
            <w:noWrap/>
            <w:vAlign w:val="center"/>
          </w:tcPr>
          <w:p w14:paraId="33C9C3A5">
            <w:pPr>
              <w:keepNext w:val="0"/>
              <w:keepLines w:val="0"/>
              <w:pageBreakBefore w:val="0"/>
              <w:kinsoku/>
              <w:wordWrap/>
              <w:overflowPunct/>
              <w:topLinePunct w:val="0"/>
              <w:autoSpaceDE/>
              <w:autoSpaceDN/>
              <w:bidi w:val="0"/>
              <w:adjustRightInd/>
              <w:spacing w:after="0" w:line="400" w:lineRule="exact"/>
              <w:ind w:left="-107" w:leftChars="-51" w:firstLine="126" w:firstLineChars="6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签订合同时限</w:t>
            </w:r>
          </w:p>
        </w:tc>
        <w:tc>
          <w:tcPr>
            <w:tcW w:w="6574" w:type="dxa"/>
            <w:noWrap/>
            <w:vAlign w:val="center"/>
          </w:tcPr>
          <w:p w14:paraId="4D8F7C7A">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自中标通知书发出之日起</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5日内。</w:t>
            </w:r>
          </w:p>
        </w:tc>
      </w:tr>
      <w:tr w14:paraId="18ED0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jc w:val="center"/>
        </w:trPr>
        <w:tc>
          <w:tcPr>
            <w:tcW w:w="1145" w:type="dxa"/>
            <w:noWrap/>
            <w:vAlign w:val="center"/>
          </w:tcPr>
          <w:p w14:paraId="79B02FA9">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w:t>
            </w:r>
          </w:p>
        </w:tc>
        <w:tc>
          <w:tcPr>
            <w:tcW w:w="1135" w:type="dxa"/>
            <w:noWrap/>
            <w:vAlign w:val="center"/>
          </w:tcPr>
          <w:p w14:paraId="217CCE64">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交货时间</w:t>
            </w:r>
          </w:p>
        </w:tc>
        <w:tc>
          <w:tcPr>
            <w:tcW w:w="6574" w:type="dxa"/>
            <w:noWrap/>
            <w:vAlign w:val="center"/>
          </w:tcPr>
          <w:p w14:paraId="212E0509">
            <w:pPr>
              <w:pStyle w:val="31"/>
              <w:keepNext w:val="0"/>
              <w:keepLines w:val="0"/>
              <w:pageBreakBefore w:val="0"/>
              <w:kinsoku/>
              <w:wordWrap/>
              <w:overflowPunct/>
              <w:topLinePunct w:val="0"/>
              <w:autoSpaceDE/>
              <w:autoSpaceDN/>
              <w:bidi w:val="0"/>
              <w:adjustRightInd/>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国产仪器设备</w:t>
            </w:r>
            <w:r>
              <w:rPr>
                <w:rFonts w:hint="eastAsia" w:ascii="宋体" w:hAnsi="宋体" w:eastAsia="宋体" w:cs="宋体"/>
                <w:color w:val="auto"/>
                <w:sz w:val="21"/>
                <w:szCs w:val="21"/>
                <w:highlight w:val="none"/>
              </w:rPr>
              <w:t>自签订合同之日起</w:t>
            </w:r>
            <w:r>
              <w:rPr>
                <w:rFonts w:hint="eastAsia" w:ascii="宋体" w:hAnsi="宋体" w:eastAsia="宋体" w:cs="宋体"/>
                <w:color w:val="auto"/>
                <w:sz w:val="21"/>
                <w:szCs w:val="21"/>
                <w:highlight w:val="none"/>
                <w:u w:val="none"/>
                <w:lang w:val="en-US" w:eastAsia="zh-CN"/>
              </w:rPr>
              <w:t>60</w:t>
            </w:r>
            <w:r>
              <w:rPr>
                <w:rFonts w:hint="eastAsia" w:ascii="宋体" w:hAnsi="宋体" w:eastAsia="宋体" w:cs="宋体"/>
                <w:color w:val="auto"/>
                <w:sz w:val="21"/>
                <w:szCs w:val="21"/>
                <w:highlight w:val="none"/>
              </w:rPr>
              <w:t>日内交货并完成安装调试。</w:t>
            </w:r>
          </w:p>
        </w:tc>
      </w:tr>
      <w:tr w14:paraId="13B24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145" w:type="dxa"/>
            <w:noWrap/>
            <w:vAlign w:val="center"/>
          </w:tcPr>
          <w:p w14:paraId="2968BFC2">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w:t>
            </w:r>
          </w:p>
        </w:tc>
        <w:tc>
          <w:tcPr>
            <w:tcW w:w="1135" w:type="dxa"/>
            <w:noWrap/>
            <w:vAlign w:val="center"/>
          </w:tcPr>
          <w:p w14:paraId="40E3CD41">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w:t>
            </w:r>
          </w:p>
        </w:tc>
        <w:tc>
          <w:tcPr>
            <w:tcW w:w="6574" w:type="dxa"/>
            <w:noWrap/>
            <w:vAlign w:val="center"/>
          </w:tcPr>
          <w:p w14:paraId="245B6726">
            <w:pPr>
              <w:keepNext w:val="0"/>
              <w:keepLines w:val="0"/>
              <w:pageBreakBefore w:val="0"/>
              <w:kinsoku/>
              <w:wordWrap/>
              <w:overflowPunct/>
              <w:topLinePunct w:val="0"/>
              <w:autoSpaceDE/>
              <w:autoSpaceDN/>
              <w:bidi w:val="0"/>
              <w:adjustRightInd/>
              <w:spacing w:after="0" w:line="400" w:lineRule="exact"/>
              <w:ind w:firstLine="42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送至广西壮族自治区</w:t>
            </w:r>
            <w:r>
              <w:rPr>
                <w:rFonts w:hint="eastAsia" w:ascii="宋体" w:hAnsi="宋体" w:eastAsia="宋体" w:cs="宋体"/>
                <w:color w:val="auto"/>
                <w:sz w:val="21"/>
                <w:szCs w:val="21"/>
                <w:highlight w:val="none"/>
              </w:rPr>
              <w:t>生态环境</w:t>
            </w:r>
            <w:r>
              <w:rPr>
                <w:rFonts w:hint="eastAsia" w:ascii="宋体" w:hAnsi="宋体" w:eastAsia="宋体" w:cs="宋体"/>
                <w:color w:val="auto"/>
                <w:sz w:val="21"/>
                <w:szCs w:val="21"/>
                <w:highlight w:val="none"/>
                <w:lang w:val="en-US" w:eastAsia="zh-CN"/>
              </w:rPr>
              <w:t>厅或由采购人指定广西区内地点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含送货上楼</w:t>
            </w:r>
            <w:r>
              <w:rPr>
                <w:rFonts w:hint="eastAsia" w:ascii="宋体" w:hAnsi="宋体" w:eastAsia="宋体" w:cs="宋体"/>
                <w:color w:val="auto"/>
                <w:sz w:val="21"/>
                <w:szCs w:val="21"/>
                <w:highlight w:val="none"/>
                <w:lang w:eastAsia="zh-CN"/>
              </w:rPr>
              <w:t>）</w:t>
            </w:r>
          </w:p>
        </w:tc>
      </w:tr>
      <w:tr w14:paraId="2FD65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5" w:type="dxa"/>
            <w:noWrap/>
            <w:vAlign w:val="center"/>
          </w:tcPr>
          <w:p w14:paraId="7D2F62F8">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w:t>
            </w:r>
          </w:p>
        </w:tc>
        <w:tc>
          <w:tcPr>
            <w:tcW w:w="1135" w:type="dxa"/>
            <w:noWrap/>
            <w:vAlign w:val="center"/>
          </w:tcPr>
          <w:p w14:paraId="562E0A19">
            <w:pPr>
              <w:keepNext w:val="0"/>
              <w:keepLines w:val="0"/>
              <w:pageBreakBefore w:val="0"/>
              <w:kinsoku/>
              <w:wordWrap/>
              <w:overflowPunct/>
              <w:topLinePunct w:val="0"/>
              <w:autoSpaceDE/>
              <w:autoSpaceDN/>
              <w:bidi w:val="0"/>
              <w:adjustRightInd/>
              <w:spacing w:after="0"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付款条件</w:t>
            </w:r>
          </w:p>
        </w:tc>
        <w:tc>
          <w:tcPr>
            <w:tcW w:w="6574" w:type="dxa"/>
            <w:noWrap/>
            <w:vAlign w:val="top"/>
          </w:tcPr>
          <w:p w14:paraId="57E80FAE">
            <w:pPr>
              <w:keepNext w:val="0"/>
              <w:keepLines w:val="0"/>
              <w:pageBreakBefore w:val="0"/>
              <w:widowControl/>
              <w:kinsoku/>
              <w:wordWrap/>
              <w:overflowPunct/>
              <w:topLinePunct w:val="0"/>
              <w:autoSpaceDE/>
              <w:autoSpaceDN/>
              <w:bidi w:val="0"/>
              <w:adjustRightInd/>
              <w:snapToGrid w:val="0"/>
              <w:spacing w:line="400" w:lineRule="exact"/>
              <w:ind w:firstLine="420" w:firstLineChars="0"/>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1.合同签订后，</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向</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支付合同总金额50%的预付款；</w:t>
            </w:r>
          </w:p>
          <w:p w14:paraId="416FB940">
            <w:pPr>
              <w:keepNext w:val="0"/>
              <w:keepLines w:val="0"/>
              <w:pageBreakBefore w:val="0"/>
              <w:widowControl/>
              <w:kinsoku/>
              <w:wordWrap/>
              <w:overflowPunct/>
              <w:topLinePunct w:val="0"/>
              <w:autoSpaceDE/>
              <w:autoSpaceDN/>
              <w:bidi w:val="0"/>
              <w:adjustRightInd/>
              <w:snapToGrid w:val="0"/>
              <w:spacing w:line="400" w:lineRule="exact"/>
              <w:ind w:firstLine="420" w:firstLineChars="0"/>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在收到首笔合同款后20个工作日内向</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递交合同总金额50%的预付款保函（有效期自开具之日起不少于15个月，验收合格后退还）全部货物到货并经</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确认后，</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向</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支付合同总金额的50%：</w:t>
            </w:r>
          </w:p>
          <w:p w14:paraId="38BEC49B">
            <w:pPr>
              <w:keepNext w:val="0"/>
              <w:keepLines w:val="0"/>
              <w:pageBreakBefore w:val="0"/>
              <w:kinsoku/>
              <w:wordWrap/>
              <w:overflowPunct/>
              <w:topLinePunct w:val="0"/>
              <w:autoSpaceDE/>
              <w:autoSpaceDN/>
              <w:bidi w:val="0"/>
              <w:adjustRightInd/>
              <w:snapToGrid w:val="0"/>
              <w:spacing w:after="0" w:line="400" w:lineRule="exact"/>
              <w:ind w:firstLine="42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3.全部货物安装调试完毕，</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对所有货物最终性能验收合格后，</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向</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提交合同总金额</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%的履约保函（有效期自开具之日起不少于24个月，质保期满退履约保函）；</w:t>
            </w:r>
          </w:p>
          <w:p w14:paraId="4524706B">
            <w:pPr>
              <w:keepNext w:val="0"/>
              <w:keepLines w:val="0"/>
              <w:pageBreakBefore w:val="0"/>
              <w:kinsoku/>
              <w:wordWrap/>
              <w:overflowPunct/>
              <w:topLinePunct w:val="0"/>
              <w:autoSpaceDE/>
              <w:autoSpaceDN/>
              <w:bidi w:val="0"/>
              <w:adjustRightInd/>
              <w:snapToGrid w:val="0"/>
              <w:spacing w:after="0" w:line="400" w:lineRule="exact"/>
              <w:ind w:firstLine="420" w:firstLineChars="200"/>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.每次付款前，中标人需提供与支付金额对应的增值税普通发票</w:t>
            </w:r>
            <w:r>
              <w:rPr>
                <w:rFonts w:hint="eastAsia" w:ascii="宋体" w:hAnsi="宋体" w:eastAsia="宋体" w:cs="宋体"/>
                <w:color w:val="auto"/>
                <w:sz w:val="21"/>
                <w:szCs w:val="21"/>
                <w:highlight w:val="none"/>
                <w:lang w:eastAsia="zh-CN"/>
              </w:rPr>
              <w:t>。</w:t>
            </w:r>
          </w:p>
        </w:tc>
      </w:tr>
      <w:tr w14:paraId="46606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1145" w:type="dxa"/>
            <w:noWrap/>
            <w:vAlign w:val="center"/>
          </w:tcPr>
          <w:p w14:paraId="0A249A41">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w:t>
            </w:r>
          </w:p>
        </w:tc>
        <w:tc>
          <w:tcPr>
            <w:tcW w:w="1135" w:type="dxa"/>
            <w:noWrap/>
            <w:vAlign w:val="center"/>
          </w:tcPr>
          <w:p w14:paraId="519F1877">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p>
        </w:tc>
        <w:tc>
          <w:tcPr>
            <w:tcW w:w="6574" w:type="dxa"/>
            <w:noWrap/>
            <w:vAlign w:val="top"/>
          </w:tcPr>
          <w:p w14:paraId="14498591">
            <w:pPr>
              <w:keepNext w:val="0"/>
              <w:keepLines w:val="0"/>
              <w:pageBreakBefore w:val="0"/>
              <w:numPr>
                <w:ilvl w:val="0"/>
                <w:numId w:val="0"/>
              </w:numPr>
              <w:kinsoku/>
              <w:wordWrap/>
              <w:overflowPunct/>
              <w:topLinePunct w:val="0"/>
              <w:autoSpaceDE/>
              <w:autoSpaceDN/>
              <w:bidi w:val="0"/>
              <w:adjustRightInd/>
              <w:snapToGrid w:val="0"/>
              <w:spacing w:after="0" w:line="400" w:lineRule="exact"/>
              <w:ind w:firstLine="420" w:firstLineChars="20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按国家有关产品“三包”规定执行“三包”，</w:t>
            </w:r>
            <w:r>
              <w:rPr>
                <w:rFonts w:hint="eastAsia" w:ascii="宋体" w:hAnsi="宋体" w:eastAsia="宋体" w:cs="宋体"/>
                <w:color w:val="auto"/>
                <w:sz w:val="21"/>
                <w:szCs w:val="21"/>
                <w:highlight w:val="none"/>
                <w:u w:val="none"/>
                <w:lang w:val="en-US" w:eastAsia="zh-CN"/>
              </w:rPr>
              <w:t>所有</w:t>
            </w:r>
            <w:r>
              <w:rPr>
                <w:rFonts w:hint="eastAsia" w:ascii="宋体" w:hAnsi="宋体" w:eastAsia="宋体" w:cs="宋体"/>
                <w:color w:val="auto"/>
                <w:sz w:val="21"/>
                <w:szCs w:val="21"/>
                <w:highlight w:val="none"/>
              </w:rPr>
              <w:t>货物质保期</w:t>
            </w:r>
            <w:r>
              <w:rPr>
                <w:rFonts w:hint="eastAsia" w:ascii="宋体" w:hAnsi="宋体" w:eastAsia="宋体" w:cs="宋体"/>
                <w:color w:val="auto"/>
                <w:sz w:val="21"/>
                <w:szCs w:val="21"/>
                <w:highlight w:val="none"/>
                <w:lang w:val="en-US" w:eastAsia="zh-CN"/>
              </w:rPr>
              <w:t>不低于2</w:t>
            </w:r>
            <w:r>
              <w:rPr>
                <w:rFonts w:hint="eastAsia" w:ascii="宋体" w:hAnsi="宋体" w:eastAsia="宋体" w:cs="宋体"/>
                <w:color w:val="auto"/>
                <w:sz w:val="21"/>
                <w:szCs w:val="21"/>
                <w:highlight w:val="none"/>
              </w:rPr>
              <w:t>年（采购需求另有要求的，按具体要求执行</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厂家质保期超过要求年限的，按厂家规定全免费包修），质保期内负责保修，终身维修。在质保期内每年至少提供</w:t>
            </w:r>
            <w:r>
              <w:rPr>
                <w:rFonts w:hint="eastAsia" w:ascii="宋体" w:hAnsi="宋体" w:eastAsia="宋体" w:cs="宋体"/>
                <w:color w:val="auto"/>
                <w:sz w:val="21"/>
                <w:szCs w:val="21"/>
                <w:highlight w:val="none"/>
                <w:lang w:val="en-US" w:eastAsia="zh-CN"/>
              </w:rPr>
              <w:t>巡检和</w:t>
            </w:r>
            <w:r>
              <w:rPr>
                <w:rFonts w:hint="eastAsia" w:ascii="宋体" w:hAnsi="宋体" w:eastAsia="宋体" w:cs="宋体"/>
                <w:color w:val="auto"/>
                <w:sz w:val="21"/>
                <w:szCs w:val="21"/>
                <w:highlight w:val="none"/>
              </w:rPr>
              <w:t>维护保养1次（工程师差旅费、住宿费、耗材配件等所产生的全部费用均由中标人承担）。</w:t>
            </w:r>
          </w:p>
        </w:tc>
      </w:tr>
      <w:tr w14:paraId="3CB62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1145" w:type="dxa"/>
            <w:noWrap/>
            <w:vAlign w:val="center"/>
          </w:tcPr>
          <w:p w14:paraId="301CE7CC">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lang w:eastAsia="zh-CN"/>
              </w:rPr>
              <w:t>）</w:t>
            </w:r>
          </w:p>
        </w:tc>
        <w:tc>
          <w:tcPr>
            <w:tcW w:w="1135" w:type="dxa"/>
            <w:noWrap/>
            <w:vAlign w:val="center"/>
          </w:tcPr>
          <w:p w14:paraId="7CE3BDD1">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w:t>
            </w:r>
          </w:p>
          <w:p w14:paraId="562C0A97">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w:t>
            </w:r>
          </w:p>
        </w:tc>
        <w:tc>
          <w:tcPr>
            <w:tcW w:w="6574" w:type="dxa"/>
            <w:noWrap/>
            <w:vAlign w:val="center"/>
          </w:tcPr>
          <w:p w14:paraId="463C446D">
            <w:pPr>
              <w:keepNext w:val="0"/>
              <w:keepLines w:val="0"/>
              <w:pageBreakBefore w:val="0"/>
              <w:kinsoku/>
              <w:wordWrap/>
              <w:overflowPunct/>
              <w:topLinePunct w:val="0"/>
              <w:autoSpaceDE/>
              <w:autoSpaceDN/>
              <w:bidi w:val="0"/>
              <w:adjustRightInd/>
              <w:snapToGrid w:val="0"/>
              <w:spacing w:after="0" w:line="400" w:lineRule="exact"/>
              <w:ind w:firstLine="42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本项目履约保证金为合同总金额的2%</w:t>
            </w:r>
            <w:r>
              <w:rPr>
                <w:rFonts w:hint="eastAsia" w:ascii="宋体" w:hAnsi="宋体" w:eastAsia="宋体" w:cs="宋体"/>
                <w:color w:val="auto"/>
                <w:sz w:val="21"/>
                <w:szCs w:val="21"/>
                <w:highlight w:val="none"/>
                <w:lang w:val="en-US" w:eastAsia="zh-CN"/>
              </w:rPr>
              <w:t>。</w:t>
            </w:r>
          </w:p>
        </w:tc>
      </w:tr>
      <w:tr w14:paraId="7C4FB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1145" w:type="dxa"/>
            <w:noWrap/>
            <w:vAlign w:val="center"/>
          </w:tcPr>
          <w:p w14:paraId="2928C7F7">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lang w:eastAsia="zh-CN"/>
              </w:rPr>
              <w:t>）</w:t>
            </w:r>
          </w:p>
        </w:tc>
        <w:tc>
          <w:tcPr>
            <w:tcW w:w="1135" w:type="dxa"/>
            <w:noWrap/>
            <w:vAlign w:val="center"/>
          </w:tcPr>
          <w:p w14:paraId="061F9502">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tc>
        <w:tc>
          <w:tcPr>
            <w:tcW w:w="6574" w:type="dxa"/>
            <w:noWrap/>
            <w:vAlign w:val="center"/>
          </w:tcPr>
          <w:p w14:paraId="1326BEFD">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1．检查供货范围或服务范围</w:t>
            </w:r>
          </w:p>
          <w:p w14:paraId="0A598846">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到达现场后，中标人应在采购人单位人员在场情况下当面开箱，共同清点、检查外观，作出开箱记录，双方签字确认。中标人应保证货物到达采购人所在地完好无损，如有缺漏、损坏，由中标人负责调换、补齐或赔偿。</w:t>
            </w:r>
          </w:p>
          <w:p w14:paraId="2DAFB907">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2．中标人应提供完备的技术或服务资料、装箱单和合格证等，并派遣专业人员进行现场安装调试。验收合格条件如下：</w:t>
            </w:r>
          </w:p>
          <w:p w14:paraId="5FF5A4EB">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2.1货物或服务技术参数与招标文件中响应表或证明材料一致，性能或指标达到规定的标准，否则，以实际货物或服务技术参数与招标文件响应表参数或证明材料比较，按如下情况处理：</w:t>
            </w:r>
          </w:p>
          <w:p w14:paraId="5C2A6156">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（1）投标人投标文件响应表或证明材料中满足或优于的技术参数，在验收时实际不满足技术参数要求的，视为投标人违约，采购人有权终止合同拒收货物，并追究投标人责任。</w:t>
            </w:r>
          </w:p>
          <w:p w14:paraId="11624618">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（2）投标人投标文件响应表或证明材料中优于的技术参数，在验收时实际仅满足并未优于技术参数要求的，视为投标人违约，采购人有权终止合同拒收货物，并追究投标人责任。</w:t>
            </w:r>
          </w:p>
          <w:p w14:paraId="59E96626">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（3）投标人投标文件响应表或证明材料中不满足的技术参数，在验收时实际满足技术参数的要求，以满足技术参数的要求验收。</w:t>
            </w:r>
          </w:p>
          <w:p w14:paraId="04F464D4">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（4）投标人投标文件响应表或证明材料中满足的技术参数，在验收时实际优于技术参数的要求，以满足技术参数的要求验收。</w:t>
            </w:r>
          </w:p>
          <w:p w14:paraId="024A1265">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（5）投标人投标文件响应表或证明材料中优于的技术参数，在验收时实际也优于技术参数的要求，但没有达到响应表或证明材料中优于的程度，由采购人与投标人协商按是否满足要求验收。</w:t>
            </w:r>
          </w:p>
          <w:p w14:paraId="3D84CE8F">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实际货物与投标货物型号不一致的，验收时不论实际是优于还是满足技术参数的要求，采购人均有权终止合同拒收货物。如影响货物或服务的使用、质量、档次及采购人需求的，还可视为投标人违约，追究投标人责任。</w:t>
            </w:r>
          </w:p>
          <w:p w14:paraId="459A7B85">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2.2技术资料、装箱单、合格证等资料齐全。</w:t>
            </w:r>
          </w:p>
          <w:p w14:paraId="4AF190E0">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2.3在测试或试运行期间所出现的问题得到解决，并运行或工作正常。</w:t>
            </w:r>
          </w:p>
          <w:p w14:paraId="352B5B29">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2.4在规定时间内完成交货及验收，并经采购人确认。</w:t>
            </w:r>
          </w:p>
          <w:p w14:paraId="445EC13B">
            <w:pPr>
              <w:keepNext w:val="0"/>
              <w:keepLines w:val="0"/>
              <w:pageBreakBefore w:val="0"/>
              <w:kinsoku/>
              <w:wordWrap/>
              <w:overflowPunct/>
              <w:topLinePunct w:val="0"/>
              <w:autoSpaceDE/>
              <w:autoSpaceDN/>
              <w:bidi w:val="0"/>
              <w:adjustRightInd/>
              <w:snapToGrid w:val="0"/>
              <w:spacing w:after="0" w:line="400" w:lineRule="exact"/>
              <w:ind w:firstLine="42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2.5如货物采购需求中明确需要检定或校准的因中标人的原因导致仪器未能通过检定或校准的，采购人有权进行退货处理，必要时延长预付款保函有效期或终止合同，并追究投标人责任。</w:t>
            </w:r>
          </w:p>
          <w:p w14:paraId="108B5C50">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3．产品或服务在安装调试并试运行符合要求后，才作为最终验收。</w:t>
            </w:r>
          </w:p>
          <w:p w14:paraId="36CF710A">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4．中标人提供的货物或服务未达到招标文件规定要求，且对采购人造成损失的，由中标人承担一切责任，并赔偿所造成的损失。</w:t>
            </w:r>
          </w:p>
          <w:p w14:paraId="6FCAEAC4">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5．采购人需要制造商对中标人交付的产品或服务（包括质量、参数等）进行确认的，制造商应予以配合并出具书面意见，相关配合事项由中标人与制造商协调。</w:t>
            </w:r>
          </w:p>
          <w:p w14:paraId="443B074C">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6．产品包装材料归采购人所有。</w:t>
            </w:r>
          </w:p>
          <w:p w14:paraId="1146EE92">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7．大型或者复杂的采购项目，采购人应当邀请具有相关资质的检测机构参加验收工作：</w:t>
            </w:r>
          </w:p>
          <w:p w14:paraId="1C0BEAF8">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7.1设备到场后，由采购人和中标人一起依据招标文件上的技术规格要求和国家有关质量标准进行现场初步验收，外观、说明书符合招标文件技术要求的，给予签收，初步验收不合格的不予签收。</w:t>
            </w:r>
          </w:p>
          <w:p w14:paraId="0A821B5B">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7.2涉及行业标准的内容由采购人和厂家工程师共同完成符合性的确认。</w:t>
            </w:r>
          </w:p>
          <w:p w14:paraId="3AB76283">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验收时对招标采购涉及参数的全部条款进行确认。参数中涉及的检出限、精密度、正确度能在常规实验室验证的，在仪器安装调试完成后由采购人员和仪器厂家工程师共同完成验证。部分检出限、精密度、正确度无法在常规实验室验证的以厂家证明文件作为验收依据。</w:t>
            </w:r>
          </w:p>
          <w:p w14:paraId="3E942631">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7.4其它参数部分以提供厂家证明文件作为验收依据。仪器正常运行，参数验证合格后，中标方配合采购人完成最终验收报告的编制。以验收报告完成时间作为质保期起始日期进行质保时间的计算。</w:t>
            </w:r>
          </w:p>
          <w:p w14:paraId="2B116A7D">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7.5完成最终验收所需要的全部费用由中标人负责。</w:t>
            </w:r>
          </w:p>
          <w:p w14:paraId="18E27541">
            <w:pPr>
              <w:keepNext w:val="0"/>
              <w:keepLines w:val="0"/>
              <w:pageBreakBefore w:val="0"/>
              <w:kinsoku/>
              <w:wordWrap/>
              <w:overflowPunct/>
              <w:topLinePunct w:val="0"/>
              <w:autoSpaceDE/>
              <w:autoSpaceDN/>
              <w:bidi w:val="0"/>
              <w:adjustRightInd/>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8.中标人需要提供配套的</w:t>
            </w:r>
            <w:r>
              <w:rPr>
                <w:rFonts w:hint="eastAsia" w:ascii="宋体" w:hAnsi="宋体" w:eastAsia="宋体" w:cs="宋体"/>
                <w:b w:val="0"/>
                <w:bCs w:val="0"/>
                <w:color w:val="auto"/>
                <w:sz w:val="21"/>
                <w:szCs w:val="21"/>
                <w:highlight w:val="none"/>
                <w:u w:val="none"/>
              </w:rPr>
              <w:t>检定或校准</w:t>
            </w:r>
            <w:r>
              <w:rPr>
                <w:rFonts w:hint="eastAsia" w:ascii="宋体" w:hAnsi="宋体" w:eastAsia="宋体" w:cs="宋体"/>
                <w:b w:val="0"/>
                <w:bCs w:val="0"/>
                <w:color w:val="auto"/>
                <w:sz w:val="21"/>
                <w:szCs w:val="21"/>
                <w:highlight w:val="none"/>
                <w:u w:val="none"/>
                <w:lang w:val="en-US" w:eastAsia="zh-CN"/>
              </w:rPr>
              <w:t>证书</w:t>
            </w:r>
            <w:r>
              <w:rPr>
                <w:rFonts w:hint="eastAsia" w:ascii="宋体" w:hAnsi="宋体" w:eastAsia="宋体" w:cs="宋体"/>
                <w:color w:val="auto"/>
                <w:sz w:val="21"/>
                <w:szCs w:val="21"/>
                <w:highlight w:val="none"/>
              </w:rPr>
              <w:t>。因中标人的原因导致仪器未能通过检定或校准的，采购人有权进行退货处理，必要时终止合同，并追究投标人责任。计量检定/校准服务费用及相关其他因检验产生的费用由</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人负责。如检定/校准不符合要求则按退货处理。</w:t>
            </w:r>
          </w:p>
          <w:p w14:paraId="2AD3B0E6">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其他验收要求按第五章《合同主要条款格式》执行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并兼顾《履约验收方案》（详见附件）</w:t>
            </w:r>
            <w:r>
              <w:rPr>
                <w:rFonts w:hint="eastAsia" w:ascii="宋体" w:hAnsi="宋体" w:eastAsia="宋体" w:cs="宋体"/>
                <w:color w:val="auto"/>
                <w:sz w:val="21"/>
                <w:szCs w:val="21"/>
                <w:highlight w:val="none"/>
              </w:rPr>
              <w:t>，未尽事宜按照相关法律法规规定执行。</w:t>
            </w:r>
          </w:p>
        </w:tc>
      </w:tr>
      <w:tr w14:paraId="772E3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1145" w:type="dxa"/>
            <w:noWrap/>
            <w:vAlign w:val="center"/>
          </w:tcPr>
          <w:p w14:paraId="2DF6D0D0">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九</w:t>
            </w:r>
            <w:r>
              <w:rPr>
                <w:rFonts w:hint="eastAsia" w:ascii="宋体" w:hAnsi="宋体" w:eastAsia="宋体" w:cs="宋体"/>
                <w:color w:val="auto"/>
                <w:sz w:val="21"/>
                <w:szCs w:val="21"/>
                <w:highlight w:val="none"/>
                <w:lang w:eastAsia="zh-CN"/>
              </w:rPr>
              <w:t>）</w:t>
            </w:r>
          </w:p>
        </w:tc>
        <w:tc>
          <w:tcPr>
            <w:tcW w:w="1135" w:type="dxa"/>
            <w:noWrap/>
            <w:vAlign w:val="center"/>
          </w:tcPr>
          <w:p w14:paraId="2E14807B">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售后技术服务要求</w:t>
            </w:r>
          </w:p>
        </w:tc>
        <w:tc>
          <w:tcPr>
            <w:tcW w:w="6574" w:type="dxa"/>
            <w:noWrap/>
            <w:vAlign w:val="center"/>
          </w:tcPr>
          <w:p w14:paraId="2EB92475">
            <w:pPr>
              <w:keepNext w:val="0"/>
              <w:keepLines w:val="0"/>
              <w:pageBreakBefore w:val="0"/>
              <w:widowControl/>
              <w:kinsoku/>
              <w:wordWrap/>
              <w:overflowPunct/>
              <w:topLinePunct w:val="0"/>
              <w:autoSpaceDE/>
              <w:autoSpaceDN/>
              <w:bidi w:val="0"/>
              <w:adjustRightInd/>
              <w:snapToGrid w:val="0"/>
              <w:spacing w:after="0" w:line="400" w:lineRule="exact"/>
              <w:ind w:firstLine="420"/>
              <w:outlineLvl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所投产品如果高于招标要求时，应提供足以证明的技术支持资料。</w:t>
            </w:r>
          </w:p>
          <w:p w14:paraId="0F48FF3E">
            <w:pPr>
              <w:keepNext w:val="0"/>
              <w:keepLines w:val="0"/>
              <w:pageBreakBefore w:val="0"/>
              <w:widowControl/>
              <w:kinsoku/>
              <w:wordWrap/>
              <w:overflowPunct/>
              <w:topLinePunct w:val="0"/>
              <w:autoSpaceDE/>
              <w:autoSpaceDN/>
              <w:bidi w:val="0"/>
              <w:adjustRightInd/>
              <w:snapToGrid w:val="0"/>
              <w:spacing w:after="0" w:line="400" w:lineRule="exact"/>
              <w:ind w:firstLine="420"/>
              <w:outlineLvl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投标产品必须是按厂家标准配置的整套全新，具备正规合法经销渠道的，符合国家各项有关质量标准的合格产品。相关部件及服务满足以上各项要求。若产品在运输过程中损坏或擦伤须无偿调换相同产品。</w:t>
            </w:r>
          </w:p>
          <w:p w14:paraId="643923C0">
            <w:pPr>
              <w:keepNext w:val="0"/>
              <w:keepLines w:val="0"/>
              <w:pageBreakBefore w:val="0"/>
              <w:widowControl/>
              <w:kinsoku/>
              <w:wordWrap/>
              <w:overflowPunct/>
              <w:topLinePunct w:val="0"/>
              <w:autoSpaceDE/>
              <w:autoSpaceDN/>
              <w:bidi w:val="0"/>
              <w:adjustRightInd/>
              <w:snapToGrid w:val="0"/>
              <w:spacing w:after="0" w:line="400" w:lineRule="exact"/>
              <w:ind w:firstLine="420"/>
              <w:outlineLvl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投标报价包含货物、随配附件、备品备件、工具、运抵指定交货地点、安装、安装调试、安装所需材料、委托培训费和售后服务、税金、检验、验收及其他所有成本费用的总和。</w:t>
            </w:r>
          </w:p>
          <w:p w14:paraId="6F2EBA41">
            <w:pPr>
              <w:keepNext w:val="0"/>
              <w:keepLines w:val="0"/>
              <w:pageBreakBefore w:val="0"/>
              <w:widowControl/>
              <w:kinsoku/>
              <w:wordWrap/>
              <w:overflowPunct/>
              <w:topLinePunct w:val="0"/>
              <w:autoSpaceDE/>
              <w:autoSpaceDN/>
              <w:bidi w:val="0"/>
              <w:adjustRightInd/>
              <w:snapToGrid w:val="0"/>
              <w:spacing w:after="0" w:line="400" w:lineRule="exact"/>
              <w:ind w:firstLine="420"/>
              <w:outlineLvl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免费送货上门并卸至采购人指定地点，免费负责采购人维修、操作、技术人员的培训服务，并无偿提供培训资料和培训师资。使用户相关维修、操作人员具备了解设备结构、工作原理，熟练操作设备，并能排除一般故障的能力；交货及采购人安装调试过程中，中标人应免费派专业技术人员到交货安装现场进行技术指导及相关技术服务，向采购人交相关试验数据、报告及采购人要求提供的相关技术文件，直至达到验收要求。</w:t>
            </w:r>
          </w:p>
          <w:p w14:paraId="76F10A57">
            <w:pPr>
              <w:keepNext w:val="0"/>
              <w:keepLines w:val="0"/>
              <w:pageBreakBefore w:val="0"/>
              <w:widowControl/>
              <w:kinsoku/>
              <w:wordWrap/>
              <w:overflowPunct/>
              <w:topLinePunct w:val="0"/>
              <w:autoSpaceDE/>
              <w:autoSpaceDN/>
              <w:bidi w:val="0"/>
              <w:adjustRightInd/>
              <w:snapToGrid w:val="0"/>
              <w:spacing w:after="0" w:line="400" w:lineRule="exact"/>
              <w:ind w:firstLine="420"/>
              <w:outlineLvl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服务体系：投标人须在</w:t>
            </w:r>
            <w:r>
              <w:rPr>
                <w:rFonts w:hint="eastAsia" w:ascii="宋体" w:hAnsi="宋体" w:eastAsia="宋体" w:cs="宋体"/>
                <w:color w:val="auto"/>
                <w:kern w:val="0"/>
                <w:sz w:val="21"/>
                <w:szCs w:val="21"/>
                <w:highlight w:val="none"/>
                <w:lang w:val="en-US" w:eastAsia="zh-CN"/>
              </w:rPr>
              <w:t>采购人提出的技术问题后24小时内予以反馈解</w:t>
            </w:r>
            <w:r>
              <w:rPr>
                <w:rFonts w:hint="eastAsia" w:ascii="宋体" w:hAnsi="宋体" w:eastAsia="宋体" w:cs="宋体"/>
                <w:color w:val="auto"/>
                <w:kern w:val="0"/>
                <w:sz w:val="21"/>
                <w:szCs w:val="21"/>
                <w:highlight w:val="none"/>
              </w:rPr>
              <w:t>。</w:t>
            </w:r>
          </w:p>
          <w:p w14:paraId="3E52AF86">
            <w:pPr>
              <w:keepNext w:val="0"/>
              <w:keepLines w:val="0"/>
              <w:pageBreakBefore w:val="0"/>
              <w:widowControl/>
              <w:kinsoku/>
              <w:wordWrap/>
              <w:overflowPunct/>
              <w:topLinePunct w:val="0"/>
              <w:autoSpaceDE/>
              <w:autoSpaceDN/>
              <w:bidi w:val="0"/>
              <w:adjustRightInd/>
              <w:snapToGrid w:val="0"/>
              <w:spacing w:after="0" w:line="400" w:lineRule="exact"/>
              <w:ind w:firstLine="420"/>
              <w:outlineLvl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投标人必须提供详细的售后服务承诺方案。</w:t>
            </w:r>
          </w:p>
          <w:p w14:paraId="2C5FA6E2">
            <w:pPr>
              <w:keepNext w:val="0"/>
              <w:keepLines w:val="0"/>
              <w:pageBreakBefore w:val="0"/>
              <w:kinsoku/>
              <w:wordWrap/>
              <w:overflowPunct/>
              <w:topLinePunct w:val="0"/>
              <w:autoSpaceDE/>
              <w:autoSpaceDN/>
              <w:bidi w:val="0"/>
              <w:adjustRightInd/>
              <w:snapToGrid w:val="0"/>
              <w:spacing w:after="0" w:line="400" w:lineRule="exact"/>
              <w:ind w:firstLine="42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在质保期内，如中标人不按质保要</w:t>
            </w:r>
            <w:r>
              <w:rPr>
                <w:rFonts w:hint="eastAsia" w:ascii="宋体" w:hAnsi="宋体" w:eastAsia="宋体" w:cs="宋体"/>
                <w:color w:val="auto"/>
                <w:sz w:val="21"/>
                <w:szCs w:val="21"/>
                <w:highlight w:val="none"/>
                <w:lang w:val="en-US" w:eastAsia="zh-CN"/>
              </w:rPr>
              <w:t>求</w:t>
            </w:r>
            <w:r>
              <w:rPr>
                <w:rFonts w:hint="eastAsia" w:ascii="宋体" w:hAnsi="宋体" w:eastAsia="宋体" w:cs="宋体"/>
                <w:color w:val="auto"/>
                <w:sz w:val="21"/>
                <w:szCs w:val="21"/>
                <w:highlight w:val="none"/>
              </w:rPr>
              <w:t>进行质保，导致仪器设备及车辆发生维修费用（以维修发票为准），由中标人支付。</w:t>
            </w:r>
          </w:p>
        </w:tc>
      </w:tr>
      <w:tr w14:paraId="51F7C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0" w:hRule="atLeast"/>
          <w:jc w:val="center"/>
        </w:trPr>
        <w:tc>
          <w:tcPr>
            <w:tcW w:w="1145" w:type="dxa"/>
            <w:noWrap/>
            <w:vAlign w:val="center"/>
          </w:tcPr>
          <w:p w14:paraId="69999657">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w:t>
            </w:r>
            <w:r>
              <w:rPr>
                <w:rFonts w:hint="eastAsia" w:ascii="宋体" w:hAnsi="宋体" w:eastAsia="宋体" w:cs="宋体"/>
                <w:color w:val="auto"/>
                <w:sz w:val="21"/>
                <w:szCs w:val="21"/>
                <w:highlight w:val="none"/>
                <w:lang w:eastAsia="zh-CN"/>
              </w:rPr>
              <w:t>）</w:t>
            </w:r>
          </w:p>
        </w:tc>
        <w:tc>
          <w:tcPr>
            <w:tcW w:w="1135" w:type="dxa"/>
            <w:noWrap/>
            <w:vAlign w:val="center"/>
          </w:tcPr>
          <w:p w14:paraId="56873A42">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w:t>
            </w:r>
          </w:p>
        </w:tc>
        <w:tc>
          <w:tcPr>
            <w:tcW w:w="6574" w:type="dxa"/>
            <w:noWrap/>
            <w:vAlign w:val="center"/>
          </w:tcPr>
          <w:p w14:paraId="430B3C27">
            <w:pPr>
              <w:keepNext w:val="0"/>
              <w:keepLines w:val="0"/>
              <w:pageBreakBefore w:val="0"/>
              <w:kinsoku/>
              <w:wordWrap/>
              <w:overflowPunct/>
              <w:topLinePunct w:val="0"/>
              <w:autoSpaceDE/>
              <w:autoSpaceDN/>
              <w:bidi w:val="0"/>
              <w:adjustRightInd/>
              <w:snapToGrid w:val="0"/>
              <w:spacing w:after="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投标人对其提供产品或服务的使用和操作应尽培训义务。投标人应提供对采购人的基本培训，安装验收期间，</w:t>
            </w:r>
            <w:r>
              <w:rPr>
                <w:rFonts w:hint="eastAsia" w:ascii="宋体" w:hAnsi="宋体" w:eastAsia="宋体" w:cs="宋体"/>
                <w:color w:val="auto"/>
                <w:sz w:val="21"/>
                <w:szCs w:val="21"/>
                <w:highlight w:val="none"/>
                <w:lang w:val="zh-CN"/>
              </w:rPr>
              <w:t>须根据用户需求提供</w:t>
            </w:r>
            <w:r>
              <w:rPr>
                <w:rFonts w:hint="eastAsia" w:ascii="宋体" w:hAnsi="宋体" w:eastAsia="宋体" w:cs="宋体"/>
                <w:color w:val="auto"/>
                <w:sz w:val="21"/>
                <w:szCs w:val="21"/>
                <w:highlight w:val="none"/>
              </w:rPr>
              <w:t>进行现场技术培训，必须包括仪器使用</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使采购人使用人员熟练掌握所培训内容，熟练掌握全部功能，培训的相关费用包括在投标报价中，采购人不再另行支付。</w:t>
            </w:r>
          </w:p>
          <w:p w14:paraId="09290753">
            <w:pPr>
              <w:keepNext w:val="0"/>
              <w:keepLines w:val="0"/>
              <w:pageBreakBefore w:val="0"/>
              <w:kinsoku/>
              <w:wordWrap/>
              <w:overflowPunct/>
              <w:topLinePunct w:val="0"/>
              <w:autoSpaceDE/>
              <w:autoSpaceDN/>
              <w:bidi w:val="0"/>
              <w:adjustRightInd/>
              <w:snapToGrid w:val="0"/>
              <w:spacing w:after="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eastAsia="zh-CN"/>
              </w:rPr>
              <w:t>便携式X射线荧光光谱仪”</w:t>
            </w:r>
            <w:r>
              <w:rPr>
                <w:rFonts w:hint="eastAsia" w:ascii="宋体" w:hAnsi="宋体" w:eastAsia="宋体" w:cs="宋体"/>
                <w:color w:val="auto"/>
                <w:sz w:val="21"/>
                <w:szCs w:val="21"/>
                <w:highlight w:val="none"/>
                <w:lang w:val="en-US" w:eastAsia="zh-CN"/>
              </w:rPr>
              <w:t>质保期内</w:t>
            </w:r>
            <w:r>
              <w:rPr>
                <w:rFonts w:hint="eastAsia" w:ascii="宋体" w:hAnsi="宋体" w:eastAsia="宋体" w:cs="宋体"/>
                <w:color w:val="auto"/>
                <w:sz w:val="21"/>
                <w:szCs w:val="21"/>
                <w:highlight w:val="none"/>
              </w:rPr>
              <w:t>每年至少2次现场</w:t>
            </w:r>
            <w:r>
              <w:rPr>
                <w:rFonts w:hint="eastAsia" w:ascii="宋体" w:hAnsi="宋体" w:eastAsia="宋体" w:cs="宋体"/>
                <w:color w:val="auto"/>
                <w:sz w:val="21"/>
                <w:szCs w:val="21"/>
                <w:highlight w:val="none"/>
                <w:lang w:val="en-US" w:eastAsia="zh-CN"/>
              </w:rPr>
              <w:t>免费培训。</w:t>
            </w:r>
          </w:p>
        </w:tc>
      </w:tr>
      <w:tr w14:paraId="4FFF8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3" w:hRule="atLeast"/>
          <w:jc w:val="center"/>
        </w:trPr>
        <w:tc>
          <w:tcPr>
            <w:tcW w:w="1145" w:type="dxa"/>
            <w:noWrap/>
            <w:vAlign w:val="center"/>
          </w:tcPr>
          <w:p w14:paraId="41861B6A">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十一</w:t>
            </w:r>
            <w:r>
              <w:rPr>
                <w:rFonts w:hint="eastAsia" w:ascii="宋体" w:hAnsi="宋体" w:eastAsia="宋体" w:cs="宋体"/>
                <w:color w:val="auto"/>
                <w:sz w:val="21"/>
                <w:szCs w:val="21"/>
                <w:highlight w:val="none"/>
                <w:lang w:eastAsia="zh-CN"/>
              </w:rPr>
              <w:t>）</w:t>
            </w:r>
          </w:p>
        </w:tc>
        <w:tc>
          <w:tcPr>
            <w:tcW w:w="1135" w:type="dxa"/>
            <w:noWrap/>
            <w:vAlign w:val="center"/>
          </w:tcPr>
          <w:p w14:paraId="34782DA7">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知识产权</w:t>
            </w:r>
          </w:p>
        </w:tc>
        <w:tc>
          <w:tcPr>
            <w:tcW w:w="6574" w:type="dxa"/>
            <w:noWrap/>
            <w:vAlign w:val="center"/>
          </w:tcPr>
          <w:p w14:paraId="57898324">
            <w:pPr>
              <w:keepNext w:val="0"/>
              <w:keepLines w:val="0"/>
              <w:pageBreakBefore w:val="0"/>
              <w:kinsoku/>
              <w:wordWrap/>
              <w:overflowPunct/>
              <w:topLinePunct w:val="0"/>
              <w:autoSpaceDE/>
              <w:autoSpaceDN/>
              <w:bidi w:val="0"/>
              <w:adjustRightInd/>
              <w:snapToGrid w:val="0"/>
              <w:spacing w:after="0"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采购人在中华人民共和国境内使用投标人提供的产品及服务时免受第三方提出的侵犯其专利权或其它知识产权的起诉。如果第三方提出侵权指控，中标人应承担由此而引起的一切法律责任和费用。</w:t>
            </w:r>
          </w:p>
        </w:tc>
      </w:tr>
      <w:tr w14:paraId="55557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145" w:type="dxa"/>
            <w:noWrap/>
            <w:vAlign w:val="center"/>
          </w:tcPr>
          <w:p w14:paraId="1E78C09B">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（十二）</w:t>
            </w:r>
          </w:p>
        </w:tc>
        <w:tc>
          <w:tcPr>
            <w:tcW w:w="1135" w:type="dxa"/>
            <w:noWrap/>
            <w:vAlign w:val="center"/>
          </w:tcPr>
          <w:p w14:paraId="6C7BE944">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进口产品</w:t>
            </w:r>
          </w:p>
        </w:tc>
        <w:tc>
          <w:tcPr>
            <w:tcW w:w="6574" w:type="dxa"/>
            <w:noWrap/>
            <w:vAlign w:val="center"/>
          </w:tcPr>
          <w:p w14:paraId="5DEB59C4">
            <w:pPr>
              <w:keepNext w:val="0"/>
              <w:keepLines w:val="0"/>
              <w:pageBreakBefore w:val="0"/>
              <w:kinsoku/>
              <w:wordWrap/>
              <w:overflowPunct/>
              <w:topLinePunct w:val="0"/>
              <w:autoSpaceDE/>
              <w:autoSpaceDN/>
              <w:bidi w:val="0"/>
              <w:adjustRightInd/>
              <w:spacing w:after="0" w:line="40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本分标不接受进口产品（即通过中国海关报关验放进入中国境内且产自关境外的产品）参与投标，如有此类产品参与投标的做无效标处理。</w:t>
            </w:r>
          </w:p>
        </w:tc>
      </w:tr>
      <w:tr w14:paraId="7D205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145" w:type="dxa"/>
            <w:noWrap/>
            <w:vAlign w:val="center"/>
          </w:tcPr>
          <w:p w14:paraId="5493F59C">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（十三）</w:t>
            </w:r>
          </w:p>
        </w:tc>
        <w:tc>
          <w:tcPr>
            <w:tcW w:w="1135" w:type="dxa"/>
            <w:noWrap/>
            <w:vAlign w:val="center"/>
          </w:tcPr>
          <w:p w14:paraId="063387B1">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原厂商授权及相关要求</w:t>
            </w:r>
          </w:p>
        </w:tc>
        <w:tc>
          <w:tcPr>
            <w:tcW w:w="6574" w:type="dxa"/>
            <w:noWrap/>
            <w:vAlign w:val="center"/>
          </w:tcPr>
          <w:p w14:paraId="3BA022E9">
            <w:pPr>
              <w:keepNext w:val="0"/>
              <w:keepLines w:val="0"/>
              <w:pageBreakBefore w:val="0"/>
              <w:kinsoku/>
              <w:wordWrap/>
              <w:overflowPunct/>
              <w:topLinePunct w:val="0"/>
              <w:autoSpaceDE/>
              <w:autoSpaceDN/>
              <w:bidi w:val="0"/>
              <w:adjustRightInd/>
              <w:spacing w:after="0" w:line="400" w:lineRule="exact"/>
              <w:ind w:firstLine="42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无。</w:t>
            </w:r>
          </w:p>
        </w:tc>
      </w:tr>
      <w:tr w14:paraId="7DAAB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145" w:type="dxa"/>
            <w:noWrap/>
            <w:vAlign w:val="center"/>
          </w:tcPr>
          <w:p w14:paraId="1D8B9A3F">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（十四）</w:t>
            </w:r>
          </w:p>
        </w:tc>
        <w:tc>
          <w:tcPr>
            <w:tcW w:w="1135" w:type="dxa"/>
            <w:noWrap/>
            <w:vAlign w:val="center"/>
          </w:tcPr>
          <w:p w14:paraId="111FEC2A">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中小企业说明</w:t>
            </w:r>
          </w:p>
        </w:tc>
        <w:tc>
          <w:tcPr>
            <w:tcW w:w="6574" w:type="dxa"/>
            <w:noWrap/>
            <w:vAlign w:val="center"/>
          </w:tcPr>
          <w:p w14:paraId="3CE960C4">
            <w:pPr>
              <w:keepNext w:val="0"/>
              <w:keepLines w:val="0"/>
              <w:pageBreakBefore w:val="0"/>
              <w:kinsoku/>
              <w:wordWrap/>
              <w:overflowPunct/>
              <w:topLinePunct w:val="0"/>
              <w:autoSpaceDE/>
              <w:autoSpaceDN/>
              <w:bidi w:val="0"/>
              <w:adjustRightInd/>
              <w:spacing w:after="0" w:line="400" w:lineRule="exact"/>
              <w:ind w:firstLine="420" w:firstLineChars="200"/>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none"/>
                <w:lang w:val="en-US" w:eastAsia="zh-CN"/>
              </w:rPr>
              <w:t>本分标专门面向中小企业。</w:t>
            </w:r>
          </w:p>
        </w:tc>
      </w:tr>
      <w:tr w14:paraId="0B7A0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145" w:type="dxa"/>
            <w:noWrap/>
            <w:vAlign w:val="center"/>
          </w:tcPr>
          <w:p w14:paraId="47CE0FBE">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（十五）</w:t>
            </w:r>
          </w:p>
        </w:tc>
        <w:tc>
          <w:tcPr>
            <w:tcW w:w="1135" w:type="dxa"/>
            <w:noWrap/>
            <w:vAlign w:val="center"/>
          </w:tcPr>
          <w:p w14:paraId="1A376802">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负偏离要求</w:t>
            </w:r>
          </w:p>
        </w:tc>
        <w:tc>
          <w:tcPr>
            <w:tcW w:w="6574" w:type="dxa"/>
            <w:noWrap/>
            <w:vAlign w:val="center"/>
          </w:tcPr>
          <w:p w14:paraId="40CC8D28">
            <w:pPr>
              <w:keepNext w:val="0"/>
              <w:keepLines w:val="0"/>
              <w:pageBreakBefore w:val="0"/>
              <w:kinsoku/>
              <w:wordWrap/>
              <w:overflowPunct/>
              <w:topLinePunct w:val="0"/>
              <w:autoSpaceDE/>
              <w:autoSpaceDN/>
              <w:bidi w:val="0"/>
              <w:adjustRightInd/>
              <w:spacing w:after="0" w:line="400" w:lineRule="exact"/>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本分标商务要求允许0项负偏离。</w:t>
            </w:r>
          </w:p>
        </w:tc>
      </w:tr>
      <w:tr w14:paraId="1A722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3" w:hRule="atLeast"/>
          <w:jc w:val="center"/>
        </w:trPr>
        <w:tc>
          <w:tcPr>
            <w:tcW w:w="1145" w:type="dxa"/>
            <w:noWrap/>
            <w:vAlign w:val="center"/>
          </w:tcPr>
          <w:p w14:paraId="414B5F60">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（十六）</w:t>
            </w:r>
          </w:p>
        </w:tc>
        <w:tc>
          <w:tcPr>
            <w:tcW w:w="1135" w:type="dxa"/>
            <w:noWrap/>
            <w:vAlign w:val="center"/>
          </w:tcPr>
          <w:p w14:paraId="72949171">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6574" w:type="dxa"/>
            <w:noWrap/>
            <w:vAlign w:val="center"/>
          </w:tcPr>
          <w:p w14:paraId="1E835CFF">
            <w:pPr>
              <w:keepNext w:val="0"/>
              <w:keepLines w:val="0"/>
              <w:pageBreakBefore w:val="0"/>
              <w:kinsoku/>
              <w:wordWrap/>
              <w:overflowPunct/>
              <w:topLinePunct w:val="0"/>
              <w:autoSpaceDE/>
              <w:autoSpaceDN/>
              <w:bidi w:val="0"/>
              <w:adjustRightInd/>
              <w:spacing w:after="0"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1.中标人提供的硬件设备及软件的技术参数、配置和性能指标必须为真实有效，如有提供虚假材料谋取中标的，按政府采购相关法规处罚，并追究其相应的法律责任。</w:t>
            </w:r>
          </w:p>
          <w:p w14:paraId="690E619B">
            <w:pPr>
              <w:keepNext w:val="0"/>
              <w:keepLines w:val="0"/>
              <w:pageBreakBefore w:val="0"/>
              <w:kinsoku/>
              <w:wordWrap/>
              <w:overflowPunct/>
              <w:topLinePunct w:val="0"/>
              <w:autoSpaceDE/>
              <w:autoSpaceDN/>
              <w:bidi w:val="0"/>
              <w:adjustRightInd/>
              <w:spacing w:after="0"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2.中标产品必须是按厂家标准配置的整套全新，具备正规合法经销渠道的，符合国家各项有关质量标准的合格产品。相关部件及服务满足以上各项要求。若产品在运输过程中损坏或擦伤须无偿调换相同产品。</w:t>
            </w:r>
          </w:p>
          <w:p w14:paraId="184A17AA">
            <w:pPr>
              <w:keepNext w:val="0"/>
              <w:keepLines w:val="0"/>
              <w:pageBreakBefore w:val="0"/>
              <w:kinsoku/>
              <w:wordWrap/>
              <w:overflowPunct/>
              <w:topLinePunct w:val="0"/>
              <w:autoSpaceDE/>
              <w:autoSpaceDN/>
              <w:bidi w:val="0"/>
              <w:adjustRightInd/>
              <w:snapToGrid/>
              <w:spacing w:after="0"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3.中标人提供的货物包装应符合《财政部等三部门联合印发商品包装和快递包装政府采购需求标准（试行）》财办库〔2020〕123号相关要求。</w:t>
            </w:r>
          </w:p>
        </w:tc>
      </w:tr>
    </w:tbl>
    <w:p w14:paraId="5A722594">
      <w:pPr>
        <w:rPr>
          <w:rFonts w:hint="eastAsia" w:ascii="宋体" w:hAnsi="宋体" w:eastAsia="宋体" w:cs="宋体"/>
          <w:b/>
          <w:bCs/>
          <w:color w:val="auto"/>
          <w:kern w:val="2"/>
          <w:sz w:val="21"/>
          <w:szCs w:val="21"/>
          <w:highlight w:val="none"/>
          <w:lang w:val="en-US" w:eastAsia="zh-CN" w:bidi="ar-SA"/>
        </w:rPr>
      </w:pPr>
    </w:p>
    <w:p w14:paraId="39B4841C">
      <w:pPr>
        <w:rPr>
          <w:rFonts w:hint="eastAsia" w:ascii="宋体" w:hAnsi="宋体" w:eastAsia="宋体" w:cs="宋体"/>
          <w:b/>
          <w:bCs/>
          <w:color w:val="auto"/>
          <w:kern w:val="0"/>
          <w:sz w:val="21"/>
          <w:szCs w:val="21"/>
          <w:highlight w:val="none"/>
          <w:lang w:val="en-US" w:eastAsia="zh-CN" w:bidi="ar-SA"/>
        </w:rPr>
      </w:pPr>
      <w:bookmarkStart w:id="109" w:name="_Toc13860"/>
      <w:bookmarkStart w:id="110" w:name="_Toc14923"/>
      <w:r>
        <w:rPr>
          <w:rFonts w:hint="eastAsia" w:ascii="宋体" w:hAnsi="宋体" w:eastAsia="宋体" w:cs="宋体"/>
          <w:b/>
          <w:bCs/>
          <w:color w:val="auto"/>
          <w:kern w:val="0"/>
          <w:sz w:val="21"/>
          <w:szCs w:val="21"/>
          <w:highlight w:val="none"/>
          <w:lang w:val="en-US" w:eastAsia="zh-CN" w:bidi="ar-SA"/>
        </w:rPr>
        <w:br w:type="page"/>
      </w:r>
    </w:p>
    <w:p w14:paraId="23D68FC7">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二</w:t>
      </w:r>
      <w:r>
        <w:rPr>
          <w:rFonts w:hint="eastAsia" w:ascii="宋体" w:hAnsi="宋体" w:eastAsia="宋体" w:cs="宋体"/>
          <w:b/>
          <w:bCs/>
          <w:color w:val="auto"/>
          <w:kern w:val="0"/>
          <w:sz w:val="21"/>
          <w:szCs w:val="21"/>
          <w:highlight w:val="none"/>
          <w:lang w:val="en-US" w:eastAsia="zh-CN" w:bidi="ar-SA"/>
        </w:rPr>
        <w:t>）标项</w:t>
      </w:r>
      <w:r>
        <w:rPr>
          <w:rFonts w:hint="eastAsia" w:ascii="宋体" w:hAnsi="宋体" w:cs="宋体"/>
          <w:b/>
          <w:bCs/>
          <w:color w:val="auto"/>
          <w:kern w:val="0"/>
          <w:sz w:val="21"/>
          <w:szCs w:val="21"/>
          <w:highlight w:val="none"/>
          <w:lang w:val="en-US" w:eastAsia="zh-CN" w:bidi="ar-SA"/>
        </w:rPr>
        <w:t>二</w:t>
      </w:r>
      <w:r>
        <w:rPr>
          <w:rFonts w:hint="eastAsia" w:ascii="宋体" w:hAnsi="宋体" w:eastAsia="宋体" w:cs="宋体"/>
          <w:b/>
          <w:bCs/>
          <w:color w:val="auto"/>
          <w:kern w:val="0"/>
          <w:sz w:val="21"/>
          <w:szCs w:val="21"/>
          <w:highlight w:val="none"/>
          <w:lang w:val="en-US" w:eastAsia="zh-CN" w:bidi="ar-SA"/>
        </w:rPr>
        <w:t>（分包</w:t>
      </w:r>
      <w:r>
        <w:rPr>
          <w:rFonts w:hint="eastAsia" w:ascii="宋体" w:hAnsi="宋体" w:cs="宋体"/>
          <w:b/>
          <w:bCs/>
          <w:color w:val="auto"/>
          <w:kern w:val="0"/>
          <w:sz w:val="21"/>
          <w:szCs w:val="21"/>
          <w:highlight w:val="none"/>
          <w:lang w:val="en-US" w:eastAsia="zh-CN" w:bidi="ar-SA"/>
        </w:rPr>
        <w:t>2</w:t>
      </w:r>
      <w:r>
        <w:rPr>
          <w:rFonts w:hint="eastAsia" w:ascii="宋体" w:hAnsi="宋体" w:eastAsia="宋体" w:cs="宋体"/>
          <w:b/>
          <w:bCs/>
          <w:color w:val="auto"/>
          <w:kern w:val="0"/>
          <w:sz w:val="21"/>
          <w:szCs w:val="21"/>
          <w:highlight w:val="none"/>
          <w:lang w:val="en-US" w:eastAsia="zh-CN" w:bidi="ar-SA"/>
        </w:rPr>
        <w:t>）的</w:t>
      </w:r>
      <w:r>
        <w:rPr>
          <w:rFonts w:hint="eastAsia" w:ascii="宋体" w:hAnsi="宋体" w:cs="宋体"/>
          <w:b/>
          <w:bCs/>
          <w:color w:val="auto"/>
          <w:kern w:val="0"/>
          <w:sz w:val="21"/>
          <w:szCs w:val="21"/>
          <w:highlight w:val="none"/>
          <w:lang w:val="en-US" w:eastAsia="zh-CN" w:bidi="ar-SA"/>
        </w:rPr>
        <w:t>商务</w:t>
      </w:r>
      <w:r>
        <w:rPr>
          <w:rFonts w:hint="eastAsia" w:ascii="宋体" w:hAnsi="宋体" w:eastAsia="宋体" w:cs="宋体"/>
          <w:b/>
          <w:bCs/>
          <w:color w:val="auto"/>
          <w:kern w:val="0"/>
          <w:sz w:val="21"/>
          <w:szCs w:val="21"/>
          <w:highlight w:val="none"/>
          <w:lang w:val="en-US" w:eastAsia="zh-CN" w:bidi="ar-SA"/>
        </w:rPr>
        <w:t>要求</w:t>
      </w:r>
      <w:bookmarkEnd w:id="109"/>
      <w:bookmarkEnd w:id="110"/>
    </w:p>
    <w:tbl>
      <w:tblPr>
        <w:tblStyle w:val="48"/>
        <w:tblW w:w="88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57"/>
        <w:gridCol w:w="6563"/>
      </w:tblGrid>
      <w:tr w14:paraId="52E69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1134" w:type="dxa"/>
            <w:noWrap/>
            <w:vAlign w:val="center"/>
          </w:tcPr>
          <w:p w14:paraId="237EE7A1">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57" w:type="dxa"/>
            <w:noWrap/>
            <w:vAlign w:val="center"/>
          </w:tcPr>
          <w:p w14:paraId="4B3CBF3A">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商务条款</w:t>
            </w:r>
          </w:p>
        </w:tc>
        <w:tc>
          <w:tcPr>
            <w:tcW w:w="6563" w:type="dxa"/>
            <w:noWrap/>
            <w:vAlign w:val="center"/>
          </w:tcPr>
          <w:p w14:paraId="4685E2FE">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商务要求</w:t>
            </w:r>
          </w:p>
        </w:tc>
      </w:tr>
      <w:tr w14:paraId="6421D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jc w:val="center"/>
        </w:trPr>
        <w:tc>
          <w:tcPr>
            <w:tcW w:w="1134" w:type="dxa"/>
            <w:noWrap/>
            <w:vAlign w:val="center"/>
          </w:tcPr>
          <w:p w14:paraId="6F2D4EF8">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p>
        </w:tc>
        <w:tc>
          <w:tcPr>
            <w:tcW w:w="1157" w:type="dxa"/>
            <w:noWrap/>
            <w:vAlign w:val="center"/>
          </w:tcPr>
          <w:p w14:paraId="4815E29D">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报价要求</w:t>
            </w:r>
          </w:p>
        </w:tc>
        <w:tc>
          <w:tcPr>
            <w:tcW w:w="6563" w:type="dxa"/>
            <w:noWrap/>
            <w:vAlign w:val="center"/>
          </w:tcPr>
          <w:p w14:paraId="32188A9D">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报价须为人民币报价，包含产品价、运输费（含装卸费）、保险费、安装调试费（仪器安装所需要水电改造及实验室改造费用）、税费、培训费、产品检测费、产品质保期内维护费等费用。对于本文件中明确列明必须报价的货物或服务，投标人应分别报价。对于本文件中未列明，而投标人认为必需的费用也需列入总报价。在合同实施时，采购人将不予支付中标人没有列入的项目费用，并认为此项目的费用已包括在投标总报价中。</w:t>
            </w:r>
          </w:p>
        </w:tc>
      </w:tr>
      <w:tr w14:paraId="0058A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134" w:type="dxa"/>
            <w:noWrap/>
            <w:vAlign w:val="center"/>
          </w:tcPr>
          <w:p w14:paraId="52498441">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p>
        </w:tc>
        <w:tc>
          <w:tcPr>
            <w:tcW w:w="1157" w:type="dxa"/>
            <w:noWrap/>
            <w:vAlign w:val="center"/>
          </w:tcPr>
          <w:p w14:paraId="1DF95DEB">
            <w:pPr>
              <w:keepNext w:val="0"/>
              <w:keepLines w:val="0"/>
              <w:pageBreakBefore w:val="0"/>
              <w:kinsoku/>
              <w:wordWrap/>
              <w:overflowPunct/>
              <w:topLinePunct w:val="0"/>
              <w:autoSpaceDE/>
              <w:autoSpaceDN/>
              <w:bidi w:val="0"/>
              <w:adjustRightInd/>
              <w:spacing w:after="0" w:line="400" w:lineRule="exact"/>
              <w:ind w:left="-107" w:leftChars="-51" w:firstLine="126" w:firstLineChars="6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签订合同时限</w:t>
            </w:r>
          </w:p>
        </w:tc>
        <w:tc>
          <w:tcPr>
            <w:tcW w:w="6563" w:type="dxa"/>
            <w:noWrap/>
            <w:vAlign w:val="center"/>
          </w:tcPr>
          <w:p w14:paraId="3D610E8D">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自中标通知书发出之日起</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5日内。</w:t>
            </w:r>
          </w:p>
        </w:tc>
      </w:tr>
      <w:tr w14:paraId="31CE9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jc w:val="center"/>
        </w:trPr>
        <w:tc>
          <w:tcPr>
            <w:tcW w:w="1134" w:type="dxa"/>
            <w:noWrap/>
            <w:vAlign w:val="center"/>
          </w:tcPr>
          <w:p w14:paraId="4AA5D3E8">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w:t>
            </w:r>
          </w:p>
        </w:tc>
        <w:tc>
          <w:tcPr>
            <w:tcW w:w="1157" w:type="dxa"/>
            <w:noWrap/>
            <w:vAlign w:val="center"/>
          </w:tcPr>
          <w:p w14:paraId="380F9E59">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交货时间</w:t>
            </w:r>
          </w:p>
        </w:tc>
        <w:tc>
          <w:tcPr>
            <w:tcW w:w="6563" w:type="dxa"/>
            <w:noWrap/>
            <w:vAlign w:val="center"/>
          </w:tcPr>
          <w:p w14:paraId="493680BB">
            <w:pPr>
              <w:pStyle w:val="31"/>
              <w:keepNext w:val="0"/>
              <w:keepLines w:val="0"/>
              <w:pageBreakBefore w:val="0"/>
              <w:kinsoku/>
              <w:wordWrap/>
              <w:overflowPunct/>
              <w:topLinePunct w:val="0"/>
              <w:autoSpaceDE/>
              <w:autoSpaceDN/>
              <w:bidi w:val="0"/>
              <w:adjustRightInd/>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国产仪器设备</w:t>
            </w:r>
            <w:r>
              <w:rPr>
                <w:rFonts w:hint="eastAsia" w:ascii="宋体" w:hAnsi="宋体" w:eastAsia="宋体" w:cs="宋体"/>
                <w:color w:val="auto"/>
                <w:sz w:val="21"/>
                <w:szCs w:val="21"/>
                <w:highlight w:val="none"/>
              </w:rPr>
              <w:t>自签订合同之日起</w:t>
            </w:r>
            <w:r>
              <w:rPr>
                <w:rFonts w:hint="eastAsia" w:ascii="宋体" w:hAnsi="宋体" w:eastAsia="宋体" w:cs="宋体"/>
                <w:color w:val="auto"/>
                <w:sz w:val="21"/>
                <w:szCs w:val="21"/>
                <w:highlight w:val="none"/>
                <w:u w:val="none"/>
                <w:lang w:val="en-US" w:eastAsia="zh-CN"/>
              </w:rPr>
              <w:t>60</w:t>
            </w:r>
            <w:r>
              <w:rPr>
                <w:rFonts w:hint="eastAsia" w:ascii="宋体" w:hAnsi="宋体" w:eastAsia="宋体" w:cs="宋体"/>
                <w:color w:val="auto"/>
                <w:sz w:val="21"/>
                <w:szCs w:val="21"/>
                <w:highlight w:val="none"/>
              </w:rPr>
              <w:t>日内交货并完成安装调试。</w:t>
            </w:r>
            <w:r>
              <w:rPr>
                <w:rFonts w:hint="eastAsia" w:ascii="宋体" w:hAnsi="宋体" w:eastAsia="宋体" w:cs="宋体"/>
                <w:color w:val="auto"/>
                <w:sz w:val="21"/>
                <w:szCs w:val="21"/>
                <w:highlight w:val="none"/>
                <w:lang w:val="en-US" w:eastAsia="zh-CN"/>
              </w:rPr>
              <w:t>进口仪器设备</w:t>
            </w:r>
            <w:r>
              <w:rPr>
                <w:rFonts w:hint="eastAsia" w:ascii="宋体" w:hAnsi="宋体" w:eastAsia="宋体" w:cs="宋体"/>
                <w:color w:val="auto"/>
                <w:sz w:val="21"/>
                <w:szCs w:val="21"/>
                <w:highlight w:val="none"/>
              </w:rPr>
              <w:t>自签订合同之日起</w:t>
            </w:r>
            <w:r>
              <w:rPr>
                <w:rFonts w:hint="eastAsia" w:ascii="宋体" w:hAnsi="宋体" w:eastAsia="宋体" w:cs="宋体"/>
                <w:color w:val="auto"/>
                <w:sz w:val="21"/>
                <w:szCs w:val="21"/>
                <w:highlight w:val="none"/>
                <w:u w:val="none"/>
                <w:lang w:val="en-US" w:eastAsia="zh-CN"/>
              </w:rPr>
              <w:t>240</w:t>
            </w:r>
            <w:r>
              <w:rPr>
                <w:rFonts w:hint="eastAsia" w:ascii="宋体" w:hAnsi="宋体" w:eastAsia="宋体" w:cs="宋体"/>
                <w:color w:val="auto"/>
                <w:sz w:val="21"/>
                <w:szCs w:val="21"/>
                <w:highlight w:val="none"/>
              </w:rPr>
              <w:t>日内交货并完成安装调试。</w:t>
            </w:r>
          </w:p>
        </w:tc>
      </w:tr>
      <w:tr w14:paraId="4CC76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134" w:type="dxa"/>
            <w:noWrap/>
            <w:vAlign w:val="center"/>
          </w:tcPr>
          <w:p w14:paraId="25349A50">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w:t>
            </w:r>
          </w:p>
        </w:tc>
        <w:tc>
          <w:tcPr>
            <w:tcW w:w="1157" w:type="dxa"/>
            <w:noWrap/>
            <w:vAlign w:val="center"/>
          </w:tcPr>
          <w:p w14:paraId="2C2129AE">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w:t>
            </w:r>
          </w:p>
        </w:tc>
        <w:tc>
          <w:tcPr>
            <w:tcW w:w="6563" w:type="dxa"/>
            <w:noWrap/>
            <w:vAlign w:val="center"/>
          </w:tcPr>
          <w:p w14:paraId="2AA1A5C3">
            <w:pPr>
              <w:keepNext w:val="0"/>
              <w:keepLines w:val="0"/>
              <w:pageBreakBefore w:val="0"/>
              <w:kinsoku/>
              <w:wordWrap/>
              <w:overflowPunct/>
              <w:topLinePunct w:val="0"/>
              <w:autoSpaceDE/>
              <w:autoSpaceDN/>
              <w:bidi w:val="0"/>
              <w:adjustRightInd/>
              <w:spacing w:after="0" w:line="400" w:lineRule="exact"/>
              <w:ind w:firstLine="42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送至广西壮族自治区</w:t>
            </w:r>
            <w:r>
              <w:rPr>
                <w:rFonts w:hint="eastAsia" w:ascii="宋体" w:hAnsi="宋体" w:eastAsia="宋体" w:cs="宋体"/>
                <w:color w:val="auto"/>
                <w:sz w:val="21"/>
                <w:szCs w:val="21"/>
                <w:highlight w:val="none"/>
              </w:rPr>
              <w:t>生态环境</w:t>
            </w:r>
            <w:r>
              <w:rPr>
                <w:rFonts w:hint="eastAsia" w:ascii="宋体" w:hAnsi="宋体" w:eastAsia="宋体" w:cs="宋体"/>
                <w:color w:val="auto"/>
                <w:sz w:val="21"/>
                <w:szCs w:val="21"/>
                <w:highlight w:val="none"/>
                <w:lang w:val="en-US" w:eastAsia="zh-CN"/>
              </w:rPr>
              <w:t>厅或由采购人指定广西区内地点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含送货上楼</w:t>
            </w:r>
            <w:r>
              <w:rPr>
                <w:rFonts w:hint="eastAsia" w:ascii="宋体" w:hAnsi="宋体" w:eastAsia="宋体" w:cs="宋体"/>
                <w:color w:val="auto"/>
                <w:sz w:val="21"/>
                <w:szCs w:val="21"/>
                <w:highlight w:val="none"/>
                <w:lang w:eastAsia="zh-CN"/>
              </w:rPr>
              <w:t>）</w:t>
            </w:r>
          </w:p>
        </w:tc>
      </w:tr>
      <w:tr w14:paraId="13367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34" w:type="dxa"/>
            <w:noWrap/>
            <w:vAlign w:val="center"/>
          </w:tcPr>
          <w:p w14:paraId="07BF792A">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w:t>
            </w:r>
          </w:p>
        </w:tc>
        <w:tc>
          <w:tcPr>
            <w:tcW w:w="1157" w:type="dxa"/>
            <w:noWrap/>
            <w:vAlign w:val="center"/>
          </w:tcPr>
          <w:p w14:paraId="55F93C89">
            <w:pPr>
              <w:keepNext w:val="0"/>
              <w:keepLines w:val="0"/>
              <w:pageBreakBefore w:val="0"/>
              <w:kinsoku/>
              <w:wordWrap/>
              <w:overflowPunct/>
              <w:topLinePunct w:val="0"/>
              <w:autoSpaceDE/>
              <w:autoSpaceDN/>
              <w:bidi w:val="0"/>
              <w:adjustRightInd/>
              <w:spacing w:after="0"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付款条件</w:t>
            </w:r>
          </w:p>
        </w:tc>
        <w:tc>
          <w:tcPr>
            <w:tcW w:w="6563" w:type="dxa"/>
            <w:noWrap/>
            <w:vAlign w:val="top"/>
          </w:tcPr>
          <w:p w14:paraId="15783728">
            <w:pPr>
              <w:keepNext w:val="0"/>
              <w:keepLines w:val="0"/>
              <w:pageBreakBefore w:val="0"/>
              <w:widowControl/>
              <w:kinsoku/>
              <w:wordWrap/>
              <w:overflowPunct/>
              <w:topLinePunct w:val="0"/>
              <w:autoSpaceDE/>
              <w:autoSpaceDN/>
              <w:bidi w:val="0"/>
              <w:adjustRightInd/>
              <w:snapToGrid w:val="0"/>
              <w:spacing w:line="400" w:lineRule="exact"/>
              <w:ind w:firstLine="420" w:firstLineChars="0"/>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1.合同签订后，</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向</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支付合同总金额50%的预付款；</w:t>
            </w:r>
          </w:p>
          <w:p w14:paraId="7364F784">
            <w:pPr>
              <w:keepNext w:val="0"/>
              <w:keepLines w:val="0"/>
              <w:pageBreakBefore w:val="0"/>
              <w:widowControl/>
              <w:kinsoku/>
              <w:wordWrap/>
              <w:overflowPunct/>
              <w:topLinePunct w:val="0"/>
              <w:autoSpaceDE/>
              <w:autoSpaceDN/>
              <w:bidi w:val="0"/>
              <w:adjustRightInd/>
              <w:snapToGrid w:val="0"/>
              <w:spacing w:line="400" w:lineRule="exact"/>
              <w:ind w:firstLine="420" w:firstLineChars="0"/>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在收到首笔合同款后20个工作日内向</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递交合同总金额50%的预付款保函（有效期自开具之日起不少于15个月，验收合格后退还）全部货物到货并经</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确认后，</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向</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支付合同总金额的50%：</w:t>
            </w:r>
          </w:p>
          <w:p w14:paraId="5038512A">
            <w:pPr>
              <w:keepNext w:val="0"/>
              <w:keepLines w:val="0"/>
              <w:pageBreakBefore w:val="0"/>
              <w:kinsoku/>
              <w:wordWrap/>
              <w:overflowPunct/>
              <w:topLinePunct w:val="0"/>
              <w:autoSpaceDE/>
              <w:autoSpaceDN/>
              <w:bidi w:val="0"/>
              <w:adjustRightInd/>
              <w:snapToGrid w:val="0"/>
              <w:spacing w:after="0" w:line="400" w:lineRule="exact"/>
              <w:ind w:firstLine="42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3.全部货物安装调试完毕，</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对所有货物最终性能验收合格后，</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向</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提交合同总金额</w:t>
            </w:r>
            <w:r>
              <w:rPr>
                <w:rFonts w:hint="default"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中小</w:t>
            </w:r>
            <w:r>
              <w:rPr>
                <w:rFonts w:hint="eastAsia" w:ascii="宋体" w:hAnsi="宋体" w:cs="宋体"/>
                <w:color w:val="auto"/>
                <w:sz w:val="21"/>
                <w:szCs w:val="21"/>
                <w:highlight w:val="none"/>
                <w:lang w:val="en-US" w:eastAsia="zh-CN"/>
              </w:rPr>
              <w:t>微</w:t>
            </w:r>
            <w:r>
              <w:rPr>
                <w:rFonts w:hint="eastAsia" w:ascii="宋体" w:hAnsi="宋体" w:cs="宋体"/>
                <w:color w:val="auto"/>
                <w:sz w:val="21"/>
                <w:szCs w:val="21"/>
                <w:highlight w:val="none"/>
                <w:lang w:eastAsia="zh-CN"/>
              </w:rPr>
              <w:t>企业</w:t>
            </w:r>
            <w:r>
              <w:rPr>
                <w:rFonts w:hint="eastAsia" w:ascii="宋体" w:hAnsi="宋体" w:cs="宋体"/>
                <w:color w:val="auto"/>
                <w:sz w:val="21"/>
                <w:szCs w:val="21"/>
                <w:highlight w:val="none"/>
                <w:lang w:val="en-US" w:eastAsia="zh-CN"/>
              </w:rPr>
              <w:t>提交合同总金额</w:t>
            </w:r>
            <w:r>
              <w:rPr>
                <w:rFonts w:hint="eastAsia" w:ascii="宋体" w:hAnsi="宋体" w:cs="宋体"/>
                <w:color w:val="auto"/>
                <w:sz w:val="21"/>
                <w:szCs w:val="21"/>
                <w:highlight w:val="none"/>
                <w:lang w:eastAsia="zh-CN"/>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的履约保函（有效期自开具之日起不少于24个月，质保期满退履约保函）；</w:t>
            </w:r>
          </w:p>
          <w:p w14:paraId="0A55A88A">
            <w:pPr>
              <w:keepNext w:val="0"/>
              <w:keepLines w:val="0"/>
              <w:pageBreakBefore w:val="0"/>
              <w:kinsoku/>
              <w:wordWrap/>
              <w:overflowPunct/>
              <w:topLinePunct w:val="0"/>
              <w:autoSpaceDE/>
              <w:autoSpaceDN/>
              <w:bidi w:val="0"/>
              <w:adjustRightInd/>
              <w:snapToGrid w:val="0"/>
              <w:spacing w:after="0" w:line="400" w:lineRule="exact"/>
              <w:ind w:firstLine="420" w:firstLineChars="200"/>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.每次付款前，中标人需提供与支付金额对应的增值税普通发票</w:t>
            </w:r>
            <w:r>
              <w:rPr>
                <w:rFonts w:hint="eastAsia" w:ascii="宋体" w:hAnsi="宋体" w:eastAsia="宋体" w:cs="宋体"/>
                <w:color w:val="auto"/>
                <w:sz w:val="21"/>
                <w:szCs w:val="21"/>
                <w:highlight w:val="none"/>
                <w:lang w:eastAsia="zh-CN"/>
              </w:rPr>
              <w:t>。</w:t>
            </w:r>
          </w:p>
        </w:tc>
      </w:tr>
      <w:tr w14:paraId="653B4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1134" w:type="dxa"/>
            <w:noWrap/>
            <w:vAlign w:val="center"/>
          </w:tcPr>
          <w:p w14:paraId="24F75C92">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w:t>
            </w:r>
          </w:p>
        </w:tc>
        <w:tc>
          <w:tcPr>
            <w:tcW w:w="1157" w:type="dxa"/>
            <w:noWrap/>
            <w:vAlign w:val="center"/>
          </w:tcPr>
          <w:p w14:paraId="46EDB2D8">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p>
        </w:tc>
        <w:tc>
          <w:tcPr>
            <w:tcW w:w="6563" w:type="dxa"/>
            <w:noWrap/>
            <w:vAlign w:val="top"/>
          </w:tcPr>
          <w:p w14:paraId="1D75AF28">
            <w:pPr>
              <w:keepNext w:val="0"/>
              <w:keepLines w:val="0"/>
              <w:pageBreakBefore w:val="0"/>
              <w:numPr>
                <w:ilvl w:val="0"/>
                <w:numId w:val="0"/>
              </w:numPr>
              <w:kinsoku/>
              <w:wordWrap/>
              <w:overflowPunct/>
              <w:topLinePunct w:val="0"/>
              <w:autoSpaceDE/>
              <w:autoSpaceDN/>
              <w:bidi w:val="0"/>
              <w:adjustRightInd/>
              <w:snapToGrid w:val="0"/>
              <w:spacing w:after="0" w:line="400" w:lineRule="exact"/>
              <w:ind w:firstLine="420" w:firstLineChars="20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按国家有关产品“三包”规定执行“三包”，</w:t>
            </w:r>
            <w:r>
              <w:rPr>
                <w:rFonts w:hint="eastAsia" w:ascii="宋体" w:hAnsi="宋体" w:eastAsia="宋体" w:cs="宋体"/>
                <w:color w:val="auto"/>
                <w:sz w:val="21"/>
                <w:szCs w:val="21"/>
                <w:highlight w:val="none"/>
                <w:u w:val="none"/>
                <w:lang w:val="en-US" w:eastAsia="zh-CN"/>
              </w:rPr>
              <w:t>所有</w:t>
            </w:r>
            <w:r>
              <w:rPr>
                <w:rFonts w:hint="eastAsia" w:ascii="宋体" w:hAnsi="宋体" w:eastAsia="宋体" w:cs="宋体"/>
                <w:color w:val="auto"/>
                <w:sz w:val="21"/>
                <w:szCs w:val="21"/>
                <w:highlight w:val="none"/>
              </w:rPr>
              <w:t>货物质保期</w:t>
            </w:r>
            <w:r>
              <w:rPr>
                <w:rFonts w:hint="eastAsia" w:ascii="宋体" w:hAnsi="宋体" w:eastAsia="宋体" w:cs="宋体"/>
                <w:color w:val="auto"/>
                <w:sz w:val="21"/>
                <w:szCs w:val="21"/>
                <w:highlight w:val="none"/>
                <w:lang w:val="en-US" w:eastAsia="zh-CN"/>
              </w:rPr>
              <w:t>不低于3</w:t>
            </w:r>
            <w:r>
              <w:rPr>
                <w:rFonts w:hint="eastAsia" w:ascii="宋体" w:hAnsi="宋体" w:eastAsia="宋体" w:cs="宋体"/>
                <w:color w:val="auto"/>
                <w:sz w:val="21"/>
                <w:szCs w:val="21"/>
                <w:highlight w:val="none"/>
              </w:rPr>
              <w:t>年（采购需求另有要求的，按具体要求执行</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厂家质保期超过要求年限的，按厂家规定全免费包修），质保期内负责保修，终身维修。在质保期内每年至少提供</w:t>
            </w:r>
            <w:r>
              <w:rPr>
                <w:rFonts w:hint="eastAsia" w:ascii="宋体" w:hAnsi="宋体" w:eastAsia="宋体" w:cs="宋体"/>
                <w:color w:val="auto"/>
                <w:sz w:val="21"/>
                <w:szCs w:val="21"/>
                <w:highlight w:val="none"/>
                <w:lang w:val="en-US" w:eastAsia="zh-CN"/>
              </w:rPr>
              <w:t>巡检和</w:t>
            </w:r>
            <w:r>
              <w:rPr>
                <w:rFonts w:hint="eastAsia" w:ascii="宋体" w:hAnsi="宋体" w:eastAsia="宋体" w:cs="宋体"/>
                <w:color w:val="auto"/>
                <w:sz w:val="21"/>
                <w:szCs w:val="21"/>
                <w:highlight w:val="none"/>
              </w:rPr>
              <w:t>维护保养1次（工程师差旅费、住宿费、耗材配件等所产生的全部费用均由中标人承担）。</w:t>
            </w:r>
          </w:p>
        </w:tc>
      </w:tr>
      <w:tr w14:paraId="26B3A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1134" w:type="dxa"/>
            <w:noWrap/>
            <w:vAlign w:val="center"/>
          </w:tcPr>
          <w:p w14:paraId="6984DB64">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lang w:eastAsia="zh-CN"/>
              </w:rPr>
              <w:t>）</w:t>
            </w:r>
          </w:p>
        </w:tc>
        <w:tc>
          <w:tcPr>
            <w:tcW w:w="1157" w:type="dxa"/>
            <w:noWrap/>
            <w:vAlign w:val="center"/>
          </w:tcPr>
          <w:p w14:paraId="6D39AD5D">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w:t>
            </w:r>
          </w:p>
          <w:p w14:paraId="12F6DD06">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w:t>
            </w:r>
          </w:p>
        </w:tc>
        <w:tc>
          <w:tcPr>
            <w:tcW w:w="6563" w:type="dxa"/>
            <w:noWrap/>
            <w:vAlign w:val="center"/>
          </w:tcPr>
          <w:p w14:paraId="0817C8BB">
            <w:pPr>
              <w:keepNext w:val="0"/>
              <w:keepLines w:val="0"/>
              <w:pageBreakBefore w:val="0"/>
              <w:kinsoku/>
              <w:wordWrap/>
              <w:overflowPunct/>
              <w:topLinePunct w:val="0"/>
              <w:autoSpaceDE/>
              <w:autoSpaceDN/>
              <w:bidi w:val="0"/>
              <w:adjustRightInd/>
              <w:snapToGrid w:val="0"/>
              <w:spacing w:after="0" w:line="400" w:lineRule="exact"/>
              <w:ind w:firstLine="42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本项目履约保证金为合同总金额的5%</w:t>
            </w:r>
            <w:r>
              <w:rPr>
                <w:rFonts w:hint="eastAsia" w:ascii="宋体" w:hAnsi="宋体" w:cs="宋体"/>
                <w:color w:val="auto"/>
                <w:sz w:val="21"/>
                <w:szCs w:val="21"/>
                <w:highlight w:val="none"/>
                <w:lang w:eastAsia="zh-CN"/>
              </w:rPr>
              <w:t>（对中小</w:t>
            </w:r>
            <w:r>
              <w:rPr>
                <w:rFonts w:hint="eastAsia" w:ascii="宋体" w:hAnsi="宋体" w:cs="宋体"/>
                <w:color w:val="auto"/>
                <w:sz w:val="21"/>
                <w:szCs w:val="21"/>
                <w:highlight w:val="none"/>
                <w:lang w:val="en-US" w:eastAsia="zh-CN"/>
              </w:rPr>
              <w:t>微</w:t>
            </w:r>
            <w:r>
              <w:rPr>
                <w:rFonts w:hint="eastAsia" w:ascii="宋体" w:hAnsi="宋体" w:cs="宋体"/>
                <w:color w:val="auto"/>
                <w:sz w:val="21"/>
                <w:szCs w:val="21"/>
                <w:highlight w:val="none"/>
                <w:lang w:eastAsia="zh-CN"/>
              </w:rPr>
              <w:t>企业收取的履约保证金数额为</w:t>
            </w:r>
            <w:r>
              <w:rPr>
                <w:rFonts w:hint="eastAsia" w:ascii="宋体" w:hAnsi="宋体" w:cs="宋体"/>
                <w:color w:val="auto"/>
                <w:sz w:val="21"/>
                <w:szCs w:val="21"/>
                <w:highlight w:val="none"/>
                <w:lang w:val="en-US" w:eastAsia="zh-CN"/>
              </w:rPr>
              <w:t>合同总金额</w:t>
            </w:r>
            <w:r>
              <w:rPr>
                <w:rFonts w:hint="eastAsia" w:ascii="宋体" w:hAnsi="宋体" w:cs="宋体"/>
                <w:color w:val="auto"/>
                <w:sz w:val="21"/>
                <w:szCs w:val="21"/>
                <w:highlight w:val="none"/>
                <w:lang w:eastAsia="zh-CN"/>
              </w:rPr>
              <w:t>的2%）</w:t>
            </w:r>
            <w:r>
              <w:rPr>
                <w:rFonts w:hint="eastAsia" w:ascii="宋体" w:hAnsi="宋体" w:eastAsia="宋体" w:cs="宋体"/>
                <w:color w:val="auto"/>
                <w:sz w:val="21"/>
                <w:szCs w:val="21"/>
                <w:highlight w:val="none"/>
                <w:lang w:val="en-US" w:eastAsia="zh-CN"/>
              </w:rPr>
              <w:t>。</w:t>
            </w:r>
          </w:p>
        </w:tc>
      </w:tr>
      <w:tr w14:paraId="65716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1134" w:type="dxa"/>
            <w:noWrap/>
            <w:vAlign w:val="center"/>
          </w:tcPr>
          <w:p w14:paraId="539D9C02">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lang w:eastAsia="zh-CN"/>
              </w:rPr>
              <w:t>）</w:t>
            </w:r>
          </w:p>
        </w:tc>
        <w:tc>
          <w:tcPr>
            <w:tcW w:w="1157" w:type="dxa"/>
            <w:noWrap/>
            <w:vAlign w:val="center"/>
          </w:tcPr>
          <w:p w14:paraId="36E3DBD1">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tc>
        <w:tc>
          <w:tcPr>
            <w:tcW w:w="6563" w:type="dxa"/>
            <w:noWrap/>
            <w:vAlign w:val="center"/>
          </w:tcPr>
          <w:p w14:paraId="7613416D">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1．检查供货范围或服务范围</w:t>
            </w:r>
          </w:p>
          <w:p w14:paraId="6BDB1834">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到达现场后，中标人应在采购人单位人员在场情况下当面开箱，共同清点、检查外观，作出开箱记录，双方签字确认。中标人应保证货物到达采购人所在地完好无损，如有缺漏、损坏，由中标人负责调换、补齐或赔偿。</w:t>
            </w:r>
          </w:p>
          <w:p w14:paraId="781B64CB">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2．中标人应提供完备的技术或服务资料、装箱单和合格证等，并派遣专业人员进行现场安装调试。验收合格条件如下：</w:t>
            </w:r>
          </w:p>
          <w:p w14:paraId="5CA80C7B">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2.1货物或服务技术参数与招标文件中响应表或证明材料一致，性能或指标达到规定的标准，否则，以实际货物或服务技术参数与招标文件响应表参数或证明材料比较，按如下情况处理：</w:t>
            </w:r>
          </w:p>
          <w:p w14:paraId="1FEF029D">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（1）投标人投标文件响应表或证明材料中满足或优于的技术参数，在验收时实际不满足技术参数要求的，视为投标人违约，采购人有权终止合同拒收货物，并追究投标人责任。</w:t>
            </w:r>
          </w:p>
          <w:p w14:paraId="661BE13B">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（2）投标人投标文件响应表或证明材料中优于的技术参数，在验收时实际仅满足并未优于技术参数要求的，视为投标人违约，采购人有权终止合同拒收货物，并追究投标人责任。</w:t>
            </w:r>
          </w:p>
          <w:p w14:paraId="28ED1C20">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（3）投标人投标文件响应表或证明材料中不满足的技术参数，在验收时实际满足技术参数的要求，以满足技术参数的要求验收。</w:t>
            </w:r>
          </w:p>
          <w:p w14:paraId="6E0B80D5">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（4）投标人投标文件响应表或证明材料中满足的技术参数，在验收时实际优于技术参数的要求，以满足技术参数的要求验收。</w:t>
            </w:r>
          </w:p>
          <w:p w14:paraId="1ABC128E">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（5）投标人投标文件响应表或证明材料中优于的技术参数，在验收时实际也优于技术参数的要求，但没有达到响应表或证明材料中优于的程度，由采购人与投标人协商按是否满足要求验收。</w:t>
            </w:r>
          </w:p>
          <w:p w14:paraId="498742B5">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实际货物与投标货物型号不一致的，验收时不论实际是优于还是满足技术参数的要求，采购人均有权终止合同拒收货物。如影响货物或服务的使用、质量、档次及采购人需求的，还可视为投标人违约，追究投标人责任。</w:t>
            </w:r>
          </w:p>
          <w:p w14:paraId="7D9DC64A">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2.2技术资料、装箱单、合格证等资料齐全。</w:t>
            </w:r>
          </w:p>
          <w:p w14:paraId="4871E3E9">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2.3在测试或试运行期间所出现的问题得到解决，并运行或工作正常。</w:t>
            </w:r>
          </w:p>
          <w:p w14:paraId="18DC9BEE">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2.4在规定时间内完成交货及验收，并经采购人确认。</w:t>
            </w:r>
          </w:p>
          <w:p w14:paraId="73294B86">
            <w:pPr>
              <w:keepNext w:val="0"/>
              <w:keepLines w:val="0"/>
              <w:pageBreakBefore w:val="0"/>
              <w:kinsoku/>
              <w:wordWrap/>
              <w:overflowPunct/>
              <w:topLinePunct w:val="0"/>
              <w:autoSpaceDE/>
              <w:autoSpaceDN/>
              <w:bidi w:val="0"/>
              <w:adjustRightInd/>
              <w:snapToGrid w:val="0"/>
              <w:spacing w:after="0" w:line="400" w:lineRule="exact"/>
              <w:ind w:firstLine="42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2.5如货物采购需求中明确需要检定或校准的因中标人的原因导致仪器未能通过检定或校准的，采购人有权进行退货处理，必要时延长预付款保函有效期或终止合同，并追究投标人责任。</w:t>
            </w:r>
          </w:p>
          <w:p w14:paraId="57DA5165">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3．产品或服务在安装调试并试运行符合要求后，才作为最终验收。</w:t>
            </w:r>
          </w:p>
          <w:p w14:paraId="40EF636C">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4．中标人提供的货物或服务未达到招标文件规定要求，且对采购人造成损失的，由中标人承担一切责任，并赔偿所造成的损失。</w:t>
            </w:r>
          </w:p>
          <w:p w14:paraId="3588AB77">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5．采购人需要制造商对中标人交付的产品或服务（包括质量、参数等）进行确认的，制造商应予以配合并出具书面意见，相关配合事项由中标人与制造商协调。</w:t>
            </w:r>
          </w:p>
          <w:p w14:paraId="36BB7E71">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6．产品包装材料归采购人所有。</w:t>
            </w:r>
          </w:p>
          <w:p w14:paraId="1E0B3C6E">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7．大型或者复杂的采购项目，采购人应当邀请具有相关资质的检测机构参加验收工作：</w:t>
            </w:r>
          </w:p>
          <w:p w14:paraId="63901D73">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7.1设备到场后，由采购人和中标人一起依据招标文件上的技术规格要求和国家有关质量标准进行现场初步验收，外观、说明书符合招标文件技术要求的，给予签收，初步验收不合格的不予签收。</w:t>
            </w:r>
          </w:p>
          <w:p w14:paraId="032EA042">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7.2涉及行业标准的内容由采购人和厂家工程师共同完成符合性的确认。</w:t>
            </w:r>
          </w:p>
          <w:p w14:paraId="20D2709A">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验收时对招标采购涉及参数的全部条款进行确认。参数中涉及的检出限、精密度、正确度能在常规实验室验证的，在仪器安装调试完成后由采购人员和仪器厂家工程师共同完成验证。部分检出限、精密度、正确度无法在常规实验室验证的以厂家证明文件作为验收依据。</w:t>
            </w:r>
          </w:p>
          <w:p w14:paraId="21D1D307">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7.4其它参数部分以提供厂家证明文件作为验收依据。仪器正常运行，参数验证合格后，中标方配合采购人完成最终验收报告的编制。以验收报告完成时间作为质保期起始日期进行质保时间的计算。</w:t>
            </w:r>
          </w:p>
          <w:p w14:paraId="0ED95F98">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7.5完成最终验收所需要的全部费用由中标人负责。</w:t>
            </w:r>
          </w:p>
          <w:p w14:paraId="41D2503D">
            <w:pPr>
              <w:keepNext w:val="0"/>
              <w:keepLines w:val="0"/>
              <w:pageBreakBefore w:val="0"/>
              <w:kinsoku/>
              <w:wordWrap/>
              <w:overflowPunct/>
              <w:topLinePunct w:val="0"/>
              <w:autoSpaceDE/>
              <w:autoSpaceDN/>
              <w:bidi w:val="0"/>
              <w:adjustRightInd/>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8.中标人需要提供配套的</w:t>
            </w:r>
            <w:r>
              <w:rPr>
                <w:rFonts w:hint="eastAsia" w:ascii="宋体" w:hAnsi="宋体" w:eastAsia="宋体" w:cs="宋体"/>
                <w:b w:val="0"/>
                <w:bCs w:val="0"/>
                <w:color w:val="auto"/>
                <w:sz w:val="21"/>
                <w:szCs w:val="21"/>
                <w:highlight w:val="none"/>
                <w:u w:val="none"/>
              </w:rPr>
              <w:t>检定或校准</w:t>
            </w:r>
            <w:r>
              <w:rPr>
                <w:rFonts w:hint="eastAsia" w:ascii="宋体" w:hAnsi="宋体" w:eastAsia="宋体" w:cs="宋体"/>
                <w:b w:val="0"/>
                <w:bCs w:val="0"/>
                <w:color w:val="auto"/>
                <w:sz w:val="21"/>
                <w:szCs w:val="21"/>
                <w:highlight w:val="none"/>
                <w:u w:val="none"/>
                <w:lang w:val="en-US" w:eastAsia="zh-CN"/>
              </w:rPr>
              <w:t>证书</w:t>
            </w:r>
            <w:r>
              <w:rPr>
                <w:rFonts w:hint="eastAsia" w:ascii="宋体" w:hAnsi="宋体" w:eastAsia="宋体" w:cs="宋体"/>
                <w:color w:val="auto"/>
                <w:sz w:val="21"/>
                <w:szCs w:val="21"/>
                <w:highlight w:val="none"/>
              </w:rPr>
              <w:t>。因中标人的原因导致仪器未能通过检定或校准的，采购人有权进行退货处理，必要时终止合同，并追究投标人责任。计量检定/校准服务费用及相关其他因检验产生的费用由</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人负责。如检定/校准不符合要求则按退货处理。</w:t>
            </w:r>
          </w:p>
          <w:p w14:paraId="0E8BBD9B">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其他验收要求按第五章《合同主要条款格式》执行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并兼顾《履约验收方案》（详见附件）</w:t>
            </w:r>
            <w:r>
              <w:rPr>
                <w:rFonts w:hint="eastAsia" w:ascii="宋体" w:hAnsi="宋体" w:eastAsia="宋体" w:cs="宋体"/>
                <w:color w:val="auto"/>
                <w:sz w:val="21"/>
                <w:szCs w:val="21"/>
                <w:highlight w:val="none"/>
              </w:rPr>
              <w:t>，未尽事宜按照相关法律法规规定执行。</w:t>
            </w:r>
          </w:p>
        </w:tc>
      </w:tr>
      <w:tr w14:paraId="5A937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1134" w:type="dxa"/>
            <w:noWrap/>
            <w:vAlign w:val="center"/>
          </w:tcPr>
          <w:p w14:paraId="07F3FADD">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九</w:t>
            </w:r>
            <w:r>
              <w:rPr>
                <w:rFonts w:hint="eastAsia" w:ascii="宋体" w:hAnsi="宋体" w:eastAsia="宋体" w:cs="宋体"/>
                <w:color w:val="auto"/>
                <w:sz w:val="21"/>
                <w:szCs w:val="21"/>
                <w:highlight w:val="none"/>
                <w:lang w:eastAsia="zh-CN"/>
              </w:rPr>
              <w:t>）</w:t>
            </w:r>
          </w:p>
        </w:tc>
        <w:tc>
          <w:tcPr>
            <w:tcW w:w="1157" w:type="dxa"/>
            <w:noWrap/>
            <w:vAlign w:val="center"/>
          </w:tcPr>
          <w:p w14:paraId="23F1BC68">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售后技术服务要求</w:t>
            </w:r>
          </w:p>
        </w:tc>
        <w:tc>
          <w:tcPr>
            <w:tcW w:w="6563" w:type="dxa"/>
            <w:noWrap/>
            <w:vAlign w:val="center"/>
          </w:tcPr>
          <w:p w14:paraId="5491F469">
            <w:pPr>
              <w:keepNext w:val="0"/>
              <w:keepLines w:val="0"/>
              <w:pageBreakBefore w:val="0"/>
              <w:widowControl/>
              <w:kinsoku/>
              <w:wordWrap/>
              <w:overflowPunct/>
              <w:topLinePunct w:val="0"/>
              <w:autoSpaceDE/>
              <w:autoSpaceDN/>
              <w:bidi w:val="0"/>
              <w:adjustRightInd/>
              <w:snapToGrid/>
              <w:spacing w:after="0" w:line="400" w:lineRule="exact"/>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所投产品如果高于招标要求时，应提供足以证明的技术支持资料。</w:t>
            </w:r>
          </w:p>
          <w:p w14:paraId="7E74EE04">
            <w:pPr>
              <w:keepNext w:val="0"/>
              <w:keepLines w:val="0"/>
              <w:pageBreakBefore w:val="0"/>
              <w:widowControl/>
              <w:kinsoku/>
              <w:wordWrap/>
              <w:overflowPunct/>
              <w:topLinePunct w:val="0"/>
              <w:autoSpaceDE/>
              <w:autoSpaceDN/>
              <w:bidi w:val="0"/>
              <w:adjustRightInd/>
              <w:snapToGrid/>
              <w:spacing w:after="0" w:line="400" w:lineRule="exact"/>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投标产品必须是按厂家标准配置的整套全新，具备正规合法经销渠道的，符合国家各项有关质量标准的合格产品。相关部件及服务满足以上各项要求。若产品在运输过程中损坏或擦伤须无偿调换相同产品。</w:t>
            </w:r>
          </w:p>
          <w:p w14:paraId="64B08526">
            <w:pPr>
              <w:keepNext w:val="0"/>
              <w:keepLines w:val="0"/>
              <w:pageBreakBefore w:val="0"/>
              <w:widowControl/>
              <w:kinsoku/>
              <w:wordWrap/>
              <w:overflowPunct/>
              <w:topLinePunct w:val="0"/>
              <w:autoSpaceDE/>
              <w:autoSpaceDN/>
              <w:bidi w:val="0"/>
              <w:adjustRightInd/>
              <w:snapToGrid/>
              <w:spacing w:after="0" w:line="400" w:lineRule="exact"/>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投标报价包含货物、随配附件、备品备件、工具、运抵指定交货地点、安装、安装调试、安装所需材料、委托培训费和售后服务、税金、检验、验收及其他所有成本费用的总和。</w:t>
            </w:r>
          </w:p>
          <w:p w14:paraId="11923779">
            <w:pPr>
              <w:keepNext w:val="0"/>
              <w:keepLines w:val="0"/>
              <w:pageBreakBefore w:val="0"/>
              <w:widowControl/>
              <w:kinsoku/>
              <w:wordWrap/>
              <w:overflowPunct/>
              <w:topLinePunct w:val="0"/>
              <w:autoSpaceDE/>
              <w:autoSpaceDN/>
              <w:bidi w:val="0"/>
              <w:adjustRightInd/>
              <w:snapToGrid/>
              <w:spacing w:after="0" w:line="400" w:lineRule="exact"/>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免费送货上门并卸至采购人指定地点，免费负责采购人维修、操作、技术人员的培训服务，并无偿提供培训资料和培训师资。使用户相关维修、操作人员具备了解设备结构、工作原理，熟练操作设备，并能排除一般故障的能力；交货及采购人安装调试过程中，中标人应免费派专业技术人员到交货安装现场进行技术指导及相关技术服务，向采购人交相关试验数据、报告及采购人要求提供的相关技术文件，直至达到验收要求。</w:t>
            </w:r>
          </w:p>
          <w:p w14:paraId="004D3604">
            <w:pPr>
              <w:keepNext w:val="0"/>
              <w:keepLines w:val="0"/>
              <w:pageBreakBefore w:val="0"/>
              <w:widowControl/>
              <w:kinsoku/>
              <w:wordWrap/>
              <w:overflowPunct/>
              <w:topLinePunct w:val="0"/>
              <w:autoSpaceDE/>
              <w:autoSpaceDN/>
              <w:bidi w:val="0"/>
              <w:adjustRightInd/>
              <w:snapToGrid/>
              <w:spacing w:after="0" w:line="400" w:lineRule="exact"/>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服务体系：投标人须在</w:t>
            </w:r>
            <w:r>
              <w:rPr>
                <w:rFonts w:hint="eastAsia" w:ascii="宋体" w:hAnsi="宋体" w:eastAsia="宋体" w:cs="宋体"/>
                <w:color w:val="auto"/>
                <w:kern w:val="0"/>
                <w:sz w:val="21"/>
                <w:szCs w:val="21"/>
                <w:highlight w:val="none"/>
                <w:lang w:val="en-US" w:eastAsia="zh-CN"/>
              </w:rPr>
              <w:t>采购人提出的技术问题后24小时内予以反馈解</w:t>
            </w:r>
            <w:r>
              <w:rPr>
                <w:rFonts w:hint="eastAsia" w:ascii="宋体" w:hAnsi="宋体" w:eastAsia="宋体" w:cs="宋体"/>
                <w:color w:val="auto"/>
                <w:kern w:val="0"/>
                <w:sz w:val="21"/>
                <w:szCs w:val="21"/>
                <w:highlight w:val="none"/>
              </w:rPr>
              <w:t>。</w:t>
            </w:r>
          </w:p>
          <w:p w14:paraId="157CC249">
            <w:pPr>
              <w:keepNext w:val="0"/>
              <w:keepLines w:val="0"/>
              <w:pageBreakBefore w:val="0"/>
              <w:widowControl/>
              <w:kinsoku/>
              <w:wordWrap/>
              <w:overflowPunct/>
              <w:topLinePunct w:val="0"/>
              <w:autoSpaceDE/>
              <w:autoSpaceDN/>
              <w:bidi w:val="0"/>
              <w:adjustRightInd/>
              <w:snapToGrid/>
              <w:spacing w:after="0" w:line="400" w:lineRule="exact"/>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投标人必须提供详细的售后服务承诺方案。</w:t>
            </w:r>
          </w:p>
          <w:p w14:paraId="09C31C6A">
            <w:pPr>
              <w:keepNext w:val="0"/>
              <w:keepLines w:val="0"/>
              <w:pageBreakBefore w:val="0"/>
              <w:kinsoku/>
              <w:wordWrap/>
              <w:overflowPunct/>
              <w:topLinePunct w:val="0"/>
              <w:autoSpaceDE/>
              <w:autoSpaceDN/>
              <w:bidi w:val="0"/>
              <w:adjustRightInd/>
              <w:snapToGrid/>
              <w:spacing w:after="0"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在质保期内，如中标人不按质保要</w:t>
            </w:r>
            <w:r>
              <w:rPr>
                <w:rFonts w:hint="eastAsia" w:ascii="宋体" w:hAnsi="宋体" w:eastAsia="宋体" w:cs="宋体"/>
                <w:color w:val="auto"/>
                <w:sz w:val="21"/>
                <w:szCs w:val="21"/>
                <w:highlight w:val="none"/>
                <w:lang w:val="en-US" w:eastAsia="zh-CN"/>
              </w:rPr>
              <w:t>求</w:t>
            </w:r>
            <w:r>
              <w:rPr>
                <w:rFonts w:hint="eastAsia" w:ascii="宋体" w:hAnsi="宋体" w:eastAsia="宋体" w:cs="宋体"/>
                <w:color w:val="auto"/>
                <w:sz w:val="21"/>
                <w:szCs w:val="21"/>
                <w:highlight w:val="none"/>
              </w:rPr>
              <w:t>进行质保，导致仪器设备及车辆发生维修费用（以维修发票为准），由中标人支付。</w:t>
            </w:r>
          </w:p>
        </w:tc>
      </w:tr>
      <w:tr w14:paraId="6742B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0" w:hRule="atLeast"/>
          <w:jc w:val="center"/>
        </w:trPr>
        <w:tc>
          <w:tcPr>
            <w:tcW w:w="1134" w:type="dxa"/>
            <w:noWrap/>
            <w:vAlign w:val="center"/>
          </w:tcPr>
          <w:p w14:paraId="217E418D">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w:t>
            </w:r>
            <w:r>
              <w:rPr>
                <w:rFonts w:hint="eastAsia" w:ascii="宋体" w:hAnsi="宋体" w:eastAsia="宋体" w:cs="宋体"/>
                <w:color w:val="auto"/>
                <w:sz w:val="21"/>
                <w:szCs w:val="21"/>
                <w:highlight w:val="none"/>
                <w:lang w:eastAsia="zh-CN"/>
              </w:rPr>
              <w:t>）</w:t>
            </w:r>
          </w:p>
        </w:tc>
        <w:tc>
          <w:tcPr>
            <w:tcW w:w="1157" w:type="dxa"/>
            <w:noWrap/>
            <w:vAlign w:val="center"/>
          </w:tcPr>
          <w:p w14:paraId="0E4E1CF3">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w:t>
            </w:r>
          </w:p>
        </w:tc>
        <w:tc>
          <w:tcPr>
            <w:tcW w:w="6563" w:type="dxa"/>
            <w:noWrap/>
            <w:vAlign w:val="center"/>
          </w:tcPr>
          <w:p w14:paraId="3650E2E4">
            <w:pPr>
              <w:keepNext w:val="0"/>
              <w:keepLines w:val="0"/>
              <w:pageBreakBefore w:val="0"/>
              <w:kinsoku/>
              <w:wordWrap/>
              <w:overflowPunct/>
              <w:topLinePunct w:val="0"/>
              <w:autoSpaceDE/>
              <w:autoSpaceDN/>
              <w:bidi w:val="0"/>
              <w:adjustRightInd/>
              <w:snapToGrid w:val="0"/>
              <w:spacing w:after="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投标人对其提供产品或服务的使用和操作应尽培训义务。投标人应提供对采购人的基本培训，安装验收期间，</w:t>
            </w:r>
            <w:r>
              <w:rPr>
                <w:rFonts w:hint="eastAsia" w:ascii="宋体" w:hAnsi="宋体" w:eastAsia="宋体" w:cs="宋体"/>
                <w:color w:val="auto"/>
                <w:sz w:val="21"/>
                <w:szCs w:val="21"/>
                <w:highlight w:val="none"/>
                <w:lang w:val="zh-CN"/>
              </w:rPr>
              <w:t>须根据用户需求提供</w:t>
            </w:r>
            <w:r>
              <w:rPr>
                <w:rFonts w:hint="eastAsia" w:ascii="宋体" w:hAnsi="宋体" w:eastAsia="宋体" w:cs="宋体"/>
                <w:color w:val="auto"/>
                <w:sz w:val="21"/>
                <w:szCs w:val="21"/>
                <w:highlight w:val="none"/>
              </w:rPr>
              <w:t>进行现场技术培训，必须包括仪器使用</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使采购人使用人员熟练掌握所培训内容，熟练掌握全部功能，培训的相关费用包括在投标报价中，采购人不再另行支付。</w:t>
            </w:r>
          </w:p>
          <w:p w14:paraId="7236AE34">
            <w:pPr>
              <w:keepNext w:val="0"/>
              <w:keepLines w:val="0"/>
              <w:pageBreakBefore w:val="0"/>
              <w:kinsoku/>
              <w:wordWrap/>
              <w:overflowPunct/>
              <w:topLinePunct w:val="0"/>
              <w:autoSpaceDE/>
              <w:autoSpaceDN/>
              <w:bidi w:val="0"/>
              <w:adjustRightInd/>
              <w:snapToGrid w:val="0"/>
              <w:spacing w:after="0" w:line="400" w:lineRule="exact"/>
              <w:ind w:firstLine="422"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2.“多接收电感耦合等离子体质谱仪”按采购人时间安排配备4</w:t>
            </w:r>
            <w:r>
              <w:rPr>
                <w:rFonts w:hint="eastAsia" w:ascii="宋体" w:hAnsi="宋体" w:eastAsia="宋体" w:cs="宋体"/>
                <w:b/>
                <w:bCs/>
                <w:color w:val="auto"/>
                <w:sz w:val="21"/>
                <w:szCs w:val="21"/>
                <w:highlight w:val="none"/>
                <w:lang w:val="es-ES"/>
              </w:rPr>
              <w:t>个</w:t>
            </w:r>
            <w:r>
              <w:rPr>
                <w:rFonts w:hint="eastAsia" w:ascii="宋体" w:hAnsi="宋体" w:eastAsia="宋体" w:cs="宋体"/>
                <w:b/>
                <w:bCs/>
                <w:color w:val="auto"/>
                <w:sz w:val="21"/>
                <w:szCs w:val="21"/>
                <w:highlight w:val="none"/>
                <w:lang w:val="es-ES" w:eastAsia="zh-CN"/>
              </w:rPr>
              <w:t>培训名额，</w:t>
            </w:r>
            <w:r>
              <w:rPr>
                <w:rFonts w:hint="eastAsia" w:ascii="宋体" w:hAnsi="宋体" w:eastAsia="宋体" w:cs="宋体"/>
                <w:b/>
                <w:bCs/>
                <w:color w:val="auto"/>
                <w:sz w:val="21"/>
                <w:szCs w:val="21"/>
                <w:highlight w:val="none"/>
                <w:lang w:val="en-US" w:eastAsia="zh-CN"/>
              </w:rPr>
              <w:t>到国内技术成熟的合作实验室进行培训</w:t>
            </w:r>
            <w:r>
              <w:rPr>
                <w:rFonts w:hint="eastAsia" w:ascii="宋体" w:hAnsi="宋体" w:eastAsia="宋体" w:cs="宋体"/>
                <w:b/>
                <w:bCs/>
                <w:color w:val="auto"/>
                <w:sz w:val="21"/>
                <w:szCs w:val="21"/>
                <w:highlight w:val="none"/>
                <w:lang w:val="es-ES" w:eastAsia="zh-CN"/>
              </w:rPr>
              <w:t>；</w:t>
            </w:r>
            <w:r>
              <w:rPr>
                <w:rFonts w:hint="eastAsia" w:ascii="宋体" w:hAnsi="宋体" w:eastAsia="宋体" w:cs="宋体"/>
                <w:b/>
                <w:bCs/>
                <w:color w:val="auto"/>
                <w:sz w:val="21"/>
                <w:szCs w:val="21"/>
                <w:highlight w:val="none"/>
              </w:rPr>
              <w:t>质保期内每年</w:t>
            </w:r>
            <w:r>
              <w:rPr>
                <w:rFonts w:hint="eastAsia" w:ascii="宋体" w:hAnsi="宋体" w:eastAsia="宋体" w:cs="宋体"/>
                <w:b/>
                <w:bCs/>
                <w:color w:val="auto"/>
                <w:sz w:val="21"/>
                <w:szCs w:val="21"/>
                <w:highlight w:val="none"/>
                <w:lang w:val="en-US" w:eastAsia="zh-CN"/>
              </w:rPr>
              <w:t>上门为</w:t>
            </w:r>
            <w:r>
              <w:rPr>
                <w:rFonts w:hint="eastAsia" w:ascii="宋体" w:hAnsi="宋体" w:eastAsia="宋体" w:cs="宋体"/>
                <w:b/>
                <w:bCs/>
                <w:color w:val="auto"/>
                <w:sz w:val="21"/>
                <w:szCs w:val="21"/>
                <w:highlight w:val="none"/>
              </w:rPr>
              <w:t>用户提供</w:t>
            </w:r>
            <w:r>
              <w:rPr>
                <w:rFonts w:hint="eastAsia" w:ascii="宋体" w:hAnsi="宋体" w:eastAsia="宋体" w:cs="宋体"/>
                <w:b/>
                <w:bCs/>
                <w:color w:val="auto"/>
                <w:sz w:val="21"/>
                <w:szCs w:val="21"/>
                <w:highlight w:val="none"/>
                <w:lang w:val="en-US" w:eastAsia="zh-CN"/>
              </w:rPr>
              <w:t>系统</w:t>
            </w:r>
            <w:r>
              <w:rPr>
                <w:rFonts w:hint="eastAsia" w:ascii="宋体" w:hAnsi="宋体" w:eastAsia="宋体" w:cs="宋体"/>
                <w:b/>
                <w:bCs/>
                <w:color w:val="auto"/>
                <w:sz w:val="21"/>
                <w:szCs w:val="21"/>
                <w:highlight w:val="none"/>
              </w:rPr>
              <w:t>培训一次。</w:t>
            </w:r>
          </w:p>
        </w:tc>
      </w:tr>
      <w:tr w14:paraId="1F2B1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3" w:hRule="atLeast"/>
          <w:jc w:val="center"/>
        </w:trPr>
        <w:tc>
          <w:tcPr>
            <w:tcW w:w="1134" w:type="dxa"/>
            <w:noWrap/>
            <w:vAlign w:val="center"/>
          </w:tcPr>
          <w:p w14:paraId="4172C799">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十一</w:t>
            </w:r>
            <w:r>
              <w:rPr>
                <w:rFonts w:hint="eastAsia" w:ascii="宋体" w:hAnsi="宋体" w:eastAsia="宋体" w:cs="宋体"/>
                <w:color w:val="auto"/>
                <w:sz w:val="21"/>
                <w:szCs w:val="21"/>
                <w:highlight w:val="none"/>
                <w:lang w:eastAsia="zh-CN"/>
              </w:rPr>
              <w:t>）</w:t>
            </w:r>
          </w:p>
        </w:tc>
        <w:tc>
          <w:tcPr>
            <w:tcW w:w="1157" w:type="dxa"/>
            <w:noWrap/>
            <w:vAlign w:val="center"/>
          </w:tcPr>
          <w:p w14:paraId="65EF42B6">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知识产权</w:t>
            </w:r>
          </w:p>
        </w:tc>
        <w:tc>
          <w:tcPr>
            <w:tcW w:w="6563" w:type="dxa"/>
            <w:noWrap/>
            <w:vAlign w:val="center"/>
          </w:tcPr>
          <w:p w14:paraId="709A2EE8">
            <w:pPr>
              <w:keepNext w:val="0"/>
              <w:keepLines w:val="0"/>
              <w:pageBreakBefore w:val="0"/>
              <w:kinsoku/>
              <w:wordWrap/>
              <w:overflowPunct/>
              <w:topLinePunct w:val="0"/>
              <w:autoSpaceDE/>
              <w:autoSpaceDN/>
              <w:bidi w:val="0"/>
              <w:adjustRightInd/>
              <w:snapToGrid w:val="0"/>
              <w:spacing w:after="0"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采购人在中华人民共和国境内使用投标人提供的产品及服务时免受第三方提出的侵犯其专利权或其它知识产权的起诉。如果第三方提出侵权指控，中标人应承担由此而引起的一切法律责任和费用。</w:t>
            </w:r>
          </w:p>
        </w:tc>
      </w:tr>
      <w:tr w14:paraId="1955F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134" w:type="dxa"/>
            <w:noWrap/>
            <w:vAlign w:val="center"/>
          </w:tcPr>
          <w:p w14:paraId="35263EFC">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十二</w:t>
            </w:r>
            <w:r>
              <w:rPr>
                <w:rFonts w:hint="eastAsia" w:ascii="宋体" w:hAnsi="宋体" w:eastAsia="宋体" w:cs="宋体"/>
                <w:color w:val="auto"/>
                <w:sz w:val="21"/>
                <w:szCs w:val="21"/>
                <w:highlight w:val="none"/>
                <w:lang w:eastAsia="zh-CN"/>
              </w:rPr>
              <w:t>）</w:t>
            </w:r>
          </w:p>
        </w:tc>
        <w:tc>
          <w:tcPr>
            <w:tcW w:w="1157" w:type="dxa"/>
            <w:noWrap/>
            <w:vAlign w:val="center"/>
          </w:tcPr>
          <w:p w14:paraId="02A92EAF">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进口产品</w:t>
            </w:r>
          </w:p>
        </w:tc>
        <w:tc>
          <w:tcPr>
            <w:tcW w:w="6563" w:type="dxa"/>
            <w:noWrap/>
            <w:vAlign w:val="center"/>
          </w:tcPr>
          <w:p w14:paraId="6A63689D">
            <w:pPr>
              <w:keepNext w:val="0"/>
              <w:keepLines w:val="0"/>
              <w:pageBreakBefore w:val="0"/>
              <w:kinsoku/>
              <w:wordWrap/>
              <w:overflowPunct/>
              <w:topLinePunct w:val="0"/>
              <w:autoSpaceDE/>
              <w:autoSpaceDN/>
              <w:bidi w:val="0"/>
              <w:adjustRightInd/>
              <w:spacing w:after="0" w:line="40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涉及</w:t>
            </w:r>
            <w:r>
              <w:rPr>
                <w:rFonts w:hint="eastAsia" w:ascii="宋体" w:hAnsi="宋体" w:eastAsia="宋体" w:cs="宋体"/>
                <w:color w:val="auto"/>
                <w:kern w:val="0"/>
                <w:sz w:val="21"/>
                <w:szCs w:val="21"/>
                <w:highlight w:val="none"/>
              </w:rPr>
              <w:t>进口产品</w:t>
            </w:r>
            <w:r>
              <w:rPr>
                <w:rFonts w:hint="eastAsia" w:ascii="宋体" w:hAnsi="宋体" w:eastAsia="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rPr>
              <w:t>必须为全套原装进口产品（即通过中国海关报关验放进入中国境内且产自关境外的产品），供应商必须负责办理进口产品所有相关手续并承担所有费用。</w:t>
            </w:r>
          </w:p>
        </w:tc>
      </w:tr>
      <w:tr w14:paraId="38052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134" w:type="dxa"/>
            <w:noWrap/>
            <w:vAlign w:val="center"/>
          </w:tcPr>
          <w:p w14:paraId="55FA9D7A">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十三</w:t>
            </w:r>
            <w:r>
              <w:rPr>
                <w:rFonts w:hint="eastAsia" w:ascii="宋体" w:hAnsi="宋体" w:eastAsia="宋体" w:cs="宋体"/>
                <w:color w:val="auto"/>
                <w:sz w:val="21"/>
                <w:szCs w:val="21"/>
                <w:highlight w:val="none"/>
                <w:lang w:eastAsia="zh-CN"/>
              </w:rPr>
              <w:t>）</w:t>
            </w:r>
          </w:p>
        </w:tc>
        <w:tc>
          <w:tcPr>
            <w:tcW w:w="1157" w:type="dxa"/>
            <w:noWrap/>
            <w:vAlign w:val="center"/>
          </w:tcPr>
          <w:p w14:paraId="418C09B8">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原厂商授权及相关要求</w:t>
            </w:r>
          </w:p>
        </w:tc>
        <w:tc>
          <w:tcPr>
            <w:tcW w:w="6563" w:type="dxa"/>
            <w:noWrap/>
            <w:vAlign w:val="center"/>
          </w:tcPr>
          <w:p w14:paraId="7956BF1A">
            <w:pPr>
              <w:keepNext w:val="0"/>
              <w:keepLines w:val="0"/>
              <w:pageBreakBefore w:val="0"/>
              <w:kinsoku/>
              <w:wordWrap/>
              <w:overflowPunct/>
              <w:topLinePunct w:val="0"/>
              <w:autoSpaceDE/>
              <w:autoSpaceDN/>
              <w:bidi w:val="0"/>
              <w:adjustRightInd/>
              <w:spacing w:after="0"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如选用进口产品时，供应商在投标文件中必须提供原厂商或区域总代理商出具的针对本项目的授权书，否则投标无效。</w:t>
            </w:r>
          </w:p>
        </w:tc>
      </w:tr>
      <w:tr w14:paraId="294C2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134" w:type="dxa"/>
            <w:noWrap/>
            <w:vAlign w:val="center"/>
          </w:tcPr>
          <w:p w14:paraId="7C9E945F">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十四</w:t>
            </w:r>
            <w:r>
              <w:rPr>
                <w:rFonts w:hint="eastAsia" w:ascii="宋体" w:hAnsi="宋体" w:eastAsia="宋体" w:cs="宋体"/>
                <w:color w:val="auto"/>
                <w:sz w:val="21"/>
                <w:szCs w:val="21"/>
                <w:highlight w:val="none"/>
                <w:lang w:eastAsia="zh-CN"/>
              </w:rPr>
              <w:t>）</w:t>
            </w:r>
          </w:p>
        </w:tc>
        <w:tc>
          <w:tcPr>
            <w:tcW w:w="1157" w:type="dxa"/>
            <w:noWrap/>
            <w:vAlign w:val="center"/>
          </w:tcPr>
          <w:p w14:paraId="76F6C875">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中小企业说明</w:t>
            </w:r>
          </w:p>
        </w:tc>
        <w:tc>
          <w:tcPr>
            <w:tcW w:w="6563" w:type="dxa"/>
            <w:noWrap/>
            <w:vAlign w:val="center"/>
          </w:tcPr>
          <w:p w14:paraId="5DBEAAD6">
            <w:pPr>
              <w:keepNext w:val="0"/>
              <w:keepLines w:val="0"/>
              <w:pageBreakBefore w:val="0"/>
              <w:kinsoku/>
              <w:wordWrap/>
              <w:overflowPunct/>
              <w:topLinePunct w:val="0"/>
              <w:autoSpaceDE/>
              <w:autoSpaceDN/>
              <w:bidi w:val="0"/>
              <w:adjustRightInd/>
              <w:spacing w:after="0" w:line="400" w:lineRule="exact"/>
              <w:ind w:firstLine="420" w:firstLineChars="200"/>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none"/>
                <w:lang w:val="en-US" w:eastAsia="zh-CN"/>
              </w:rPr>
              <w:t>本分标非专门面向中小企业。</w:t>
            </w:r>
          </w:p>
        </w:tc>
      </w:tr>
      <w:tr w14:paraId="46313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134" w:type="dxa"/>
            <w:noWrap/>
            <w:vAlign w:val="center"/>
          </w:tcPr>
          <w:p w14:paraId="75FD19A7">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十五</w:t>
            </w:r>
            <w:r>
              <w:rPr>
                <w:rFonts w:hint="eastAsia" w:ascii="宋体" w:hAnsi="宋体" w:eastAsia="宋体" w:cs="宋体"/>
                <w:color w:val="auto"/>
                <w:sz w:val="21"/>
                <w:szCs w:val="21"/>
                <w:highlight w:val="none"/>
                <w:lang w:eastAsia="zh-CN"/>
              </w:rPr>
              <w:t>）</w:t>
            </w:r>
          </w:p>
        </w:tc>
        <w:tc>
          <w:tcPr>
            <w:tcW w:w="1157" w:type="dxa"/>
            <w:noWrap/>
            <w:vAlign w:val="center"/>
          </w:tcPr>
          <w:p w14:paraId="14DEA079">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负偏离要求</w:t>
            </w:r>
          </w:p>
        </w:tc>
        <w:tc>
          <w:tcPr>
            <w:tcW w:w="6563" w:type="dxa"/>
            <w:noWrap/>
            <w:vAlign w:val="center"/>
          </w:tcPr>
          <w:p w14:paraId="547AB6FF">
            <w:pPr>
              <w:keepNext w:val="0"/>
              <w:keepLines w:val="0"/>
              <w:pageBreakBefore w:val="0"/>
              <w:kinsoku/>
              <w:wordWrap/>
              <w:overflowPunct/>
              <w:topLinePunct w:val="0"/>
              <w:autoSpaceDE/>
              <w:autoSpaceDN/>
              <w:bidi w:val="0"/>
              <w:adjustRightInd/>
              <w:spacing w:after="0" w:line="400" w:lineRule="exact"/>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本分标商务要求允许0项负偏离。</w:t>
            </w:r>
          </w:p>
        </w:tc>
      </w:tr>
      <w:tr w14:paraId="41310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3" w:hRule="atLeast"/>
          <w:jc w:val="center"/>
        </w:trPr>
        <w:tc>
          <w:tcPr>
            <w:tcW w:w="1134" w:type="dxa"/>
            <w:noWrap/>
            <w:vAlign w:val="center"/>
          </w:tcPr>
          <w:p w14:paraId="4C48B822">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（十六）</w:t>
            </w:r>
          </w:p>
        </w:tc>
        <w:tc>
          <w:tcPr>
            <w:tcW w:w="1157" w:type="dxa"/>
            <w:noWrap/>
            <w:vAlign w:val="center"/>
          </w:tcPr>
          <w:p w14:paraId="7FDB9362">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6563" w:type="dxa"/>
            <w:noWrap/>
            <w:vAlign w:val="center"/>
          </w:tcPr>
          <w:p w14:paraId="668BE65A">
            <w:pPr>
              <w:keepNext w:val="0"/>
              <w:keepLines w:val="0"/>
              <w:pageBreakBefore w:val="0"/>
              <w:kinsoku/>
              <w:wordWrap/>
              <w:overflowPunct/>
              <w:topLinePunct w:val="0"/>
              <w:autoSpaceDE/>
              <w:autoSpaceDN/>
              <w:bidi w:val="0"/>
              <w:adjustRightInd/>
              <w:spacing w:after="0"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1.中标人提供的硬件设备及软件的技术参数、配置和性能指标必须为真实有效，如有提供虚假材料谋取中标的，按政府采购相关法规处罚，并追究其相应的法律责任。</w:t>
            </w:r>
          </w:p>
          <w:p w14:paraId="67D05B78">
            <w:pPr>
              <w:keepNext w:val="0"/>
              <w:keepLines w:val="0"/>
              <w:pageBreakBefore w:val="0"/>
              <w:kinsoku/>
              <w:wordWrap/>
              <w:overflowPunct/>
              <w:topLinePunct w:val="0"/>
              <w:autoSpaceDE/>
              <w:autoSpaceDN/>
              <w:bidi w:val="0"/>
              <w:adjustRightInd/>
              <w:spacing w:after="0"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2.中标产品必须是按厂家标准配置的整套全新，具备正规合法经销渠道的，符合国家各项有关质量标准的合格产品。相关部件及服务满足以上各项要求。若产品在运输过程中损坏或擦伤须无偿调换相同产品。</w:t>
            </w:r>
          </w:p>
          <w:p w14:paraId="66C45F41">
            <w:pPr>
              <w:keepNext w:val="0"/>
              <w:keepLines w:val="0"/>
              <w:pageBreakBefore w:val="0"/>
              <w:kinsoku/>
              <w:wordWrap/>
              <w:overflowPunct/>
              <w:topLinePunct w:val="0"/>
              <w:autoSpaceDE/>
              <w:autoSpaceDN/>
              <w:bidi w:val="0"/>
              <w:adjustRightInd/>
              <w:snapToGrid/>
              <w:spacing w:after="0"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3.中标人提供的货物包装应符合《财政部等三部门联合印发商品包装和快递包装政府采购需求标准（试行）》财办库〔2020〕123号相关要求。</w:t>
            </w:r>
          </w:p>
        </w:tc>
      </w:tr>
    </w:tbl>
    <w:p w14:paraId="0CB6C259">
      <w:pPr>
        <w:rPr>
          <w:rFonts w:hint="eastAsia" w:ascii="宋体" w:hAnsi="宋体" w:eastAsia="宋体" w:cs="宋体"/>
          <w:color w:val="auto"/>
          <w:sz w:val="21"/>
          <w:szCs w:val="21"/>
          <w:highlight w:val="none"/>
          <w:lang w:val="en-US" w:eastAsia="zh-CN"/>
        </w:rPr>
      </w:pPr>
    </w:p>
    <w:p w14:paraId="68A68BA3">
      <w:pPr>
        <w:rPr>
          <w:rFonts w:hint="eastAsia"/>
          <w:color w:val="auto"/>
          <w:highlight w:val="none"/>
          <w:lang w:val="en-US" w:eastAsia="zh-CN"/>
        </w:rPr>
      </w:pPr>
      <w:r>
        <w:rPr>
          <w:rFonts w:hint="eastAsia"/>
          <w:color w:val="auto"/>
          <w:highlight w:val="none"/>
          <w:lang w:val="en-US" w:eastAsia="zh-CN"/>
        </w:rPr>
        <w:br w:type="page"/>
      </w:r>
    </w:p>
    <w:p w14:paraId="61F464E4">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color w:val="auto"/>
          <w:kern w:val="0"/>
          <w:sz w:val="21"/>
          <w:szCs w:val="21"/>
          <w:highlight w:val="none"/>
          <w:lang w:val="en-US" w:eastAsia="zh-CN" w:bidi="ar-SA"/>
        </w:rPr>
      </w:pPr>
      <w:bookmarkStart w:id="111" w:name="_Toc20185"/>
      <w:bookmarkStart w:id="112" w:name="_Toc16264"/>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）标项</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（分包</w:t>
      </w:r>
      <w:r>
        <w:rPr>
          <w:rFonts w:hint="eastAsia" w:ascii="宋体" w:hAnsi="宋体" w:cs="宋体"/>
          <w:b/>
          <w:bCs/>
          <w:color w:val="auto"/>
          <w:kern w:val="0"/>
          <w:sz w:val="21"/>
          <w:szCs w:val="21"/>
          <w:highlight w:val="none"/>
          <w:lang w:val="en-US" w:eastAsia="zh-CN" w:bidi="ar-SA"/>
        </w:rPr>
        <w:t>3</w:t>
      </w:r>
      <w:r>
        <w:rPr>
          <w:rFonts w:hint="eastAsia" w:ascii="宋体" w:hAnsi="宋体" w:eastAsia="宋体" w:cs="宋体"/>
          <w:b/>
          <w:bCs/>
          <w:color w:val="auto"/>
          <w:kern w:val="0"/>
          <w:sz w:val="21"/>
          <w:szCs w:val="21"/>
          <w:highlight w:val="none"/>
          <w:lang w:val="en-US" w:eastAsia="zh-CN" w:bidi="ar-SA"/>
        </w:rPr>
        <w:t>）的</w:t>
      </w:r>
      <w:r>
        <w:rPr>
          <w:rFonts w:hint="eastAsia" w:ascii="宋体" w:hAnsi="宋体" w:cs="宋体"/>
          <w:b/>
          <w:bCs/>
          <w:color w:val="auto"/>
          <w:kern w:val="0"/>
          <w:sz w:val="21"/>
          <w:szCs w:val="21"/>
          <w:highlight w:val="none"/>
          <w:lang w:val="en-US" w:eastAsia="zh-CN" w:bidi="ar-SA"/>
        </w:rPr>
        <w:t>商务</w:t>
      </w:r>
      <w:r>
        <w:rPr>
          <w:rFonts w:hint="eastAsia" w:ascii="宋体" w:hAnsi="宋体" w:eastAsia="宋体" w:cs="宋体"/>
          <w:b/>
          <w:bCs/>
          <w:color w:val="auto"/>
          <w:kern w:val="0"/>
          <w:sz w:val="21"/>
          <w:szCs w:val="21"/>
          <w:highlight w:val="none"/>
          <w:lang w:val="en-US" w:eastAsia="zh-CN" w:bidi="ar-SA"/>
        </w:rPr>
        <w:t>要求</w:t>
      </w:r>
      <w:bookmarkEnd w:id="111"/>
      <w:bookmarkEnd w:id="112"/>
    </w:p>
    <w:tbl>
      <w:tblPr>
        <w:tblStyle w:val="48"/>
        <w:tblW w:w="88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6"/>
        <w:gridCol w:w="1104"/>
        <w:gridCol w:w="6584"/>
      </w:tblGrid>
      <w:tr w14:paraId="50CB6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1166" w:type="dxa"/>
            <w:noWrap/>
            <w:vAlign w:val="center"/>
          </w:tcPr>
          <w:p w14:paraId="53EE4778">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04" w:type="dxa"/>
            <w:noWrap/>
            <w:vAlign w:val="center"/>
          </w:tcPr>
          <w:p w14:paraId="308A385E">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商务条款</w:t>
            </w:r>
          </w:p>
        </w:tc>
        <w:tc>
          <w:tcPr>
            <w:tcW w:w="6584" w:type="dxa"/>
            <w:noWrap/>
            <w:vAlign w:val="center"/>
          </w:tcPr>
          <w:p w14:paraId="025A9F90">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商务要求</w:t>
            </w:r>
          </w:p>
        </w:tc>
      </w:tr>
      <w:tr w14:paraId="7A112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jc w:val="center"/>
        </w:trPr>
        <w:tc>
          <w:tcPr>
            <w:tcW w:w="1166" w:type="dxa"/>
            <w:noWrap/>
            <w:vAlign w:val="center"/>
          </w:tcPr>
          <w:p w14:paraId="3E88F201">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p>
        </w:tc>
        <w:tc>
          <w:tcPr>
            <w:tcW w:w="1104" w:type="dxa"/>
            <w:noWrap/>
            <w:vAlign w:val="center"/>
          </w:tcPr>
          <w:p w14:paraId="365B315F">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报价要求</w:t>
            </w:r>
          </w:p>
        </w:tc>
        <w:tc>
          <w:tcPr>
            <w:tcW w:w="6584" w:type="dxa"/>
            <w:noWrap/>
            <w:vAlign w:val="center"/>
          </w:tcPr>
          <w:p w14:paraId="5D5CCA46">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报价须为人民币报价，包含产品价、运输费（含装卸费）、保险费、安装调试费（仪器安装所需要水电改造及实验室改造费用）、税费、培训费、产品检测费、产品质保期内维护费等费用。对于本文件中明确列明必须报价的货物或服务，投标人应分别报价。对于本文件中未列明，而投标人认为必需的费用也需列入总报价。在合同实施时，采购人将不予支付中标人没有列入的项目费用，并认为此项目的费用已包括在投标总报价中。</w:t>
            </w:r>
          </w:p>
        </w:tc>
      </w:tr>
      <w:tr w14:paraId="61F58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166" w:type="dxa"/>
            <w:noWrap/>
            <w:vAlign w:val="center"/>
          </w:tcPr>
          <w:p w14:paraId="3B722E70">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p>
        </w:tc>
        <w:tc>
          <w:tcPr>
            <w:tcW w:w="1104" w:type="dxa"/>
            <w:noWrap/>
            <w:vAlign w:val="center"/>
          </w:tcPr>
          <w:p w14:paraId="6C8318EB">
            <w:pPr>
              <w:keepNext w:val="0"/>
              <w:keepLines w:val="0"/>
              <w:pageBreakBefore w:val="0"/>
              <w:kinsoku/>
              <w:wordWrap/>
              <w:overflowPunct/>
              <w:topLinePunct w:val="0"/>
              <w:autoSpaceDE/>
              <w:autoSpaceDN/>
              <w:bidi w:val="0"/>
              <w:adjustRightInd/>
              <w:spacing w:after="0" w:line="400" w:lineRule="exact"/>
              <w:ind w:left="-107" w:leftChars="-51" w:firstLine="126" w:firstLineChars="6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签订合同时限</w:t>
            </w:r>
          </w:p>
        </w:tc>
        <w:tc>
          <w:tcPr>
            <w:tcW w:w="6584" w:type="dxa"/>
            <w:noWrap/>
            <w:vAlign w:val="center"/>
          </w:tcPr>
          <w:p w14:paraId="0A72D071">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自中标通知书发出之日起</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5日内。</w:t>
            </w:r>
          </w:p>
        </w:tc>
      </w:tr>
      <w:tr w14:paraId="27371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jc w:val="center"/>
        </w:trPr>
        <w:tc>
          <w:tcPr>
            <w:tcW w:w="1166" w:type="dxa"/>
            <w:noWrap/>
            <w:vAlign w:val="center"/>
          </w:tcPr>
          <w:p w14:paraId="1DB97EF4">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w:t>
            </w:r>
          </w:p>
        </w:tc>
        <w:tc>
          <w:tcPr>
            <w:tcW w:w="1104" w:type="dxa"/>
            <w:noWrap/>
            <w:vAlign w:val="center"/>
          </w:tcPr>
          <w:p w14:paraId="238159D1">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交货时间</w:t>
            </w:r>
          </w:p>
        </w:tc>
        <w:tc>
          <w:tcPr>
            <w:tcW w:w="6584" w:type="dxa"/>
            <w:noWrap/>
            <w:vAlign w:val="center"/>
          </w:tcPr>
          <w:p w14:paraId="611B1C89">
            <w:pPr>
              <w:pStyle w:val="31"/>
              <w:keepNext w:val="0"/>
              <w:keepLines w:val="0"/>
              <w:pageBreakBefore w:val="0"/>
              <w:kinsoku/>
              <w:wordWrap/>
              <w:overflowPunct/>
              <w:topLinePunct w:val="0"/>
              <w:autoSpaceDE/>
              <w:autoSpaceDN/>
              <w:bidi w:val="0"/>
              <w:adjustRightInd/>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国产仪器设备</w:t>
            </w:r>
            <w:r>
              <w:rPr>
                <w:rFonts w:hint="eastAsia" w:ascii="宋体" w:hAnsi="宋体" w:eastAsia="宋体" w:cs="宋体"/>
                <w:color w:val="auto"/>
                <w:sz w:val="21"/>
                <w:szCs w:val="21"/>
                <w:highlight w:val="none"/>
              </w:rPr>
              <w:t>自签订合同之日起</w:t>
            </w:r>
            <w:r>
              <w:rPr>
                <w:rFonts w:hint="eastAsia" w:ascii="宋体" w:hAnsi="宋体" w:eastAsia="宋体" w:cs="宋体"/>
                <w:color w:val="auto"/>
                <w:sz w:val="21"/>
                <w:szCs w:val="21"/>
                <w:highlight w:val="none"/>
                <w:u w:val="none"/>
                <w:lang w:val="en-US" w:eastAsia="zh-CN"/>
              </w:rPr>
              <w:t>60</w:t>
            </w:r>
            <w:r>
              <w:rPr>
                <w:rFonts w:hint="eastAsia" w:ascii="宋体" w:hAnsi="宋体" w:eastAsia="宋体" w:cs="宋体"/>
                <w:color w:val="auto"/>
                <w:sz w:val="21"/>
                <w:szCs w:val="21"/>
                <w:highlight w:val="none"/>
              </w:rPr>
              <w:t>日内交货并完成安装调试。</w:t>
            </w:r>
          </w:p>
        </w:tc>
      </w:tr>
      <w:tr w14:paraId="005DC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166" w:type="dxa"/>
            <w:noWrap/>
            <w:vAlign w:val="center"/>
          </w:tcPr>
          <w:p w14:paraId="6FF0BBFE">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w:t>
            </w:r>
          </w:p>
        </w:tc>
        <w:tc>
          <w:tcPr>
            <w:tcW w:w="1104" w:type="dxa"/>
            <w:noWrap/>
            <w:vAlign w:val="center"/>
          </w:tcPr>
          <w:p w14:paraId="7E7687BF">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w:t>
            </w:r>
          </w:p>
        </w:tc>
        <w:tc>
          <w:tcPr>
            <w:tcW w:w="6584" w:type="dxa"/>
            <w:noWrap/>
            <w:vAlign w:val="center"/>
          </w:tcPr>
          <w:p w14:paraId="3E650D90">
            <w:pPr>
              <w:keepNext w:val="0"/>
              <w:keepLines w:val="0"/>
              <w:pageBreakBefore w:val="0"/>
              <w:kinsoku/>
              <w:wordWrap/>
              <w:overflowPunct/>
              <w:topLinePunct w:val="0"/>
              <w:autoSpaceDE/>
              <w:autoSpaceDN/>
              <w:bidi w:val="0"/>
              <w:adjustRightInd/>
              <w:spacing w:after="0" w:line="400" w:lineRule="exact"/>
              <w:ind w:firstLine="42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送至广西壮族自治区</w:t>
            </w:r>
            <w:r>
              <w:rPr>
                <w:rFonts w:hint="eastAsia" w:ascii="宋体" w:hAnsi="宋体" w:eastAsia="宋体" w:cs="宋体"/>
                <w:color w:val="auto"/>
                <w:sz w:val="21"/>
                <w:szCs w:val="21"/>
                <w:highlight w:val="none"/>
              </w:rPr>
              <w:t>生态环境</w:t>
            </w:r>
            <w:r>
              <w:rPr>
                <w:rFonts w:hint="eastAsia" w:ascii="宋体" w:hAnsi="宋体" w:eastAsia="宋体" w:cs="宋体"/>
                <w:color w:val="auto"/>
                <w:sz w:val="21"/>
                <w:szCs w:val="21"/>
                <w:highlight w:val="none"/>
                <w:lang w:val="en-US" w:eastAsia="zh-CN"/>
              </w:rPr>
              <w:t>厅或由采购人指定广西区内地点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含送货上楼</w:t>
            </w:r>
            <w:r>
              <w:rPr>
                <w:rFonts w:hint="eastAsia" w:ascii="宋体" w:hAnsi="宋体" w:eastAsia="宋体" w:cs="宋体"/>
                <w:color w:val="auto"/>
                <w:sz w:val="21"/>
                <w:szCs w:val="21"/>
                <w:highlight w:val="none"/>
                <w:lang w:eastAsia="zh-CN"/>
              </w:rPr>
              <w:t>）</w:t>
            </w:r>
          </w:p>
        </w:tc>
      </w:tr>
      <w:tr w14:paraId="1923B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66" w:type="dxa"/>
            <w:noWrap/>
            <w:vAlign w:val="center"/>
          </w:tcPr>
          <w:p w14:paraId="48239EE3">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w:t>
            </w:r>
          </w:p>
        </w:tc>
        <w:tc>
          <w:tcPr>
            <w:tcW w:w="1104" w:type="dxa"/>
            <w:noWrap/>
            <w:vAlign w:val="center"/>
          </w:tcPr>
          <w:p w14:paraId="784C2F6F">
            <w:pPr>
              <w:keepNext w:val="0"/>
              <w:keepLines w:val="0"/>
              <w:pageBreakBefore w:val="0"/>
              <w:kinsoku/>
              <w:wordWrap/>
              <w:overflowPunct/>
              <w:topLinePunct w:val="0"/>
              <w:autoSpaceDE/>
              <w:autoSpaceDN/>
              <w:bidi w:val="0"/>
              <w:adjustRightInd/>
              <w:spacing w:after="0"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付款条件</w:t>
            </w:r>
          </w:p>
        </w:tc>
        <w:tc>
          <w:tcPr>
            <w:tcW w:w="6584" w:type="dxa"/>
            <w:noWrap/>
            <w:vAlign w:val="top"/>
          </w:tcPr>
          <w:p w14:paraId="7CC246C3">
            <w:pPr>
              <w:keepNext w:val="0"/>
              <w:keepLines w:val="0"/>
              <w:pageBreakBefore w:val="0"/>
              <w:widowControl/>
              <w:kinsoku/>
              <w:wordWrap/>
              <w:overflowPunct/>
              <w:topLinePunct w:val="0"/>
              <w:autoSpaceDE/>
              <w:autoSpaceDN/>
              <w:bidi w:val="0"/>
              <w:adjustRightInd/>
              <w:snapToGrid w:val="0"/>
              <w:spacing w:line="400" w:lineRule="exact"/>
              <w:ind w:firstLine="420" w:firstLineChars="0"/>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1.合同签订后，甲方向乙方支付合同总金额50%的预付款；</w:t>
            </w:r>
          </w:p>
          <w:p w14:paraId="39FD0388">
            <w:pPr>
              <w:keepNext w:val="0"/>
              <w:keepLines w:val="0"/>
              <w:pageBreakBefore w:val="0"/>
              <w:widowControl/>
              <w:kinsoku/>
              <w:wordWrap/>
              <w:overflowPunct/>
              <w:topLinePunct w:val="0"/>
              <w:autoSpaceDE/>
              <w:autoSpaceDN/>
              <w:bidi w:val="0"/>
              <w:adjustRightInd/>
              <w:snapToGrid w:val="0"/>
              <w:spacing w:line="400" w:lineRule="exact"/>
              <w:ind w:firstLine="420" w:firstLineChars="0"/>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2.乙方在收到首笔合同款后20个工作日内向甲方递交合同总金额50%的预付款保函（有效期自开具之日起不少于15个月，验收合格后退还）全部货物到货并经甲方确认后，甲方向乙方支付合同总金额的50%：</w:t>
            </w:r>
          </w:p>
          <w:p w14:paraId="093B4A24">
            <w:pPr>
              <w:keepNext w:val="0"/>
              <w:keepLines w:val="0"/>
              <w:pageBreakBefore w:val="0"/>
              <w:kinsoku/>
              <w:wordWrap/>
              <w:overflowPunct/>
              <w:topLinePunct w:val="0"/>
              <w:autoSpaceDE/>
              <w:autoSpaceDN/>
              <w:bidi w:val="0"/>
              <w:adjustRightInd/>
              <w:snapToGrid w:val="0"/>
              <w:spacing w:after="0" w:line="400" w:lineRule="exact"/>
              <w:ind w:firstLine="42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3.全部货物安装调试完毕，甲方对所有货物最终性能验收合格后，乙方向甲方提交合同总金额</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%的履约保函（有效期自开具之日起不少于24个月，质保期满退履约保函）；</w:t>
            </w:r>
          </w:p>
          <w:p w14:paraId="291AA498">
            <w:pPr>
              <w:keepNext w:val="0"/>
              <w:keepLines w:val="0"/>
              <w:pageBreakBefore w:val="0"/>
              <w:kinsoku/>
              <w:wordWrap/>
              <w:overflowPunct/>
              <w:topLinePunct w:val="0"/>
              <w:autoSpaceDE/>
              <w:autoSpaceDN/>
              <w:bidi w:val="0"/>
              <w:adjustRightInd/>
              <w:snapToGrid w:val="0"/>
              <w:spacing w:after="0" w:line="400" w:lineRule="exact"/>
              <w:ind w:firstLine="420" w:firstLineChars="200"/>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.每次付款前，中标人需提供与支付金额对应的增值税普通发票</w:t>
            </w:r>
            <w:r>
              <w:rPr>
                <w:rFonts w:hint="eastAsia" w:ascii="宋体" w:hAnsi="宋体" w:eastAsia="宋体" w:cs="宋体"/>
                <w:color w:val="auto"/>
                <w:sz w:val="21"/>
                <w:szCs w:val="21"/>
                <w:highlight w:val="none"/>
                <w:lang w:eastAsia="zh-CN"/>
              </w:rPr>
              <w:t>。</w:t>
            </w:r>
          </w:p>
        </w:tc>
      </w:tr>
      <w:tr w14:paraId="55649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1166" w:type="dxa"/>
            <w:noWrap/>
            <w:vAlign w:val="center"/>
          </w:tcPr>
          <w:p w14:paraId="18764EB7">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w:t>
            </w:r>
          </w:p>
        </w:tc>
        <w:tc>
          <w:tcPr>
            <w:tcW w:w="1104" w:type="dxa"/>
            <w:noWrap/>
            <w:vAlign w:val="center"/>
          </w:tcPr>
          <w:p w14:paraId="52020527">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p>
        </w:tc>
        <w:tc>
          <w:tcPr>
            <w:tcW w:w="6584" w:type="dxa"/>
            <w:noWrap/>
            <w:vAlign w:val="top"/>
          </w:tcPr>
          <w:p w14:paraId="697ECDC4">
            <w:pPr>
              <w:keepNext w:val="0"/>
              <w:keepLines w:val="0"/>
              <w:pageBreakBefore w:val="0"/>
              <w:numPr>
                <w:ilvl w:val="0"/>
                <w:numId w:val="0"/>
              </w:numPr>
              <w:kinsoku/>
              <w:wordWrap/>
              <w:overflowPunct/>
              <w:topLinePunct w:val="0"/>
              <w:autoSpaceDE/>
              <w:autoSpaceDN/>
              <w:bidi w:val="0"/>
              <w:adjustRightInd/>
              <w:snapToGrid w:val="0"/>
              <w:spacing w:after="0" w:line="400" w:lineRule="exact"/>
              <w:ind w:firstLine="420" w:firstLineChars="20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按国家有关产品“三包”规定执行“三包”，</w:t>
            </w:r>
            <w:r>
              <w:rPr>
                <w:rFonts w:hint="eastAsia" w:ascii="宋体" w:hAnsi="宋体" w:eastAsia="宋体" w:cs="宋体"/>
                <w:color w:val="auto"/>
                <w:sz w:val="21"/>
                <w:szCs w:val="21"/>
                <w:highlight w:val="none"/>
                <w:u w:val="none"/>
                <w:lang w:val="en-US" w:eastAsia="zh-CN"/>
              </w:rPr>
              <w:t>所有</w:t>
            </w:r>
            <w:r>
              <w:rPr>
                <w:rFonts w:hint="eastAsia" w:ascii="宋体" w:hAnsi="宋体" w:eastAsia="宋体" w:cs="宋体"/>
                <w:color w:val="auto"/>
                <w:sz w:val="21"/>
                <w:szCs w:val="21"/>
                <w:highlight w:val="none"/>
              </w:rPr>
              <w:t>货物质保期</w:t>
            </w:r>
            <w:r>
              <w:rPr>
                <w:rFonts w:hint="eastAsia" w:ascii="宋体" w:hAnsi="宋体" w:eastAsia="宋体" w:cs="宋体"/>
                <w:color w:val="auto"/>
                <w:sz w:val="21"/>
                <w:szCs w:val="21"/>
                <w:highlight w:val="none"/>
                <w:lang w:val="en-US" w:eastAsia="zh-CN"/>
              </w:rPr>
              <w:t>不低于2</w:t>
            </w:r>
            <w:r>
              <w:rPr>
                <w:rFonts w:hint="eastAsia" w:ascii="宋体" w:hAnsi="宋体" w:eastAsia="宋体" w:cs="宋体"/>
                <w:color w:val="auto"/>
                <w:sz w:val="21"/>
                <w:szCs w:val="21"/>
                <w:highlight w:val="none"/>
              </w:rPr>
              <w:t>年（采购需求另有要求的，按具体要求执行</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厂家质保期超过要求年限的，按厂家规定全免费包修），质保期内负责保修，终身维修。在质保期内每年至少提供</w:t>
            </w:r>
            <w:r>
              <w:rPr>
                <w:rFonts w:hint="eastAsia" w:ascii="宋体" w:hAnsi="宋体" w:eastAsia="宋体" w:cs="宋体"/>
                <w:color w:val="auto"/>
                <w:sz w:val="21"/>
                <w:szCs w:val="21"/>
                <w:highlight w:val="none"/>
                <w:lang w:val="en-US" w:eastAsia="zh-CN"/>
              </w:rPr>
              <w:t>巡检和</w:t>
            </w:r>
            <w:r>
              <w:rPr>
                <w:rFonts w:hint="eastAsia" w:ascii="宋体" w:hAnsi="宋体" w:eastAsia="宋体" w:cs="宋体"/>
                <w:color w:val="auto"/>
                <w:sz w:val="21"/>
                <w:szCs w:val="21"/>
                <w:highlight w:val="none"/>
              </w:rPr>
              <w:t>维护保养1次（工程师差旅费、住宿费、耗材配件等所产生的全部费用均由中标人承担）。</w:t>
            </w:r>
          </w:p>
        </w:tc>
      </w:tr>
      <w:tr w14:paraId="0B392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1166" w:type="dxa"/>
            <w:noWrap/>
            <w:vAlign w:val="center"/>
          </w:tcPr>
          <w:p w14:paraId="69134FD6">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lang w:eastAsia="zh-CN"/>
              </w:rPr>
              <w:t>）</w:t>
            </w:r>
          </w:p>
        </w:tc>
        <w:tc>
          <w:tcPr>
            <w:tcW w:w="1104" w:type="dxa"/>
            <w:noWrap/>
            <w:vAlign w:val="center"/>
          </w:tcPr>
          <w:p w14:paraId="22B60193">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w:t>
            </w:r>
          </w:p>
          <w:p w14:paraId="23EFF216">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w:t>
            </w:r>
          </w:p>
        </w:tc>
        <w:tc>
          <w:tcPr>
            <w:tcW w:w="6584" w:type="dxa"/>
            <w:noWrap/>
            <w:vAlign w:val="center"/>
          </w:tcPr>
          <w:p w14:paraId="346C9FBA">
            <w:pPr>
              <w:keepNext w:val="0"/>
              <w:keepLines w:val="0"/>
              <w:pageBreakBefore w:val="0"/>
              <w:kinsoku/>
              <w:wordWrap/>
              <w:overflowPunct/>
              <w:topLinePunct w:val="0"/>
              <w:autoSpaceDE/>
              <w:autoSpaceDN/>
              <w:bidi w:val="0"/>
              <w:adjustRightInd/>
              <w:snapToGrid w:val="0"/>
              <w:spacing w:after="0" w:line="400" w:lineRule="exact"/>
              <w:ind w:firstLine="42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本项目履约保证金为合同总金额的2%</w:t>
            </w:r>
            <w:r>
              <w:rPr>
                <w:rFonts w:hint="eastAsia" w:ascii="宋体" w:hAnsi="宋体" w:eastAsia="宋体" w:cs="宋体"/>
                <w:color w:val="auto"/>
                <w:sz w:val="21"/>
                <w:szCs w:val="21"/>
                <w:highlight w:val="none"/>
                <w:lang w:val="en-US" w:eastAsia="zh-CN"/>
              </w:rPr>
              <w:t>。</w:t>
            </w:r>
          </w:p>
        </w:tc>
      </w:tr>
      <w:tr w14:paraId="44FA8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1166" w:type="dxa"/>
            <w:noWrap/>
            <w:vAlign w:val="center"/>
          </w:tcPr>
          <w:p w14:paraId="55843F89">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lang w:eastAsia="zh-CN"/>
              </w:rPr>
              <w:t>）</w:t>
            </w:r>
          </w:p>
        </w:tc>
        <w:tc>
          <w:tcPr>
            <w:tcW w:w="1104" w:type="dxa"/>
            <w:noWrap/>
            <w:vAlign w:val="center"/>
          </w:tcPr>
          <w:p w14:paraId="5E133D6E">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tc>
        <w:tc>
          <w:tcPr>
            <w:tcW w:w="6584" w:type="dxa"/>
            <w:noWrap/>
            <w:vAlign w:val="center"/>
          </w:tcPr>
          <w:p w14:paraId="07C71355">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1．检查供货范围或服务范围</w:t>
            </w:r>
          </w:p>
          <w:p w14:paraId="22C147F3">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到达现场后，中标人应在采购人单位人员在场情况下当面开箱，共同清点、检查外观，作出开箱记录，双方签字确认。中标人应保证货物到达采购人所在地完好无损，如有缺漏、损坏，由中标人负责调换、补齐或赔偿。</w:t>
            </w:r>
          </w:p>
          <w:p w14:paraId="74AB5049">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2．中标人应提供完备的技术或服务资料、装箱单和合格证等，并派遣专业人员进行现场安装调试。验收合格条件如下：</w:t>
            </w:r>
          </w:p>
          <w:p w14:paraId="083E04C2">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2.1货物或服务技术参数与招标文件中响应表或证明材料一致，性能或指标达到规定的标准，否则，以实际货物或服务技术参数与招标文件响应表参数或证明材料比较，按如下情况处理：</w:t>
            </w:r>
          </w:p>
          <w:p w14:paraId="62558CCC">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（1）投标人投标文件响应表或证明材料中满足或优于的技术参数，在验收时实际不满足技术参数要求的，视为投标人违约，采购人有权终止合同拒收货物，并追究投标人责任。</w:t>
            </w:r>
          </w:p>
          <w:p w14:paraId="696305B8">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（2）投标人投标文件响应表或证明材料中优于的技术参数，在验收时实际仅满足并未优于技术参数要求的，视为投标人违约，采购人有权终止合同拒收货物，并追究投标人责任。</w:t>
            </w:r>
          </w:p>
          <w:p w14:paraId="15738378">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（3）投标人投标文件响应表或证明材料中不满足的技术参数，在验收时实际满足技术参数的要求，以满足技术参数的要求验收。</w:t>
            </w:r>
          </w:p>
          <w:p w14:paraId="460023BB">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（4）投标人投标文件响应表或证明材料中满足的技术参数，在验收时实际优于技术参数的要求，以满足技术参数的要求验收。</w:t>
            </w:r>
          </w:p>
          <w:p w14:paraId="63E30DD0">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（5）投标人投标文件响应表或证明材料中优于的技术参数，在验收时实际也优于技术参数的要求，但没有达到响应表或证明材料中优于的程度，由采购人与投标人协商按是否满足要求验收。</w:t>
            </w:r>
          </w:p>
          <w:p w14:paraId="70083126">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实际货物与投标货物型号不一致的，验收时不论实际是优于还是满足技术参数的要求，采购人均有权终止合同拒收货物。如影响货物或服务的使用、质量、档次及采购人需求的，还可视为投标人违约，追究投标人责任。</w:t>
            </w:r>
          </w:p>
          <w:p w14:paraId="4ECF4014">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2.2技术资料、装箱单、合格证等资料齐全。</w:t>
            </w:r>
          </w:p>
          <w:p w14:paraId="77827D0B">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2.3在测试或试运行期间所出现的问题得到解决，并运行或工作正常。</w:t>
            </w:r>
          </w:p>
          <w:p w14:paraId="5D25C4B4">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2.4在规定时间内完成交货及验收，并经采购人确认。</w:t>
            </w:r>
          </w:p>
          <w:p w14:paraId="37B0F916">
            <w:pPr>
              <w:keepNext w:val="0"/>
              <w:keepLines w:val="0"/>
              <w:pageBreakBefore w:val="0"/>
              <w:kinsoku/>
              <w:wordWrap/>
              <w:overflowPunct/>
              <w:topLinePunct w:val="0"/>
              <w:autoSpaceDE/>
              <w:autoSpaceDN/>
              <w:bidi w:val="0"/>
              <w:adjustRightInd/>
              <w:snapToGrid w:val="0"/>
              <w:spacing w:after="0" w:line="400" w:lineRule="exact"/>
              <w:ind w:firstLine="42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2.5如货物采购需求中明确需要检定或校准的因中标人的原因导致仪器未能通过检定或校准的，采购人有权进行退货处理，必要时延长预付款保函有效期或终止合同，并追究投标人责任。</w:t>
            </w:r>
          </w:p>
          <w:p w14:paraId="550AAD97">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3．产品或服务在安装调试并试运行符合要求后，才作为最终验收。</w:t>
            </w:r>
          </w:p>
          <w:p w14:paraId="38A60AE8">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4．中标人提供的货物或服务未达到招标文件规定要求，且对采购人造成损失的，由中标人承担一切责任，并赔偿所造成的损失。</w:t>
            </w:r>
          </w:p>
          <w:p w14:paraId="25EB9DBB">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5．采购人需要制造商对中标人交付的产品或服务（包括质量、参数等）进行确认的，制造商应予以配合并出具书面意见，相关配合事项由中标人与制造商协调。</w:t>
            </w:r>
          </w:p>
          <w:p w14:paraId="5208EA92">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6．产品包装材料归采购人所有。</w:t>
            </w:r>
          </w:p>
          <w:p w14:paraId="3E034958">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7．大型或者复杂的采购项目，采购人应当邀请具有相关资质的检测机构参加验收工作：</w:t>
            </w:r>
          </w:p>
          <w:p w14:paraId="06E739EB">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7.1设备到场后，由采购人和中标人一起依据招标文件上的技术规格要求和国家有关质量标准进行现场初步验收，外观、说明书符合招标文件技术要求的，给予签收，初步验收不合格的不予签收。</w:t>
            </w:r>
          </w:p>
          <w:p w14:paraId="33FDE5DD">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7.2涉及行业标准的内容由采购人和厂家工程师共同完成符合性的确认。</w:t>
            </w:r>
          </w:p>
          <w:p w14:paraId="0829CA99">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验收时对招标采购涉及参数的全部条款进行确认。参数中涉及的检出限、精密度、正确度能在常规实验室验证的，在仪器安装调试完成后由采购人员和仪器厂家工程师共同完成验证。部分检出限、精密度、正确度无法在常规实验室验证的以厂家证明文件作为验收依据。</w:t>
            </w:r>
          </w:p>
          <w:p w14:paraId="71E99DCA">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7.4其它参数部分以提供厂家证明文件作为验收依据。仪器正常运行，参数验证合格后，中标方配合采购人完成最终验收报告的编制。以验收报告完成时间作为质保期起始日期进行质保时间的计算。</w:t>
            </w:r>
          </w:p>
          <w:p w14:paraId="23BFA059">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7.5完成最终验收所需要的全部费用由中标人负责。</w:t>
            </w:r>
          </w:p>
          <w:p w14:paraId="2F63A519">
            <w:pPr>
              <w:keepNext w:val="0"/>
              <w:keepLines w:val="0"/>
              <w:pageBreakBefore w:val="0"/>
              <w:kinsoku/>
              <w:wordWrap/>
              <w:overflowPunct/>
              <w:topLinePunct w:val="0"/>
              <w:autoSpaceDE/>
              <w:autoSpaceDN/>
              <w:bidi w:val="0"/>
              <w:adjustRightInd/>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8.中标人需要提供配套的</w:t>
            </w:r>
            <w:r>
              <w:rPr>
                <w:rFonts w:hint="eastAsia" w:ascii="宋体" w:hAnsi="宋体" w:eastAsia="宋体" w:cs="宋体"/>
                <w:b w:val="0"/>
                <w:bCs w:val="0"/>
                <w:color w:val="auto"/>
                <w:sz w:val="21"/>
                <w:szCs w:val="21"/>
                <w:highlight w:val="none"/>
                <w:u w:val="none"/>
              </w:rPr>
              <w:t>检定或校准</w:t>
            </w:r>
            <w:r>
              <w:rPr>
                <w:rFonts w:hint="eastAsia" w:ascii="宋体" w:hAnsi="宋体" w:eastAsia="宋体" w:cs="宋体"/>
                <w:b w:val="0"/>
                <w:bCs w:val="0"/>
                <w:color w:val="auto"/>
                <w:sz w:val="21"/>
                <w:szCs w:val="21"/>
                <w:highlight w:val="none"/>
                <w:u w:val="none"/>
                <w:lang w:val="en-US" w:eastAsia="zh-CN"/>
              </w:rPr>
              <w:t>证书</w:t>
            </w:r>
            <w:r>
              <w:rPr>
                <w:rFonts w:hint="eastAsia" w:ascii="宋体" w:hAnsi="宋体" w:eastAsia="宋体" w:cs="宋体"/>
                <w:color w:val="auto"/>
                <w:sz w:val="21"/>
                <w:szCs w:val="21"/>
                <w:highlight w:val="none"/>
              </w:rPr>
              <w:t>。因中标人的原因导致仪器未能通过检定或校准的，采购人有权进行退货处理，必要时终止合同，并追究投标人责任。计量检定/校准服务费用及相关其他因检验产生的费用由</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人负责。如检定/校准不符合要求则按退货处理。</w:t>
            </w:r>
          </w:p>
          <w:p w14:paraId="640D9148">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其他验收要求按第五章《合同主要条款格式》执行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并兼顾《履约验收方案》（详见附件）</w:t>
            </w:r>
            <w:r>
              <w:rPr>
                <w:rFonts w:hint="eastAsia" w:ascii="宋体" w:hAnsi="宋体" w:eastAsia="宋体" w:cs="宋体"/>
                <w:color w:val="auto"/>
                <w:sz w:val="21"/>
                <w:szCs w:val="21"/>
                <w:highlight w:val="none"/>
              </w:rPr>
              <w:t>，未尽事宜按照相关法律法规规定执行。</w:t>
            </w:r>
          </w:p>
        </w:tc>
      </w:tr>
      <w:tr w14:paraId="7DC61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1166" w:type="dxa"/>
            <w:noWrap/>
            <w:vAlign w:val="center"/>
          </w:tcPr>
          <w:p w14:paraId="7A30E603">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九</w:t>
            </w:r>
            <w:r>
              <w:rPr>
                <w:rFonts w:hint="eastAsia" w:ascii="宋体" w:hAnsi="宋体" w:eastAsia="宋体" w:cs="宋体"/>
                <w:color w:val="auto"/>
                <w:sz w:val="21"/>
                <w:szCs w:val="21"/>
                <w:highlight w:val="none"/>
                <w:lang w:eastAsia="zh-CN"/>
              </w:rPr>
              <w:t>）</w:t>
            </w:r>
          </w:p>
        </w:tc>
        <w:tc>
          <w:tcPr>
            <w:tcW w:w="1104" w:type="dxa"/>
            <w:noWrap/>
            <w:vAlign w:val="center"/>
          </w:tcPr>
          <w:p w14:paraId="7AC92F19">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售后技术服务要求</w:t>
            </w:r>
          </w:p>
        </w:tc>
        <w:tc>
          <w:tcPr>
            <w:tcW w:w="6584" w:type="dxa"/>
            <w:noWrap/>
            <w:vAlign w:val="center"/>
          </w:tcPr>
          <w:p w14:paraId="55ACEDE1">
            <w:pPr>
              <w:keepNext w:val="0"/>
              <w:keepLines w:val="0"/>
              <w:pageBreakBefore w:val="0"/>
              <w:widowControl/>
              <w:kinsoku/>
              <w:wordWrap/>
              <w:overflowPunct/>
              <w:topLinePunct w:val="0"/>
              <w:autoSpaceDE/>
              <w:autoSpaceDN/>
              <w:bidi w:val="0"/>
              <w:adjustRightInd/>
              <w:snapToGrid w:val="0"/>
              <w:spacing w:after="0" w:line="400" w:lineRule="exact"/>
              <w:ind w:firstLine="420"/>
              <w:outlineLvl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所投产品如果高于招标要求时，应提供足以证明的技术支持资料。</w:t>
            </w:r>
          </w:p>
          <w:p w14:paraId="6918F68B">
            <w:pPr>
              <w:keepNext w:val="0"/>
              <w:keepLines w:val="0"/>
              <w:pageBreakBefore w:val="0"/>
              <w:widowControl/>
              <w:kinsoku/>
              <w:wordWrap/>
              <w:overflowPunct/>
              <w:topLinePunct w:val="0"/>
              <w:autoSpaceDE/>
              <w:autoSpaceDN/>
              <w:bidi w:val="0"/>
              <w:adjustRightInd/>
              <w:snapToGrid w:val="0"/>
              <w:spacing w:after="0" w:line="400" w:lineRule="exact"/>
              <w:ind w:firstLine="420"/>
              <w:outlineLvl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投标产品必须是按厂家标准配置的整套全新，具备正规合法经销渠道的，符合国家各项有关质量标准的合格产品。相关部件及服务满足以上各项要求。若产品在运输过程中损坏或擦伤须无偿调换相同产品。</w:t>
            </w:r>
          </w:p>
          <w:p w14:paraId="034D3A04">
            <w:pPr>
              <w:keepNext w:val="0"/>
              <w:keepLines w:val="0"/>
              <w:pageBreakBefore w:val="0"/>
              <w:widowControl/>
              <w:kinsoku/>
              <w:wordWrap/>
              <w:overflowPunct/>
              <w:topLinePunct w:val="0"/>
              <w:autoSpaceDE/>
              <w:autoSpaceDN/>
              <w:bidi w:val="0"/>
              <w:adjustRightInd/>
              <w:snapToGrid w:val="0"/>
              <w:spacing w:after="0" w:line="400" w:lineRule="exact"/>
              <w:ind w:firstLine="420"/>
              <w:outlineLvl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投标报价包含货物、随配附件、备品备件、工具、运抵指定交货地点、安装、安装调试、安装所需材料、委托培训费和售后服务、税金、检验、验收及其他所有成本费用的总和。</w:t>
            </w:r>
          </w:p>
          <w:p w14:paraId="08B472AF">
            <w:pPr>
              <w:keepNext w:val="0"/>
              <w:keepLines w:val="0"/>
              <w:pageBreakBefore w:val="0"/>
              <w:widowControl/>
              <w:kinsoku/>
              <w:wordWrap/>
              <w:overflowPunct/>
              <w:topLinePunct w:val="0"/>
              <w:autoSpaceDE/>
              <w:autoSpaceDN/>
              <w:bidi w:val="0"/>
              <w:adjustRightInd/>
              <w:snapToGrid w:val="0"/>
              <w:spacing w:after="0" w:line="400" w:lineRule="exact"/>
              <w:ind w:firstLine="420"/>
              <w:outlineLvl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免费送货上门并卸至采购人指定地点，免费负责采购人维修、操作、技术人员的培训服务，并无偿提供培训资料和培训师资。使用户相关维修、操作人员具备了解设备结构、工作原理，熟练操作设备，并能排除一般故障的能力；交货及采购人安装调试过程中，中标人应免费派专业技术人员到交货安装现场进行技术指导及相关技术服务，向采购人交相关试验数据、报告及采购人要求提供的相关技术文件，直至达到验收要求。</w:t>
            </w:r>
          </w:p>
          <w:p w14:paraId="6408473F">
            <w:pPr>
              <w:keepNext w:val="0"/>
              <w:keepLines w:val="0"/>
              <w:pageBreakBefore w:val="0"/>
              <w:widowControl/>
              <w:kinsoku/>
              <w:wordWrap/>
              <w:overflowPunct/>
              <w:topLinePunct w:val="0"/>
              <w:autoSpaceDE/>
              <w:autoSpaceDN/>
              <w:bidi w:val="0"/>
              <w:adjustRightInd/>
              <w:snapToGrid w:val="0"/>
              <w:spacing w:after="0" w:line="400" w:lineRule="exact"/>
              <w:ind w:firstLine="420"/>
              <w:outlineLvl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服务体系：投标人须在</w:t>
            </w:r>
            <w:r>
              <w:rPr>
                <w:rFonts w:hint="eastAsia" w:ascii="宋体" w:hAnsi="宋体" w:eastAsia="宋体" w:cs="宋体"/>
                <w:color w:val="auto"/>
                <w:kern w:val="0"/>
                <w:sz w:val="21"/>
                <w:szCs w:val="21"/>
                <w:highlight w:val="none"/>
                <w:lang w:val="en-US" w:eastAsia="zh-CN"/>
              </w:rPr>
              <w:t>采购人提出的技术问题后24小时内予以反馈解</w:t>
            </w:r>
            <w:r>
              <w:rPr>
                <w:rFonts w:hint="eastAsia" w:ascii="宋体" w:hAnsi="宋体" w:eastAsia="宋体" w:cs="宋体"/>
                <w:color w:val="auto"/>
                <w:kern w:val="0"/>
                <w:sz w:val="21"/>
                <w:szCs w:val="21"/>
                <w:highlight w:val="none"/>
              </w:rPr>
              <w:t>。</w:t>
            </w:r>
          </w:p>
          <w:p w14:paraId="63DD0829">
            <w:pPr>
              <w:keepNext w:val="0"/>
              <w:keepLines w:val="0"/>
              <w:pageBreakBefore w:val="0"/>
              <w:widowControl/>
              <w:kinsoku/>
              <w:wordWrap/>
              <w:overflowPunct/>
              <w:topLinePunct w:val="0"/>
              <w:autoSpaceDE/>
              <w:autoSpaceDN/>
              <w:bidi w:val="0"/>
              <w:adjustRightInd/>
              <w:snapToGrid w:val="0"/>
              <w:spacing w:after="0" w:line="400" w:lineRule="exact"/>
              <w:ind w:firstLine="420"/>
              <w:outlineLvl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投标人必须提供详细的售后服务承诺方案。</w:t>
            </w:r>
          </w:p>
          <w:p w14:paraId="05603BA2">
            <w:pPr>
              <w:keepNext w:val="0"/>
              <w:keepLines w:val="0"/>
              <w:pageBreakBefore w:val="0"/>
              <w:kinsoku/>
              <w:wordWrap/>
              <w:overflowPunct/>
              <w:topLinePunct w:val="0"/>
              <w:autoSpaceDE/>
              <w:autoSpaceDN/>
              <w:bidi w:val="0"/>
              <w:adjustRightInd/>
              <w:snapToGrid w:val="0"/>
              <w:spacing w:after="0" w:line="400" w:lineRule="exact"/>
              <w:ind w:firstLine="42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在质保期内，如中标人不按</w:t>
            </w:r>
            <w:r>
              <w:rPr>
                <w:rFonts w:hint="eastAsia" w:ascii="宋体" w:hAnsi="宋体" w:eastAsia="宋体" w:cs="宋体"/>
                <w:color w:val="auto"/>
                <w:sz w:val="21"/>
                <w:szCs w:val="21"/>
                <w:highlight w:val="none"/>
                <w:lang w:eastAsia="zh-CN"/>
              </w:rPr>
              <w:t>质保要求进行</w:t>
            </w:r>
            <w:r>
              <w:rPr>
                <w:rFonts w:hint="eastAsia" w:ascii="宋体" w:hAnsi="宋体" w:eastAsia="宋体" w:cs="宋体"/>
                <w:color w:val="auto"/>
                <w:sz w:val="21"/>
                <w:szCs w:val="21"/>
                <w:highlight w:val="none"/>
              </w:rPr>
              <w:t>质保，导致仪器设备及车辆发生维修费用（以维修发票为准），由中标人支付。</w:t>
            </w:r>
          </w:p>
        </w:tc>
      </w:tr>
      <w:tr w14:paraId="2182B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0" w:hRule="atLeast"/>
          <w:jc w:val="center"/>
        </w:trPr>
        <w:tc>
          <w:tcPr>
            <w:tcW w:w="1166" w:type="dxa"/>
            <w:noWrap/>
            <w:vAlign w:val="center"/>
          </w:tcPr>
          <w:p w14:paraId="03B491F9">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w:t>
            </w:r>
            <w:r>
              <w:rPr>
                <w:rFonts w:hint="eastAsia" w:ascii="宋体" w:hAnsi="宋体" w:eastAsia="宋体" w:cs="宋体"/>
                <w:color w:val="auto"/>
                <w:sz w:val="21"/>
                <w:szCs w:val="21"/>
                <w:highlight w:val="none"/>
                <w:lang w:eastAsia="zh-CN"/>
              </w:rPr>
              <w:t>）</w:t>
            </w:r>
          </w:p>
        </w:tc>
        <w:tc>
          <w:tcPr>
            <w:tcW w:w="1104" w:type="dxa"/>
            <w:noWrap/>
            <w:vAlign w:val="center"/>
          </w:tcPr>
          <w:p w14:paraId="7B272597">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w:t>
            </w:r>
          </w:p>
        </w:tc>
        <w:tc>
          <w:tcPr>
            <w:tcW w:w="6584" w:type="dxa"/>
            <w:noWrap/>
            <w:vAlign w:val="center"/>
          </w:tcPr>
          <w:p w14:paraId="24B9CFF1">
            <w:pPr>
              <w:keepNext w:val="0"/>
              <w:keepLines w:val="0"/>
              <w:pageBreakBefore w:val="0"/>
              <w:kinsoku/>
              <w:wordWrap/>
              <w:overflowPunct/>
              <w:topLinePunct w:val="0"/>
              <w:autoSpaceDE/>
              <w:autoSpaceDN/>
              <w:bidi w:val="0"/>
              <w:adjustRightInd/>
              <w:snapToGrid w:val="0"/>
              <w:spacing w:after="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投标人对其提供产品或服务的使用和操作应尽培训义务。投标人应提供对采购人的基本培训，安装验收期间，</w:t>
            </w:r>
            <w:r>
              <w:rPr>
                <w:rFonts w:hint="eastAsia" w:ascii="宋体" w:hAnsi="宋体" w:eastAsia="宋体" w:cs="宋体"/>
                <w:color w:val="auto"/>
                <w:sz w:val="21"/>
                <w:szCs w:val="21"/>
                <w:highlight w:val="none"/>
                <w:lang w:val="zh-CN"/>
              </w:rPr>
              <w:t>须根据用户需求提供</w:t>
            </w:r>
            <w:r>
              <w:rPr>
                <w:rFonts w:hint="eastAsia" w:ascii="宋体" w:hAnsi="宋体" w:eastAsia="宋体" w:cs="宋体"/>
                <w:color w:val="auto"/>
                <w:sz w:val="21"/>
                <w:szCs w:val="21"/>
                <w:highlight w:val="none"/>
              </w:rPr>
              <w:t>进行现场技术培训，必须包括仪器使用</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使采购人使用人员熟练掌握所培训内容，熟练掌握全部功能，培训的相关费用包括在投标报价中，采购人不再另行支付。</w:t>
            </w:r>
          </w:p>
        </w:tc>
      </w:tr>
      <w:tr w14:paraId="3D17E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3" w:hRule="atLeast"/>
          <w:jc w:val="center"/>
        </w:trPr>
        <w:tc>
          <w:tcPr>
            <w:tcW w:w="1166" w:type="dxa"/>
            <w:noWrap/>
            <w:vAlign w:val="center"/>
          </w:tcPr>
          <w:p w14:paraId="0999CA9D">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十一</w:t>
            </w:r>
            <w:r>
              <w:rPr>
                <w:rFonts w:hint="eastAsia" w:ascii="宋体" w:hAnsi="宋体" w:eastAsia="宋体" w:cs="宋体"/>
                <w:color w:val="auto"/>
                <w:sz w:val="21"/>
                <w:szCs w:val="21"/>
                <w:highlight w:val="none"/>
                <w:lang w:eastAsia="zh-CN"/>
              </w:rPr>
              <w:t>）</w:t>
            </w:r>
          </w:p>
        </w:tc>
        <w:tc>
          <w:tcPr>
            <w:tcW w:w="1104" w:type="dxa"/>
            <w:noWrap/>
            <w:vAlign w:val="center"/>
          </w:tcPr>
          <w:p w14:paraId="27184A79">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知识产权</w:t>
            </w:r>
          </w:p>
        </w:tc>
        <w:tc>
          <w:tcPr>
            <w:tcW w:w="6584" w:type="dxa"/>
            <w:noWrap/>
            <w:vAlign w:val="center"/>
          </w:tcPr>
          <w:p w14:paraId="54DC871C">
            <w:pPr>
              <w:keepNext w:val="0"/>
              <w:keepLines w:val="0"/>
              <w:pageBreakBefore w:val="0"/>
              <w:kinsoku/>
              <w:wordWrap/>
              <w:overflowPunct/>
              <w:topLinePunct w:val="0"/>
              <w:autoSpaceDE/>
              <w:autoSpaceDN/>
              <w:bidi w:val="0"/>
              <w:adjustRightInd/>
              <w:snapToGrid w:val="0"/>
              <w:spacing w:after="0"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采购人在中华人民共和国境内使用投标人提供的产品及服务时免受第三方提出的侵犯其专利权或其它知识产权的起诉。如果第三方提出侵权指控，中标人应承担由此而引起的一切法律责任和费用。</w:t>
            </w:r>
          </w:p>
        </w:tc>
      </w:tr>
      <w:tr w14:paraId="7E502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166" w:type="dxa"/>
            <w:noWrap/>
            <w:vAlign w:val="center"/>
          </w:tcPr>
          <w:p w14:paraId="6ABBB64E">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十二</w:t>
            </w:r>
            <w:r>
              <w:rPr>
                <w:rFonts w:hint="eastAsia" w:ascii="宋体" w:hAnsi="宋体" w:eastAsia="宋体" w:cs="宋体"/>
                <w:color w:val="auto"/>
                <w:sz w:val="21"/>
                <w:szCs w:val="21"/>
                <w:highlight w:val="none"/>
                <w:lang w:eastAsia="zh-CN"/>
              </w:rPr>
              <w:t>）</w:t>
            </w:r>
          </w:p>
        </w:tc>
        <w:tc>
          <w:tcPr>
            <w:tcW w:w="1104" w:type="dxa"/>
            <w:noWrap/>
            <w:vAlign w:val="center"/>
          </w:tcPr>
          <w:p w14:paraId="70FECBE5">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进口产品</w:t>
            </w:r>
          </w:p>
        </w:tc>
        <w:tc>
          <w:tcPr>
            <w:tcW w:w="6584" w:type="dxa"/>
            <w:noWrap/>
            <w:vAlign w:val="center"/>
          </w:tcPr>
          <w:p w14:paraId="2D3C504E">
            <w:pPr>
              <w:keepNext w:val="0"/>
              <w:keepLines w:val="0"/>
              <w:pageBreakBefore w:val="0"/>
              <w:kinsoku/>
              <w:wordWrap/>
              <w:overflowPunct/>
              <w:topLinePunct w:val="0"/>
              <w:autoSpaceDE/>
              <w:autoSpaceDN/>
              <w:bidi w:val="0"/>
              <w:adjustRightInd/>
              <w:spacing w:after="0" w:line="40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本分标不接受进口产品（即通过中国海关报关验放进入中国境内且产自关境外的产品）参与投标，如有此类产品参与投标的做无效标处理。</w:t>
            </w:r>
          </w:p>
        </w:tc>
      </w:tr>
      <w:tr w14:paraId="42242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166" w:type="dxa"/>
            <w:noWrap/>
            <w:vAlign w:val="center"/>
          </w:tcPr>
          <w:p w14:paraId="433C6B89">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十三</w:t>
            </w:r>
            <w:r>
              <w:rPr>
                <w:rFonts w:hint="eastAsia" w:ascii="宋体" w:hAnsi="宋体" w:eastAsia="宋体" w:cs="宋体"/>
                <w:color w:val="auto"/>
                <w:sz w:val="21"/>
                <w:szCs w:val="21"/>
                <w:highlight w:val="none"/>
                <w:lang w:eastAsia="zh-CN"/>
              </w:rPr>
              <w:t>）</w:t>
            </w:r>
          </w:p>
        </w:tc>
        <w:tc>
          <w:tcPr>
            <w:tcW w:w="1104" w:type="dxa"/>
            <w:noWrap/>
            <w:vAlign w:val="center"/>
          </w:tcPr>
          <w:p w14:paraId="2D1AEF40">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原厂商授权及相关要求</w:t>
            </w:r>
          </w:p>
        </w:tc>
        <w:tc>
          <w:tcPr>
            <w:tcW w:w="6584" w:type="dxa"/>
            <w:noWrap/>
            <w:vAlign w:val="center"/>
          </w:tcPr>
          <w:p w14:paraId="1BBCD3B2">
            <w:pPr>
              <w:keepNext w:val="0"/>
              <w:keepLines w:val="0"/>
              <w:pageBreakBefore w:val="0"/>
              <w:kinsoku/>
              <w:wordWrap/>
              <w:overflowPunct/>
              <w:topLinePunct w:val="0"/>
              <w:autoSpaceDE/>
              <w:autoSpaceDN/>
              <w:bidi w:val="0"/>
              <w:adjustRightInd/>
              <w:spacing w:after="0" w:line="400" w:lineRule="exact"/>
              <w:ind w:firstLine="42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无。</w:t>
            </w:r>
          </w:p>
        </w:tc>
      </w:tr>
      <w:tr w14:paraId="4786A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166" w:type="dxa"/>
            <w:noWrap/>
            <w:vAlign w:val="center"/>
          </w:tcPr>
          <w:p w14:paraId="48EB03C4">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十四</w:t>
            </w:r>
            <w:r>
              <w:rPr>
                <w:rFonts w:hint="eastAsia" w:ascii="宋体" w:hAnsi="宋体" w:eastAsia="宋体" w:cs="宋体"/>
                <w:color w:val="auto"/>
                <w:sz w:val="21"/>
                <w:szCs w:val="21"/>
                <w:highlight w:val="none"/>
                <w:lang w:eastAsia="zh-CN"/>
              </w:rPr>
              <w:t>）</w:t>
            </w:r>
          </w:p>
        </w:tc>
        <w:tc>
          <w:tcPr>
            <w:tcW w:w="1104" w:type="dxa"/>
            <w:noWrap/>
            <w:vAlign w:val="center"/>
          </w:tcPr>
          <w:p w14:paraId="398B1066">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中小企业说明</w:t>
            </w:r>
          </w:p>
        </w:tc>
        <w:tc>
          <w:tcPr>
            <w:tcW w:w="6584" w:type="dxa"/>
            <w:noWrap/>
            <w:vAlign w:val="center"/>
          </w:tcPr>
          <w:p w14:paraId="20B37967">
            <w:pPr>
              <w:keepNext w:val="0"/>
              <w:keepLines w:val="0"/>
              <w:pageBreakBefore w:val="0"/>
              <w:kinsoku/>
              <w:wordWrap/>
              <w:overflowPunct/>
              <w:topLinePunct w:val="0"/>
              <w:autoSpaceDE/>
              <w:autoSpaceDN/>
              <w:bidi w:val="0"/>
              <w:adjustRightInd/>
              <w:spacing w:after="0" w:line="400" w:lineRule="exact"/>
              <w:ind w:firstLine="420" w:firstLineChars="200"/>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none"/>
                <w:lang w:val="en-US" w:eastAsia="zh-CN"/>
              </w:rPr>
              <w:t>本分标专门面向中小企业。</w:t>
            </w:r>
          </w:p>
        </w:tc>
      </w:tr>
      <w:tr w14:paraId="0BE8D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166" w:type="dxa"/>
            <w:noWrap/>
            <w:vAlign w:val="center"/>
          </w:tcPr>
          <w:p w14:paraId="488D7A9B">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十五</w:t>
            </w:r>
            <w:r>
              <w:rPr>
                <w:rFonts w:hint="eastAsia" w:ascii="宋体" w:hAnsi="宋体" w:eastAsia="宋体" w:cs="宋体"/>
                <w:color w:val="auto"/>
                <w:sz w:val="21"/>
                <w:szCs w:val="21"/>
                <w:highlight w:val="none"/>
                <w:lang w:eastAsia="zh-CN"/>
              </w:rPr>
              <w:t>）</w:t>
            </w:r>
          </w:p>
        </w:tc>
        <w:tc>
          <w:tcPr>
            <w:tcW w:w="1104" w:type="dxa"/>
            <w:noWrap/>
            <w:vAlign w:val="center"/>
          </w:tcPr>
          <w:p w14:paraId="2F033614">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负偏离要求</w:t>
            </w:r>
          </w:p>
        </w:tc>
        <w:tc>
          <w:tcPr>
            <w:tcW w:w="6584" w:type="dxa"/>
            <w:noWrap/>
            <w:vAlign w:val="center"/>
          </w:tcPr>
          <w:p w14:paraId="56FB93F2">
            <w:pPr>
              <w:keepNext w:val="0"/>
              <w:keepLines w:val="0"/>
              <w:pageBreakBefore w:val="0"/>
              <w:kinsoku/>
              <w:wordWrap/>
              <w:overflowPunct/>
              <w:topLinePunct w:val="0"/>
              <w:autoSpaceDE/>
              <w:autoSpaceDN/>
              <w:bidi w:val="0"/>
              <w:adjustRightInd/>
              <w:spacing w:after="0" w:line="400" w:lineRule="exact"/>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本分标商务要求允许0项负偏离。</w:t>
            </w:r>
          </w:p>
        </w:tc>
      </w:tr>
      <w:tr w14:paraId="0F3FB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3" w:hRule="atLeast"/>
          <w:jc w:val="center"/>
        </w:trPr>
        <w:tc>
          <w:tcPr>
            <w:tcW w:w="1166" w:type="dxa"/>
            <w:noWrap/>
            <w:vAlign w:val="center"/>
          </w:tcPr>
          <w:p w14:paraId="4DE1C1C7">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（十六）</w:t>
            </w:r>
          </w:p>
        </w:tc>
        <w:tc>
          <w:tcPr>
            <w:tcW w:w="1104" w:type="dxa"/>
            <w:noWrap/>
            <w:vAlign w:val="center"/>
          </w:tcPr>
          <w:p w14:paraId="26ABD589">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6584" w:type="dxa"/>
            <w:noWrap/>
            <w:vAlign w:val="center"/>
          </w:tcPr>
          <w:p w14:paraId="21A84736">
            <w:pPr>
              <w:keepNext w:val="0"/>
              <w:keepLines w:val="0"/>
              <w:pageBreakBefore w:val="0"/>
              <w:kinsoku/>
              <w:wordWrap/>
              <w:overflowPunct/>
              <w:topLinePunct w:val="0"/>
              <w:autoSpaceDE/>
              <w:autoSpaceDN/>
              <w:bidi w:val="0"/>
              <w:adjustRightInd/>
              <w:spacing w:after="0"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1.中标人提供的硬件设备及软件的技术参数、配置和性能指标必须为真实有效，如有提供虚假材料谋取中标的，按政府采购相关法规处罚，并追究其相应的法律责任。</w:t>
            </w:r>
          </w:p>
          <w:p w14:paraId="35C61CB9">
            <w:pPr>
              <w:keepNext w:val="0"/>
              <w:keepLines w:val="0"/>
              <w:pageBreakBefore w:val="0"/>
              <w:kinsoku/>
              <w:wordWrap/>
              <w:overflowPunct/>
              <w:topLinePunct w:val="0"/>
              <w:autoSpaceDE/>
              <w:autoSpaceDN/>
              <w:bidi w:val="0"/>
              <w:adjustRightInd/>
              <w:spacing w:after="0"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2.中标产品必须是按厂家标准配置的整套全新，具备正规合法经销渠道的，符合国家各项有关质量标准的合格产品。相关部件及服务满足以上各项要求。若产品在运输过程中损坏或擦伤须无偿调换相同产品。</w:t>
            </w:r>
          </w:p>
          <w:p w14:paraId="6DED8B2B">
            <w:pPr>
              <w:keepNext w:val="0"/>
              <w:keepLines w:val="0"/>
              <w:pageBreakBefore w:val="0"/>
              <w:kinsoku/>
              <w:wordWrap/>
              <w:overflowPunct/>
              <w:topLinePunct w:val="0"/>
              <w:autoSpaceDE/>
              <w:autoSpaceDN/>
              <w:bidi w:val="0"/>
              <w:adjustRightInd/>
              <w:snapToGrid/>
              <w:spacing w:after="0"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3.中标人提供的货物包装应符合《财政部等三部门联合印发商品包装和快递包装政府采购需求标准（试行）》财办库〔2020〕123号相关要求。</w:t>
            </w:r>
          </w:p>
        </w:tc>
      </w:tr>
    </w:tbl>
    <w:p w14:paraId="33ED3BA2">
      <w:pPr>
        <w:rPr>
          <w:rFonts w:hint="eastAsia"/>
          <w:color w:val="auto"/>
          <w:highlight w:val="none"/>
          <w:lang w:val="en-US" w:eastAsia="zh-CN"/>
        </w:rPr>
      </w:pPr>
      <w:r>
        <w:rPr>
          <w:rFonts w:hint="eastAsia"/>
          <w:color w:val="auto"/>
          <w:highlight w:val="none"/>
          <w:lang w:val="en-US" w:eastAsia="zh-CN"/>
        </w:rPr>
        <w:br w:type="page"/>
      </w:r>
    </w:p>
    <w:p w14:paraId="0A3543D1">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color w:val="auto"/>
          <w:kern w:val="0"/>
          <w:sz w:val="21"/>
          <w:szCs w:val="21"/>
          <w:highlight w:val="none"/>
          <w:lang w:val="en-US" w:eastAsia="zh-CN" w:bidi="ar-SA"/>
        </w:rPr>
      </w:pPr>
      <w:bookmarkStart w:id="113" w:name="_Toc28213"/>
      <w:bookmarkStart w:id="114" w:name="_Toc18366"/>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四</w:t>
      </w:r>
      <w:r>
        <w:rPr>
          <w:rFonts w:hint="eastAsia" w:ascii="宋体" w:hAnsi="宋体" w:eastAsia="宋体" w:cs="宋体"/>
          <w:b/>
          <w:bCs/>
          <w:color w:val="auto"/>
          <w:kern w:val="0"/>
          <w:sz w:val="21"/>
          <w:szCs w:val="21"/>
          <w:highlight w:val="none"/>
          <w:lang w:val="en-US" w:eastAsia="zh-CN" w:bidi="ar-SA"/>
        </w:rPr>
        <w:t>）标项</w:t>
      </w:r>
      <w:r>
        <w:rPr>
          <w:rFonts w:hint="eastAsia" w:ascii="宋体" w:hAnsi="宋体" w:cs="宋体"/>
          <w:b/>
          <w:bCs/>
          <w:color w:val="auto"/>
          <w:kern w:val="0"/>
          <w:sz w:val="21"/>
          <w:szCs w:val="21"/>
          <w:highlight w:val="none"/>
          <w:lang w:val="en-US" w:eastAsia="zh-CN" w:bidi="ar-SA"/>
        </w:rPr>
        <w:t>四</w:t>
      </w:r>
      <w:r>
        <w:rPr>
          <w:rFonts w:hint="eastAsia" w:ascii="宋体" w:hAnsi="宋体" w:eastAsia="宋体" w:cs="宋体"/>
          <w:b/>
          <w:bCs/>
          <w:color w:val="auto"/>
          <w:kern w:val="0"/>
          <w:sz w:val="21"/>
          <w:szCs w:val="21"/>
          <w:highlight w:val="none"/>
          <w:lang w:val="en-US" w:eastAsia="zh-CN" w:bidi="ar-SA"/>
        </w:rPr>
        <w:t>（分包</w:t>
      </w:r>
      <w:r>
        <w:rPr>
          <w:rFonts w:hint="eastAsia" w:ascii="宋体" w:hAnsi="宋体" w:cs="宋体"/>
          <w:b/>
          <w:bCs/>
          <w:color w:val="auto"/>
          <w:kern w:val="0"/>
          <w:sz w:val="21"/>
          <w:szCs w:val="21"/>
          <w:highlight w:val="none"/>
          <w:lang w:val="en-US" w:eastAsia="zh-CN" w:bidi="ar-SA"/>
        </w:rPr>
        <w:t>4</w:t>
      </w:r>
      <w:r>
        <w:rPr>
          <w:rFonts w:hint="eastAsia" w:ascii="宋体" w:hAnsi="宋体" w:eastAsia="宋体" w:cs="宋体"/>
          <w:b/>
          <w:bCs/>
          <w:color w:val="auto"/>
          <w:kern w:val="0"/>
          <w:sz w:val="21"/>
          <w:szCs w:val="21"/>
          <w:highlight w:val="none"/>
          <w:lang w:val="en-US" w:eastAsia="zh-CN" w:bidi="ar-SA"/>
        </w:rPr>
        <w:t>）的</w:t>
      </w:r>
      <w:r>
        <w:rPr>
          <w:rFonts w:hint="eastAsia" w:ascii="宋体" w:hAnsi="宋体" w:cs="宋体"/>
          <w:b/>
          <w:bCs/>
          <w:color w:val="auto"/>
          <w:kern w:val="0"/>
          <w:sz w:val="21"/>
          <w:szCs w:val="21"/>
          <w:highlight w:val="none"/>
          <w:lang w:val="en-US" w:eastAsia="zh-CN" w:bidi="ar-SA"/>
        </w:rPr>
        <w:t>商务</w:t>
      </w:r>
      <w:r>
        <w:rPr>
          <w:rFonts w:hint="eastAsia" w:ascii="宋体" w:hAnsi="宋体" w:eastAsia="宋体" w:cs="宋体"/>
          <w:b/>
          <w:bCs/>
          <w:color w:val="auto"/>
          <w:kern w:val="0"/>
          <w:sz w:val="21"/>
          <w:szCs w:val="21"/>
          <w:highlight w:val="none"/>
          <w:lang w:val="en-US" w:eastAsia="zh-CN" w:bidi="ar-SA"/>
        </w:rPr>
        <w:t>要求</w:t>
      </w:r>
      <w:bookmarkEnd w:id="113"/>
      <w:bookmarkEnd w:id="114"/>
    </w:p>
    <w:tbl>
      <w:tblPr>
        <w:tblStyle w:val="48"/>
        <w:tblW w:w="88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3"/>
        <w:gridCol w:w="1135"/>
        <w:gridCol w:w="6606"/>
      </w:tblGrid>
      <w:tr w14:paraId="33B48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1113" w:type="dxa"/>
            <w:noWrap/>
            <w:vAlign w:val="center"/>
          </w:tcPr>
          <w:p w14:paraId="17051B37">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35" w:type="dxa"/>
            <w:noWrap/>
            <w:vAlign w:val="center"/>
          </w:tcPr>
          <w:p w14:paraId="703A8798">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商务条款</w:t>
            </w:r>
          </w:p>
        </w:tc>
        <w:tc>
          <w:tcPr>
            <w:tcW w:w="6606" w:type="dxa"/>
            <w:noWrap/>
            <w:vAlign w:val="center"/>
          </w:tcPr>
          <w:p w14:paraId="0440634E">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商务要求</w:t>
            </w:r>
          </w:p>
        </w:tc>
      </w:tr>
      <w:tr w14:paraId="089C2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jc w:val="center"/>
        </w:trPr>
        <w:tc>
          <w:tcPr>
            <w:tcW w:w="1113" w:type="dxa"/>
            <w:noWrap/>
            <w:vAlign w:val="center"/>
          </w:tcPr>
          <w:p w14:paraId="5301801F">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p>
        </w:tc>
        <w:tc>
          <w:tcPr>
            <w:tcW w:w="1135" w:type="dxa"/>
            <w:noWrap/>
            <w:vAlign w:val="center"/>
          </w:tcPr>
          <w:p w14:paraId="56B811A2">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报价要求</w:t>
            </w:r>
          </w:p>
        </w:tc>
        <w:tc>
          <w:tcPr>
            <w:tcW w:w="6606" w:type="dxa"/>
            <w:noWrap/>
            <w:vAlign w:val="center"/>
          </w:tcPr>
          <w:p w14:paraId="21B82532">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报价须为人民币报价，包含产品价、运输费（含装卸费）、保险费、安装调试费（仪器安装所需要水电改造及实验室改造费用）、税费、培训费、产品检测费、产品质保期内维护费等费用。对于本文件中明确列明必须报价的货物或服务，投标人应分别报价。对于本文件中未列明，而投标人认为必需的费用也需列入总报价。在合同实施时，采购人将不予支付中标人没有列入的项目费用，并认为此项目的费用已包括在投标总报价中。</w:t>
            </w:r>
          </w:p>
        </w:tc>
      </w:tr>
      <w:tr w14:paraId="140BE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113" w:type="dxa"/>
            <w:noWrap/>
            <w:vAlign w:val="center"/>
          </w:tcPr>
          <w:p w14:paraId="241D981F">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p>
        </w:tc>
        <w:tc>
          <w:tcPr>
            <w:tcW w:w="1135" w:type="dxa"/>
            <w:noWrap/>
            <w:vAlign w:val="center"/>
          </w:tcPr>
          <w:p w14:paraId="2DBA9DBE">
            <w:pPr>
              <w:keepNext w:val="0"/>
              <w:keepLines w:val="0"/>
              <w:pageBreakBefore w:val="0"/>
              <w:kinsoku/>
              <w:wordWrap/>
              <w:overflowPunct/>
              <w:topLinePunct w:val="0"/>
              <w:autoSpaceDE/>
              <w:autoSpaceDN/>
              <w:bidi w:val="0"/>
              <w:adjustRightInd/>
              <w:spacing w:after="0" w:line="400" w:lineRule="exact"/>
              <w:ind w:left="-107" w:leftChars="-51" w:firstLine="126" w:firstLineChars="6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签订合同时限</w:t>
            </w:r>
          </w:p>
        </w:tc>
        <w:tc>
          <w:tcPr>
            <w:tcW w:w="6606" w:type="dxa"/>
            <w:noWrap/>
            <w:vAlign w:val="center"/>
          </w:tcPr>
          <w:p w14:paraId="78A38692">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自中标通知书发出之日起</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5日内。</w:t>
            </w:r>
          </w:p>
        </w:tc>
      </w:tr>
      <w:tr w14:paraId="25FEF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jc w:val="center"/>
        </w:trPr>
        <w:tc>
          <w:tcPr>
            <w:tcW w:w="1113" w:type="dxa"/>
            <w:noWrap/>
            <w:vAlign w:val="center"/>
          </w:tcPr>
          <w:p w14:paraId="45033E0F">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w:t>
            </w:r>
          </w:p>
        </w:tc>
        <w:tc>
          <w:tcPr>
            <w:tcW w:w="1135" w:type="dxa"/>
            <w:noWrap/>
            <w:vAlign w:val="center"/>
          </w:tcPr>
          <w:p w14:paraId="646C60F9">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交货时间</w:t>
            </w:r>
          </w:p>
        </w:tc>
        <w:tc>
          <w:tcPr>
            <w:tcW w:w="6606" w:type="dxa"/>
            <w:noWrap/>
            <w:vAlign w:val="center"/>
          </w:tcPr>
          <w:p w14:paraId="3DD30036">
            <w:pPr>
              <w:pStyle w:val="31"/>
              <w:keepNext w:val="0"/>
              <w:keepLines w:val="0"/>
              <w:pageBreakBefore w:val="0"/>
              <w:kinsoku/>
              <w:wordWrap/>
              <w:overflowPunct/>
              <w:topLinePunct w:val="0"/>
              <w:autoSpaceDE/>
              <w:autoSpaceDN/>
              <w:bidi w:val="0"/>
              <w:adjustRightInd/>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国产仪器设备</w:t>
            </w:r>
            <w:r>
              <w:rPr>
                <w:rFonts w:hint="eastAsia" w:ascii="宋体" w:hAnsi="宋体" w:eastAsia="宋体" w:cs="宋体"/>
                <w:color w:val="auto"/>
                <w:sz w:val="21"/>
                <w:szCs w:val="21"/>
                <w:highlight w:val="none"/>
              </w:rPr>
              <w:t>自签订合同之日起</w:t>
            </w:r>
            <w:r>
              <w:rPr>
                <w:rFonts w:hint="eastAsia" w:ascii="宋体" w:hAnsi="宋体" w:eastAsia="宋体" w:cs="宋体"/>
                <w:color w:val="auto"/>
                <w:sz w:val="21"/>
                <w:szCs w:val="21"/>
                <w:highlight w:val="none"/>
                <w:u w:val="none"/>
                <w:lang w:val="en-US" w:eastAsia="zh-CN"/>
              </w:rPr>
              <w:t>60</w:t>
            </w:r>
            <w:r>
              <w:rPr>
                <w:rFonts w:hint="eastAsia" w:ascii="宋体" w:hAnsi="宋体" w:eastAsia="宋体" w:cs="宋体"/>
                <w:color w:val="auto"/>
                <w:sz w:val="21"/>
                <w:szCs w:val="21"/>
                <w:highlight w:val="none"/>
              </w:rPr>
              <w:t>日内交货并完成安装调试。</w:t>
            </w:r>
            <w:r>
              <w:rPr>
                <w:rFonts w:hint="eastAsia" w:ascii="宋体" w:hAnsi="宋体" w:eastAsia="宋体" w:cs="宋体"/>
                <w:color w:val="auto"/>
                <w:sz w:val="21"/>
                <w:szCs w:val="21"/>
                <w:highlight w:val="none"/>
                <w:lang w:val="en-US" w:eastAsia="zh-CN"/>
              </w:rPr>
              <w:t>进口仪器设备</w:t>
            </w:r>
            <w:r>
              <w:rPr>
                <w:rFonts w:hint="eastAsia" w:ascii="宋体" w:hAnsi="宋体" w:eastAsia="宋体" w:cs="宋体"/>
                <w:color w:val="auto"/>
                <w:sz w:val="21"/>
                <w:szCs w:val="21"/>
                <w:highlight w:val="none"/>
              </w:rPr>
              <w:t>自签订合同之日起</w:t>
            </w:r>
            <w:r>
              <w:rPr>
                <w:rFonts w:hint="eastAsia" w:ascii="宋体" w:hAnsi="宋体" w:eastAsia="宋体" w:cs="宋体"/>
                <w:color w:val="auto"/>
                <w:sz w:val="21"/>
                <w:szCs w:val="21"/>
                <w:highlight w:val="none"/>
                <w:u w:val="none"/>
                <w:lang w:val="en-US" w:eastAsia="zh-CN"/>
              </w:rPr>
              <w:t>90</w:t>
            </w:r>
            <w:r>
              <w:rPr>
                <w:rFonts w:hint="eastAsia" w:ascii="宋体" w:hAnsi="宋体" w:eastAsia="宋体" w:cs="宋体"/>
                <w:color w:val="auto"/>
                <w:sz w:val="21"/>
                <w:szCs w:val="21"/>
                <w:highlight w:val="none"/>
              </w:rPr>
              <w:t>日内交货并完成安装调试。</w:t>
            </w:r>
          </w:p>
        </w:tc>
      </w:tr>
      <w:tr w14:paraId="3F827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113" w:type="dxa"/>
            <w:noWrap/>
            <w:vAlign w:val="center"/>
          </w:tcPr>
          <w:p w14:paraId="4648A0EF">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w:t>
            </w:r>
          </w:p>
        </w:tc>
        <w:tc>
          <w:tcPr>
            <w:tcW w:w="1135" w:type="dxa"/>
            <w:noWrap/>
            <w:vAlign w:val="center"/>
          </w:tcPr>
          <w:p w14:paraId="57271DCE">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w:t>
            </w:r>
          </w:p>
        </w:tc>
        <w:tc>
          <w:tcPr>
            <w:tcW w:w="6606" w:type="dxa"/>
            <w:noWrap/>
            <w:vAlign w:val="center"/>
          </w:tcPr>
          <w:p w14:paraId="1555B236">
            <w:pPr>
              <w:keepNext w:val="0"/>
              <w:keepLines w:val="0"/>
              <w:pageBreakBefore w:val="0"/>
              <w:kinsoku/>
              <w:wordWrap/>
              <w:overflowPunct/>
              <w:topLinePunct w:val="0"/>
              <w:autoSpaceDE/>
              <w:autoSpaceDN/>
              <w:bidi w:val="0"/>
              <w:adjustRightInd/>
              <w:spacing w:after="0" w:line="400" w:lineRule="exact"/>
              <w:ind w:firstLine="42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送至广西壮族自治区</w:t>
            </w:r>
            <w:r>
              <w:rPr>
                <w:rFonts w:hint="eastAsia" w:ascii="宋体" w:hAnsi="宋体" w:eastAsia="宋体" w:cs="宋体"/>
                <w:color w:val="auto"/>
                <w:sz w:val="21"/>
                <w:szCs w:val="21"/>
                <w:highlight w:val="none"/>
              </w:rPr>
              <w:t>生态环境</w:t>
            </w:r>
            <w:r>
              <w:rPr>
                <w:rFonts w:hint="eastAsia" w:ascii="宋体" w:hAnsi="宋体" w:eastAsia="宋体" w:cs="宋体"/>
                <w:color w:val="auto"/>
                <w:sz w:val="21"/>
                <w:szCs w:val="21"/>
                <w:highlight w:val="none"/>
                <w:lang w:val="en-US" w:eastAsia="zh-CN"/>
              </w:rPr>
              <w:t>厅或由广西区内采购人指定地点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含送货上楼</w:t>
            </w:r>
            <w:r>
              <w:rPr>
                <w:rFonts w:hint="eastAsia" w:ascii="宋体" w:hAnsi="宋体" w:eastAsia="宋体" w:cs="宋体"/>
                <w:color w:val="auto"/>
                <w:sz w:val="21"/>
                <w:szCs w:val="21"/>
                <w:highlight w:val="none"/>
                <w:lang w:eastAsia="zh-CN"/>
              </w:rPr>
              <w:t>）</w:t>
            </w:r>
          </w:p>
        </w:tc>
      </w:tr>
      <w:tr w14:paraId="5CD25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13" w:type="dxa"/>
            <w:noWrap/>
            <w:vAlign w:val="center"/>
          </w:tcPr>
          <w:p w14:paraId="360B790D">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w:t>
            </w:r>
          </w:p>
        </w:tc>
        <w:tc>
          <w:tcPr>
            <w:tcW w:w="1135" w:type="dxa"/>
            <w:noWrap/>
            <w:vAlign w:val="center"/>
          </w:tcPr>
          <w:p w14:paraId="3E1CB440">
            <w:pPr>
              <w:keepNext w:val="0"/>
              <w:keepLines w:val="0"/>
              <w:pageBreakBefore w:val="0"/>
              <w:kinsoku/>
              <w:wordWrap/>
              <w:overflowPunct/>
              <w:topLinePunct w:val="0"/>
              <w:autoSpaceDE/>
              <w:autoSpaceDN/>
              <w:bidi w:val="0"/>
              <w:adjustRightInd/>
              <w:spacing w:after="0"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付款条件</w:t>
            </w:r>
          </w:p>
        </w:tc>
        <w:tc>
          <w:tcPr>
            <w:tcW w:w="6606" w:type="dxa"/>
            <w:noWrap/>
            <w:vAlign w:val="top"/>
          </w:tcPr>
          <w:p w14:paraId="637E0B6D">
            <w:pPr>
              <w:keepNext w:val="0"/>
              <w:keepLines w:val="0"/>
              <w:pageBreakBefore w:val="0"/>
              <w:widowControl/>
              <w:kinsoku/>
              <w:wordWrap/>
              <w:overflowPunct/>
              <w:topLinePunct w:val="0"/>
              <w:autoSpaceDE/>
              <w:autoSpaceDN/>
              <w:bidi w:val="0"/>
              <w:adjustRightInd/>
              <w:snapToGrid w:val="0"/>
              <w:spacing w:line="400" w:lineRule="exact"/>
              <w:ind w:firstLine="420" w:firstLineChars="0"/>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1.合同签订后，</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向</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支付合同总金额50%的预付款；</w:t>
            </w:r>
          </w:p>
          <w:p w14:paraId="72878360">
            <w:pPr>
              <w:keepNext w:val="0"/>
              <w:keepLines w:val="0"/>
              <w:pageBreakBefore w:val="0"/>
              <w:widowControl/>
              <w:kinsoku/>
              <w:wordWrap/>
              <w:overflowPunct/>
              <w:topLinePunct w:val="0"/>
              <w:autoSpaceDE/>
              <w:autoSpaceDN/>
              <w:bidi w:val="0"/>
              <w:adjustRightInd/>
              <w:snapToGrid w:val="0"/>
              <w:spacing w:line="400" w:lineRule="exact"/>
              <w:ind w:firstLine="420" w:firstLineChars="0"/>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在收到首笔合同款后20个工作日内向</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递交合同总金额50%的预付款保函（有效期自开具之日起不少于15个月，验收合格后退还）全部货物到货并经</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确认后，</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向</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支付合同总金额的50%：</w:t>
            </w:r>
          </w:p>
          <w:p w14:paraId="20B95A38">
            <w:pPr>
              <w:keepNext w:val="0"/>
              <w:keepLines w:val="0"/>
              <w:pageBreakBefore w:val="0"/>
              <w:kinsoku/>
              <w:wordWrap/>
              <w:overflowPunct/>
              <w:topLinePunct w:val="0"/>
              <w:autoSpaceDE/>
              <w:autoSpaceDN/>
              <w:bidi w:val="0"/>
              <w:adjustRightInd/>
              <w:snapToGrid w:val="0"/>
              <w:spacing w:after="0" w:line="400" w:lineRule="exact"/>
              <w:ind w:firstLine="420" w:firstLineChars="20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3.全部货物安装调试完毕，</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对所有货物最终性能验收合格后，</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向</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提交合同总金额</w:t>
            </w:r>
            <w:r>
              <w:rPr>
                <w:rFonts w:hint="default"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中小</w:t>
            </w:r>
            <w:r>
              <w:rPr>
                <w:rFonts w:hint="eastAsia" w:ascii="宋体" w:hAnsi="宋体" w:cs="宋体"/>
                <w:color w:val="auto"/>
                <w:sz w:val="21"/>
                <w:szCs w:val="21"/>
                <w:highlight w:val="none"/>
                <w:lang w:val="en-US" w:eastAsia="zh-CN"/>
              </w:rPr>
              <w:t>微</w:t>
            </w:r>
            <w:r>
              <w:rPr>
                <w:rFonts w:hint="eastAsia" w:ascii="宋体" w:hAnsi="宋体" w:cs="宋体"/>
                <w:color w:val="auto"/>
                <w:sz w:val="21"/>
                <w:szCs w:val="21"/>
                <w:highlight w:val="none"/>
                <w:lang w:eastAsia="zh-CN"/>
              </w:rPr>
              <w:t>企业</w:t>
            </w:r>
            <w:r>
              <w:rPr>
                <w:rFonts w:hint="eastAsia" w:ascii="宋体" w:hAnsi="宋体" w:cs="宋体"/>
                <w:color w:val="auto"/>
                <w:sz w:val="21"/>
                <w:szCs w:val="21"/>
                <w:highlight w:val="none"/>
                <w:lang w:val="en-US" w:eastAsia="zh-CN"/>
              </w:rPr>
              <w:t>提交合同总金额</w:t>
            </w:r>
            <w:r>
              <w:rPr>
                <w:rFonts w:hint="eastAsia" w:ascii="宋体" w:hAnsi="宋体" w:cs="宋体"/>
                <w:color w:val="auto"/>
                <w:sz w:val="21"/>
                <w:szCs w:val="21"/>
                <w:highlight w:val="none"/>
                <w:lang w:eastAsia="zh-CN"/>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的履约保函（有效期自开具之日起不少于24个月，质保期满退履约保函）；</w:t>
            </w:r>
          </w:p>
          <w:p w14:paraId="0E29B854">
            <w:pPr>
              <w:keepNext w:val="0"/>
              <w:keepLines w:val="0"/>
              <w:pageBreakBefore w:val="0"/>
              <w:kinsoku/>
              <w:wordWrap/>
              <w:overflowPunct/>
              <w:topLinePunct w:val="0"/>
              <w:autoSpaceDE/>
              <w:autoSpaceDN/>
              <w:bidi w:val="0"/>
              <w:adjustRightInd/>
              <w:snapToGrid w:val="0"/>
              <w:spacing w:after="0" w:line="400" w:lineRule="exact"/>
              <w:ind w:firstLine="420" w:firstLineChars="200"/>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.每次付款前，中标人需提供与支付金额对应的增值税普通发票</w:t>
            </w:r>
            <w:r>
              <w:rPr>
                <w:rFonts w:hint="eastAsia" w:ascii="宋体" w:hAnsi="宋体" w:eastAsia="宋体" w:cs="宋体"/>
                <w:color w:val="auto"/>
                <w:sz w:val="21"/>
                <w:szCs w:val="21"/>
                <w:highlight w:val="none"/>
                <w:lang w:eastAsia="zh-CN"/>
              </w:rPr>
              <w:t>。</w:t>
            </w:r>
          </w:p>
        </w:tc>
      </w:tr>
      <w:tr w14:paraId="4A782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1113" w:type="dxa"/>
            <w:noWrap/>
            <w:vAlign w:val="center"/>
          </w:tcPr>
          <w:p w14:paraId="55BE9992">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w:t>
            </w:r>
          </w:p>
        </w:tc>
        <w:tc>
          <w:tcPr>
            <w:tcW w:w="1135" w:type="dxa"/>
            <w:noWrap/>
            <w:vAlign w:val="center"/>
          </w:tcPr>
          <w:p w14:paraId="37BEC887">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p>
        </w:tc>
        <w:tc>
          <w:tcPr>
            <w:tcW w:w="6606" w:type="dxa"/>
            <w:noWrap/>
            <w:vAlign w:val="top"/>
          </w:tcPr>
          <w:p w14:paraId="6397A390">
            <w:pPr>
              <w:keepNext w:val="0"/>
              <w:keepLines w:val="0"/>
              <w:pageBreakBefore w:val="0"/>
              <w:numPr>
                <w:ilvl w:val="0"/>
                <w:numId w:val="0"/>
              </w:numPr>
              <w:kinsoku/>
              <w:wordWrap/>
              <w:overflowPunct/>
              <w:topLinePunct w:val="0"/>
              <w:autoSpaceDE/>
              <w:autoSpaceDN/>
              <w:bidi w:val="0"/>
              <w:adjustRightInd/>
              <w:snapToGrid w:val="0"/>
              <w:spacing w:after="0" w:line="400" w:lineRule="exact"/>
              <w:ind w:firstLine="420" w:firstLineChars="20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按国家有关产品“三包”规定执行“三包”，</w:t>
            </w:r>
            <w:r>
              <w:rPr>
                <w:rFonts w:hint="eastAsia" w:ascii="宋体" w:hAnsi="宋体" w:eastAsia="宋体" w:cs="宋体"/>
                <w:color w:val="auto"/>
                <w:sz w:val="21"/>
                <w:szCs w:val="21"/>
                <w:highlight w:val="none"/>
                <w:u w:val="none"/>
                <w:lang w:val="en-US" w:eastAsia="zh-CN"/>
              </w:rPr>
              <w:t>所有</w:t>
            </w:r>
            <w:r>
              <w:rPr>
                <w:rFonts w:hint="eastAsia" w:ascii="宋体" w:hAnsi="宋体" w:eastAsia="宋体" w:cs="宋体"/>
                <w:color w:val="auto"/>
                <w:sz w:val="21"/>
                <w:szCs w:val="21"/>
                <w:highlight w:val="none"/>
              </w:rPr>
              <w:t>货物质保期</w:t>
            </w:r>
            <w:r>
              <w:rPr>
                <w:rFonts w:hint="eastAsia" w:ascii="宋体" w:hAnsi="宋体" w:eastAsia="宋体" w:cs="宋体"/>
                <w:color w:val="auto"/>
                <w:sz w:val="21"/>
                <w:szCs w:val="21"/>
                <w:highlight w:val="none"/>
                <w:lang w:val="en-US" w:eastAsia="zh-CN"/>
              </w:rPr>
              <w:t>不低于2</w:t>
            </w:r>
            <w:r>
              <w:rPr>
                <w:rFonts w:hint="eastAsia" w:ascii="宋体" w:hAnsi="宋体" w:eastAsia="宋体" w:cs="宋体"/>
                <w:color w:val="auto"/>
                <w:sz w:val="21"/>
                <w:szCs w:val="21"/>
                <w:highlight w:val="none"/>
              </w:rPr>
              <w:t>年（采购需求另有要求的，按具体要求执行</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厂家质保期超过要求年限的，按厂家规定全免费包修），质保期内负责保修，终身维修。在质保期内每年至少提供</w:t>
            </w:r>
            <w:r>
              <w:rPr>
                <w:rFonts w:hint="eastAsia" w:ascii="宋体" w:hAnsi="宋体" w:eastAsia="宋体" w:cs="宋体"/>
                <w:color w:val="auto"/>
                <w:sz w:val="21"/>
                <w:szCs w:val="21"/>
                <w:highlight w:val="none"/>
                <w:lang w:val="en-US" w:eastAsia="zh-CN"/>
              </w:rPr>
              <w:t>巡检和</w:t>
            </w:r>
            <w:r>
              <w:rPr>
                <w:rFonts w:hint="eastAsia" w:ascii="宋体" w:hAnsi="宋体" w:eastAsia="宋体" w:cs="宋体"/>
                <w:color w:val="auto"/>
                <w:sz w:val="21"/>
                <w:szCs w:val="21"/>
                <w:highlight w:val="none"/>
              </w:rPr>
              <w:t>维护保养1次（工程师差旅费、住宿费、耗材配件等所产生的全部费用均由中标人承担）。</w:t>
            </w:r>
          </w:p>
        </w:tc>
      </w:tr>
      <w:tr w14:paraId="5321D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1113" w:type="dxa"/>
            <w:noWrap/>
            <w:vAlign w:val="center"/>
          </w:tcPr>
          <w:p w14:paraId="3177983D">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lang w:eastAsia="zh-CN"/>
              </w:rPr>
              <w:t>）</w:t>
            </w:r>
          </w:p>
        </w:tc>
        <w:tc>
          <w:tcPr>
            <w:tcW w:w="1135" w:type="dxa"/>
            <w:noWrap/>
            <w:vAlign w:val="center"/>
          </w:tcPr>
          <w:p w14:paraId="07C434EE">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w:t>
            </w:r>
          </w:p>
          <w:p w14:paraId="1D66E30C">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w:t>
            </w:r>
          </w:p>
        </w:tc>
        <w:tc>
          <w:tcPr>
            <w:tcW w:w="6606" w:type="dxa"/>
            <w:noWrap/>
            <w:vAlign w:val="center"/>
          </w:tcPr>
          <w:p w14:paraId="2585AAB9">
            <w:pPr>
              <w:keepNext w:val="0"/>
              <w:keepLines w:val="0"/>
              <w:pageBreakBefore w:val="0"/>
              <w:kinsoku/>
              <w:wordWrap/>
              <w:overflowPunct/>
              <w:topLinePunct w:val="0"/>
              <w:autoSpaceDE/>
              <w:autoSpaceDN/>
              <w:bidi w:val="0"/>
              <w:adjustRightInd/>
              <w:snapToGrid w:val="0"/>
              <w:spacing w:after="0" w:line="400" w:lineRule="exact"/>
              <w:ind w:firstLine="42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本项目履约保证金为合同总金额的5%</w:t>
            </w:r>
            <w:r>
              <w:rPr>
                <w:rFonts w:hint="eastAsia" w:ascii="宋体" w:hAnsi="宋体" w:cs="宋体"/>
                <w:color w:val="auto"/>
                <w:sz w:val="21"/>
                <w:szCs w:val="21"/>
                <w:highlight w:val="none"/>
                <w:lang w:eastAsia="zh-CN"/>
              </w:rPr>
              <w:t>（对中小</w:t>
            </w:r>
            <w:r>
              <w:rPr>
                <w:rFonts w:hint="eastAsia" w:ascii="宋体" w:hAnsi="宋体" w:cs="宋体"/>
                <w:color w:val="auto"/>
                <w:sz w:val="21"/>
                <w:szCs w:val="21"/>
                <w:highlight w:val="none"/>
                <w:lang w:val="en-US" w:eastAsia="zh-CN"/>
              </w:rPr>
              <w:t>微</w:t>
            </w:r>
            <w:r>
              <w:rPr>
                <w:rFonts w:hint="eastAsia" w:ascii="宋体" w:hAnsi="宋体" w:cs="宋体"/>
                <w:color w:val="auto"/>
                <w:sz w:val="21"/>
                <w:szCs w:val="21"/>
                <w:highlight w:val="none"/>
                <w:lang w:eastAsia="zh-CN"/>
              </w:rPr>
              <w:t>企业收取的履约保证金数额为</w:t>
            </w:r>
            <w:r>
              <w:rPr>
                <w:rFonts w:hint="eastAsia" w:ascii="宋体" w:hAnsi="宋体" w:cs="宋体"/>
                <w:color w:val="auto"/>
                <w:sz w:val="21"/>
                <w:szCs w:val="21"/>
                <w:highlight w:val="none"/>
                <w:lang w:val="en-US" w:eastAsia="zh-CN"/>
              </w:rPr>
              <w:t>合同总金额</w:t>
            </w:r>
            <w:r>
              <w:rPr>
                <w:rFonts w:hint="eastAsia" w:ascii="宋体" w:hAnsi="宋体" w:cs="宋体"/>
                <w:color w:val="auto"/>
                <w:sz w:val="21"/>
                <w:szCs w:val="21"/>
                <w:highlight w:val="none"/>
                <w:lang w:eastAsia="zh-CN"/>
              </w:rPr>
              <w:t>的2%）</w:t>
            </w:r>
            <w:r>
              <w:rPr>
                <w:rFonts w:hint="eastAsia" w:ascii="宋体" w:hAnsi="宋体" w:eastAsia="宋体" w:cs="宋体"/>
                <w:color w:val="auto"/>
                <w:sz w:val="21"/>
                <w:szCs w:val="21"/>
                <w:highlight w:val="none"/>
                <w:lang w:val="en-US" w:eastAsia="zh-CN"/>
              </w:rPr>
              <w:t>。</w:t>
            </w:r>
          </w:p>
        </w:tc>
      </w:tr>
      <w:tr w14:paraId="71BCA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1113" w:type="dxa"/>
            <w:noWrap/>
            <w:vAlign w:val="center"/>
          </w:tcPr>
          <w:p w14:paraId="46CDD01D">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lang w:eastAsia="zh-CN"/>
              </w:rPr>
              <w:t>）</w:t>
            </w:r>
          </w:p>
        </w:tc>
        <w:tc>
          <w:tcPr>
            <w:tcW w:w="1135" w:type="dxa"/>
            <w:noWrap/>
            <w:vAlign w:val="center"/>
          </w:tcPr>
          <w:p w14:paraId="006D4851">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tc>
        <w:tc>
          <w:tcPr>
            <w:tcW w:w="6606" w:type="dxa"/>
            <w:noWrap/>
            <w:vAlign w:val="center"/>
          </w:tcPr>
          <w:p w14:paraId="3B14CC85">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1．检查供货范围或服务范围</w:t>
            </w:r>
          </w:p>
          <w:p w14:paraId="7B2AA234">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到达现场后，中标人应在采购人单位人员在场情况下当面开箱，共同清点、检查外观，作出开箱记录，双方签字确认。中标人应保证货物到达采购人所在地完好无损，如有缺漏、损坏，由中标人负责调换、补齐或赔偿。</w:t>
            </w:r>
          </w:p>
          <w:p w14:paraId="65BED24F">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2．中标人应提供完备的技术或服务资料、装箱单和合格证等，并派遣专业人员进行现场安装调试。验收合格条件如下：</w:t>
            </w:r>
          </w:p>
          <w:p w14:paraId="60F1F611">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2.1货物或服务技术参数与招标文件中响应表或证明材料一致，性能或指标达到规定的标准，否则，以实际货物或服务技术参数与招标文件响应表参数或证明材料比较，按如下情况处理：</w:t>
            </w:r>
          </w:p>
          <w:p w14:paraId="30468A3F">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（1）投标人投标文件响应表或证明材料中满足或优于的技术参数，在验收时实际不满足技术参数要求的，视为投标人违约，采购人有权终止合同拒收货物，并追究投标人责任。</w:t>
            </w:r>
          </w:p>
          <w:p w14:paraId="038F88E6">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（2）投标人投标文件响应表或证明材料中优于的技术参数，在验收时实际仅满足并未优于技术参数要求的，视为投标人违约，采购人有权终止合同拒收货物，并追究投标人责任。</w:t>
            </w:r>
          </w:p>
          <w:p w14:paraId="36795D1D">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（3）投标人投标文件响应表或证明材料中不满足的技术参数，在验收时实际满足技术参数的要求，以满足技术参数的要求验收。</w:t>
            </w:r>
          </w:p>
          <w:p w14:paraId="3DB2544E">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（4）投标人投标文件响应表或证明材料中满足的技术参数，在验收时实际优于技术参数的要求，以满足技术参数的要求验收。</w:t>
            </w:r>
          </w:p>
          <w:p w14:paraId="6112C550">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（5）投标人投标文件响应表或证明材料中优于的技术参数，在验收时实际也优于技术参数的要求，但没有达到响应表或证明材料中优于的程度，由采购人与投标人协商按是否满足要求验收。</w:t>
            </w:r>
          </w:p>
          <w:p w14:paraId="4549EAFF">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实际货物与投标货物型号不一致的，验收时不论实际是优于还是满足技术参数的要求，采购人均有权终止合同拒收货物。如影响货物或服务的使用、质量、档次及采购人需求的，还可视为投标人违约，追究投标人责任。</w:t>
            </w:r>
          </w:p>
          <w:p w14:paraId="245C238B">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2.2技术资料、装箱单、合格证等资料齐全。</w:t>
            </w:r>
          </w:p>
          <w:p w14:paraId="0BD6FA15">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2.3在测试或试运行期间所出现的问题得到解决，并运行或工作正常。</w:t>
            </w:r>
          </w:p>
          <w:p w14:paraId="01BA0BA3">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2.4在规定时间内完成交货及验收，并经采购人确认。</w:t>
            </w:r>
          </w:p>
          <w:p w14:paraId="04C2E6B3">
            <w:pPr>
              <w:keepNext w:val="0"/>
              <w:keepLines w:val="0"/>
              <w:pageBreakBefore w:val="0"/>
              <w:kinsoku/>
              <w:wordWrap/>
              <w:overflowPunct/>
              <w:topLinePunct w:val="0"/>
              <w:autoSpaceDE/>
              <w:autoSpaceDN/>
              <w:bidi w:val="0"/>
              <w:adjustRightInd/>
              <w:snapToGrid w:val="0"/>
              <w:spacing w:after="0" w:line="400" w:lineRule="exact"/>
              <w:ind w:firstLine="42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2.5如货物采购需求中明确需要检定或校准的因中标人的原因导致仪器未能通过检定或校准的，采购人有权进行退货处理，必要时延长预付款保函有效期或终止合同，并追究投标人责任。</w:t>
            </w:r>
          </w:p>
          <w:p w14:paraId="46722640">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3．产品或服务在安装调试并试运行符合要求后，才作为最终验收。</w:t>
            </w:r>
          </w:p>
          <w:p w14:paraId="33BA63BD">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4．中标人提供的货物或服务未达到招标文件规定要求，且对采购人造成损失的，由中标人承担一切责任，并赔偿所造成的损失。</w:t>
            </w:r>
          </w:p>
          <w:p w14:paraId="41CD33F2">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5．采购人需要制造商对中标人交付的产品或服务（包括质量、参数等）进行确认的，制造商应予以配合并出具书面意见，相关配合事项由中标人与制造商协调。</w:t>
            </w:r>
          </w:p>
          <w:p w14:paraId="7FD2CA6A">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6．产品包装材料归采购人所有。</w:t>
            </w:r>
          </w:p>
          <w:p w14:paraId="6083D05C">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7．大型或者复杂的采购项目，采购人应当邀请具有相关资质的检测机构参加验收工作：</w:t>
            </w:r>
          </w:p>
          <w:p w14:paraId="698208AF">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7.1设备到场后，由采购人和中标人一起依据招标文件上的技术规格要求和国家有关质量标准进行现场初步验收，外观、说明书符合招标文件技术要求的，给予签收，初步验收不合格的不予签收。</w:t>
            </w:r>
          </w:p>
          <w:p w14:paraId="4D8C3C75">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7.2涉及行业标准的内容由采购人和厂家工程师共同完成符合性的确认。</w:t>
            </w:r>
          </w:p>
          <w:p w14:paraId="6C3831D0">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验收时对招标采购涉及参数的全部条款进行确认。参数中涉及的检出限、精密度、正确度能在常规实验室验证的，在仪器安装调试完成后由采购人员和仪器厂家工程师共同完成验证。部分检出限、精密度、正确度无法在常规实验室验证的以厂家证明文件作为验收依据。</w:t>
            </w:r>
          </w:p>
          <w:p w14:paraId="62CBAECF">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7.4其它参数部分以提供厂家证明文件作为验收依据。仪器正常运行，参数验证合格后，中标方配合采购人完成最终验收报告的编制。以验收报告完成时间作为质保期起始日期进行质保时间的计算。</w:t>
            </w:r>
          </w:p>
          <w:p w14:paraId="225DE66D">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7.5完成最终验收所需要的全部费用由中标人负责。</w:t>
            </w:r>
          </w:p>
          <w:p w14:paraId="0C06CBEA">
            <w:pPr>
              <w:keepNext w:val="0"/>
              <w:keepLines w:val="0"/>
              <w:pageBreakBefore w:val="0"/>
              <w:kinsoku/>
              <w:wordWrap/>
              <w:overflowPunct/>
              <w:topLinePunct w:val="0"/>
              <w:autoSpaceDE/>
              <w:autoSpaceDN/>
              <w:bidi w:val="0"/>
              <w:adjustRightInd/>
              <w:spacing w:after="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8.中标人需要提供配套的</w:t>
            </w:r>
            <w:r>
              <w:rPr>
                <w:rFonts w:hint="eastAsia" w:ascii="宋体" w:hAnsi="宋体" w:eastAsia="宋体" w:cs="宋体"/>
                <w:b w:val="0"/>
                <w:bCs w:val="0"/>
                <w:color w:val="auto"/>
                <w:sz w:val="21"/>
                <w:szCs w:val="21"/>
                <w:highlight w:val="none"/>
                <w:u w:val="none"/>
              </w:rPr>
              <w:t>检定或校准</w:t>
            </w:r>
            <w:r>
              <w:rPr>
                <w:rFonts w:hint="eastAsia" w:ascii="宋体" w:hAnsi="宋体" w:eastAsia="宋体" w:cs="宋体"/>
                <w:b w:val="0"/>
                <w:bCs w:val="0"/>
                <w:color w:val="auto"/>
                <w:sz w:val="21"/>
                <w:szCs w:val="21"/>
                <w:highlight w:val="none"/>
                <w:u w:val="none"/>
                <w:lang w:val="en-US" w:eastAsia="zh-CN"/>
              </w:rPr>
              <w:t>证书</w:t>
            </w:r>
            <w:r>
              <w:rPr>
                <w:rFonts w:hint="eastAsia" w:ascii="宋体" w:hAnsi="宋体" w:eastAsia="宋体" w:cs="宋体"/>
                <w:color w:val="auto"/>
                <w:sz w:val="21"/>
                <w:szCs w:val="21"/>
                <w:highlight w:val="none"/>
              </w:rPr>
              <w:t>。因中标人的原因导致仪器未能通过检定或校准的，采购人有权进行退货处理，必要时终止合同，并追究投标人责任。计量检定/校准服务费用及相关其他因检验产生的费用由</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人负责。如检定/校准不符合要求则按退货处理。</w:t>
            </w:r>
          </w:p>
          <w:p w14:paraId="2C8F8E01">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其他验收要求按第五章《合同主要条款格式》执行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并兼顾《履约验收方案》（详见附件）</w:t>
            </w:r>
            <w:r>
              <w:rPr>
                <w:rFonts w:hint="eastAsia" w:ascii="宋体" w:hAnsi="宋体" w:eastAsia="宋体" w:cs="宋体"/>
                <w:color w:val="auto"/>
                <w:sz w:val="21"/>
                <w:szCs w:val="21"/>
                <w:highlight w:val="none"/>
              </w:rPr>
              <w:t>，未尽事宜按照相关法律法规规定执行。</w:t>
            </w:r>
          </w:p>
        </w:tc>
      </w:tr>
      <w:tr w14:paraId="31B61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6" w:hRule="atLeast"/>
          <w:jc w:val="center"/>
        </w:trPr>
        <w:tc>
          <w:tcPr>
            <w:tcW w:w="1113" w:type="dxa"/>
            <w:noWrap/>
            <w:vAlign w:val="center"/>
          </w:tcPr>
          <w:p w14:paraId="7523D994">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九</w:t>
            </w:r>
            <w:r>
              <w:rPr>
                <w:rFonts w:hint="eastAsia" w:ascii="宋体" w:hAnsi="宋体" w:eastAsia="宋体" w:cs="宋体"/>
                <w:color w:val="auto"/>
                <w:sz w:val="21"/>
                <w:szCs w:val="21"/>
                <w:highlight w:val="none"/>
                <w:lang w:eastAsia="zh-CN"/>
              </w:rPr>
              <w:t>）</w:t>
            </w:r>
          </w:p>
        </w:tc>
        <w:tc>
          <w:tcPr>
            <w:tcW w:w="1135" w:type="dxa"/>
            <w:noWrap/>
            <w:vAlign w:val="center"/>
          </w:tcPr>
          <w:p w14:paraId="325B20E6">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售后技术服务要求</w:t>
            </w:r>
          </w:p>
        </w:tc>
        <w:tc>
          <w:tcPr>
            <w:tcW w:w="6606" w:type="dxa"/>
            <w:noWrap/>
            <w:vAlign w:val="center"/>
          </w:tcPr>
          <w:p w14:paraId="3624E698">
            <w:pPr>
              <w:keepNext w:val="0"/>
              <w:keepLines w:val="0"/>
              <w:pageBreakBefore w:val="0"/>
              <w:widowControl/>
              <w:kinsoku/>
              <w:wordWrap/>
              <w:overflowPunct/>
              <w:topLinePunct w:val="0"/>
              <w:autoSpaceDE/>
              <w:autoSpaceDN/>
              <w:bidi w:val="0"/>
              <w:adjustRightInd/>
              <w:snapToGrid/>
              <w:spacing w:after="0" w:line="400" w:lineRule="exact"/>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所投产品如果高于招标要求时，应提供足以证明的技术支持资料。</w:t>
            </w:r>
          </w:p>
          <w:p w14:paraId="6B471E56">
            <w:pPr>
              <w:keepNext w:val="0"/>
              <w:keepLines w:val="0"/>
              <w:pageBreakBefore w:val="0"/>
              <w:widowControl/>
              <w:kinsoku/>
              <w:wordWrap/>
              <w:overflowPunct/>
              <w:topLinePunct w:val="0"/>
              <w:autoSpaceDE/>
              <w:autoSpaceDN/>
              <w:bidi w:val="0"/>
              <w:adjustRightInd/>
              <w:snapToGrid/>
              <w:spacing w:after="0" w:line="400" w:lineRule="exact"/>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投标产品必须是按厂家标准配置的整套全新，具备正规合法经销渠道的，符合国家各项有关质量标准的合格产品。相关部件及服务满足以上各项要求。若产品在运输过程中损坏或擦伤须无偿调换相同产品。</w:t>
            </w:r>
          </w:p>
          <w:p w14:paraId="44708FA0">
            <w:pPr>
              <w:keepNext w:val="0"/>
              <w:keepLines w:val="0"/>
              <w:pageBreakBefore w:val="0"/>
              <w:widowControl/>
              <w:kinsoku/>
              <w:wordWrap/>
              <w:overflowPunct/>
              <w:topLinePunct w:val="0"/>
              <w:autoSpaceDE/>
              <w:autoSpaceDN/>
              <w:bidi w:val="0"/>
              <w:adjustRightInd/>
              <w:snapToGrid/>
              <w:spacing w:after="0" w:line="400" w:lineRule="exact"/>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投标报价包含货物、随配附件、备品备件、工具、运抵指定交货地点、安装、安装调试、安装所需材料、委托培训费和售后服务、税金、检验、验收及其他所有成本费用的总和。</w:t>
            </w:r>
          </w:p>
          <w:p w14:paraId="405D2003">
            <w:pPr>
              <w:keepNext w:val="0"/>
              <w:keepLines w:val="0"/>
              <w:pageBreakBefore w:val="0"/>
              <w:widowControl/>
              <w:kinsoku/>
              <w:wordWrap/>
              <w:overflowPunct/>
              <w:topLinePunct w:val="0"/>
              <w:autoSpaceDE/>
              <w:autoSpaceDN/>
              <w:bidi w:val="0"/>
              <w:adjustRightInd/>
              <w:snapToGrid/>
              <w:spacing w:after="0" w:line="400" w:lineRule="exact"/>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免费送货上门并卸至采购人指定地点，免费负责采购人维修、操作、技术人员的培训服务，并无偿提供培训资料和培训师资。使用户相关维修、操作人员具备了解设备结构、工作原理，熟练操作设备，并能排除一般故障的能力；交货及采购人安装调试过程中，中标人应免费派专业技术人员到交货安装现场进行技术指导及相关技术服务，向采购人交相关试验数据、报告及采购人要求提供的相关技术文件，直至达到验收要求。</w:t>
            </w:r>
          </w:p>
          <w:p w14:paraId="26D135F5">
            <w:pPr>
              <w:keepNext w:val="0"/>
              <w:keepLines w:val="0"/>
              <w:pageBreakBefore w:val="0"/>
              <w:widowControl/>
              <w:kinsoku/>
              <w:wordWrap/>
              <w:overflowPunct/>
              <w:topLinePunct w:val="0"/>
              <w:autoSpaceDE/>
              <w:autoSpaceDN/>
              <w:bidi w:val="0"/>
              <w:adjustRightInd/>
              <w:snapToGrid/>
              <w:spacing w:after="0" w:line="400" w:lineRule="exact"/>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服务体系：投标人须在</w:t>
            </w:r>
            <w:r>
              <w:rPr>
                <w:rFonts w:hint="eastAsia" w:ascii="宋体" w:hAnsi="宋体" w:eastAsia="宋体" w:cs="宋体"/>
                <w:color w:val="auto"/>
                <w:kern w:val="0"/>
                <w:sz w:val="21"/>
                <w:szCs w:val="21"/>
                <w:highlight w:val="none"/>
                <w:lang w:val="en-US" w:eastAsia="zh-CN"/>
              </w:rPr>
              <w:t>采购人提出的技术问题后24小时内予以反馈</w:t>
            </w:r>
            <w:r>
              <w:rPr>
                <w:rFonts w:hint="eastAsia" w:ascii="宋体" w:hAnsi="宋体" w:cs="宋体"/>
                <w:color w:val="auto"/>
                <w:kern w:val="0"/>
                <w:sz w:val="21"/>
                <w:szCs w:val="21"/>
                <w:highlight w:val="none"/>
                <w:lang w:val="en-US" w:eastAsia="zh-CN"/>
              </w:rPr>
              <w:t>解决</w:t>
            </w:r>
            <w:r>
              <w:rPr>
                <w:rFonts w:hint="eastAsia" w:ascii="宋体" w:hAnsi="宋体" w:eastAsia="宋体" w:cs="宋体"/>
                <w:color w:val="auto"/>
                <w:kern w:val="0"/>
                <w:sz w:val="21"/>
                <w:szCs w:val="21"/>
                <w:highlight w:val="none"/>
              </w:rPr>
              <w:t>。</w:t>
            </w:r>
          </w:p>
          <w:p w14:paraId="237799B2">
            <w:pPr>
              <w:keepNext w:val="0"/>
              <w:keepLines w:val="0"/>
              <w:pageBreakBefore w:val="0"/>
              <w:widowControl/>
              <w:kinsoku/>
              <w:wordWrap/>
              <w:overflowPunct/>
              <w:topLinePunct w:val="0"/>
              <w:autoSpaceDE/>
              <w:autoSpaceDN/>
              <w:bidi w:val="0"/>
              <w:adjustRightInd/>
              <w:snapToGrid/>
              <w:spacing w:after="0" w:line="400" w:lineRule="exact"/>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投标人必须提供详细的售后服务承诺方案。</w:t>
            </w:r>
          </w:p>
          <w:p w14:paraId="0C2277D0">
            <w:pPr>
              <w:keepNext w:val="0"/>
              <w:keepLines w:val="0"/>
              <w:pageBreakBefore w:val="0"/>
              <w:kinsoku/>
              <w:wordWrap/>
              <w:overflowPunct/>
              <w:topLinePunct w:val="0"/>
              <w:autoSpaceDE/>
              <w:autoSpaceDN/>
              <w:bidi w:val="0"/>
              <w:adjustRightInd/>
              <w:snapToGrid/>
              <w:spacing w:after="0"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在质保期内，如中标人不按</w:t>
            </w:r>
            <w:r>
              <w:rPr>
                <w:rFonts w:hint="eastAsia" w:ascii="宋体" w:hAnsi="宋体" w:eastAsia="宋体" w:cs="宋体"/>
                <w:color w:val="auto"/>
                <w:sz w:val="21"/>
                <w:szCs w:val="21"/>
                <w:highlight w:val="none"/>
                <w:lang w:eastAsia="zh-CN"/>
              </w:rPr>
              <w:t>质保要求进行</w:t>
            </w:r>
            <w:r>
              <w:rPr>
                <w:rFonts w:hint="eastAsia" w:ascii="宋体" w:hAnsi="宋体" w:eastAsia="宋体" w:cs="宋体"/>
                <w:color w:val="auto"/>
                <w:sz w:val="21"/>
                <w:szCs w:val="21"/>
                <w:highlight w:val="none"/>
              </w:rPr>
              <w:t>质保，导致仪器设备及车辆发生维修费用（以维修发票为准），由中标人支付。</w:t>
            </w:r>
          </w:p>
        </w:tc>
      </w:tr>
      <w:tr w14:paraId="753AA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0" w:hRule="atLeast"/>
          <w:jc w:val="center"/>
        </w:trPr>
        <w:tc>
          <w:tcPr>
            <w:tcW w:w="1113" w:type="dxa"/>
            <w:noWrap/>
            <w:vAlign w:val="center"/>
          </w:tcPr>
          <w:p w14:paraId="6491F965">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w:t>
            </w:r>
            <w:r>
              <w:rPr>
                <w:rFonts w:hint="eastAsia" w:ascii="宋体" w:hAnsi="宋体" w:eastAsia="宋体" w:cs="宋体"/>
                <w:color w:val="auto"/>
                <w:sz w:val="21"/>
                <w:szCs w:val="21"/>
                <w:highlight w:val="none"/>
                <w:lang w:eastAsia="zh-CN"/>
              </w:rPr>
              <w:t>）</w:t>
            </w:r>
          </w:p>
        </w:tc>
        <w:tc>
          <w:tcPr>
            <w:tcW w:w="1135" w:type="dxa"/>
            <w:noWrap/>
            <w:vAlign w:val="center"/>
          </w:tcPr>
          <w:p w14:paraId="76ED1CB9">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w:t>
            </w:r>
          </w:p>
        </w:tc>
        <w:tc>
          <w:tcPr>
            <w:tcW w:w="6606" w:type="dxa"/>
            <w:noWrap/>
            <w:vAlign w:val="center"/>
          </w:tcPr>
          <w:p w14:paraId="0684E4F1">
            <w:pPr>
              <w:keepNext w:val="0"/>
              <w:keepLines w:val="0"/>
              <w:pageBreakBefore w:val="0"/>
              <w:kinsoku/>
              <w:wordWrap/>
              <w:overflowPunct/>
              <w:topLinePunct w:val="0"/>
              <w:autoSpaceDE/>
              <w:autoSpaceDN/>
              <w:bidi w:val="0"/>
              <w:adjustRightInd/>
              <w:snapToGrid w:val="0"/>
              <w:spacing w:after="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投标人对其提供产品或服务的使用和操作应尽培训义务。投标人应提供对采购人的基本培训，安装验收期间，</w:t>
            </w:r>
            <w:r>
              <w:rPr>
                <w:rFonts w:hint="eastAsia" w:ascii="宋体" w:hAnsi="宋体" w:eastAsia="宋体" w:cs="宋体"/>
                <w:color w:val="auto"/>
                <w:sz w:val="21"/>
                <w:szCs w:val="21"/>
                <w:highlight w:val="none"/>
                <w:lang w:val="zh-CN"/>
              </w:rPr>
              <w:t>须根据用户需求提供</w:t>
            </w:r>
            <w:r>
              <w:rPr>
                <w:rFonts w:hint="eastAsia" w:ascii="宋体" w:hAnsi="宋体" w:eastAsia="宋体" w:cs="宋体"/>
                <w:color w:val="auto"/>
                <w:sz w:val="21"/>
                <w:szCs w:val="21"/>
                <w:highlight w:val="none"/>
              </w:rPr>
              <w:t>进行现场技术培训，必须包括仪器使用</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使采购人使用人员熟练掌握所培训内容，熟练掌握全部功能，培训的相关费用包括在投标报价中，采购人不再另行支付。</w:t>
            </w:r>
          </w:p>
          <w:p w14:paraId="2CD8906E">
            <w:pPr>
              <w:keepNext w:val="0"/>
              <w:keepLines w:val="0"/>
              <w:pageBreakBefore w:val="0"/>
              <w:kinsoku/>
              <w:wordWrap/>
              <w:overflowPunct/>
              <w:topLinePunct w:val="0"/>
              <w:autoSpaceDE/>
              <w:autoSpaceDN/>
              <w:bidi w:val="0"/>
              <w:adjustRightInd/>
              <w:snapToGrid w:val="0"/>
              <w:spacing w:after="0" w:line="400" w:lineRule="exact"/>
              <w:ind w:firstLine="422"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2.“三重四极杆电感耦合等离子体质谱仪”</w:t>
            </w:r>
            <w:r>
              <w:rPr>
                <w:rFonts w:hint="eastAsia" w:ascii="宋体" w:hAnsi="宋体" w:eastAsia="宋体" w:cs="宋体"/>
                <w:b/>
                <w:bCs/>
                <w:color w:val="auto"/>
                <w:sz w:val="21"/>
                <w:szCs w:val="21"/>
                <w:highlight w:val="none"/>
                <w:lang w:val="es-ES"/>
              </w:rPr>
              <w:t>原厂</w:t>
            </w:r>
            <w:r>
              <w:rPr>
                <w:rFonts w:hint="eastAsia" w:ascii="宋体" w:hAnsi="宋体" w:eastAsia="宋体" w:cs="宋体"/>
                <w:b/>
                <w:bCs/>
                <w:color w:val="auto"/>
                <w:sz w:val="21"/>
                <w:szCs w:val="21"/>
                <w:highlight w:val="none"/>
                <w:lang w:val="en-US" w:eastAsia="zh-CN"/>
              </w:rPr>
              <w:t>按采购人时间安排配备4</w:t>
            </w:r>
            <w:r>
              <w:rPr>
                <w:rFonts w:hint="eastAsia" w:ascii="宋体" w:hAnsi="宋体" w:eastAsia="宋体" w:cs="宋体"/>
                <w:b/>
                <w:bCs/>
                <w:color w:val="auto"/>
                <w:sz w:val="21"/>
                <w:szCs w:val="21"/>
                <w:highlight w:val="none"/>
                <w:lang w:val="es-ES"/>
              </w:rPr>
              <w:t>个培训名额</w:t>
            </w:r>
            <w:r>
              <w:rPr>
                <w:rFonts w:hint="eastAsia" w:ascii="宋体" w:hAnsi="宋体" w:eastAsia="宋体" w:cs="宋体"/>
                <w:b/>
                <w:bCs/>
                <w:color w:val="auto"/>
                <w:sz w:val="21"/>
                <w:szCs w:val="21"/>
                <w:highlight w:val="none"/>
                <w:lang w:val="en-US" w:eastAsia="zh-CN"/>
              </w:rPr>
              <w:t>。</w:t>
            </w:r>
          </w:p>
        </w:tc>
      </w:tr>
      <w:tr w14:paraId="2DAB0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1113" w:type="dxa"/>
            <w:noWrap/>
            <w:vAlign w:val="center"/>
          </w:tcPr>
          <w:p w14:paraId="46D60DBB">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十一</w:t>
            </w:r>
            <w:r>
              <w:rPr>
                <w:rFonts w:hint="eastAsia" w:ascii="宋体" w:hAnsi="宋体" w:eastAsia="宋体" w:cs="宋体"/>
                <w:color w:val="auto"/>
                <w:sz w:val="21"/>
                <w:szCs w:val="21"/>
                <w:highlight w:val="none"/>
                <w:lang w:eastAsia="zh-CN"/>
              </w:rPr>
              <w:t>）</w:t>
            </w:r>
          </w:p>
        </w:tc>
        <w:tc>
          <w:tcPr>
            <w:tcW w:w="1135" w:type="dxa"/>
            <w:noWrap/>
            <w:vAlign w:val="center"/>
          </w:tcPr>
          <w:p w14:paraId="0F7F120D">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知识产权</w:t>
            </w:r>
          </w:p>
        </w:tc>
        <w:tc>
          <w:tcPr>
            <w:tcW w:w="6606" w:type="dxa"/>
            <w:noWrap/>
            <w:vAlign w:val="center"/>
          </w:tcPr>
          <w:p w14:paraId="0F2F1A24">
            <w:pPr>
              <w:keepNext w:val="0"/>
              <w:keepLines w:val="0"/>
              <w:pageBreakBefore w:val="0"/>
              <w:kinsoku/>
              <w:wordWrap/>
              <w:overflowPunct/>
              <w:topLinePunct w:val="0"/>
              <w:autoSpaceDE/>
              <w:autoSpaceDN/>
              <w:bidi w:val="0"/>
              <w:adjustRightInd/>
              <w:snapToGrid w:val="0"/>
              <w:spacing w:after="0"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采购人在中华人民共和国境内使用投标人提供的产品及服务时免受第三方提出的侵犯其专利权或其它知识产权的起诉。如果第三方提出侵权指控，中标人应承担由此而引起的一切法律责任和费用。</w:t>
            </w:r>
          </w:p>
        </w:tc>
      </w:tr>
      <w:tr w14:paraId="3DB31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113" w:type="dxa"/>
            <w:noWrap/>
            <w:vAlign w:val="center"/>
          </w:tcPr>
          <w:p w14:paraId="46B12510">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十二</w:t>
            </w:r>
            <w:r>
              <w:rPr>
                <w:rFonts w:hint="eastAsia" w:ascii="宋体" w:hAnsi="宋体" w:eastAsia="宋体" w:cs="宋体"/>
                <w:color w:val="auto"/>
                <w:sz w:val="21"/>
                <w:szCs w:val="21"/>
                <w:highlight w:val="none"/>
                <w:lang w:eastAsia="zh-CN"/>
              </w:rPr>
              <w:t>）</w:t>
            </w:r>
          </w:p>
        </w:tc>
        <w:tc>
          <w:tcPr>
            <w:tcW w:w="1135" w:type="dxa"/>
            <w:noWrap/>
            <w:vAlign w:val="center"/>
          </w:tcPr>
          <w:p w14:paraId="7CA820A5">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进口产品</w:t>
            </w:r>
          </w:p>
        </w:tc>
        <w:tc>
          <w:tcPr>
            <w:tcW w:w="6606" w:type="dxa"/>
            <w:noWrap/>
            <w:vAlign w:val="center"/>
          </w:tcPr>
          <w:p w14:paraId="73F8D26F">
            <w:pPr>
              <w:keepNext w:val="0"/>
              <w:keepLines w:val="0"/>
              <w:pageBreakBefore w:val="0"/>
              <w:kinsoku/>
              <w:wordWrap/>
              <w:overflowPunct/>
              <w:topLinePunct w:val="0"/>
              <w:autoSpaceDE/>
              <w:autoSpaceDN/>
              <w:bidi w:val="0"/>
              <w:adjustRightInd/>
              <w:spacing w:after="0" w:line="40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涉及</w:t>
            </w:r>
            <w:r>
              <w:rPr>
                <w:rFonts w:hint="eastAsia" w:ascii="宋体" w:hAnsi="宋体" w:eastAsia="宋体" w:cs="宋体"/>
                <w:color w:val="auto"/>
                <w:kern w:val="0"/>
                <w:sz w:val="21"/>
                <w:szCs w:val="21"/>
                <w:highlight w:val="none"/>
              </w:rPr>
              <w:t>进口产品</w:t>
            </w:r>
            <w:r>
              <w:rPr>
                <w:rFonts w:hint="eastAsia" w:ascii="宋体" w:hAnsi="宋体" w:eastAsia="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rPr>
              <w:t>必须为全套原装进口产品（即通过中国海关报关验放进入中国境内且产自关境外的产品），供应商必须负责办理进口产品所有相关手续并承担所有费用。</w:t>
            </w:r>
          </w:p>
        </w:tc>
      </w:tr>
      <w:tr w14:paraId="49E85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113" w:type="dxa"/>
            <w:noWrap/>
            <w:vAlign w:val="center"/>
          </w:tcPr>
          <w:p w14:paraId="6FAE1685">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十三</w:t>
            </w:r>
            <w:r>
              <w:rPr>
                <w:rFonts w:hint="eastAsia" w:ascii="宋体" w:hAnsi="宋体" w:eastAsia="宋体" w:cs="宋体"/>
                <w:color w:val="auto"/>
                <w:sz w:val="21"/>
                <w:szCs w:val="21"/>
                <w:highlight w:val="none"/>
                <w:lang w:eastAsia="zh-CN"/>
              </w:rPr>
              <w:t>）</w:t>
            </w:r>
          </w:p>
        </w:tc>
        <w:tc>
          <w:tcPr>
            <w:tcW w:w="1135" w:type="dxa"/>
            <w:noWrap/>
            <w:vAlign w:val="center"/>
          </w:tcPr>
          <w:p w14:paraId="4591992D">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原厂商授权及相关要求</w:t>
            </w:r>
          </w:p>
        </w:tc>
        <w:tc>
          <w:tcPr>
            <w:tcW w:w="6606" w:type="dxa"/>
            <w:noWrap/>
            <w:vAlign w:val="center"/>
          </w:tcPr>
          <w:p w14:paraId="183822E5">
            <w:pPr>
              <w:keepNext w:val="0"/>
              <w:keepLines w:val="0"/>
              <w:pageBreakBefore w:val="0"/>
              <w:kinsoku/>
              <w:wordWrap/>
              <w:overflowPunct/>
              <w:topLinePunct w:val="0"/>
              <w:autoSpaceDE/>
              <w:autoSpaceDN/>
              <w:bidi w:val="0"/>
              <w:adjustRightInd/>
              <w:spacing w:after="0"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如选用进口产品时，供应商在投标文件中必须提供原厂商或区域总代理商出具的针对本项目的授权书，否则投标无效。</w:t>
            </w:r>
          </w:p>
        </w:tc>
      </w:tr>
      <w:tr w14:paraId="7CBF5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113" w:type="dxa"/>
            <w:noWrap/>
            <w:vAlign w:val="center"/>
          </w:tcPr>
          <w:p w14:paraId="02643053">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十四</w:t>
            </w:r>
            <w:r>
              <w:rPr>
                <w:rFonts w:hint="eastAsia" w:ascii="宋体" w:hAnsi="宋体" w:eastAsia="宋体" w:cs="宋体"/>
                <w:color w:val="auto"/>
                <w:sz w:val="21"/>
                <w:szCs w:val="21"/>
                <w:highlight w:val="none"/>
                <w:lang w:eastAsia="zh-CN"/>
              </w:rPr>
              <w:t>）</w:t>
            </w:r>
          </w:p>
        </w:tc>
        <w:tc>
          <w:tcPr>
            <w:tcW w:w="1135" w:type="dxa"/>
            <w:noWrap/>
            <w:vAlign w:val="center"/>
          </w:tcPr>
          <w:p w14:paraId="05E81134">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中小企业说明</w:t>
            </w:r>
          </w:p>
        </w:tc>
        <w:tc>
          <w:tcPr>
            <w:tcW w:w="6606" w:type="dxa"/>
            <w:noWrap/>
            <w:vAlign w:val="center"/>
          </w:tcPr>
          <w:p w14:paraId="29952CB8">
            <w:pPr>
              <w:keepNext w:val="0"/>
              <w:keepLines w:val="0"/>
              <w:pageBreakBefore w:val="0"/>
              <w:kinsoku/>
              <w:wordWrap/>
              <w:overflowPunct/>
              <w:topLinePunct w:val="0"/>
              <w:autoSpaceDE/>
              <w:autoSpaceDN/>
              <w:bidi w:val="0"/>
              <w:adjustRightInd/>
              <w:spacing w:after="0" w:line="400" w:lineRule="exact"/>
              <w:ind w:firstLine="420" w:firstLineChars="200"/>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none"/>
                <w:lang w:val="en-US" w:eastAsia="zh-CN"/>
              </w:rPr>
              <w:t>本分标非专门面向中小企业。</w:t>
            </w:r>
          </w:p>
        </w:tc>
      </w:tr>
      <w:tr w14:paraId="0CFB6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113" w:type="dxa"/>
            <w:noWrap/>
            <w:vAlign w:val="center"/>
          </w:tcPr>
          <w:p w14:paraId="3ADA2AFF">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十五</w:t>
            </w:r>
            <w:r>
              <w:rPr>
                <w:rFonts w:hint="eastAsia" w:ascii="宋体" w:hAnsi="宋体" w:eastAsia="宋体" w:cs="宋体"/>
                <w:color w:val="auto"/>
                <w:sz w:val="21"/>
                <w:szCs w:val="21"/>
                <w:highlight w:val="none"/>
                <w:lang w:eastAsia="zh-CN"/>
              </w:rPr>
              <w:t>）</w:t>
            </w:r>
          </w:p>
        </w:tc>
        <w:tc>
          <w:tcPr>
            <w:tcW w:w="1135" w:type="dxa"/>
            <w:noWrap/>
            <w:vAlign w:val="center"/>
          </w:tcPr>
          <w:p w14:paraId="4D9FCCAC">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负偏离要求</w:t>
            </w:r>
          </w:p>
        </w:tc>
        <w:tc>
          <w:tcPr>
            <w:tcW w:w="6606" w:type="dxa"/>
            <w:noWrap/>
            <w:vAlign w:val="center"/>
          </w:tcPr>
          <w:p w14:paraId="7280DC52">
            <w:pPr>
              <w:keepNext w:val="0"/>
              <w:keepLines w:val="0"/>
              <w:pageBreakBefore w:val="0"/>
              <w:kinsoku/>
              <w:wordWrap/>
              <w:overflowPunct/>
              <w:topLinePunct w:val="0"/>
              <w:autoSpaceDE/>
              <w:autoSpaceDN/>
              <w:bidi w:val="0"/>
              <w:adjustRightInd/>
              <w:spacing w:after="0" w:line="400" w:lineRule="exact"/>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本分标商务要求允许0项负偏离。</w:t>
            </w:r>
          </w:p>
        </w:tc>
      </w:tr>
      <w:tr w14:paraId="297BB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3" w:hRule="atLeast"/>
          <w:jc w:val="center"/>
        </w:trPr>
        <w:tc>
          <w:tcPr>
            <w:tcW w:w="1113" w:type="dxa"/>
            <w:noWrap/>
            <w:vAlign w:val="center"/>
          </w:tcPr>
          <w:p w14:paraId="76A75DC9">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十六</w:t>
            </w:r>
            <w:r>
              <w:rPr>
                <w:rFonts w:hint="eastAsia" w:ascii="宋体" w:hAnsi="宋体" w:eastAsia="宋体" w:cs="宋体"/>
                <w:color w:val="auto"/>
                <w:sz w:val="21"/>
                <w:szCs w:val="21"/>
                <w:highlight w:val="none"/>
                <w:lang w:eastAsia="zh-CN"/>
              </w:rPr>
              <w:t>）</w:t>
            </w:r>
          </w:p>
        </w:tc>
        <w:tc>
          <w:tcPr>
            <w:tcW w:w="1135" w:type="dxa"/>
            <w:noWrap/>
            <w:vAlign w:val="center"/>
          </w:tcPr>
          <w:p w14:paraId="0B171785">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6606" w:type="dxa"/>
            <w:noWrap/>
            <w:vAlign w:val="center"/>
          </w:tcPr>
          <w:p w14:paraId="53AD2362">
            <w:pPr>
              <w:keepNext w:val="0"/>
              <w:keepLines w:val="0"/>
              <w:pageBreakBefore w:val="0"/>
              <w:kinsoku/>
              <w:wordWrap/>
              <w:overflowPunct/>
              <w:topLinePunct w:val="0"/>
              <w:autoSpaceDE/>
              <w:autoSpaceDN/>
              <w:bidi w:val="0"/>
              <w:adjustRightInd/>
              <w:spacing w:after="0"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1.中标人提供的硬件设备及软件的技术参数、配置和性能指标必须为真实有效，如有提供虚假材料谋取中标的，按政府采购相关法规处罚，并追究其相应的法律责任。</w:t>
            </w:r>
          </w:p>
          <w:p w14:paraId="7C4236C3">
            <w:pPr>
              <w:keepNext w:val="0"/>
              <w:keepLines w:val="0"/>
              <w:pageBreakBefore w:val="0"/>
              <w:kinsoku/>
              <w:wordWrap/>
              <w:overflowPunct/>
              <w:topLinePunct w:val="0"/>
              <w:autoSpaceDE/>
              <w:autoSpaceDN/>
              <w:bidi w:val="0"/>
              <w:adjustRightInd/>
              <w:spacing w:after="0"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2.中标产品必须是按厂家标准配置的整套全新，具备正规合法经销渠道的，符合国家各项有关质量标准的合格产品。相关部件及服务满足以上各项要求。若产品在运输过程中损坏或擦伤须无偿调换相同产品。</w:t>
            </w:r>
          </w:p>
          <w:p w14:paraId="0EF8ACA8">
            <w:pPr>
              <w:keepNext w:val="0"/>
              <w:keepLines w:val="0"/>
              <w:pageBreakBefore w:val="0"/>
              <w:kinsoku/>
              <w:wordWrap/>
              <w:overflowPunct/>
              <w:topLinePunct w:val="0"/>
              <w:autoSpaceDE/>
              <w:autoSpaceDN/>
              <w:bidi w:val="0"/>
              <w:adjustRightInd/>
              <w:snapToGrid/>
              <w:spacing w:after="0"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3.中标人提供的货物包装应符合《财政部等三部门联合印发商品包装和快递包装政府采购需求标准（试行）》财办库〔2020〕123号相关要求。</w:t>
            </w:r>
          </w:p>
        </w:tc>
      </w:tr>
    </w:tbl>
    <w:p w14:paraId="3C3D2D23">
      <w:pPr>
        <w:rPr>
          <w:rFonts w:hint="eastAsia"/>
          <w:color w:val="auto"/>
          <w:highlight w:val="none"/>
          <w:lang w:val="en-US" w:eastAsia="zh-CN"/>
        </w:rPr>
      </w:pPr>
    </w:p>
    <w:p w14:paraId="5B3F0AF0">
      <w:pPr>
        <w:rPr>
          <w:rFonts w:hint="eastAsia" w:ascii="宋体" w:hAnsi="宋体" w:eastAsia="宋体" w:cs="宋体"/>
          <w:b/>
          <w:bCs/>
          <w:color w:val="auto"/>
          <w:kern w:val="0"/>
          <w:sz w:val="21"/>
          <w:szCs w:val="21"/>
          <w:highlight w:val="none"/>
          <w:lang w:val="en-US" w:eastAsia="zh-CN" w:bidi="ar-SA"/>
        </w:rPr>
      </w:pPr>
      <w:bookmarkStart w:id="115" w:name="_Toc17980"/>
      <w:bookmarkStart w:id="116" w:name="_Toc25255"/>
      <w:r>
        <w:rPr>
          <w:rFonts w:hint="eastAsia" w:ascii="宋体" w:hAnsi="宋体" w:eastAsia="宋体" w:cs="宋体"/>
          <w:b/>
          <w:bCs/>
          <w:color w:val="auto"/>
          <w:kern w:val="0"/>
          <w:sz w:val="21"/>
          <w:szCs w:val="21"/>
          <w:highlight w:val="none"/>
          <w:lang w:val="en-US" w:eastAsia="zh-CN" w:bidi="ar-SA"/>
        </w:rPr>
        <w:br w:type="page"/>
      </w:r>
    </w:p>
    <w:p w14:paraId="19332D68">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五</w:t>
      </w:r>
      <w:r>
        <w:rPr>
          <w:rFonts w:hint="eastAsia" w:ascii="宋体" w:hAnsi="宋体" w:eastAsia="宋体" w:cs="宋体"/>
          <w:b/>
          <w:bCs/>
          <w:color w:val="auto"/>
          <w:kern w:val="0"/>
          <w:sz w:val="21"/>
          <w:szCs w:val="21"/>
          <w:highlight w:val="none"/>
          <w:lang w:val="en-US" w:eastAsia="zh-CN" w:bidi="ar-SA"/>
        </w:rPr>
        <w:t>）标项</w:t>
      </w:r>
      <w:r>
        <w:rPr>
          <w:rFonts w:hint="eastAsia" w:ascii="宋体" w:hAnsi="宋体" w:cs="宋体"/>
          <w:b/>
          <w:bCs/>
          <w:color w:val="auto"/>
          <w:kern w:val="0"/>
          <w:sz w:val="21"/>
          <w:szCs w:val="21"/>
          <w:highlight w:val="none"/>
          <w:lang w:val="en-US" w:eastAsia="zh-CN" w:bidi="ar-SA"/>
        </w:rPr>
        <w:t>五</w:t>
      </w:r>
      <w:r>
        <w:rPr>
          <w:rFonts w:hint="eastAsia" w:ascii="宋体" w:hAnsi="宋体" w:eastAsia="宋体" w:cs="宋体"/>
          <w:b/>
          <w:bCs/>
          <w:color w:val="auto"/>
          <w:kern w:val="0"/>
          <w:sz w:val="21"/>
          <w:szCs w:val="21"/>
          <w:highlight w:val="none"/>
          <w:lang w:val="en-US" w:eastAsia="zh-CN" w:bidi="ar-SA"/>
        </w:rPr>
        <w:t>（分包</w:t>
      </w:r>
      <w:r>
        <w:rPr>
          <w:rFonts w:hint="eastAsia" w:ascii="宋体" w:hAnsi="宋体" w:cs="宋体"/>
          <w:b/>
          <w:bCs/>
          <w:color w:val="auto"/>
          <w:kern w:val="0"/>
          <w:sz w:val="21"/>
          <w:szCs w:val="21"/>
          <w:highlight w:val="none"/>
          <w:lang w:val="en-US" w:eastAsia="zh-CN" w:bidi="ar-SA"/>
        </w:rPr>
        <w:t>5</w:t>
      </w:r>
      <w:r>
        <w:rPr>
          <w:rFonts w:hint="eastAsia" w:ascii="宋体" w:hAnsi="宋体" w:eastAsia="宋体" w:cs="宋体"/>
          <w:b/>
          <w:bCs/>
          <w:color w:val="auto"/>
          <w:kern w:val="0"/>
          <w:sz w:val="21"/>
          <w:szCs w:val="21"/>
          <w:highlight w:val="none"/>
          <w:lang w:val="en-US" w:eastAsia="zh-CN" w:bidi="ar-SA"/>
        </w:rPr>
        <w:t>）的</w:t>
      </w:r>
      <w:r>
        <w:rPr>
          <w:rFonts w:hint="eastAsia" w:ascii="宋体" w:hAnsi="宋体" w:cs="宋体"/>
          <w:b/>
          <w:bCs/>
          <w:color w:val="auto"/>
          <w:kern w:val="0"/>
          <w:sz w:val="21"/>
          <w:szCs w:val="21"/>
          <w:highlight w:val="none"/>
          <w:lang w:val="en-US" w:eastAsia="zh-CN" w:bidi="ar-SA"/>
        </w:rPr>
        <w:t>商务</w:t>
      </w:r>
      <w:r>
        <w:rPr>
          <w:rFonts w:hint="eastAsia" w:ascii="宋体" w:hAnsi="宋体" w:eastAsia="宋体" w:cs="宋体"/>
          <w:b/>
          <w:bCs/>
          <w:color w:val="auto"/>
          <w:kern w:val="0"/>
          <w:sz w:val="21"/>
          <w:szCs w:val="21"/>
          <w:highlight w:val="none"/>
          <w:lang w:val="en-US" w:eastAsia="zh-CN" w:bidi="ar-SA"/>
        </w:rPr>
        <w:t>要求</w:t>
      </w:r>
      <w:bookmarkEnd w:id="115"/>
      <w:bookmarkEnd w:id="116"/>
    </w:p>
    <w:tbl>
      <w:tblPr>
        <w:tblStyle w:val="48"/>
        <w:tblW w:w="88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6"/>
        <w:gridCol w:w="1235"/>
        <w:gridCol w:w="6563"/>
      </w:tblGrid>
      <w:tr w14:paraId="17F9D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1056" w:type="dxa"/>
            <w:noWrap/>
            <w:vAlign w:val="center"/>
          </w:tcPr>
          <w:p w14:paraId="56894E09">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35" w:type="dxa"/>
            <w:noWrap/>
            <w:vAlign w:val="center"/>
          </w:tcPr>
          <w:p w14:paraId="7E690118">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商务条款</w:t>
            </w:r>
          </w:p>
        </w:tc>
        <w:tc>
          <w:tcPr>
            <w:tcW w:w="6563" w:type="dxa"/>
            <w:noWrap/>
            <w:vAlign w:val="center"/>
          </w:tcPr>
          <w:p w14:paraId="38CA4FE2">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商务要求</w:t>
            </w:r>
          </w:p>
        </w:tc>
      </w:tr>
      <w:tr w14:paraId="09EBF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jc w:val="center"/>
        </w:trPr>
        <w:tc>
          <w:tcPr>
            <w:tcW w:w="1056" w:type="dxa"/>
            <w:noWrap/>
            <w:vAlign w:val="center"/>
          </w:tcPr>
          <w:p w14:paraId="02347777">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p>
        </w:tc>
        <w:tc>
          <w:tcPr>
            <w:tcW w:w="1235" w:type="dxa"/>
            <w:noWrap/>
            <w:vAlign w:val="center"/>
          </w:tcPr>
          <w:p w14:paraId="6DF3CFA9">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报价要求</w:t>
            </w:r>
          </w:p>
        </w:tc>
        <w:tc>
          <w:tcPr>
            <w:tcW w:w="6563" w:type="dxa"/>
            <w:noWrap/>
            <w:vAlign w:val="center"/>
          </w:tcPr>
          <w:p w14:paraId="40299288">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报价须为人民币报价，包含产品价、运输费（含装卸费）、保险费、安装调试费（仪器安装所需要水电改造及实验室改造费用）、税费、培训费、产品检测费、产品质保期内维护费等费用。对于本文件中明确列明必须报价的货物或服务，投标人应分别报价。对于本文件中未列明，而投标人认为必需的费用也需列入总报价。在合同实施时，采购人将不予支付中标人没有列入的项目费用，并认为此项目的费用已包括在投标总报价中。</w:t>
            </w:r>
          </w:p>
        </w:tc>
      </w:tr>
      <w:tr w14:paraId="1DE72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056" w:type="dxa"/>
            <w:noWrap/>
            <w:vAlign w:val="center"/>
          </w:tcPr>
          <w:p w14:paraId="58EEA1C7">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p>
        </w:tc>
        <w:tc>
          <w:tcPr>
            <w:tcW w:w="1235" w:type="dxa"/>
            <w:noWrap/>
            <w:vAlign w:val="center"/>
          </w:tcPr>
          <w:p w14:paraId="5ACFC8C8">
            <w:pPr>
              <w:keepNext w:val="0"/>
              <w:keepLines w:val="0"/>
              <w:pageBreakBefore w:val="0"/>
              <w:kinsoku/>
              <w:wordWrap/>
              <w:overflowPunct/>
              <w:topLinePunct w:val="0"/>
              <w:autoSpaceDE/>
              <w:autoSpaceDN/>
              <w:bidi w:val="0"/>
              <w:adjustRightInd/>
              <w:spacing w:after="0" w:line="400" w:lineRule="exact"/>
              <w:ind w:left="-107" w:leftChars="-51" w:firstLine="126" w:firstLineChars="6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签订合同时限</w:t>
            </w:r>
          </w:p>
        </w:tc>
        <w:tc>
          <w:tcPr>
            <w:tcW w:w="6563" w:type="dxa"/>
            <w:noWrap/>
            <w:vAlign w:val="center"/>
          </w:tcPr>
          <w:p w14:paraId="7D6C2586">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自中标通知书发出之日起</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5日内。</w:t>
            </w:r>
          </w:p>
        </w:tc>
      </w:tr>
      <w:tr w14:paraId="0A2CA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jc w:val="center"/>
        </w:trPr>
        <w:tc>
          <w:tcPr>
            <w:tcW w:w="1056" w:type="dxa"/>
            <w:noWrap/>
            <w:vAlign w:val="center"/>
          </w:tcPr>
          <w:p w14:paraId="6C197CE0">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w:t>
            </w:r>
          </w:p>
        </w:tc>
        <w:tc>
          <w:tcPr>
            <w:tcW w:w="1235" w:type="dxa"/>
            <w:noWrap/>
            <w:vAlign w:val="center"/>
          </w:tcPr>
          <w:p w14:paraId="189C6D99">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交货时间</w:t>
            </w:r>
          </w:p>
        </w:tc>
        <w:tc>
          <w:tcPr>
            <w:tcW w:w="6563" w:type="dxa"/>
            <w:noWrap/>
            <w:vAlign w:val="center"/>
          </w:tcPr>
          <w:p w14:paraId="7181A6A9">
            <w:pPr>
              <w:pStyle w:val="31"/>
              <w:keepNext w:val="0"/>
              <w:keepLines w:val="0"/>
              <w:pageBreakBefore w:val="0"/>
              <w:kinsoku/>
              <w:wordWrap/>
              <w:overflowPunct/>
              <w:topLinePunct w:val="0"/>
              <w:autoSpaceDE/>
              <w:autoSpaceDN/>
              <w:bidi w:val="0"/>
              <w:adjustRightInd/>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国产仪器设备</w:t>
            </w:r>
            <w:r>
              <w:rPr>
                <w:rFonts w:hint="eastAsia" w:ascii="宋体" w:hAnsi="宋体" w:eastAsia="宋体" w:cs="宋体"/>
                <w:color w:val="auto"/>
                <w:sz w:val="21"/>
                <w:szCs w:val="21"/>
                <w:highlight w:val="none"/>
              </w:rPr>
              <w:t>自签订合同之日起</w:t>
            </w:r>
            <w:r>
              <w:rPr>
                <w:rFonts w:hint="eastAsia" w:ascii="宋体" w:hAnsi="宋体" w:eastAsia="宋体" w:cs="宋体"/>
                <w:color w:val="auto"/>
                <w:sz w:val="21"/>
                <w:szCs w:val="21"/>
                <w:highlight w:val="none"/>
                <w:u w:val="none"/>
                <w:lang w:val="en-US" w:eastAsia="zh-CN"/>
              </w:rPr>
              <w:t>60</w:t>
            </w:r>
            <w:r>
              <w:rPr>
                <w:rFonts w:hint="eastAsia" w:ascii="宋体" w:hAnsi="宋体" w:eastAsia="宋体" w:cs="宋体"/>
                <w:color w:val="auto"/>
                <w:sz w:val="21"/>
                <w:szCs w:val="21"/>
                <w:highlight w:val="none"/>
              </w:rPr>
              <w:t>日内交货并完成安装调试。</w:t>
            </w:r>
          </w:p>
        </w:tc>
      </w:tr>
      <w:tr w14:paraId="4E35E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056" w:type="dxa"/>
            <w:noWrap/>
            <w:vAlign w:val="center"/>
          </w:tcPr>
          <w:p w14:paraId="59377A92">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w:t>
            </w:r>
          </w:p>
        </w:tc>
        <w:tc>
          <w:tcPr>
            <w:tcW w:w="1235" w:type="dxa"/>
            <w:noWrap/>
            <w:vAlign w:val="center"/>
          </w:tcPr>
          <w:p w14:paraId="7763C5B4">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w:t>
            </w:r>
          </w:p>
        </w:tc>
        <w:tc>
          <w:tcPr>
            <w:tcW w:w="6563" w:type="dxa"/>
            <w:noWrap/>
            <w:vAlign w:val="center"/>
          </w:tcPr>
          <w:p w14:paraId="0A1E7D99">
            <w:pPr>
              <w:keepNext w:val="0"/>
              <w:keepLines w:val="0"/>
              <w:pageBreakBefore w:val="0"/>
              <w:kinsoku/>
              <w:wordWrap/>
              <w:overflowPunct/>
              <w:topLinePunct w:val="0"/>
              <w:autoSpaceDE/>
              <w:autoSpaceDN/>
              <w:bidi w:val="0"/>
              <w:adjustRightInd/>
              <w:spacing w:after="0" w:line="400" w:lineRule="exact"/>
              <w:ind w:firstLine="42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送至广西壮族自治区</w:t>
            </w:r>
            <w:r>
              <w:rPr>
                <w:rFonts w:hint="eastAsia" w:ascii="宋体" w:hAnsi="宋体" w:eastAsia="宋体" w:cs="宋体"/>
                <w:color w:val="auto"/>
                <w:sz w:val="21"/>
                <w:szCs w:val="21"/>
                <w:highlight w:val="none"/>
              </w:rPr>
              <w:t>生态环境</w:t>
            </w:r>
            <w:r>
              <w:rPr>
                <w:rFonts w:hint="eastAsia" w:ascii="宋体" w:hAnsi="宋体" w:eastAsia="宋体" w:cs="宋体"/>
                <w:color w:val="auto"/>
                <w:sz w:val="21"/>
                <w:szCs w:val="21"/>
                <w:highlight w:val="none"/>
                <w:lang w:val="en-US" w:eastAsia="zh-CN"/>
              </w:rPr>
              <w:t>厅或由采购人指定广西区内地点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含送货上楼</w:t>
            </w:r>
            <w:r>
              <w:rPr>
                <w:rFonts w:hint="eastAsia" w:ascii="宋体" w:hAnsi="宋体" w:eastAsia="宋体" w:cs="宋体"/>
                <w:color w:val="auto"/>
                <w:sz w:val="21"/>
                <w:szCs w:val="21"/>
                <w:highlight w:val="none"/>
                <w:lang w:eastAsia="zh-CN"/>
              </w:rPr>
              <w:t>）</w:t>
            </w:r>
          </w:p>
        </w:tc>
      </w:tr>
      <w:tr w14:paraId="4E0C5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56" w:type="dxa"/>
            <w:noWrap/>
            <w:vAlign w:val="center"/>
          </w:tcPr>
          <w:p w14:paraId="4C5AB8C8">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w:t>
            </w:r>
          </w:p>
        </w:tc>
        <w:tc>
          <w:tcPr>
            <w:tcW w:w="1235" w:type="dxa"/>
            <w:noWrap/>
            <w:vAlign w:val="center"/>
          </w:tcPr>
          <w:p w14:paraId="482280F4">
            <w:pPr>
              <w:keepNext w:val="0"/>
              <w:keepLines w:val="0"/>
              <w:pageBreakBefore w:val="0"/>
              <w:kinsoku/>
              <w:wordWrap/>
              <w:overflowPunct/>
              <w:topLinePunct w:val="0"/>
              <w:autoSpaceDE/>
              <w:autoSpaceDN/>
              <w:bidi w:val="0"/>
              <w:adjustRightInd/>
              <w:spacing w:after="0"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付款条件</w:t>
            </w:r>
          </w:p>
        </w:tc>
        <w:tc>
          <w:tcPr>
            <w:tcW w:w="6563" w:type="dxa"/>
            <w:noWrap/>
            <w:vAlign w:val="top"/>
          </w:tcPr>
          <w:p w14:paraId="0BC8122B">
            <w:pPr>
              <w:keepNext w:val="0"/>
              <w:keepLines w:val="0"/>
              <w:pageBreakBefore w:val="0"/>
              <w:widowControl/>
              <w:kinsoku/>
              <w:wordWrap/>
              <w:overflowPunct/>
              <w:topLinePunct w:val="0"/>
              <w:autoSpaceDE/>
              <w:autoSpaceDN/>
              <w:bidi w:val="0"/>
              <w:adjustRightInd/>
              <w:snapToGrid w:val="0"/>
              <w:spacing w:line="400" w:lineRule="exact"/>
              <w:ind w:firstLine="420" w:firstLineChars="0"/>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1.合同签订后，</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向</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支付合同总金额50%的预付款；</w:t>
            </w:r>
          </w:p>
          <w:p w14:paraId="5DC31DB9">
            <w:pPr>
              <w:keepNext w:val="0"/>
              <w:keepLines w:val="0"/>
              <w:pageBreakBefore w:val="0"/>
              <w:widowControl/>
              <w:kinsoku/>
              <w:wordWrap/>
              <w:overflowPunct/>
              <w:topLinePunct w:val="0"/>
              <w:autoSpaceDE/>
              <w:autoSpaceDN/>
              <w:bidi w:val="0"/>
              <w:adjustRightInd/>
              <w:snapToGrid w:val="0"/>
              <w:spacing w:line="400" w:lineRule="exact"/>
              <w:ind w:firstLine="420" w:firstLineChars="0"/>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在收到首笔合同款后20个工作日内向</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递交合同总金额50%的预付款保函（有效期自开具之日起不少于15个月，验收合格后退还）全部货物到货并经</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确认后，</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向</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支付合同总金额的50%：</w:t>
            </w:r>
          </w:p>
          <w:p w14:paraId="4636050A">
            <w:pPr>
              <w:keepNext w:val="0"/>
              <w:keepLines w:val="0"/>
              <w:pageBreakBefore w:val="0"/>
              <w:kinsoku/>
              <w:wordWrap/>
              <w:overflowPunct/>
              <w:topLinePunct w:val="0"/>
              <w:autoSpaceDE/>
              <w:autoSpaceDN/>
              <w:bidi w:val="0"/>
              <w:adjustRightInd/>
              <w:snapToGrid w:val="0"/>
              <w:spacing w:after="0" w:line="400" w:lineRule="exact"/>
              <w:ind w:firstLine="420" w:firstLineChars="20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3.全部货物安装调试完毕，</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对所有货物最终性能验收合格后，</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向</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提交合同总金额</w:t>
            </w:r>
            <w:r>
              <w:rPr>
                <w:rFonts w:hint="default"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中小</w:t>
            </w:r>
            <w:r>
              <w:rPr>
                <w:rFonts w:hint="eastAsia" w:ascii="宋体" w:hAnsi="宋体" w:cs="宋体"/>
                <w:color w:val="auto"/>
                <w:sz w:val="21"/>
                <w:szCs w:val="21"/>
                <w:highlight w:val="none"/>
                <w:lang w:val="en-US" w:eastAsia="zh-CN"/>
              </w:rPr>
              <w:t>微</w:t>
            </w:r>
            <w:r>
              <w:rPr>
                <w:rFonts w:hint="eastAsia" w:ascii="宋体" w:hAnsi="宋体" w:cs="宋体"/>
                <w:color w:val="auto"/>
                <w:sz w:val="21"/>
                <w:szCs w:val="21"/>
                <w:highlight w:val="none"/>
                <w:lang w:eastAsia="zh-CN"/>
              </w:rPr>
              <w:t>企业</w:t>
            </w:r>
            <w:r>
              <w:rPr>
                <w:rFonts w:hint="eastAsia" w:ascii="宋体" w:hAnsi="宋体" w:cs="宋体"/>
                <w:color w:val="auto"/>
                <w:sz w:val="21"/>
                <w:szCs w:val="21"/>
                <w:highlight w:val="none"/>
                <w:lang w:val="en-US" w:eastAsia="zh-CN"/>
              </w:rPr>
              <w:t>提交合同总金额</w:t>
            </w:r>
            <w:r>
              <w:rPr>
                <w:rFonts w:hint="eastAsia" w:ascii="宋体" w:hAnsi="宋体" w:cs="宋体"/>
                <w:color w:val="auto"/>
                <w:sz w:val="21"/>
                <w:szCs w:val="21"/>
                <w:highlight w:val="none"/>
                <w:lang w:eastAsia="zh-CN"/>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的履约保函（有效期自开具之日起不少于24个月，质保期满退履约保函）；</w:t>
            </w:r>
          </w:p>
          <w:p w14:paraId="46E8B3E2">
            <w:pPr>
              <w:keepNext w:val="0"/>
              <w:keepLines w:val="0"/>
              <w:pageBreakBefore w:val="0"/>
              <w:kinsoku/>
              <w:wordWrap/>
              <w:overflowPunct/>
              <w:topLinePunct w:val="0"/>
              <w:autoSpaceDE/>
              <w:autoSpaceDN/>
              <w:bidi w:val="0"/>
              <w:adjustRightInd/>
              <w:snapToGrid w:val="0"/>
              <w:spacing w:after="0" w:line="400" w:lineRule="exact"/>
              <w:ind w:firstLine="420" w:firstLineChars="200"/>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.每次付款前，中标人需提供与支付金额对应的增值税普通发票</w:t>
            </w:r>
            <w:r>
              <w:rPr>
                <w:rFonts w:hint="eastAsia" w:ascii="宋体" w:hAnsi="宋体" w:eastAsia="宋体" w:cs="宋体"/>
                <w:color w:val="auto"/>
                <w:sz w:val="21"/>
                <w:szCs w:val="21"/>
                <w:highlight w:val="none"/>
                <w:lang w:eastAsia="zh-CN"/>
              </w:rPr>
              <w:t>。</w:t>
            </w:r>
          </w:p>
        </w:tc>
      </w:tr>
      <w:tr w14:paraId="2CB4D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1056" w:type="dxa"/>
            <w:noWrap/>
            <w:vAlign w:val="center"/>
          </w:tcPr>
          <w:p w14:paraId="70152468">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w:t>
            </w:r>
          </w:p>
        </w:tc>
        <w:tc>
          <w:tcPr>
            <w:tcW w:w="1235" w:type="dxa"/>
            <w:noWrap/>
            <w:vAlign w:val="center"/>
          </w:tcPr>
          <w:p w14:paraId="279F36AD">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p>
        </w:tc>
        <w:tc>
          <w:tcPr>
            <w:tcW w:w="6563" w:type="dxa"/>
            <w:noWrap/>
            <w:vAlign w:val="top"/>
          </w:tcPr>
          <w:p w14:paraId="3BFE3D33">
            <w:pPr>
              <w:keepNext w:val="0"/>
              <w:keepLines w:val="0"/>
              <w:pageBreakBefore w:val="0"/>
              <w:numPr>
                <w:ilvl w:val="0"/>
                <w:numId w:val="0"/>
              </w:numPr>
              <w:kinsoku/>
              <w:wordWrap/>
              <w:overflowPunct/>
              <w:topLinePunct w:val="0"/>
              <w:autoSpaceDE/>
              <w:autoSpaceDN/>
              <w:bidi w:val="0"/>
              <w:adjustRightInd/>
              <w:snapToGrid w:val="0"/>
              <w:spacing w:after="0" w:line="400" w:lineRule="exact"/>
              <w:ind w:firstLine="420" w:firstLineChars="20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按国家有关产品“三包”规定执行“三包”，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电感耦合等离子体质谱仪</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电感耦合等离子体发射光谱仪</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原子吸收光谱仪</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质保期3年，“超级微波消解仪”</w:t>
            </w:r>
            <w:r>
              <w:rPr>
                <w:rFonts w:hint="eastAsia" w:ascii="宋体" w:hAnsi="宋体" w:eastAsia="宋体" w:cs="宋体"/>
                <w:color w:val="auto"/>
                <w:sz w:val="21"/>
                <w:szCs w:val="21"/>
                <w:highlight w:val="none"/>
              </w:rPr>
              <w:t>质保期</w:t>
            </w:r>
            <w:r>
              <w:rPr>
                <w:rFonts w:hint="eastAsia" w:ascii="宋体" w:hAnsi="宋体" w:eastAsia="宋体" w:cs="宋体"/>
                <w:color w:val="auto"/>
                <w:sz w:val="21"/>
                <w:szCs w:val="21"/>
                <w:highlight w:val="none"/>
                <w:lang w:val="en-US" w:eastAsia="zh-CN"/>
              </w:rPr>
              <w:t>不低于2</w:t>
            </w:r>
            <w:r>
              <w:rPr>
                <w:rFonts w:hint="eastAsia" w:ascii="宋体" w:hAnsi="宋体" w:eastAsia="宋体" w:cs="宋体"/>
                <w:color w:val="auto"/>
                <w:sz w:val="21"/>
                <w:szCs w:val="21"/>
                <w:highlight w:val="none"/>
              </w:rPr>
              <w:t>年（采购需求另有要求的，按具体要求执行</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厂家质保期超过要求年限的，按厂家规定全免费包修），质保期内负责保修，终身维修。在质保期内每年至少提供</w:t>
            </w:r>
            <w:r>
              <w:rPr>
                <w:rFonts w:hint="eastAsia" w:ascii="宋体" w:hAnsi="宋体" w:eastAsia="宋体" w:cs="宋体"/>
                <w:color w:val="auto"/>
                <w:sz w:val="21"/>
                <w:szCs w:val="21"/>
                <w:highlight w:val="none"/>
                <w:lang w:val="en-US" w:eastAsia="zh-CN"/>
              </w:rPr>
              <w:t>巡检和</w:t>
            </w:r>
            <w:r>
              <w:rPr>
                <w:rFonts w:hint="eastAsia" w:ascii="宋体" w:hAnsi="宋体" w:eastAsia="宋体" w:cs="宋体"/>
                <w:color w:val="auto"/>
                <w:sz w:val="21"/>
                <w:szCs w:val="21"/>
                <w:highlight w:val="none"/>
              </w:rPr>
              <w:t>维护保养1次（工程师差旅费、住宿费、耗材配件等所产生的全部费用均由中标人承担）。</w:t>
            </w:r>
          </w:p>
        </w:tc>
      </w:tr>
      <w:tr w14:paraId="5CEB4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1056" w:type="dxa"/>
            <w:noWrap/>
            <w:vAlign w:val="center"/>
          </w:tcPr>
          <w:p w14:paraId="1713B648">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lang w:eastAsia="zh-CN"/>
              </w:rPr>
              <w:t>）</w:t>
            </w:r>
          </w:p>
        </w:tc>
        <w:tc>
          <w:tcPr>
            <w:tcW w:w="1235" w:type="dxa"/>
            <w:noWrap/>
            <w:vAlign w:val="center"/>
          </w:tcPr>
          <w:p w14:paraId="4381B2D4">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w:t>
            </w:r>
          </w:p>
          <w:p w14:paraId="3C038FBF">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w:t>
            </w:r>
          </w:p>
        </w:tc>
        <w:tc>
          <w:tcPr>
            <w:tcW w:w="6563" w:type="dxa"/>
            <w:noWrap/>
            <w:vAlign w:val="center"/>
          </w:tcPr>
          <w:p w14:paraId="299AF263">
            <w:pPr>
              <w:keepNext w:val="0"/>
              <w:keepLines w:val="0"/>
              <w:pageBreakBefore w:val="0"/>
              <w:kinsoku/>
              <w:wordWrap/>
              <w:overflowPunct/>
              <w:topLinePunct w:val="0"/>
              <w:autoSpaceDE/>
              <w:autoSpaceDN/>
              <w:bidi w:val="0"/>
              <w:adjustRightInd/>
              <w:snapToGrid w:val="0"/>
              <w:spacing w:after="0" w:line="400" w:lineRule="exact"/>
              <w:ind w:firstLine="42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本项目履约保证金为合同总金额的5%</w:t>
            </w:r>
            <w:r>
              <w:rPr>
                <w:rFonts w:hint="eastAsia" w:ascii="宋体" w:hAnsi="宋体" w:cs="宋体"/>
                <w:color w:val="auto"/>
                <w:sz w:val="21"/>
                <w:szCs w:val="21"/>
                <w:highlight w:val="none"/>
                <w:lang w:eastAsia="zh-CN"/>
              </w:rPr>
              <w:t>（对中小</w:t>
            </w:r>
            <w:r>
              <w:rPr>
                <w:rFonts w:hint="eastAsia" w:ascii="宋体" w:hAnsi="宋体" w:cs="宋体"/>
                <w:color w:val="auto"/>
                <w:sz w:val="21"/>
                <w:szCs w:val="21"/>
                <w:highlight w:val="none"/>
                <w:lang w:val="en-US" w:eastAsia="zh-CN"/>
              </w:rPr>
              <w:t>微</w:t>
            </w:r>
            <w:r>
              <w:rPr>
                <w:rFonts w:hint="eastAsia" w:ascii="宋体" w:hAnsi="宋体" w:cs="宋体"/>
                <w:color w:val="auto"/>
                <w:sz w:val="21"/>
                <w:szCs w:val="21"/>
                <w:highlight w:val="none"/>
                <w:lang w:eastAsia="zh-CN"/>
              </w:rPr>
              <w:t>企业收取的履约保证金数额为</w:t>
            </w:r>
            <w:r>
              <w:rPr>
                <w:rFonts w:hint="eastAsia" w:ascii="宋体" w:hAnsi="宋体" w:cs="宋体"/>
                <w:color w:val="auto"/>
                <w:sz w:val="21"/>
                <w:szCs w:val="21"/>
                <w:highlight w:val="none"/>
                <w:lang w:val="en-US" w:eastAsia="zh-CN"/>
              </w:rPr>
              <w:t>合同总金额</w:t>
            </w:r>
            <w:r>
              <w:rPr>
                <w:rFonts w:hint="eastAsia" w:ascii="宋体" w:hAnsi="宋体" w:cs="宋体"/>
                <w:color w:val="auto"/>
                <w:sz w:val="21"/>
                <w:szCs w:val="21"/>
                <w:highlight w:val="none"/>
                <w:lang w:eastAsia="zh-CN"/>
              </w:rPr>
              <w:t>的2%）</w:t>
            </w:r>
            <w:r>
              <w:rPr>
                <w:rFonts w:hint="eastAsia" w:ascii="宋体" w:hAnsi="宋体" w:eastAsia="宋体" w:cs="宋体"/>
                <w:color w:val="auto"/>
                <w:sz w:val="21"/>
                <w:szCs w:val="21"/>
                <w:highlight w:val="none"/>
                <w:lang w:val="en-US" w:eastAsia="zh-CN"/>
              </w:rPr>
              <w:t>。。</w:t>
            </w:r>
          </w:p>
        </w:tc>
      </w:tr>
      <w:tr w14:paraId="544EB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1056" w:type="dxa"/>
            <w:noWrap/>
            <w:vAlign w:val="center"/>
          </w:tcPr>
          <w:p w14:paraId="2BDF2849">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lang w:eastAsia="zh-CN"/>
              </w:rPr>
              <w:t>）</w:t>
            </w:r>
          </w:p>
        </w:tc>
        <w:tc>
          <w:tcPr>
            <w:tcW w:w="1235" w:type="dxa"/>
            <w:noWrap/>
            <w:vAlign w:val="center"/>
          </w:tcPr>
          <w:p w14:paraId="4396994F">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tc>
        <w:tc>
          <w:tcPr>
            <w:tcW w:w="6563" w:type="dxa"/>
            <w:noWrap/>
            <w:vAlign w:val="center"/>
          </w:tcPr>
          <w:p w14:paraId="31DBD448">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1．检查供货范围或服务范围</w:t>
            </w:r>
          </w:p>
          <w:p w14:paraId="358578D1">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到达现场后，中标人应在采购人单位人员在场情况下当面开箱，共同清点、检查外观，作出开箱记录，双方签字确认。中标人应保证货物到达采购人所在地完好无损，如有缺漏、损坏，由中标人负责调换、补齐或赔偿。</w:t>
            </w:r>
          </w:p>
          <w:p w14:paraId="777BA60F">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2．中标人应提供完备的技术或服务资料、装箱单和合格证等，并派遣专业人员进行现场安装调试。验收合格条件如下：</w:t>
            </w:r>
          </w:p>
          <w:p w14:paraId="0DDEF712">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2.1货物或服务技术参数与招标文件中响应表或证明材料一致，性能或指标达到规定的标准，否则，以实际货物或服务技术参数与招标文件响应表参数或证明材料比较，按如下情况处理：</w:t>
            </w:r>
          </w:p>
          <w:p w14:paraId="01865002">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（1）投标人投标文件响应表或证明材料中满足或优于的技术参数，在验收时实际不满足技术参数要求的，视为投标人违约，采购人有权终止合同拒收货物，并追究投标人责任。</w:t>
            </w:r>
          </w:p>
          <w:p w14:paraId="56371007">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（2）投标人投标文件响应表或证明材料中优于的技术参数，在验收时实际仅满足并未优于技术参数要求的，视为投标人违约，采购人有权终止合同拒收货物，并追究投标人责任。</w:t>
            </w:r>
          </w:p>
          <w:p w14:paraId="4E3AB8C4">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（3）投标人投标文件响应表或证明材料中不满足的技术参数，在验收时实际满足技术参数的要求，以满足技术参数的要求验收。</w:t>
            </w:r>
          </w:p>
          <w:p w14:paraId="0231CE83">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（4）投标人投标文件响应表或证明材料中满足的技术参数，在验收时实际优于技术参数的要求，以满足技术参数的要求验收。</w:t>
            </w:r>
          </w:p>
          <w:p w14:paraId="27C21C40">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（5）投标人投标文件响应表或证明材料中优于的技术参数，在验收时实际也优于技术参数的要求，但没有达到响应表或证明材料中优于的程度，由采购人与投标人协商按是否满足要求验收。</w:t>
            </w:r>
          </w:p>
          <w:p w14:paraId="0BD90A92">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实际货物与投标货物型号不一致的，验收时不论实际是优于还是满足技术参数的要求，采购人均有权终止合同拒收货物。如影响货物或服务的使用、质量、档次及采购人需求的，还可视为投标人违约，追究投标人责任。</w:t>
            </w:r>
          </w:p>
          <w:p w14:paraId="72E85D96">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2.2技术资料、装箱单、合格证等资料齐全。</w:t>
            </w:r>
          </w:p>
          <w:p w14:paraId="41DE2ADF">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2.3在测试或试运行期间所出现的问题得到解决，并运行或工作正常。</w:t>
            </w:r>
          </w:p>
          <w:p w14:paraId="4012434B">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2.4在规定时间内完成交货及验收，并经采购人确认。</w:t>
            </w:r>
          </w:p>
          <w:p w14:paraId="41A4B624">
            <w:pPr>
              <w:keepNext w:val="0"/>
              <w:keepLines w:val="0"/>
              <w:pageBreakBefore w:val="0"/>
              <w:kinsoku/>
              <w:wordWrap/>
              <w:overflowPunct/>
              <w:topLinePunct w:val="0"/>
              <w:autoSpaceDE/>
              <w:autoSpaceDN/>
              <w:bidi w:val="0"/>
              <w:adjustRightInd/>
              <w:snapToGrid w:val="0"/>
              <w:spacing w:after="0" w:line="400" w:lineRule="exact"/>
              <w:ind w:firstLine="42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2.5如货物采购需求中明确需要检定或校准的因中标人的原因导致仪器未能通过检定或校准的，采购人有权进行退货处理，必要时延长预付款保函有效期或终止合同，并追究投标人责任。</w:t>
            </w:r>
          </w:p>
          <w:p w14:paraId="63A71037">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3．产品或服务在安装调试并试运行符合要求后，才作为最终验收。</w:t>
            </w:r>
          </w:p>
          <w:p w14:paraId="4114FE06">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4．中标人提供的货物或服务未达到招标文件规定要求，且对采购人造成损失的，由中标人承担一切责任，并赔偿所造成的损失。</w:t>
            </w:r>
          </w:p>
          <w:p w14:paraId="1956E71B">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5．采购人需要制造商对中标人交付的产品或服务（包括质量、参数等）进行确认的，制造商应予以配合并出具书面意见，相关配合事项由中标人与制造商协调。</w:t>
            </w:r>
          </w:p>
          <w:p w14:paraId="1A8AA74A">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6．产品包装材料归采购人所有。</w:t>
            </w:r>
          </w:p>
          <w:p w14:paraId="22CF0D29">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7．大型或者复杂的采购项目，采购人应当邀请具有相关资质的检测机构参加验收工作：</w:t>
            </w:r>
          </w:p>
          <w:p w14:paraId="7BCFFDCD">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7.1设备到场后，由采购人和中标人一起依据招标文件上的技术规格要求和国家有关质量标准进行现场初步验收，外观、说明书符合招标文件技术要求的，给予签收，初步验收不合格的不予签收。</w:t>
            </w:r>
          </w:p>
          <w:p w14:paraId="520CE15E">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7.2涉及行业标准的内容由采购人和厂家工程师共同完成符合性的确认。</w:t>
            </w:r>
          </w:p>
          <w:p w14:paraId="31BFB63B">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验收时对招标采购涉及参数的全部条款进行确认。参数中涉及的检出限、精密度、正确度能在常规实验室验证的，在仪器安装调试完成后由采购人员和仪器厂家工程师共同完成验证。部分检出限、精密度、正确度无法在常规实验室验证的以厂家证明文件作为验收依据。</w:t>
            </w:r>
          </w:p>
          <w:p w14:paraId="19F25065">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7.4其它参数部分以提供厂家证明文件作为验收依据。仪器正常运行，参数验证合格后，中标方配合采购人完成最终验收报告的编制。以验收报告完成时间作为质保期起始日期进行质保时间的计算。</w:t>
            </w:r>
          </w:p>
          <w:p w14:paraId="43AC1D72">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7.5完成最终验收所需要的全部费用由中标人负责。</w:t>
            </w:r>
          </w:p>
          <w:p w14:paraId="32CD32DD">
            <w:pPr>
              <w:keepNext w:val="0"/>
              <w:keepLines w:val="0"/>
              <w:pageBreakBefore w:val="0"/>
              <w:kinsoku/>
              <w:wordWrap/>
              <w:overflowPunct/>
              <w:topLinePunct w:val="0"/>
              <w:autoSpaceDE/>
              <w:autoSpaceDN/>
              <w:bidi w:val="0"/>
              <w:adjustRightInd/>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8.中标人需要提供配套的</w:t>
            </w:r>
            <w:r>
              <w:rPr>
                <w:rFonts w:hint="eastAsia" w:ascii="宋体" w:hAnsi="宋体" w:eastAsia="宋体" w:cs="宋体"/>
                <w:b w:val="0"/>
                <w:bCs w:val="0"/>
                <w:color w:val="auto"/>
                <w:sz w:val="21"/>
                <w:szCs w:val="21"/>
                <w:highlight w:val="none"/>
                <w:u w:val="none"/>
              </w:rPr>
              <w:t>检定或校准</w:t>
            </w:r>
            <w:r>
              <w:rPr>
                <w:rFonts w:hint="eastAsia" w:ascii="宋体" w:hAnsi="宋体" w:eastAsia="宋体" w:cs="宋体"/>
                <w:b w:val="0"/>
                <w:bCs w:val="0"/>
                <w:color w:val="auto"/>
                <w:sz w:val="21"/>
                <w:szCs w:val="21"/>
                <w:highlight w:val="none"/>
                <w:u w:val="none"/>
                <w:lang w:val="en-US" w:eastAsia="zh-CN"/>
              </w:rPr>
              <w:t>证书</w:t>
            </w:r>
            <w:r>
              <w:rPr>
                <w:rFonts w:hint="eastAsia" w:ascii="宋体" w:hAnsi="宋体" w:eastAsia="宋体" w:cs="宋体"/>
                <w:color w:val="auto"/>
                <w:sz w:val="21"/>
                <w:szCs w:val="21"/>
                <w:highlight w:val="none"/>
              </w:rPr>
              <w:t>。因中标人的原因导致仪器未能通过检定或校准的，采购人有权进行退货处理，必要时终止合同，并追究投标人责任。计量检定/校准服务费用及相关其他因检验产生的费用由</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人负责。如检定/校准不符合要求则按退货处理。</w:t>
            </w:r>
          </w:p>
          <w:p w14:paraId="3C15065C">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其他验收要求按第五章《合同主要条款格式》执行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并兼顾《履约验收方案》（详见附件）</w:t>
            </w:r>
            <w:r>
              <w:rPr>
                <w:rFonts w:hint="eastAsia" w:ascii="宋体" w:hAnsi="宋体" w:eastAsia="宋体" w:cs="宋体"/>
                <w:color w:val="auto"/>
                <w:sz w:val="21"/>
                <w:szCs w:val="21"/>
                <w:highlight w:val="none"/>
              </w:rPr>
              <w:t>，未尽事宜按照相关法律法规规定执行。</w:t>
            </w:r>
          </w:p>
        </w:tc>
      </w:tr>
      <w:tr w14:paraId="45BA3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56" w:type="dxa"/>
            <w:noWrap/>
            <w:vAlign w:val="center"/>
          </w:tcPr>
          <w:p w14:paraId="17B30CEE">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九</w:t>
            </w:r>
            <w:r>
              <w:rPr>
                <w:rFonts w:hint="eastAsia" w:ascii="宋体" w:hAnsi="宋体" w:eastAsia="宋体" w:cs="宋体"/>
                <w:color w:val="auto"/>
                <w:sz w:val="21"/>
                <w:szCs w:val="21"/>
                <w:highlight w:val="none"/>
                <w:lang w:eastAsia="zh-CN"/>
              </w:rPr>
              <w:t>）</w:t>
            </w:r>
          </w:p>
        </w:tc>
        <w:tc>
          <w:tcPr>
            <w:tcW w:w="1235" w:type="dxa"/>
            <w:noWrap/>
            <w:vAlign w:val="center"/>
          </w:tcPr>
          <w:p w14:paraId="4CC608DF">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售后技术服务要求</w:t>
            </w:r>
          </w:p>
        </w:tc>
        <w:tc>
          <w:tcPr>
            <w:tcW w:w="6563" w:type="dxa"/>
            <w:noWrap/>
            <w:vAlign w:val="center"/>
          </w:tcPr>
          <w:p w14:paraId="462EA5D8">
            <w:pPr>
              <w:keepNext w:val="0"/>
              <w:keepLines w:val="0"/>
              <w:pageBreakBefore w:val="0"/>
              <w:widowControl/>
              <w:kinsoku/>
              <w:wordWrap/>
              <w:overflowPunct/>
              <w:topLinePunct w:val="0"/>
              <w:autoSpaceDE/>
              <w:autoSpaceDN/>
              <w:bidi w:val="0"/>
              <w:adjustRightInd/>
              <w:snapToGrid/>
              <w:spacing w:after="0" w:line="400" w:lineRule="exact"/>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所投产品如果高于招标要求时，应提供足以证明的技术支持资料。</w:t>
            </w:r>
          </w:p>
          <w:p w14:paraId="6B34F9B1">
            <w:pPr>
              <w:keepNext w:val="0"/>
              <w:keepLines w:val="0"/>
              <w:pageBreakBefore w:val="0"/>
              <w:widowControl/>
              <w:kinsoku/>
              <w:wordWrap/>
              <w:overflowPunct/>
              <w:topLinePunct w:val="0"/>
              <w:autoSpaceDE/>
              <w:autoSpaceDN/>
              <w:bidi w:val="0"/>
              <w:adjustRightInd/>
              <w:snapToGrid/>
              <w:spacing w:after="0" w:line="400" w:lineRule="exact"/>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投标产品必须是按厂家标准配置的整套全新，具备正规合法经销渠道的，符合国家各项有关质量标准的合格产品。相关部件及服务满足以上各项要求。若产品在运输过程中损坏或擦伤须无偿调换相同产品。</w:t>
            </w:r>
          </w:p>
          <w:p w14:paraId="0A850390">
            <w:pPr>
              <w:keepNext w:val="0"/>
              <w:keepLines w:val="0"/>
              <w:pageBreakBefore w:val="0"/>
              <w:widowControl/>
              <w:kinsoku/>
              <w:wordWrap/>
              <w:overflowPunct/>
              <w:topLinePunct w:val="0"/>
              <w:autoSpaceDE/>
              <w:autoSpaceDN/>
              <w:bidi w:val="0"/>
              <w:adjustRightInd/>
              <w:snapToGrid/>
              <w:spacing w:after="0" w:line="400" w:lineRule="exact"/>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投标报价包含货物、随配附件、备品备件、工具、运抵指定交货地点、安装、安装调试、安装所需材料、委托培训费和售后服务、税金、检验、验收及其他所有成本费用的总和。</w:t>
            </w:r>
          </w:p>
          <w:p w14:paraId="5E8621E0">
            <w:pPr>
              <w:keepNext w:val="0"/>
              <w:keepLines w:val="0"/>
              <w:pageBreakBefore w:val="0"/>
              <w:widowControl/>
              <w:kinsoku/>
              <w:wordWrap/>
              <w:overflowPunct/>
              <w:topLinePunct w:val="0"/>
              <w:autoSpaceDE/>
              <w:autoSpaceDN/>
              <w:bidi w:val="0"/>
              <w:adjustRightInd/>
              <w:snapToGrid/>
              <w:spacing w:after="0" w:line="400" w:lineRule="exact"/>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免费送货上门并卸至采购人指定地点，免费负责采购人维修、操作、技术人员的培训服务，并无偿提供培训资料和培训师资。使用户相关维修、操作人员具备了解设备结构、工作原理，熟练操作设备，并能排除一般故障的能力；交货及采购人安装调试过程中，中标人应免费派专业技术人员到交货安装现场进行技术指导及相关技术服务，向采购人交相关试验数据、报告及采购人要求提供的相关技术文件，直至达到验收要求。</w:t>
            </w:r>
          </w:p>
          <w:p w14:paraId="1E83034C">
            <w:pPr>
              <w:keepNext w:val="0"/>
              <w:keepLines w:val="0"/>
              <w:pageBreakBefore w:val="0"/>
              <w:widowControl/>
              <w:kinsoku/>
              <w:wordWrap/>
              <w:overflowPunct/>
              <w:topLinePunct w:val="0"/>
              <w:autoSpaceDE/>
              <w:autoSpaceDN/>
              <w:bidi w:val="0"/>
              <w:adjustRightInd/>
              <w:snapToGrid/>
              <w:spacing w:after="0" w:line="400" w:lineRule="exact"/>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服务体系：投标人须在</w:t>
            </w:r>
            <w:r>
              <w:rPr>
                <w:rFonts w:hint="eastAsia" w:ascii="宋体" w:hAnsi="宋体" w:eastAsia="宋体" w:cs="宋体"/>
                <w:color w:val="auto"/>
                <w:kern w:val="0"/>
                <w:sz w:val="21"/>
                <w:szCs w:val="21"/>
                <w:highlight w:val="none"/>
                <w:lang w:val="en-US" w:eastAsia="zh-CN"/>
              </w:rPr>
              <w:t>采购人提出的技术问题后24小时内予以反馈</w:t>
            </w:r>
            <w:r>
              <w:rPr>
                <w:rFonts w:hint="eastAsia" w:ascii="宋体" w:hAnsi="宋体" w:cs="宋体"/>
                <w:color w:val="auto"/>
                <w:kern w:val="0"/>
                <w:sz w:val="21"/>
                <w:szCs w:val="21"/>
                <w:highlight w:val="none"/>
                <w:lang w:val="en-US" w:eastAsia="zh-CN"/>
              </w:rPr>
              <w:t>解决</w:t>
            </w:r>
            <w:r>
              <w:rPr>
                <w:rFonts w:hint="eastAsia" w:ascii="宋体" w:hAnsi="宋体" w:eastAsia="宋体" w:cs="宋体"/>
                <w:color w:val="auto"/>
                <w:kern w:val="0"/>
                <w:sz w:val="21"/>
                <w:szCs w:val="21"/>
                <w:highlight w:val="none"/>
              </w:rPr>
              <w:t>。</w:t>
            </w:r>
          </w:p>
          <w:p w14:paraId="41436AB8">
            <w:pPr>
              <w:keepNext w:val="0"/>
              <w:keepLines w:val="0"/>
              <w:pageBreakBefore w:val="0"/>
              <w:widowControl/>
              <w:kinsoku/>
              <w:wordWrap/>
              <w:overflowPunct/>
              <w:topLinePunct w:val="0"/>
              <w:autoSpaceDE/>
              <w:autoSpaceDN/>
              <w:bidi w:val="0"/>
              <w:adjustRightInd/>
              <w:snapToGrid/>
              <w:spacing w:after="0" w:line="400" w:lineRule="exact"/>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投标人必须提供详细的售后服务承诺方案。</w:t>
            </w:r>
          </w:p>
          <w:p w14:paraId="0C3552F7">
            <w:pPr>
              <w:keepNext w:val="0"/>
              <w:keepLines w:val="0"/>
              <w:pageBreakBefore w:val="0"/>
              <w:kinsoku/>
              <w:wordWrap/>
              <w:overflowPunct/>
              <w:topLinePunct w:val="0"/>
              <w:autoSpaceDE/>
              <w:autoSpaceDN/>
              <w:bidi w:val="0"/>
              <w:adjustRightInd/>
              <w:snapToGrid/>
              <w:spacing w:after="0"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在质保期内，如中标人不按</w:t>
            </w:r>
            <w:r>
              <w:rPr>
                <w:rFonts w:hint="eastAsia" w:ascii="宋体" w:hAnsi="宋体" w:eastAsia="宋体" w:cs="宋体"/>
                <w:color w:val="auto"/>
                <w:sz w:val="21"/>
                <w:szCs w:val="21"/>
                <w:highlight w:val="none"/>
                <w:lang w:eastAsia="zh-CN"/>
              </w:rPr>
              <w:t>质保要求进行</w:t>
            </w:r>
            <w:r>
              <w:rPr>
                <w:rFonts w:hint="eastAsia" w:ascii="宋体" w:hAnsi="宋体" w:eastAsia="宋体" w:cs="宋体"/>
                <w:color w:val="auto"/>
                <w:sz w:val="21"/>
                <w:szCs w:val="21"/>
                <w:highlight w:val="none"/>
              </w:rPr>
              <w:t>质保，导致仪器设备及车辆发生维修费用（以维修发票为准），由中标人支付。</w:t>
            </w:r>
          </w:p>
        </w:tc>
      </w:tr>
      <w:tr w14:paraId="726EF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0" w:hRule="atLeast"/>
          <w:jc w:val="center"/>
        </w:trPr>
        <w:tc>
          <w:tcPr>
            <w:tcW w:w="1056" w:type="dxa"/>
            <w:noWrap/>
            <w:vAlign w:val="center"/>
          </w:tcPr>
          <w:p w14:paraId="33ECF30C">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w:t>
            </w:r>
            <w:r>
              <w:rPr>
                <w:rFonts w:hint="eastAsia" w:ascii="宋体" w:hAnsi="宋体" w:eastAsia="宋体" w:cs="宋体"/>
                <w:color w:val="auto"/>
                <w:sz w:val="21"/>
                <w:szCs w:val="21"/>
                <w:highlight w:val="none"/>
                <w:lang w:eastAsia="zh-CN"/>
              </w:rPr>
              <w:t>）</w:t>
            </w:r>
          </w:p>
        </w:tc>
        <w:tc>
          <w:tcPr>
            <w:tcW w:w="1235" w:type="dxa"/>
            <w:noWrap/>
            <w:vAlign w:val="center"/>
          </w:tcPr>
          <w:p w14:paraId="6572B39E">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w:t>
            </w:r>
          </w:p>
        </w:tc>
        <w:tc>
          <w:tcPr>
            <w:tcW w:w="6563" w:type="dxa"/>
            <w:noWrap/>
            <w:vAlign w:val="center"/>
          </w:tcPr>
          <w:p w14:paraId="4F808C67">
            <w:pPr>
              <w:keepNext w:val="0"/>
              <w:keepLines w:val="0"/>
              <w:pageBreakBefore w:val="0"/>
              <w:kinsoku/>
              <w:wordWrap/>
              <w:overflowPunct/>
              <w:topLinePunct w:val="0"/>
              <w:autoSpaceDE/>
              <w:autoSpaceDN/>
              <w:bidi w:val="0"/>
              <w:adjustRightInd/>
              <w:snapToGrid w:val="0"/>
              <w:spacing w:after="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投标人对其提供产品或服务的使用和操作应尽培训义务。投标人应提供对采购人的基本培训，安装验收期间，</w:t>
            </w:r>
            <w:r>
              <w:rPr>
                <w:rFonts w:hint="eastAsia" w:ascii="宋体" w:hAnsi="宋体" w:eastAsia="宋体" w:cs="宋体"/>
                <w:color w:val="auto"/>
                <w:sz w:val="21"/>
                <w:szCs w:val="21"/>
                <w:highlight w:val="none"/>
                <w:lang w:val="zh-CN"/>
              </w:rPr>
              <w:t>须根据用户需求提供</w:t>
            </w:r>
            <w:r>
              <w:rPr>
                <w:rFonts w:hint="eastAsia" w:ascii="宋体" w:hAnsi="宋体" w:eastAsia="宋体" w:cs="宋体"/>
                <w:color w:val="auto"/>
                <w:sz w:val="21"/>
                <w:szCs w:val="21"/>
                <w:highlight w:val="none"/>
              </w:rPr>
              <w:t>进行现场技术培训，必须包括仪器使用</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使采购人使用人员熟练掌握所培训内容，熟练掌握全部功能，培训的相关费用包括在投标报价中，采购人不再另行支付。</w:t>
            </w:r>
          </w:p>
          <w:p w14:paraId="7873E3CB">
            <w:pPr>
              <w:keepNext w:val="0"/>
              <w:keepLines w:val="0"/>
              <w:pageBreakBefore w:val="0"/>
              <w:kinsoku/>
              <w:wordWrap/>
              <w:overflowPunct/>
              <w:topLinePunct w:val="0"/>
              <w:autoSpaceDE/>
              <w:autoSpaceDN/>
              <w:bidi w:val="0"/>
              <w:adjustRightInd/>
              <w:snapToGrid w:val="0"/>
              <w:spacing w:after="0" w:line="400" w:lineRule="exact"/>
              <w:ind w:firstLine="422"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2.“电感耦合等离子体质谱仪”“电感耦合等离子体发射光谱仪”“原子吸收光谱仪”</w:t>
            </w:r>
            <w:r>
              <w:rPr>
                <w:rFonts w:hint="eastAsia" w:ascii="宋体" w:hAnsi="宋体" w:eastAsia="宋体" w:cs="宋体"/>
                <w:b/>
                <w:bCs/>
                <w:color w:val="auto"/>
                <w:sz w:val="21"/>
                <w:szCs w:val="21"/>
                <w:highlight w:val="none"/>
                <w:lang w:val="es-ES"/>
              </w:rPr>
              <w:t>原厂</w:t>
            </w:r>
            <w:r>
              <w:rPr>
                <w:rFonts w:hint="eastAsia" w:ascii="宋体" w:hAnsi="宋体" w:eastAsia="宋体" w:cs="宋体"/>
                <w:b/>
                <w:bCs/>
                <w:color w:val="auto"/>
                <w:sz w:val="21"/>
                <w:szCs w:val="21"/>
                <w:highlight w:val="none"/>
                <w:lang w:val="en-US" w:eastAsia="zh-CN"/>
              </w:rPr>
              <w:t>按采购人时间安排配备4</w:t>
            </w:r>
            <w:r>
              <w:rPr>
                <w:rFonts w:hint="eastAsia" w:ascii="宋体" w:hAnsi="宋体" w:eastAsia="宋体" w:cs="宋体"/>
                <w:b/>
                <w:bCs/>
                <w:color w:val="auto"/>
                <w:sz w:val="21"/>
                <w:szCs w:val="21"/>
                <w:highlight w:val="none"/>
                <w:lang w:val="es-ES"/>
              </w:rPr>
              <w:t>个培训名额</w:t>
            </w:r>
            <w:r>
              <w:rPr>
                <w:rFonts w:hint="eastAsia" w:ascii="宋体" w:hAnsi="宋体" w:eastAsia="宋体" w:cs="宋体"/>
                <w:b/>
                <w:bCs/>
                <w:color w:val="auto"/>
                <w:sz w:val="21"/>
                <w:szCs w:val="21"/>
                <w:highlight w:val="none"/>
                <w:lang w:val="en-US" w:eastAsia="zh-CN"/>
              </w:rPr>
              <w:t>。</w:t>
            </w:r>
          </w:p>
        </w:tc>
      </w:tr>
      <w:tr w14:paraId="11183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3" w:hRule="atLeast"/>
          <w:jc w:val="center"/>
        </w:trPr>
        <w:tc>
          <w:tcPr>
            <w:tcW w:w="1056" w:type="dxa"/>
            <w:noWrap/>
            <w:vAlign w:val="center"/>
          </w:tcPr>
          <w:p w14:paraId="6900AB2E">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十一</w:t>
            </w:r>
            <w:r>
              <w:rPr>
                <w:rFonts w:hint="eastAsia" w:ascii="宋体" w:hAnsi="宋体" w:eastAsia="宋体" w:cs="宋体"/>
                <w:color w:val="auto"/>
                <w:sz w:val="21"/>
                <w:szCs w:val="21"/>
                <w:highlight w:val="none"/>
                <w:lang w:eastAsia="zh-CN"/>
              </w:rPr>
              <w:t>）</w:t>
            </w:r>
          </w:p>
        </w:tc>
        <w:tc>
          <w:tcPr>
            <w:tcW w:w="1235" w:type="dxa"/>
            <w:noWrap/>
            <w:vAlign w:val="center"/>
          </w:tcPr>
          <w:p w14:paraId="7040F4B5">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知识产权</w:t>
            </w:r>
          </w:p>
        </w:tc>
        <w:tc>
          <w:tcPr>
            <w:tcW w:w="6563" w:type="dxa"/>
            <w:noWrap/>
            <w:vAlign w:val="center"/>
          </w:tcPr>
          <w:p w14:paraId="7ED3EB61">
            <w:pPr>
              <w:keepNext w:val="0"/>
              <w:keepLines w:val="0"/>
              <w:pageBreakBefore w:val="0"/>
              <w:kinsoku/>
              <w:wordWrap/>
              <w:overflowPunct/>
              <w:topLinePunct w:val="0"/>
              <w:autoSpaceDE/>
              <w:autoSpaceDN/>
              <w:bidi w:val="0"/>
              <w:adjustRightInd/>
              <w:snapToGrid w:val="0"/>
              <w:spacing w:after="0"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采购人在中华人民共和国境内使用投标人提供的产品及服务时免受第三方提出的侵犯其专利权或其它知识产权的起诉。如果第三方提出侵权指控，中标人应承担由此而引起的一切法律责任和费用。</w:t>
            </w:r>
          </w:p>
        </w:tc>
      </w:tr>
      <w:tr w14:paraId="4AF46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056" w:type="dxa"/>
            <w:noWrap/>
            <w:vAlign w:val="center"/>
          </w:tcPr>
          <w:p w14:paraId="441BA2B8">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（十二）</w:t>
            </w:r>
          </w:p>
        </w:tc>
        <w:tc>
          <w:tcPr>
            <w:tcW w:w="1235" w:type="dxa"/>
            <w:noWrap/>
            <w:vAlign w:val="center"/>
          </w:tcPr>
          <w:p w14:paraId="62526612">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进口产品</w:t>
            </w:r>
          </w:p>
        </w:tc>
        <w:tc>
          <w:tcPr>
            <w:tcW w:w="6563" w:type="dxa"/>
            <w:noWrap/>
            <w:vAlign w:val="center"/>
          </w:tcPr>
          <w:p w14:paraId="7D7075F5">
            <w:pPr>
              <w:keepNext w:val="0"/>
              <w:keepLines w:val="0"/>
              <w:pageBreakBefore w:val="0"/>
              <w:kinsoku/>
              <w:wordWrap/>
              <w:overflowPunct/>
              <w:topLinePunct w:val="0"/>
              <w:autoSpaceDE/>
              <w:autoSpaceDN/>
              <w:bidi w:val="0"/>
              <w:adjustRightInd/>
              <w:spacing w:after="0" w:line="40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本分标不接受进口产品（即通过中国海关报关验放进入中国境内且产自关境外的产品）参与投标，如有此类产品参与投标的做无效标处理。</w:t>
            </w:r>
          </w:p>
        </w:tc>
      </w:tr>
      <w:tr w14:paraId="78398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056" w:type="dxa"/>
            <w:noWrap/>
            <w:vAlign w:val="center"/>
          </w:tcPr>
          <w:p w14:paraId="19D2F732">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（十三）</w:t>
            </w:r>
          </w:p>
        </w:tc>
        <w:tc>
          <w:tcPr>
            <w:tcW w:w="1235" w:type="dxa"/>
            <w:noWrap/>
            <w:vAlign w:val="center"/>
          </w:tcPr>
          <w:p w14:paraId="5EEDAB60">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原厂商授权及相关要求</w:t>
            </w:r>
          </w:p>
        </w:tc>
        <w:tc>
          <w:tcPr>
            <w:tcW w:w="6563" w:type="dxa"/>
            <w:noWrap/>
            <w:vAlign w:val="center"/>
          </w:tcPr>
          <w:p w14:paraId="0007F089">
            <w:pPr>
              <w:keepNext w:val="0"/>
              <w:keepLines w:val="0"/>
              <w:pageBreakBefore w:val="0"/>
              <w:kinsoku/>
              <w:wordWrap/>
              <w:overflowPunct/>
              <w:topLinePunct w:val="0"/>
              <w:autoSpaceDE/>
              <w:autoSpaceDN/>
              <w:bidi w:val="0"/>
              <w:adjustRightInd/>
              <w:spacing w:after="0" w:line="400" w:lineRule="exact"/>
              <w:ind w:firstLine="42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无。</w:t>
            </w:r>
          </w:p>
        </w:tc>
      </w:tr>
      <w:tr w14:paraId="4EB0E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056" w:type="dxa"/>
            <w:noWrap/>
            <w:vAlign w:val="center"/>
          </w:tcPr>
          <w:p w14:paraId="59494E60">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（十四）</w:t>
            </w:r>
          </w:p>
        </w:tc>
        <w:tc>
          <w:tcPr>
            <w:tcW w:w="1235" w:type="dxa"/>
            <w:noWrap/>
            <w:vAlign w:val="center"/>
          </w:tcPr>
          <w:p w14:paraId="6649A804">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中小企业说明</w:t>
            </w:r>
          </w:p>
        </w:tc>
        <w:tc>
          <w:tcPr>
            <w:tcW w:w="6563" w:type="dxa"/>
            <w:noWrap/>
            <w:vAlign w:val="center"/>
          </w:tcPr>
          <w:p w14:paraId="1909AB7A">
            <w:pPr>
              <w:keepNext w:val="0"/>
              <w:keepLines w:val="0"/>
              <w:pageBreakBefore w:val="0"/>
              <w:kinsoku/>
              <w:wordWrap/>
              <w:overflowPunct/>
              <w:topLinePunct w:val="0"/>
              <w:autoSpaceDE/>
              <w:autoSpaceDN/>
              <w:bidi w:val="0"/>
              <w:adjustRightInd/>
              <w:spacing w:after="0" w:line="400" w:lineRule="exact"/>
              <w:ind w:firstLine="420" w:firstLineChars="200"/>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none"/>
                <w:lang w:val="en-US" w:eastAsia="zh-CN"/>
              </w:rPr>
              <w:t>本分标非专门面向中小企业。</w:t>
            </w:r>
          </w:p>
        </w:tc>
      </w:tr>
      <w:tr w14:paraId="184BA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056" w:type="dxa"/>
            <w:noWrap/>
            <w:vAlign w:val="center"/>
          </w:tcPr>
          <w:p w14:paraId="13E9CF49">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（十五）</w:t>
            </w:r>
          </w:p>
        </w:tc>
        <w:tc>
          <w:tcPr>
            <w:tcW w:w="1235" w:type="dxa"/>
            <w:noWrap/>
            <w:vAlign w:val="center"/>
          </w:tcPr>
          <w:p w14:paraId="10198DB8">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负偏离要求</w:t>
            </w:r>
          </w:p>
        </w:tc>
        <w:tc>
          <w:tcPr>
            <w:tcW w:w="6563" w:type="dxa"/>
            <w:noWrap/>
            <w:vAlign w:val="center"/>
          </w:tcPr>
          <w:p w14:paraId="2AA02C7C">
            <w:pPr>
              <w:keepNext w:val="0"/>
              <w:keepLines w:val="0"/>
              <w:pageBreakBefore w:val="0"/>
              <w:kinsoku/>
              <w:wordWrap/>
              <w:overflowPunct/>
              <w:topLinePunct w:val="0"/>
              <w:autoSpaceDE/>
              <w:autoSpaceDN/>
              <w:bidi w:val="0"/>
              <w:adjustRightInd/>
              <w:spacing w:after="0" w:line="400" w:lineRule="exact"/>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本分标商务要求允许0项负偏离。</w:t>
            </w:r>
          </w:p>
        </w:tc>
      </w:tr>
      <w:tr w14:paraId="2F905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1056" w:type="dxa"/>
            <w:noWrap/>
            <w:vAlign w:val="center"/>
          </w:tcPr>
          <w:p w14:paraId="04F1E8DA">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（十六）</w:t>
            </w:r>
          </w:p>
        </w:tc>
        <w:tc>
          <w:tcPr>
            <w:tcW w:w="1235" w:type="dxa"/>
            <w:noWrap/>
            <w:vAlign w:val="center"/>
          </w:tcPr>
          <w:p w14:paraId="5334C472">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6563" w:type="dxa"/>
            <w:noWrap/>
            <w:vAlign w:val="center"/>
          </w:tcPr>
          <w:p w14:paraId="3BF25610">
            <w:pPr>
              <w:keepNext w:val="0"/>
              <w:keepLines w:val="0"/>
              <w:pageBreakBefore w:val="0"/>
              <w:kinsoku/>
              <w:wordWrap/>
              <w:overflowPunct/>
              <w:topLinePunct w:val="0"/>
              <w:autoSpaceDE/>
              <w:autoSpaceDN/>
              <w:bidi w:val="0"/>
              <w:adjustRightInd/>
              <w:spacing w:after="0"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1.中标人提供的硬件设备及软件的技术参数、配置和性能指标必须为真实有效，如有提供虚假材料谋取中标的，按政府采购相关法规处罚，并追究其相应的法律责任。</w:t>
            </w:r>
          </w:p>
          <w:p w14:paraId="768B1E0F">
            <w:pPr>
              <w:keepNext w:val="0"/>
              <w:keepLines w:val="0"/>
              <w:pageBreakBefore w:val="0"/>
              <w:kinsoku/>
              <w:wordWrap/>
              <w:overflowPunct/>
              <w:topLinePunct w:val="0"/>
              <w:autoSpaceDE/>
              <w:autoSpaceDN/>
              <w:bidi w:val="0"/>
              <w:adjustRightInd/>
              <w:spacing w:after="0"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2.中标产品必须是按厂家标准配置的整套全新，具备正规合法经销渠道的，符合国家各项有关质量标准的合格产品。相关部件及服务满足以上各项要求。若产品在运输过程中损坏或擦伤须无偿调换相同产品。</w:t>
            </w:r>
          </w:p>
          <w:p w14:paraId="1F301428">
            <w:pPr>
              <w:keepNext w:val="0"/>
              <w:keepLines w:val="0"/>
              <w:pageBreakBefore w:val="0"/>
              <w:kinsoku/>
              <w:wordWrap/>
              <w:overflowPunct/>
              <w:topLinePunct w:val="0"/>
              <w:autoSpaceDE/>
              <w:autoSpaceDN/>
              <w:bidi w:val="0"/>
              <w:adjustRightInd/>
              <w:snapToGrid/>
              <w:spacing w:after="0"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3.中标人提供的货物包装应符合《财政部等三部门联合印发商品包装和快递包装政府采购需求标准（试行）》财办库〔2020〕123号相关要求。</w:t>
            </w:r>
          </w:p>
        </w:tc>
      </w:tr>
    </w:tbl>
    <w:p w14:paraId="725FF34E">
      <w:pPr>
        <w:rPr>
          <w:rFonts w:hint="eastAsia"/>
          <w:color w:val="auto"/>
          <w:highlight w:val="none"/>
          <w:lang w:val="en-US" w:eastAsia="zh-CN"/>
        </w:rPr>
      </w:pPr>
    </w:p>
    <w:p w14:paraId="45C00A08">
      <w:pP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br w:type="page"/>
      </w:r>
    </w:p>
    <w:p w14:paraId="489E657C">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color w:val="auto"/>
          <w:kern w:val="0"/>
          <w:sz w:val="21"/>
          <w:szCs w:val="21"/>
          <w:highlight w:val="none"/>
          <w:lang w:val="en-US" w:eastAsia="zh-CN" w:bidi="ar-SA"/>
        </w:rPr>
      </w:pPr>
      <w:bookmarkStart w:id="117" w:name="_Toc21777"/>
      <w:bookmarkStart w:id="118" w:name="_Toc5357"/>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六</w:t>
      </w:r>
      <w:r>
        <w:rPr>
          <w:rFonts w:hint="eastAsia" w:ascii="宋体" w:hAnsi="宋体" w:eastAsia="宋体" w:cs="宋体"/>
          <w:b/>
          <w:bCs/>
          <w:color w:val="auto"/>
          <w:kern w:val="0"/>
          <w:sz w:val="21"/>
          <w:szCs w:val="21"/>
          <w:highlight w:val="none"/>
          <w:lang w:val="en-US" w:eastAsia="zh-CN" w:bidi="ar-SA"/>
        </w:rPr>
        <w:t>）标项</w:t>
      </w:r>
      <w:r>
        <w:rPr>
          <w:rFonts w:hint="eastAsia" w:ascii="宋体" w:hAnsi="宋体" w:cs="宋体"/>
          <w:b/>
          <w:bCs/>
          <w:color w:val="auto"/>
          <w:kern w:val="0"/>
          <w:sz w:val="21"/>
          <w:szCs w:val="21"/>
          <w:highlight w:val="none"/>
          <w:lang w:val="en-US" w:eastAsia="zh-CN" w:bidi="ar-SA"/>
        </w:rPr>
        <w:t>六</w:t>
      </w:r>
      <w:r>
        <w:rPr>
          <w:rFonts w:hint="eastAsia" w:ascii="宋体" w:hAnsi="宋体" w:eastAsia="宋体" w:cs="宋体"/>
          <w:b/>
          <w:bCs/>
          <w:color w:val="auto"/>
          <w:kern w:val="0"/>
          <w:sz w:val="21"/>
          <w:szCs w:val="21"/>
          <w:highlight w:val="none"/>
          <w:lang w:val="en-US" w:eastAsia="zh-CN" w:bidi="ar-SA"/>
        </w:rPr>
        <w:t>（分包</w:t>
      </w:r>
      <w:r>
        <w:rPr>
          <w:rFonts w:hint="eastAsia" w:ascii="宋体" w:hAnsi="宋体" w:cs="宋体"/>
          <w:b/>
          <w:bCs/>
          <w:color w:val="auto"/>
          <w:kern w:val="0"/>
          <w:sz w:val="21"/>
          <w:szCs w:val="21"/>
          <w:highlight w:val="none"/>
          <w:lang w:val="en-US" w:eastAsia="zh-CN" w:bidi="ar-SA"/>
        </w:rPr>
        <w:t>6</w:t>
      </w:r>
      <w:r>
        <w:rPr>
          <w:rFonts w:hint="eastAsia" w:ascii="宋体" w:hAnsi="宋体" w:eastAsia="宋体" w:cs="宋体"/>
          <w:b/>
          <w:bCs/>
          <w:color w:val="auto"/>
          <w:kern w:val="0"/>
          <w:sz w:val="21"/>
          <w:szCs w:val="21"/>
          <w:highlight w:val="none"/>
          <w:lang w:val="en-US" w:eastAsia="zh-CN" w:bidi="ar-SA"/>
        </w:rPr>
        <w:t>）的</w:t>
      </w:r>
      <w:r>
        <w:rPr>
          <w:rFonts w:hint="eastAsia" w:ascii="宋体" w:hAnsi="宋体" w:cs="宋体"/>
          <w:b/>
          <w:bCs/>
          <w:color w:val="auto"/>
          <w:kern w:val="0"/>
          <w:sz w:val="21"/>
          <w:szCs w:val="21"/>
          <w:highlight w:val="none"/>
          <w:lang w:val="en-US" w:eastAsia="zh-CN" w:bidi="ar-SA"/>
        </w:rPr>
        <w:t>商务</w:t>
      </w:r>
      <w:r>
        <w:rPr>
          <w:rFonts w:hint="eastAsia" w:ascii="宋体" w:hAnsi="宋体" w:eastAsia="宋体" w:cs="宋体"/>
          <w:b/>
          <w:bCs/>
          <w:color w:val="auto"/>
          <w:kern w:val="0"/>
          <w:sz w:val="21"/>
          <w:szCs w:val="21"/>
          <w:highlight w:val="none"/>
          <w:lang w:val="en-US" w:eastAsia="zh-CN" w:bidi="ar-SA"/>
        </w:rPr>
        <w:t>要求</w:t>
      </w:r>
      <w:bookmarkEnd w:id="117"/>
      <w:bookmarkEnd w:id="118"/>
    </w:p>
    <w:tbl>
      <w:tblPr>
        <w:tblStyle w:val="48"/>
        <w:tblW w:w="88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2"/>
        <w:gridCol w:w="1188"/>
        <w:gridCol w:w="6574"/>
      </w:tblGrid>
      <w:tr w14:paraId="1A100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1092" w:type="dxa"/>
            <w:noWrap/>
            <w:vAlign w:val="center"/>
          </w:tcPr>
          <w:p w14:paraId="23E6ECDA">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88" w:type="dxa"/>
            <w:noWrap/>
            <w:vAlign w:val="center"/>
          </w:tcPr>
          <w:p w14:paraId="36B16B20">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商务条款</w:t>
            </w:r>
          </w:p>
        </w:tc>
        <w:tc>
          <w:tcPr>
            <w:tcW w:w="6574" w:type="dxa"/>
            <w:noWrap/>
            <w:vAlign w:val="center"/>
          </w:tcPr>
          <w:p w14:paraId="49BD386F">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商务要求</w:t>
            </w:r>
          </w:p>
        </w:tc>
      </w:tr>
      <w:tr w14:paraId="15F53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1092" w:type="dxa"/>
            <w:noWrap/>
            <w:vAlign w:val="center"/>
          </w:tcPr>
          <w:p w14:paraId="24DF2EC1">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p>
        </w:tc>
        <w:tc>
          <w:tcPr>
            <w:tcW w:w="1188" w:type="dxa"/>
            <w:noWrap/>
            <w:vAlign w:val="center"/>
          </w:tcPr>
          <w:p w14:paraId="62FCF87C">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报价要求</w:t>
            </w:r>
          </w:p>
        </w:tc>
        <w:tc>
          <w:tcPr>
            <w:tcW w:w="6574" w:type="dxa"/>
            <w:noWrap/>
            <w:vAlign w:val="center"/>
          </w:tcPr>
          <w:p w14:paraId="4DF156D0">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报价须为人民币报价，包含产品价、运输费（含装卸费）、保险费、安装调试费（仪器安装所需要水电改造及实验室改造费用）、税费、培训费、产品检测费、产品质保期内维护费等费用。对于本文件中明确列明必须报价的货物或服务，投标人应分别报价。对于本文件中未列明，而投标人认为必需的费用也需列入总报价。在合同实施时，采购人将不予支付中标人没有列入的项目费用，并认为此项目的费用已包括在投标总报价中。</w:t>
            </w:r>
          </w:p>
        </w:tc>
      </w:tr>
      <w:tr w14:paraId="270F1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092" w:type="dxa"/>
            <w:noWrap/>
            <w:vAlign w:val="center"/>
          </w:tcPr>
          <w:p w14:paraId="61D4722F">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p>
        </w:tc>
        <w:tc>
          <w:tcPr>
            <w:tcW w:w="1188" w:type="dxa"/>
            <w:noWrap/>
            <w:vAlign w:val="center"/>
          </w:tcPr>
          <w:p w14:paraId="0166F3D9">
            <w:pPr>
              <w:keepNext w:val="0"/>
              <w:keepLines w:val="0"/>
              <w:pageBreakBefore w:val="0"/>
              <w:kinsoku/>
              <w:wordWrap/>
              <w:overflowPunct/>
              <w:topLinePunct w:val="0"/>
              <w:autoSpaceDE/>
              <w:autoSpaceDN/>
              <w:bidi w:val="0"/>
              <w:adjustRightInd/>
              <w:spacing w:after="0" w:line="400" w:lineRule="exact"/>
              <w:ind w:left="-107" w:leftChars="-51" w:firstLine="126" w:firstLineChars="6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签订合同时限</w:t>
            </w:r>
          </w:p>
        </w:tc>
        <w:tc>
          <w:tcPr>
            <w:tcW w:w="6574" w:type="dxa"/>
            <w:noWrap/>
            <w:vAlign w:val="center"/>
          </w:tcPr>
          <w:p w14:paraId="75E22919">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自中标通知书发出之日起</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5日内。</w:t>
            </w:r>
          </w:p>
        </w:tc>
      </w:tr>
      <w:tr w14:paraId="291C6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jc w:val="center"/>
        </w:trPr>
        <w:tc>
          <w:tcPr>
            <w:tcW w:w="1092" w:type="dxa"/>
            <w:noWrap/>
            <w:vAlign w:val="center"/>
          </w:tcPr>
          <w:p w14:paraId="7803F554">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lang w:val="en-US" w:eastAsia="zh-CN"/>
              </w:rPr>
              <w:t>三</w:t>
            </w:r>
            <w:r>
              <w:rPr>
                <w:rFonts w:hint="eastAsia" w:ascii="宋体" w:hAnsi="宋体" w:eastAsia="宋体" w:cs="宋体"/>
                <w:color w:val="auto"/>
                <w:sz w:val="21"/>
                <w:szCs w:val="21"/>
                <w:highlight w:val="none"/>
                <w:lang w:eastAsia="zh-CN"/>
              </w:rPr>
              <w:t>）</w:t>
            </w:r>
          </w:p>
        </w:tc>
        <w:tc>
          <w:tcPr>
            <w:tcW w:w="1188" w:type="dxa"/>
            <w:noWrap/>
            <w:vAlign w:val="center"/>
          </w:tcPr>
          <w:p w14:paraId="196B0333">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交货时间</w:t>
            </w:r>
          </w:p>
        </w:tc>
        <w:tc>
          <w:tcPr>
            <w:tcW w:w="6574" w:type="dxa"/>
            <w:noWrap/>
            <w:vAlign w:val="center"/>
          </w:tcPr>
          <w:p w14:paraId="37E40564">
            <w:pPr>
              <w:pStyle w:val="31"/>
              <w:keepNext w:val="0"/>
              <w:keepLines w:val="0"/>
              <w:pageBreakBefore w:val="0"/>
              <w:kinsoku/>
              <w:wordWrap/>
              <w:overflowPunct/>
              <w:topLinePunct w:val="0"/>
              <w:autoSpaceDE/>
              <w:autoSpaceDN/>
              <w:bidi w:val="0"/>
              <w:adjustRightInd/>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国产仪器设备</w:t>
            </w:r>
            <w:r>
              <w:rPr>
                <w:rFonts w:hint="eastAsia" w:ascii="宋体" w:hAnsi="宋体" w:eastAsia="宋体" w:cs="宋体"/>
                <w:color w:val="auto"/>
                <w:sz w:val="21"/>
                <w:szCs w:val="21"/>
                <w:highlight w:val="none"/>
              </w:rPr>
              <w:t>自签订合同之日起</w:t>
            </w:r>
            <w:r>
              <w:rPr>
                <w:rFonts w:hint="eastAsia" w:ascii="宋体" w:hAnsi="宋体" w:eastAsia="宋体" w:cs="宋体"/>
                <w:color w:val="auto"/>
                <w:sz w:val="21"/>
                <w:szCs w:val="21"/>
                <w:highlight w:val="none"/>
                <w:u w:val="none"/>
                <w:lang w:val="en-US" w:eastAsia="zh-CN"/>
              </w:rPr>
              <w:t>60</w:t>
            </w:r>
            <w:r>
              <w:rPr>
                <w:rFonts w:hint="eastAsia" w:ascii="宋体" w:hAnsi="宋体" w:eastAsia="宋体" w:cs="宋体"/>
                <w:color w:val="auto"/>
                <w:sz w:val="21"/>
                <w:szCs w:val="21"/>
                <w:highlight w:val="none"/>
              </w:rPr>
              <w:t>日内交货并完成安装调试。</w:t>
            </w:r>
          </w:p>
        </w:tc>
      </w:tr>
      <w:tr w14:paraId="302A6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092" w:type="dxa"/>
            <w:noWrap/>
            <w:vAlign w:val="center"/>
          </w:tcPr>
          <w:p w14:paraId="6B21F6BF">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lang w:val="en-US" w:eastAsia="zh-CN"/>
              </w:rPr>
              <w:t>四</w:t>
            </w:r>
            <w:r>
              <w:rPr>
                <w:rFonts w:hint="eastAsia" w:ascii="宋体" w:hAnsi="宋体" w:eastAsia="宋体" w:cs="宋体"/>
                <w:color w:val="auto"/>
                <w:sz w:val="21"/>
                <w:szCs w:val="21"/>
                <w:highlight w:val="none"/>
                <w:lang w:eastAsia="zh-CN"/>
              </w:rPr>
              <w:t>）</w:t>
            </w:r>
          </w:p>
        </w:tc>
        <w:tc>
          <w:tcPr>
            <w:tcW w:w="1188" w:type="dxa"/>
            <w:noWrap/>
            <w:vAlign w:val="center"/>
          </w:tcPr>
          <w:p w14:paraId="11C2F79F">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w:t>
            </w:r>
          </w:p>
        </w:tc>
        <w:tc>
          <w:tcPr>
            <w:tcW w:w="6574" w:type="dxa"/>
            <w:noWrap/>
            <w:vAlign w:val="center"/>
          </w:tcPr>
          <w:p w14:paraId="0FD967FC">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送至广西壮族自治区</w:t>
            </w:r>
            <w:r>
              <w:rPr>
                <w:rFonts w:hint="eastAsia" w:ascii="宋体" w:hAnsi="宋体" w:eastAsia="宋体" w:cs="宋体"/>
                <w:color w:val="auto"/>
                <w:sz w:val="21"/>
                <w:szCs w:val="21"/>
                <w:highlight w:val="none"/>
              </w:rPr>
              <w:t>生态环境</w:t>
            </w:r>
            <w:r>
              <w:rPr>
                <w:rFonts w:hint="eastAsia" w:ascii="宋体" w:hAnsi="宋体" w:eastAsia="宋体" w:cs="宋体"/>
                <w:color w:val="auto"/>
                <w:sz w:val="21"/>
                <w:szCs w:val="21"/>
                <w:highlight w:val="none"/>
                <w:lang w:val="en-US" w:eastAsia="zh-CN"/>
              </w:rPr>
              <w:t>厅或由采购人指定广西区内地点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含送货上楼</w:t>
            </w:r>
            <w:r>
              <w:rPr>
                <w:rFonts w:hint="eastAsia" w:ascii="宋体" w:hAnsi="宋体" w:eastAsia="宋体" w:cs="宋体"/>
                <w:color w:val="auto"/>
                <w:sz w:val="21"/>
                <w:szCs w:val="21"/>
                <w:highlight w:val="none"/>
                <w:lang w:eastAsia="zh-CN"/>
              </w:rPr>
              <w:t>）</w:t>
            </w:r>
          </w:p>
        </w:tc>
      </w:tr>
      <w:tr w14:paraId="24529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92" w:type="dxa"/>
            <w:noWrap/>
            <w:vAlign w:val="center"/>
          </w:tcPr>
          <w:p w14:paraId="5958CCFA">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lang w:val="en-US" w:eastAsia="zh-CN"/>
              </w:rPr>
              <w:t>五</w:t>
            </w:r>
            <w:r>
              <w:rPr>
                <w:rFonts w:hint="eastAsia" w:ascii="宋体" w:hAnsi="宋体" w:eastAsia="宋体" w:cs="宋体"/>
                <w:color w:val="auto"/>
                <w:sz w:val="21"/>
                <w:szCs w:val="21"/>
                <w:highlight w:val="none"/>
                <w:lang w:eastAsia="zh-CN"/>
              </w:rPr>
              <w:t>）</w:t>
            </w:r>
          </w:p>
        </w:tc>
        <w:tc>
          <w:tcPr>
            <w:tcW w:w="1188" w:type="dxa"/>
            <w:noWrap/>
            <w:vAlign w:val="center"/>
          </w:tcPr>
          <w:p w14:paraId="1F899AFA">
            <w:pPr>
              <w:keepNext w:val="0"/>
              <w:keepLines w:val="0"/>
              <w:pageBreakBefore w:val="0"/>
              <w:kinsoku/>
              <w:wordWrap/>
              <w:overflowPunct/>
              <w:topLinePunct w:val="0"/>
              <w:autoSpaceDE/>
              <w:autoSpaceDN/>
              <w:bidi w:val="0"/>
              <w:adjustRightInd/>
              <w:spacing w:after="0"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付款条件</w:t>
            </w:r>
          </w:p>
        </w:tc>
        <w:tc>
          <w:tcPr>
            <w:tcW w:w="6574" w:type="dxa"/>
            <w:noWrap/>
            <w:vAlign w:val="top"/>
          </w:tcPr>
          <w:p w14:paraId="6EC20CDE">
            <w:pPr>
              <w:keepNext w:val="0"/>
              <w:keepLines w:val="0"/>
              <w:pageBreakBefore w:val="0"/>
              <w:widowControl/>
              <w:kinsoku/>
              <w:wordWrap/>
              <w:overflowPunct/>
              <w:topLinePunct w:val="0"/>
              <w:autoSpaceDE/>
              <w:autoSpaceDN/>
              <w:bidi w:val="0"/>
              <w:adjustRightInd/>
              <w:snapToGrid w:val="0"/>
              <w:spacing w:line="400" w:lineRule="exact"/>
              <w:ind w:firstLine="420" w:firstLineChars="0"/>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1.合同签订后，</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向</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支付合同总金额50%的预付款；</w:t>
            </w:r>
          </w:p>
          <w:p w14:paraId="7AC24DD5">
            <w:pPr>
              <w:keepNext w:val="0"/>
              <w:keepLines w:val="0"/>
              <w:pageBreakBefore w:val="0"/>
              <w:widowControl/>
              <w:kinsoku/>
              <w:wordWrap/>
              <w:overflowPunct/>
              <w:topLinePunct w:val="0"/>
              <w:autoSpaceDE/>
              <w:autoSpaceDN/>
              <w:bidi w:val="0"/>
              <w:adjustRightInd/>
              <w:snapToGrid w:val="0"/>
              <w:spacing w:line="400" w:lineRule="exact"/>
              <w:ind w:firstLine="420" w:firstLineChars="0"/>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在收到首笔合同款后20个工作日内向</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递交合同总金额50%的预付款保函（有效期自开具之日起不少于15个月，验收合格后退还）全部货物到货并经</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确认后，</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向</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支付合同总金额的50%：</w:t>
            </w:r>
          </w:p>
          <w:p w14:paraId="0263F7D2">
            <w:pPr>
              <w:keepNext w:val="0"/>
              <w:keepLines w:val="0"/>
              <w:pageBreakBefore w:val="0"/>
              <w:kinsoku/>
              <w:wordWrap/>
              <w:overflowPunct/>
              <w:topLinePunct w:val="0"/>
              <w:autoSpaceDE/>
              <w:autoSpaceDN/>
              <w:bidi w:val="0"/>
              <w:adjustRightInd/>
              <w:snapToGrid w:val="0"/>
              <w:spacing w:after="0" w:line="400" w:lineRule="exact"/>
              <w:ind w:firstLine="420" w:firstLineChars="20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3.全部货物安装调试完毕，</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对所有货物最终性能验收合格后，</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向</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提交合同总金额</w:t>
            </w:r>
            <w:r>
              <w:rPr>
                <w:rFonts w:hint="default"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中小</w:t>
            </w:r>
            <w:r>
              <w:rPr>
                <w:rFonts w:hint="eastAsia" w:ascii="宋体" w:hAnsi="宋体" w:cs="宋体"/>
                <w:color w:val="auto"/>
                <w:sz w:val="21"/>
                <w:szCs w:val="21"/>
                <w:highlight w:val="none"/>
                <w:lang w:val="en-US" w:eastAsia="zh-CN"/>
              </w:rPr>
              <w:t>微</w:t>
            </w:r>
            <w:r>
              <w:rPr>
                <w:rFonts w:hint="eastAsia" w:ascii="宋体" w:hAnsi="宋体" w:cs="宋体"/>
                <w:color w:val="auto"/>
                <w:sz w:val="21"/>
                <w:szCs w:val="21"/>
                <w:highlight w:val="none"/>
                <w:lang w:eastAsia="zh-CN"/>
              </w:rPr>
              <w:t>企业</w:t>
            </w:r>
            <w:r>
              <w:rPr>
                <w:rFonts w:hint="eastAsia" w:ascii="宋体" w:hAnsi="宋体" w:cs="宋体"/>
                <w:color w:val="auto"/>
                <w:sz w:val="21"/>
                <w:szCs w:val="21"/>
                <w:highlight w:val="none"/>
                <w:lang w:val="en-US" w:eastAsia="zh-CN"/>
              </w:rPr>
              <w:t>提交合同总金额</w:t>
            </w:r>
            <w:r>
              <w:rPr>
                <w:rFonts w:hint="eastAsia" w:ascii="宋体" w:hAnsi="宋体" w:cs="宋体"/>
                <w:color w:val="auto"/>
                <w:sz w:val="21"/>
                <w:szCs w:val="21"/>
                <w:highlight w:val="none"/>
                <w:lang w:eastAsia="zh-CN"/>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的履约保函（有效期自开具之日起不少于24个月，质保期满退履约保函）；</w:t>
            </w:r>
          </w:p>
          <w:p w14:paraId="77576863">
            <w:pPr>
              <w:keepNext w:val="0"/>
              <w:keepLines w:val="0"/>
              <w:pageBreakBefore w:val="0"/>
              <w:kinsoku/>
              <w:wordWrap/>
              <w:overflowPunct/>
              <w:topLinePunct w:val="0"/>
              <w:autoSpaceDE/>
              <w:autoSpaceDN/>
              <w:bidi w:val="0"/>
              <w:adjustRightInd/>
              <w:snapToGrid w:val="0"/>
              <w:spacing w:after="0" w:line="400" w:lineRule="exact"/>
              <w:ind w:firstLine="420" w:firstLineChars="200"/>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.每次付款前，中标人需提供与支付金额对应的增值税普通发票</w:t>
            </w:r>
            <w:r>
              <w:rPr>
                <w:rFonts w:hint="eastAsia" w:ascii="宋体" w:hAnsi="宋体" w:eastAsia="宋体" w:cs="宋体"/>
                <w:color w:val="auto"/>
                <w:sz w:val="21"/>
                <w:szCs w:val="21"/>
                <w:highlight w:val="none"/>
                <w:lang w:eastAsia="zh-CN"/>
              </w:rPr>
              <w:t>。</w:t>
            </w:r>
          </w:p>
        </w:tc>
      </w:tr>
      <w:tr w14:paraId="59F1C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1092" w:type="dxa"/>
            <w:noWrap/>
            <w:vAlign w:val="center"/>
          </w:tcPr>
          <w:p w14:paraId="3379684D">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w:t>
            </w:r>
          </w:p>
        </w:tc>
        <w:tc>
          <w:tcPr>
            <w:tcW w:w="1188" w:type="dxa"/>
            <w:noWrap/>
            <w:vAlign w:val="center"/>
          </w:tcPr>
          <w:p w14:paraId="3B2B43E2">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p>
        </w:tc>
        <w:tc>
          <w:tcPr>
            <w:tcW w:w="6574" w:type="dxa"/>
            <w:noWrap/>
            <w:vAlign w:val="top"/>
          </w:tcPr>
          <w:p w14:paraId="750F2834">
            <w:pPr>
              <w:keepNext w:val="0"/>
              <w:keepLines w:val="0"/>
              <w:pageBreakBefore w:val="0"/>
              <w:numPr>
                <w:ilvl w:val="0"/>
                <w:numId w:val="0"/>
              </w:numPr>
              <w:kinsoku/>
              <w:wordWrap/>
              <w:overflowPunct/>
              <w:topLinePunct w:val="0"/>
              <w:autoSpaceDE/>
              <w:autoSpaceDN/>
              <w:bidi w:val="0"/>
              <w:adjustRightInd/>
              <w:snapToGrid w:val="0"/>
              <w:spacing w:after="0" w:line="400" w:lineRule="exact"/>
              <w:ind w:firstLine="420" w:firstLineChars="20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按国家有关产品“三包”规定执行“三包”，质保期</w:t>
            </w:r>
            <w:r>
              <w:rPr>
                <w:rFonts w:hint="eastAsia" w:ascii="宋体" w:hAnsi="宋体" w:eastAsia="宋体" w:cs="宋体"/>
                <w:color w:val="auto"/>
                <w:sz w:val="21"/>
                <w:szCs w:val="21"/>
                <w:highlight w:val="none"/>
                <w:lang w:val="en-US" w:eastAsia="zh-CN"/>
              </w:rPr>
              <w:t>不低于3</w:t>
            </w:r>
            <w:r>
              <w:rPr>
                <w:rFonts w:hint="eastAsia" w:ascii="宋体" w:hAnsi="宋体" w:eastAsia="宋体" w:cs="宋体"/>
                <w:color w:val="auto"/>
                <w:sz w:val="21"/>
                <w:szCs w:val="21"/>
                <w:highlight w:val="none"/>
              </w:rPr>
              <w:t>年（采购需求另有要求的，按具体要求执行</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厂家质保期超过要求年限的，按厂家规定全免费包修），质保期内负责保修，终身维修。在质保期内每年至少提供</w:t>
            </w:r>
            <w:r>
              <w:rPr>
                <w:rFonts w:hint="eastAsia" w:ascii="宋体" w:hAnsi="宋体" w:eastAsia="宋体" w:cs="宋体"/>
                <w:color w:val="auto"/>
                <w:sz w:val="21"/>
                <w:szCs w:val="21"/>
                <w:highlight w:val="none"/>
                <w:lang w:val="en-US" w:eastAsia="zh-CN"/>
              </w:rPr>
              <w:t>巡检和</w:t>
            </w:r>
            <w:r>
              <w:rPr>
                <w:rFonts w:hint="eastAsia" w:ascii="宋体" w:hAnsi="宋体" w:eastAsia="宋体" w:cs="宋体"/>
                <w:color w:val="auto"/>
                <w:sz w:val="21"/>
                <w:szCs w:val="21"/>
                <w:highlight w:val="none"/>
              </w:rPr>
              <w:t>维护保养1次（工程师差旅费、住宿费、耗材配件等所产生的全部费用均由中标人承担）。</w:t>
            </w:r>
          </w:p>
        </w:tc>
      </w:tr>
      <w:tr w14:paraId="7C6DA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jc w:val="center"/>
        </w:trPr>
        <w:tc>
          <w:tcPr>
            <w:tcW w:w="1092" w:type="dxa"/>
            <w:noWrap/>
            <w:vAlign w:val="center"/>
          </w:tcPr>
          <w:p w14:paraId="78DBA7B7">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lang w:eastAsia="zh-CN"/>
              </w:rPr>
              <w:t>）</w:t>
            </w:r>
          </w:p>
        </w:tc>
        <w:tc>
          <w:tcPr>
            <w:tcW w:w="1188" w:type="dxa"/>
            <w:noWrap/>
            <w:vAlign w:val="center"/>
          </w:tcPr>
          <w:p w14:paraId="1602F41A">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w:t>
            </w:r>
          </w:p>
          <w:p w14:paraId="39EC630A">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w:t>
            </w:r>
          </w:p>
        </w:tc>
        <w:tc>
          <w:tcPr>
            <w:tcW w:w="6574" w:type="dxa"/>
            <w:noWrap/>
            <w:vAlign w:val="center"/>
          </w:tcPr>
          <w:p w14:paraId="40CE229A">
            <w:pPr>
              <w:keepNext w:val="0"/>
              <w:keepLines w:val="0"/>
              <w:pageBreakBefore w:val="0"/>
              <w:kinsoku/>
              <w:wordWrap/>
              <w:overflowPunct/>
              <w:topLinePunct w:val="0"/>
              <w:autoSpaceDE/>
              <w:autoSpaceDN/>
              <w:bidi w:val="0"/>
              <w:adjustRightInd/>
              <w:snapToGrid w:val="0"/>
              <w:spacing w:after="0" w:line="400" w:lineRule="exact"/>
              <w:ind w:firstLine="42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本项目履约保证金为合同总金额的5%</w:t>
            </w:r>
            <w:r>
              <w:rPr>
                <w:rFonts w:hint="eastAsia" w:ascii="宋体" w:hAnsi="宋体" w:cs="宋体"/>
                <w:color w:val="auto"/>
                <w:sz w:val="21"/>
                <w:szCs w:val="21"/>
                <w:highlight w:val="none"/>
                <w:lang w:eastAsia="zh-CN"/>
              </w:rPr>
              <w:t>（对中小</w:t>
            </w:r>
            <w:r>
              <w:rPr>
                <w:rFonts w:hint="eastAsia" w:ascii="宋体" w:hAnsi="宋体" w:cs="宋体"/>
                <w:color w:val="auto"/>
                <w:sz w:val="21"/>
                <w:szCs w:val="21"/>
                <w:highlight w:val="none"/>
                <w:lang w:val="en-US" w:eastAsia="zh-CN"/>
              </w:rPr>
              <w:t>微</w:t>
            </w:r>
            <w:r>
              <w:rPr>
                <w:rFonts w:hint="eastAsia" w:ascii="宋体" w:hAnsi="宋体" w:cs="宋体"/>
                <w:color w:val="auto"/>
                <w:sz w:val="21"/>
                <w:szCs w:val="21"/>
                <w:highlight w:val="none"/>
                <w:lang w:eastAsia="zh-CN"/>
              </w:rPr>
              <w:t>企业收取的履约保证金数额为</w:t>
            </w:r>
            <w:r>
              <w:rPr>
                <w:rFonts w:hint="eastAsia" w:ascii="宋体" w:hAnsi="宋体" w:cs="宋体"/>
                <w:color w:val="auto"/>
                <w:sz w:val="21"/>
                <w:szCs w:val="21"/>
                <w:highlight w:val="none"/>
                <w:lang w:val="en-US" w:eastAsia="zh-CN"/>
              </w:rPr>
              <w:t>合同总金额</w:t>
            </w:r>
            <w:r>
              <w:rPr>
                <w:rFonts w:hint="eastAsia" w:ascii="宋体" w:hAnsi="宋体" w:cs="宋体"/>
                <w:color w:val="auto"/>
                <w:sz w:val="21"/>
                <w:szCs w:val="21"/>
                <w:highlight w:val="none"/>
                <w:lang w:eastAsia="zh-CN"/>
              </w:rPr>
              <w:t>的2%）</w:t>
            </w:r>
            <w:r>
              <w:rPr>
                <w:rFonts w:hint="eastAsia" w:ascii="宋体" w:hAnsi="宋体" w:eastAsia="宋体" w:cs="宋体"/>
                <w:color w:val="auto"/>
                <w:sz w:val="21"/>
                <w:szCs w:val="21"/>
                <w:highlight w:val="none"/>
                <w:lang w:val="en-US" w:eastAsia="zh-CN"/>
              </w:rPr>
              <w:t>。</w:t>
            </w:r>
          </w:p>
        </w:tc>
      </w:tr>
      <w:tr w14:paraId="1265B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1092" w:type="dxa"/>
            <w:noWrap/>
            <w:vAlign w:val="center"/>
          </w:tcPr>
          <w:p w14:paraId="18D938D5">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lang w:eastAsia="zh-CN"/>
              </w:rPr>
              <w:t>）</w:t>
            </w:r>
          </w:p>
        </w:tc>
        <w:tc>
          <w:tcPr>
            <w:tcW w:w="1188" w:type="dxa"/>
            <w:noWrap/>
            <w:vAlign w:val="center"/>
          </w:tcPr>
          <w:p w14:paraId="1732783C">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tc>
        <w:tc>
          <w:tcPr>
            <w:tcW w:w="6574" w:type="dxa"/>
            <w:noWrap/>
            <w:vAlign w:val="center"/>
          </w:tcPr>
          <w:p w14:paraId="7737847C">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1．检查供货范围或服务范围</w:t>
            </w:r>
          </w:p>
          <w:p w14:paraId="409A7661">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到达现场后，中标人应在采购人单位人员在场情况下当面开箱，共同清点、检查外观，作出开箱记录，双方签字确认。中标人应保证货物到达采购人所在地完好无损，如有缺漏、损坏，由中标人负责调换、补齐或赔偿。</w:t>
            </w:r>
          </w:p>
          <w:p w14:paraId="6362BC5F">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2．中标人应提供完备的技术或服务资料、装箱单和合格证等，并派遣专业人员进行现场安装调试。验收合格条件如下：</w:t>
            </w:r>
          </w:p>
          <w:p w14:paraId="2577974B">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2.1货物或服务技术参数与招标文件中响应表或证明材料一致，性能或指标达到规定的标准，否则，以实际货物或服务技术参数与招标文件响应表参数或证明材料比较，按如下情况处理：</w:t>
            </w:r>
          </w:p>
          <w:p w14:paraId="638151D0">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（1）投标人投标文件响应表或证明材料中满足或优于的技术参数，在验收时实际不满足技术参数要求的，视为投标人违约，采购人有权终止合同拒收货物，并追究投标人责任。</w:t>
            </w:r>
          </w:p>
          <w:p w14:paraId="23DB74CE">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（2）投标人投标文件响应表或证明材料中优于的技术参数，在验收时实际仅满足并未优于技术参数要求的，视为投标人违约，采购人有权终止合同拒收货物，并追究投标人责任。</w:t>
            </w:r>
          </w:p>
          <w:p w14:paraId="4705FED7">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（3）投标人投标文件响应表或证明材料中不满足的技术参数，在验收时实际满足技术参数的要求，以满足技术参数的要求验收。</w:t>
            </w:r>
          </w:p>
          <w:p w14:paraId="13D447A9">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（4）投标人投标文件响应表或证明材料中满足的技术参数，在验收时实际优于技术参数的要求，以满足技术参数的要求验收。</w:t>
            </w:r>
          </w:p>
          <w:p w14:paraId="7400E57C">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（5）投标人投标文件响应表或证明材料中优于的技术参数，在验收时实际也优于技术参数的要求，但没有达到响应表或证明材料中优于的程度，由采购人与投标人协商按是否满足要求验收。</w:t>
            </w:r>
          </w:p>
          <w:p w14:paraId="401B6CCF">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实际货物与投标货物型号不一致的，验收时不论实际是优于还是满足技术参数的要求，采购人均有权终止合同拒收货物。如影响货物或服务的使用、质量、档次及采购人需求的，还可视为投标人违约，追究投标人责任。</w:t>
            </w:r>
          </w:p>
          <w:p w14:paraId="02CA13E8">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2.2技术资料、装箱单、合格证等资料齐全。</w:t>
            </w:r>
          </w:p>
          <w:p w14:paraId="532325FF">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2.3在测试或试运行期间所出现的问题得到解决，并运行或工作正常。</w:t>
            </w:r>
          </w:p>
          <w:p w14:paraId="7E0F98EF">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2.4在规定时间内完成交货及验收，并经采购人确认。</w:t>
            </w:r>
          </w:p>
          <w:p w14:paraId="1C7CCEA5">
            <w:pPr>
              <w:keepNext w:val="0"/>
              <w:keepLines w:val="0"/>
              <w:pageBreakBefore w:val="0"/>
              <w:kinsoku/>
              <w:wordWrap/>
              <w:overflowPunct/>
              <w:topLinePunct w:val="0"/>
              <w:autoSpaceDE/>
              <w:autoSpaceDN/>
              <w:bidi w:val="0"/>
              <w:adjustRightInd/>
              <w:snapToGrid w:val="0"/>
              <w:spacing w:after="0" w:line="400" w:lineRule="exact"/>
              <w:ind w:firstLine="42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2.5如货物采购需求中明确需要检定或校准的因中标人的原因导致仪器未能通过检定或校准的，采购人有权进行退货处理，必要时延长预付款保函有效期或终止合同，并追究投标人责任。</w:t>
            </w:r>
          </w:p>
          <w:p w14:paraId="59D242A0">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3．产品或服务在安装调试并试运行符合要求后，才作为最终验收。</w:t>
            </w:r>
          </w:p>
          <w:p w14:paraId="20273AB2">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4．中标人提供的货物或服务未达到招标文件规定要求，且对采购人造成损失的，由中标人承担一切责任，并赔偿所造成的损失。</w:t>
            </w:r>
          </w:p>
          <w:p w14:paraId="54F31011">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5．采购人需要制造商对中标人交付的产品或服务（包括质量、参数等）进行确认的，制造商应予以配合并出具书面意见，相关配合事项由中标人与制造商协调。</w:t>
            </w:r>
          </w:p>
          <w:p w14:paraId="43FD8E10">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6．产品包装材料归采购人所有。</w:t>
            </w:r>
          </w:p>
          <w:p w14:paraId="6B7F0EF7">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7．大型或者复杂的采购项目，采购人应当邀请具有相关资质的检测机构参加验收工作：</w:t>
            </w:r>
          </w:p>
          <w:p w14:paraId="1DE35604">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7.1设备到场后，由采购人和中标人一起依据招标文件上的技术规格要求和国家有关质量标准进行现场初步验收，外观、说明书符合招标文件技术要求的，给予签收，初步验收不合格的不予签收。</w:t>
            </w:r>
          </w:p>
          <w:p w14:paraId="295E486C">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7.2涉及行业标准的内容由采购人和厂家工程师共同完成符合性的确认。</w:t>
            </w:r>
          </w:p>
          <w:p w14:paraId="4D28B8D7">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验收时对招标采购涉及参数的全部条款进行确认。参数中涉及的检出限、精密度、正确度能在常规实验室验证的，在仪器安装调试完成后由采购人员和仪器厂家工程师共同完成验证。部分检出限、精密度、正确度无法在常规实验室验证的以厂家证明文件作为验收依据。</w:t>
            </w:r>
          </w:p>
          <w:p w14:paraId="37A3030D">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7.4其它参数部分以提供厂家证明文件作为验收依据。仪器正常运行，参数验证合格后，中标方配合采购人完成最终验收报告的编制。以验收报告完成时间作为质保期起始日期进行质保时间的计算。</w:t>
            </w:r>
          </w:p>
          <w:p w14:paraId="03773796">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7.5完成最终验收所需要的全部费用由中标人负责。</w:t>
            </w:r>
          </w:p>
          <w:p w14:paraId="3D2F3A26">
            <w:pPr>
              <w:keepNext w:val="0"/>
              <w:keepLines w:val="0"/>
              <w:pageBreakBefore w:val="0"/>
              <w:kinsoku/>
              <w:wordWrap/>
              <w:overflowPunct/>
              <w:topLinePunct w:val="0"/>
              <w:autoSpaceDE/>
              <w:autoSpaceDN/>
              <w:bidi w:val="0"/>
              <w:adjustRightInd/>
              <w:spacing w:after="0"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其他验收要求按第五章《合同主要条款格式》执行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并兼顾《履约验收方案》（详见附件）</w:t>
            </w:r>
            <w:r>
              <w:rPr>
                <w:rFonts w:hint="eastAsia" w:ascii="宋体" w:hAnsi="宋体" w:eastAsia="宋体" w:cs="宋体"/>
                <w:color w:val="auto"/>
                <w:sz w:val="21"/>
                <w:szCs w:val="21"/>
                <w:highlight w:val="none"/>
              </w:rPr>
              <w:t>，未尽事宜按照相关法律法规规定执行。</w:t>
            </w:r>
          </w:p>
        </w:tc>
      </w:tr>
      <w:tr w14:paraId="485F2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6" w:hRule="atLeast"/>
          <w:jc w:val="center"/>
        </w:trPr>
        <w:tc>
          <w:tcPr>
            <w:tcW w:w="1092" w:type="dxa"/>
            <w:noWrap/>
            <w:vAlign w:val="center"/>
          </w:tcPr>
          <w:p w14:paraId="2169B690">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lang w:val="en-US" w:eastAsia="zh-CN"/>
              </w:rPr>
              <w:t>九</w:t>
            </w:r>
            <w:r>
              <w:rPr>
                <w:rFonts w:hint="eastAsia" w:ascii="宋体" w:hAnsi="宋体" w:eastAsia="宋体" w:cs="宋体"/>
                <w:color w:val="auto"/>
                <w:sz w:val="21"/>
                <w:szCs w:val="21"/>
                <w:highlight w:val="none"/>
                <w:lang w:eastAsia="zh-CN"/>
              </w:rPr>
              <w:t>）</w:t>
            </w:r>
          </w:p>
        </w:tc>
        <w:tc>
          <w:tcPr>
            <w:tcW w:w="1188" w:type="dxa"/>
            <w:noWrap/>
            <w:vAlign w:val="center"/>
          </w:tcPr>
          <w:p w14:paraId="36BB3CF8">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售后技术服务要求</w:t>
            </w:r>
          </w:p>
        </w:tc>
        <w:tc>
          <w:tcPr>
            <w:tcW w:w="6574" w:type="dxa"/>
            <w:noWrap/>
            <w:vAlign w:val="center"/>
          </w:tcPr>
          <w:p w14:paraId="48B04D9B">
            <w:pPr>
              <w:keepNext w:val="0"/>
              <w:keepLines w:val="0"/>
              <w:pageBreakBefore w:val="0"/>
              <w:widowControl/>
              <w:kinsoku/>
              <w:wordWrap/>
              <w:overflowPunct/>
              <w:topLinePunct w:val="0"/>
              <w:autoSpaceDE/>
              <w:autoSpaceDN/>
              <w:bidi w:val="0"/>
              <w:adjustRightInd/>
              <w:snapToGrid w:val="0"/>
              <w:spacing w:after="0" w:line="400" w:lineRule="exact"/>
              <w:ind w:firstLine="420"/>
              <w:outlineLvl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所投产品如果高于招标要求时，应提供足以证明的技术支持资料。</w:t>
            </w:r>
          </w:p>
          <w:p w14:paraId="04EC0F73">
            <w:pPr>
              <w:keepNext w:val="0"/>
              <w:keepLines w:val="0"/>
              <w:pageBreakBefore w:val="0"/>
              <w:widowControl/>
              <w:kinsoku/>
              <w:wordWrap/>
              <w:overflowPunct/>
              <w:topLinePunct w:val="0"/>
              <w:autoSpaceDE/>
              <w:autoSpaceDN/>
              <w:bidi w:val="0"/>
              <w:adjustRightInd/>
              <w:snapToGrid w:val="0"/>
              <w:spacing w:after="0" w:line="400" w:lineRule="exact"/>
              <w:ind w:firstLine="420"/>
              <w:outlineLvl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投标产品必须是按厂家标准配置的整套全新，具备正规合法经销渠道的，符合国家各项有关质量标准的合格产品。相关部件及服务满足以上各项要求。若产品在运输过程中损坏或擦伤须无偿调换相同产品。</w:t>
            </w:r>
          </w:p>
          <w:p w14:paraId="75BFD4FD">
            <w:pPr>
              <w:keepNext w:val="0"/>
              <w:keepLines w:val="0"/>
              <w:pageBreakBefore w:val="0"/>
              <w:widowControl/>
              <w:kinsoku/>
              <w:wordWrap/>
              <w:overflowPunct/>
              <w:topLinePunct w:val="0"/>
              <w:autoSpaceDE/>
              <w:autoSpaceDN/>
              <w:bidi w:val="0"/>
              <w:adjustRightInd/>
              <w:snapToGrid w:val="0"/>
              <w:spacing w:after="0" w:line="400" w:lineRule="exact"/>
              <w:ind w:firstLine="420"/>
              <w:outlineLvl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投标报价包含货物、随配附件、备品备件、工具、运抵指定交货地点、安装、安装调试、安装所需材料、委托培训费和售后服务、税金、检验、验收及其他所有成本费用的总和。</w:t>
            </w:r>
          </w:p>
          <w:p w14:paraId="74E233E5">
            <w:pPr>
              <w:keepNext w:val="0"/>
              <w:keepLines w:val="0"/>
              <w:pageBreakBefore w:val="0"/>
              <w:widowControl/>
              <w:kinsoku/>
              <w:wordWrap/>
              <w:overflowPunct/>
              <w:topLinePunct w:val="0"/>
              <w:autoSpaceDE/>
              <w:autoSpaceDN/>
              <w:bidi w:val="0"/>
              <w:adjustRightInd/>
              <w:snapToGrid w:val="0"/>
              <w:spacing w:after="0" w:line="400" w:lineRule="exact"/>
              <w:ind w:firstLine="420"/>
              <w:outlineLvl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免费送货上门并卸至采购人指定地点，免费负责采购人维修、操作、技术人员的培训服务，并无偿提供培训资料和培训师资。使用户相关维修、操作人员具备了解设备结构、工作原理，熟练操作设备，并能排除一般故障的能力；交货及采购人安装调试过程中，中标人应免费派专业技术人员到交货安装现场进行技术指导及相关技术服务，向采购人交相关试验数据、报告及采购人要求提供的相关技术文件，直至达到验收要求。</w:t>
            </w:r>
          </w:p>
          <w:p w14:paraId="6A97CC4E">
            <w:pPr>
              <w:keepNext w:val="0"/>
              <w:keepLines w:val="0"/>
              <w:pageBreakBefore w:val="0"/>
              <w:widowControl/>
              <w:kinsoku/>
              <w:wordWrap/>
              <w:overflowPunct/>
              <w:topLinePunct w:val="0"/>
              <w:autoSpaceDE/>
              <w:autoSpaceDN/>
              <w:bidi w:val="0"/>
              <w:adjustRightInd/>
              <w:snapToGrid w:val="0"/>
              <w:spacing w:after="0" w:line="400" w:lineRule="exact"/>
              <w:ind w:firstLine="420" w:firstLineChars="200"/>
              <w:outlineLvl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服务体系：投标人须在</w:t>
            </w:r>
            <w:r>
              <w:rPr>
                <w:rFonts w:hint="eastAsia" w:ascii="宋体" w:hAnsi="宋体" w:eastAsia="宋体" w:cs="宋体"/>
                <w:color w:val="auto"/>
                <w:kern w:val="0"/>
                <w:sz w:val="21"/>
                <w:szCs w:val="21"/>
                <w:highlight w:val="none"/>
                <w:lang w:val="en-US" w:eastAsia="zh-CN"/>
              </w:rPr>
              <w:t>采购人提出的技术问题后24小时内予以反馈</w:t>
            </w:r>
            <w:r>
              <w:rPr>
                <w:rFonts w:hint="eastAsia" w:ascii="宋体" w:hAnsi="宋体" w:cs="宋体"/>
                <w:color w:val="auto"/>
                <w:kern w:val="0"/>
                <w:sz w:val="21"/>
                <w:szCs w:val="21"/>
                <w:highlight w:val="none"/>
                <w:lang w:val="en-US" w:eastAsia="zh-CN"/>
              </w:rPr>
              <w:t>解决</w:t>
            </w:r>
            <w:r>
              <w:rPr>
                <w:rFonts w:hint="eastAsia" w:ascii="宋体" w:hAnsi="宋体" w:eastAsia="宋体" w:cs="宋体"/>
                <w:color w:val="auto"/>
                <w:kern w:val="0"/>
                <w:sz w:val="21"/>
                <w:szCs w:val="21"/>
                <w:highlight w:val="none"/>
              </w:rPr>
              <w:t>。</w:t>
            </w:r>
          </w:p>
          <w:p w14:paraId="4BD34A2C">
            <w:pPr>
              <w:keepNext w:val="0"/>
              <w:keepLines w:val="0"/>
              <w:pageBreakBefore w:val="0"/>
              <w:widowControl/>
              <w:kinsoku/>
              <w:wordWrap/>
              <w:overflowPunct/>
              <w:topLinePunct w:val="0"/>
              <w:autoSpaceDE/>
              <w:autoSpaceDN/>
              <w:bidi w:val="0"/>
              <w:adjustRightInd/>
              <w:snapToGrid w:val="0"/>
              <w:spacing w:after="0" w:line="400" w:lineRule="exact"/>
              <w:ind w:firstLine="420" w:firstLineChars="200"/>
              <w:outlineLvl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投标人必须提供详细的售后服务承诺方案。</w:t>
            </w:r>
          </w:p>
          <w:p w14:paraId="35132929">
            <w:pPr>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在质保期内，如中标人不按</w:t>
            </w:r>
            <w:r>
              <w:rPr>
                <w:rFonts w:hint="eastAsia" w:ascii="宋体" w:hAnsi="宋体" w:eastAsia="宋体" w:cs="宋体"/>
                <w:color w:val="auto"/>
                <w:sz w:val="21"/>
                <w:szCs w:val="21"/>
                <w:highlight w:val="none"/>
                <w:lang w:eastAsia="zh-CN"/>
              </w:rPr>
              <w:t>质保要求进行</w:t>
            </w:r>
            <w:r>
              <w:rPr>
                <w:rFonts w:hint="eastAsia" w:ascii="宋体" w:hAnsi="宋体" w:eastAsia="宋体" w:cs="宋体"/>
                <w:color w:val="auto"/>
                <w:sz w:val="21"/>
                <w:szCs w:val="21"/>
                <w:highlight w:val="none"/>
              </w:rPr>
              <w:t>质保，导致仪器设备及车辆发生维修费用（以维修发票为准），由中标人支付。</w:t>
            </w:r>
          </w:p>
          <w:p w14:paraId="7EF63CA7">
            <w:pPr>
              <w:keepNext w:val="0"/>
              <w:keepLines w:val="0"/>
              <w:pageBreakBefore w:val="0"/>
              <w:kinsoku/>
              <w:wordWrap/>
              <w:overflowPunct/>
              <w:topLinePunct w:val="0"/>
              <w:autoSpaceDE/>
              <w:autoSpaceDN/>
              <w:bidi w:val="0"/>
              <w:adjustRightInd/>
              <w:snapToGrid w:val="0"/>
              <w:spacing w:after="0"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质保期内提供数据接收稳定、所有服务功能免费迭代更新升级， 7×24 小时技术支持。响应时效，在线无法解决问题，售后团队 2 天内现场处理。后期维护，质保期内所有功能及模块升级免费。</w:t>
            </w:r>
          </w:p>
        </w:tc>
      </w:tr>
      <w:tr w14:paraId="29A3F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0" w:hRule="atLeast"/>
          <w:jc w:val="center"/>
        </w:trPr>
        <w:tc>
          <w:tcPr>
            <w:tcW w:w="1092" w:type="dxa"/>
            <w:noWrap/>
            <w:vAlign w:val="center"/>
          </w:tcPr>
          <w:p w14:paraId="67E687BD">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w:t>
            </w:r>
            <w:r>
              <w:rPr>
                <w:rFonts w:hint="eastAsia" w:ascii="宋体" w:hAnsi="宋体" w:eastAsia="宋体" w:cs="宋体"/>
                <w:color w:val="auto"/>
                <w:sz w:val="21"/>
                <w:szCs w:val="21"/>
                <w:highlight w:val="none"/>
                <w:lang w:eastAsia="zh-CN"/>
              </w:rPr>
              <w:t>）</w:t>
            </w:r>
          </w:p>
        </w:tc>
        <w:tc>
          <w:tcPr>
            <w:tcW w:w="1188" w:type="dxa"/>
            <w:noWrap/>
            <w:vAlign w:val="center"/>
          </w:tcPr>
          <w:p w14:paraId="00F3C6EF">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w:t>
            </w:r>
          </w:p>
        </w:tc>
        <w:tc>
          <w:tcPr>
            <w:tcW w:w="6574" w:type="dxa"/>
            <w:noWrap/>
            <w:vAlign w:val="center"/>
          </w:tcPr>
          <w:p w14:paraId="21AE4F39">
            <w:pPr>
              <w:keepNext w:val="0"/>
              <w:keepLines w:val="0"/>
              <w:pageBreakBefore w:val="0"/>
              <w:kinsoku/>
              <w:wordWrap/>
              <w:overflowPunct/>
              <w:topLinePunct w:val="0"/>
              <w:autoSpaceDE/>
              <w:autoSpaceDN/>
              <w:bidi w:val="0"/>
              <w:adjustRightInd/>
              <w:snapToGrid w:val="0"/>
              <w:spacing w:after="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投标人对其提供产品或服务的使用和操作应尽培训义务。投标人应提供对采购人的基本培训，安装验收期间，</w:t>
            </w:r>
            <w:r>
              <w:rPr>
                <w:rFonts w:hint="eastAsia" w:ascii="宋体" w:hAnsi="宋体" w:eastAsia="宋体" w:cs="宋体"/>
                <w:color w:val="auto"/>
                <w:sz w:val="21"/>
                <w:szCs w:val="21"/>
                <w:highlight w:val="none"/>
                <w:lang w:val="zh-CN"/>
              </w:rPr>
              <w:t>须根据用户需求提供</w:t>
            </w:r>
            <w:r>
              <w:rPr>
                <w:rFonts w:hint="eastAsia" w:ascii="宋体" w:hAnsi="宋体" w:eastAsia="宋体" w:cs="宋体"/>
                <w:color w:val="auto"/>
                <w:sz w:val="21"/>
                <w:szCs w:val="21"/>
                <w:highlight w:val="none"/>
              </w:rPr>
              <w:t>进行现场技术培训，必须包括仪器使用</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使采购人使用人员熟练掌握所培训内容，熟练掌握全部功能，培训的相关费用包括在投标报价中，采购人不再另行支付。</w:t>
            </w:r>
          </w:p>
        </w:tc>
      </w:tr>
      <w:tr w14:paraId="1B9AA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3" w:hRule="atLeast"/>
          <w:jc w:val="center"/>
        </w:trPr>
        <w:tc>
          <w:tcPr>
            <w:tcW w:w="1092" w:type="dxa"/>
            <w:noWrap/>
            <w:vAlign w:val="center"/>
          </w:tcPr>
          <w:p w14:paraId="2124646D">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十一</w:t>
            </w:r>
            <w:r>
              <w:rPr>
                <w:rFonts w:hint="eastAsia" w:ascii="宋体" w:hAnsi="宋体" w:eastAsia="宋体" w:cs="宋体"/>
                <w:color w:val="auto"/>
                <w:sz w:val="21"/>
                <w:szCs w:val="21"/>
                <w:highlight w:val="none"/>
                <w:lang w:eastAsia="zh-CN"/>
              </w:rPr>
              <w:t>）</w:t>
            </w:r>
          </w:p>
        </w:tc>
        <w:tc>
          <w:tcPr>
            <w:tcW w:w="1188" w:type="dxa"/>
            <w:noWrap/>
            <w:vAlign w:val="center"/>
          </w:tcPr>
          <w:p w14:paraId="4D6AC9EA">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知识产权</w:t>
            </w:r>
          </w:p>
        </w:tc>
        <w:tc>
          <w:tcPr>
            <w:tcW w:w="6574" w:type="dxa"/>
            <w:noWrap/>
            <w:vAlign w:val="center"/>
          </w:tcPr>
          <w:p w14:paraId="14600202">
            <w:pPr>
              <w:keepNext w:val="0"/>
              <w:keepLines w:val="0"/>
              <w:pageBreakBefore w:val="0"/>
              <w:kinsoku/>
              <w:wordWrap/>
              <w:overflowPunct/>
              <w:topLinePunct w:val="0"/>
              <w:autoSpaceDE/>
              <w:autoSpaceDN/>
              <w:bidi w:val="0"/>
              <w:adjustRightInd/>
              <w:snapToGrid w:val="0"/>
              <w:spacing w:after="0"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采购人在中华人民共和国境内使用投标人提供的产品及服务时免受第三方提出的侵犯其专利权或其它知识产权的起诉。如果第三方提出侵权指控，中标人应承担由此而引起的一切法律责任和费用。</w:t>
            </w:r>
          </w:p>
        </w:tc>
      </w:tr>
      <w:tr w14:paraId="055D7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092" w:type="dxa"/>
            <w:noWrap/>
            <w:vAlign w:val="center"/>
          </w:tcPr>
          <w:p w14:paraId="0BA09ECF">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（十二）</w:t>
            </w:r>
          </w:p>
        </w:tc>
        <w:tc>
          <w:tcPr>
            <w:tcW w:w="1188" w:type="dxa"/>
            <w:noWrap/>
            <w:vAlign w:val="center"/>
          </w:tcPr>
          <w:p w14:paraId="0C05A694">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进口产品</w:t>
            </w:r>
          </w:p>
        </w:tc>
        <w:tc>
          <w:tcPr>
            <w:tcW w:w="6574" w:type="dxa"/>
            <w:noWrap/>
            <w:vAlign w:val="center"/>
          </w:tcPr>
          <w:p w14:paraId="60C2BEBE">
            <w:pPr>
              <w:keepNext w:val="0"/>
              <w:keepLines w:val="0"/>
              <w:pageBreakBefore w:val="0"/>
              <w:kinsoku/>
              <w:wordWrap/>
              <w:overflowPunct/>
              <w:topLinePunct w:val="0"/>
              <w:autoSpaceDE/>
              <w:autoSpaceDN/>
              <w:bidi w:val="0"/>
              <w:adjustRightInd/>
              <w:spacing w:after="0" w:line="400" w:lineRule="exact"/>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本分标不接受进口产品（即通过中国海关报关验放进入中国境内且产自关境外的产品）参与投标，如有此类产品参与投标的做无效标处理。</w:t>
            </w:r>
          </w:p>
        </w:tc>
      </w:tr>
      <w:tr w14:paraId="3F2D5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092" w:type="dxa"/>
            <w:noWrap/>
            <w:vAlign w:val="center"/>
          </w:tcPr>
          <w:p w14:paraId="562AB665">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（十三）</w:t>
            </w:r>
          </w:p>
        </w:tc>
        <w:tc>
          <w:tcPr>
            <w:tcW w:w="1188" w:type="dxa"/>
            <w:noWrap/>
            <w:vAlign w:val="center"/>
          </w:tcPr>
          <w:p w14:paraId="07CF72F0">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原厂商授权及相关要求</w:t>
            </w:r>
          </w:p>
        </w:tc>
        <w:tc>
          <w:tcPr>
            <w:tcW w:w="6574" w:type="dxa"/>
            <w:noWrap/>
            <w:vAlign w:val="center"/>
          </w:tcPr>
          <w:p w14:paraId="56F9D13D">
            <w:pPr>
              <w:keepNext w:val="0"/>
              <w:keepLines w:val="0"/>
              <w:pageBreakBefore w:val="0"/>
              <w:kinsoku/>
              <w:wordWrap/>
              <w:overflowPunct/>
              <w:topLinePunct w:val="0"/>
              <w:autoSpaceDE/>
              <w:autoSpaceDN/>
              <w:bidi w:val="0"/>
              <w:adjustRightInd/>
              <w:spacing w:after="0"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无</w:t>
            </w:r>
            <w:r>
              <w:rPr>
                <w:rFonts w:hint="eastAsia" w:ascii="宋体" w:hAnsi="宋体" w:eastAsia="宋体" w:cs="宋体"/>
                <w:color w:val="auto"/>
                <w:kern w:val="0"/>
                <w:sz w:val="21"/>
                <w:szCs w:val="21"/>
                <w:highlight w:val="none"/>
              </w:rPr>
              <w:t>。</w:t>
            </w:r>
          </w:p>
        </w:tc>
      </w:tr>
      <w:tr w14:paraId="1FE7F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092" w:type="dxa"/>
            <w:noWrap/>
            <w:vAlign w:val="center"/>
          </w:tcPr>
          <w:p w14:paraId="6A8304EB">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（十四）</w:t>
            </w:r>
          </w:p>
        </w:tc>
        <w:tc>
          <w:tcPr>
            <w:tcW w:w="1188" w:type="dxa"/>
            <w:noWrap/>
            <w:vAlign w:val="center"/>
          </w:tcPr>
          <w:p w14:paraId="015D9DC9">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中小企业说明</w:t>
            </w:r>
          </w:p>
        </w:tc>
        <w:tc>
          <w:tcPr>
            <w:tcW w:w="6574" w:type="dxa"/>
            <w:noWrap/>
            <w:vAlign w:val="center"/>
          </w:tcPr>
          <w:p w14:paraId="13DA0B74">
            <w:pPr>
              <w:keepNext w:val="0"/>
              <w:keepLines w:val="0"/>
              <w:pageBreakBefore w:val="0"/>
              <w:kinsoku/>
              <w:wordWrap/>
              <w:overflowPunct/>
              <w:topLinePunct w:val="0"/>
              <w:autoSpaceDE/>
              <w:autoSpaceDN/>
              <w:bidi w:val="0"/>
              <w:adjustRightInd/>
              <w:spacing w:after="0" w:line="400" w:lineRule="exact"/>
              <w:ind w:firstLine="420" w:firstLineChars="200"/>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none"/>
                <w:lang w:val="en-US" w:eastAsia="zh-CN"/>
              </w:rPr>
              <w:t>本分包非专门面向中小企业。</w:t>
            </w:r>
          </w:p>
        </w:tc>
      </w:tr>
      <w:tr w14:paraId="2D87C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092" w:type="dxa"/>
            <w:noWrap/>
            <w:vAlign w:val="center"/>
          </w:tcPr>
          <w:p w14:paraId="336ACFF7">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（十五）</w:t>
            </w:r>
          </w:p>
        </w:tc>
        <w:tc>
          <w:tcPr>
            <w:tcW w:w="1188" w:type="dxa"/>
            <w:noWrap/>
            <w:vAlign w:val="center"/>
          </w:tcPr>
          <w:p w14:paraId="13DBEE05">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负偏离要求</w:t>
            </w:r>
          </w:p>
        </w:tc>
        <w:tc>
          <w:tcPr>
            <w:tcW w:w="6574" w:type="dxa"/>
            <w:noWrap/>
            <w:vAlign w:val="center"/>
          </w:tcPr>
          <w:p w14:paraId="6551EF86">
            <w:pPr>
              <w:keepNext w:val="0"/>
              <w:keepLines w:val="0"/>
              <w:pageBreakBefore w:val="0"/>
              <w:kinsoku/>
              <w:wordWrap/>
              <w:overflowPunct/>
              <w:topLinePunct w:val="0"/>
              <w:autoSpaceDE/>
              <w:autoSpaceDN/>
              <w:bidi w:val="0"/>
              <w:adjustRightInd/>
              <w:spacing w:after="0" w:line="400" w:lineRule="exact"/>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本分标商务要求允许0项负偏离。</w:t>
            </w:r>
          </w:p>
        </w:tc>
      </w:tr>
      <w:tr w14:paraId="64A5A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3" w:hRule="atLeast"/>
          <w:jc w:val="center"/>
        </w:trPr>
        <w:tc>
          <w:tcPr>
            <w:tcW w:w="1092" w:type="dxa"/>
            <w:noWrap/>
            <w:vAlign w:val="center"/>
          </w:tcPr>
          <w:p w14:paraId="09A76740">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（十六）</w:t>
            </w:r>
          </w:p>
        </w:tc>
        <w:tc>
          <w:tcPr>
            <w:tcW w:w="1188" w:type="dxa"/>
            <w:noWrap/>
            <w:vAlign w:val="center"/>
          </w:tcPr>
          <w:p w14:paraId="53076965">
            <w:pPr>
              <w:keepNext w:val="0"/>
              <w:keepLines w:val="0"/>
              <w:pageBreakBefore w:val="0"/>
              <w:kinsoku/>
              <w:wordWrap/>
              <w:overflowPunct/>
              <w:topLinePunct w:val="0"/>
              <w:autoSpaceDE/>
              <w:autoSpaceDN/>
              <w:bidi w:val="0"/>
              <w:adjustRightInd/>
              <w:spacing w:after="0"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6574" w:type="dxa"/>
            <w:noWrap/>
            <w:vAlign w:val="center"/>
          </w:tcPr>
          <w:p w14:paraId="57A78953">
            <w:pPr>
              <w:keepNext w:val="0"/>
              <w:keepLines w:val="0"/>
              <w:pageBreakBefore w:val="0"/>
              <w:kinsoku/>
              <w:wordWrap/>
              <w:overflowPunct/>
              <w:topLinePunct w:val="0"/>
              <w:autoSpaceDE/>
              <w:autoSpaceDN/>
              <w:bidi w:val="0"/>
              <w:adjustRightInd/>
              <w:spacing w:after="0"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1.中标人提供的硬件设备及软件的技术参数、配置和性能指标必须为真实有效，如有提供虚假材料谋取中标的，按政府采购相关法规处罚，并追究其相应的法律责任。</w:t>
            </w:r>
          </w:p>
          <w:p w14:paraId="1D97C502">
            <w:pPr>
              <w:keepNext w:val="0"/>
              <w:keepLines w:val="0"/>
              <w:pageBreakBefore w:val="0"/>
              <w:kinsoku/>
              <w:wordWrap/>
              <w:overflowPunct/>
              <w:topLinePunct w:val="0"/>
              <w:autoSpaceDE/>
              <w:autoSpaceDN/>
              <w:bidi w:val="0"/>
              <w:adjustRightInd/>
              <w:spacing w:after="0"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2.中标产品必须是按厂家标准配置的整套全新，具备正规合法经销渠道的，符合国家各项有关质量标准的合格产品。相关部件及服务满足以上各项要求。若产品在运输过程中损坏或擦伤须无偿调换相同产品。</w:t>
            </w:r>
          </w:p>
          <w:p w14:paraId="7829BBEA">
            <w:pPr>
              <w:keepNext w:val="0"/>
              <w:keepLines w:val="0"/>
              <w:pageBreakBefore w:val="0"/>
              <w:kinsoku/>
              <w:wordWrap/>
              <w:overflowPunct/>
              <w:topLinePunct w:val="0"/>
              <w:autoSpaceDE/>
              <w:autoSpaceDN/>
              <w:bidi w:val="0"/>
              <w:adjustRightInd/>
              <w:snapToGrid/>
              <w:spacing w:after="0"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3.中标人提供的货物包装应符合《财政部等三部门联合印发商品包装和快递包装政府采购需求标准（试行）》财办库〔2020〕123号相关要求。</w:t>
            </w:r>
          </w:p>
        </w:tc>
      </w:tr>
    </w:tbl>
    <w:p w14:paraId="1208D352">
      <w:pPr>
        <w:rPr>
          <w:rFonts w:hint="eastAsia"/>
          <w:color w:val="auto"/>
          <w:highlight w:val="none"/>
          <w:lang w:val="en-US" w:eastAsia="zh-CN"/>
        </w:rPr>
      </w:pPr>
    </w:p>
    <w:p w14:paraId="1B26C37C">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1"/>
        <w:rPr>
          <w:rFonts w:hint="eastAsia" w:ascii="宋体" w:hAnsi="宋体" w:eastAsia="宋体" w:cs="宋体"/>
          <w:b w:val="0"/>
          <w:bCs w:val="0"/>
          <w:color w:val="auto"/>
          <w:sz w:val="21"/>
          <w:szCs w:val="21"/>
          <w:highlight w:val="none"/>
        </w:rPr>
      </w:pPr>
      <w:bookmarkStart w:id="119" w:name="_Toc17039"/>
      <w:bookmarkStart w:id="120" w:name="_Toc1998"/>
      <w:r>
        <w:rPr>
          <w:rFonts w:hint="eastAsia" w:ascii="宋体" w:hAnsi="宋体" w:eastAsia="宋体" w:cs="宋体"/>
          <w:b/>
          <w:bCs/>
          <w:color w:val="auto"/>
          <w:kern w:val="2"/>
          <w:sz w:val="21"/>
          <w:szCs w:val="21"/>
          <w:highlight w:val="none"/>
          <w:lang w:val="en-US" w:eastAsia="zh-CN" w:bidi="ar-SA"/>
        </w:rPr>
        <w:t>三、</w:t>
      </w:r>
      <w:r>
        <w:rPr>
          <w:rFonts w:hint="eastAsia" w:ascii="宋体" w:hAnsi="宋体" w:eastAsia="宋体" w:cs="宋体"/>
          <w:b/>
          <w:bCs/>
          <w:color w:val="auto"/>
          <w:sz w:val="21"/>
          <w:szCs w:val="21"/>
          <w:highlight w:val="none"/>
          <w:lang w:val="en-US" w:eastAsia="zh-CN"/>
        </w:rPr>
        <w:t>其他</w:t>
      </w:r>
      <w:bookmarkEnd w:id="119"/>
      <w:bookmarkEnd w:id="120"/>
    </w:p>
    <w:tbl>
      <w:tblPr>
        <w:tblStyle w:val="48"/>
        <w:tblW w:w="88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9"/>
        <w:gridCol w:w="6802"/>
      </w:tblGrid>
      <w:tr w14:paraId="2077E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8831" w:type="dxa"/>
            <w:gridSpan w:val="2"/>
            <w:vAlign w:val="center"/>
          </w:tcPr>
          <w:p w14:paraId="69122FBE">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（一）投标人的履约能力要求</w:t>
            </w:r>
          </w:p>
        </w:tc>
      </w:tr>
      <w:tr w14:paraId="26A6F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2029" w:type="dxa"/>
            <w:vAlign w:val="center"/>
          </w:tcPr>
          <w:p w14:paraId="7DDC0F2C">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业绩要求</w:t>
            </w:r>
          </w:p>
        </w:tc>
        <w:tc>
          <w:tcPr>
            <w:tcW w:w="6802" w:type="dxa"/>
            <w:vAlign w:val="center"/>
          </w:tcPr>
          <w:p w14:paraId="252E6E21">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见本招标文件“评标办法及评分标准”。</w:t>
            </w:r>
          </w:p>
        </w:tc>
      </w:tr>
      <w:tr w14:paraId="28A0C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2029" w:type="dxa"/>
            <w:vAlign w:val="center"/>
          </w:tcPr>
          <w:p w14:paraId="1850471C">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管理体系</w:t>
            </w:r>
          </w:p>
        </w:tc>
        <w:tc>
          <w:tcPr>
            <w:tcW w:w="6802" w:type="dxa"/>
            <w:vAlign w:val="center"/>
          </w:tcPr>
          <w:p w14:paraId="1DAEC23D">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如有，请提供。</w:t>
            </w:r>
          </w:p>
        </w:tc>
      </w:tr>
      <w:tr w14:paraId="371D3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8831" w:type="dxa"/>
            <w:gridSpan w:val="2"/>
            <w:vAlign w:val="center"/>
          </w:tcPr>
          <w:p w14:paraId="2F90A54C">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（二）政策性加分条件</w:t>
            </w:r>
          </w:p>
        </w:tc>
      </w:tr>
      <w:tr w14:paraId="32777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2029" w:type="dxa"/>
            <w:vAlign w:val="center"/>
          </w:tcPr>
          <w:p w14:paraId="205C7706">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政策性加分</w:t>
            </w:r>
          </w:p>
        </w:tc>
        <w:tc>
          <w:tcPr>
            <w:tcW w:w="6802" w:type="dxa"/>
            <w:vAlign w:val="top"/>
          </w:tcPr>
          <w:p w14:paraId="3B2D4642">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见本招标文件“评标办法及评分标准”</w:t>
            </w:r>
          </w:p>
        </w:tc>
      </w:tr>
      <w:tr w14:paraId="395A1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8831" w:type="dxa"/>
            <w:gridSpan w:val="2"/>
            <w:vAlign w:val="center"/>
          </w:tcPr>
          <w:p w14:paraId="7F0AB1AE">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三</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其他要求</w:t>
            </w:r>
          </w:p>
        </w:tc>
      </w:tr>
      <w:tr w14:paraId="25CBC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8831" w:type="dxa"/>
            <w:gridSpan w:val="2"/>
            <w:vAlign w:val="center"/>
          </w:tcPr>
          <w:p w14:paraId="5086E73F">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val="en-US" w:eastAsia="zh-CN"/>
              </w:rPr>
              <w:t>分包1～分包</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val="en-US" w:eastAsia="zh-CN"/>
              </w:rPr>
              <w:t>的</w:t>
            </w:r>
            <w:r>
              <w:rPr>
                <w:rFonts w:hint="eastAsia" w:ascii="宋体" w:hAnsi="宋体" w:eastAsia="宋体" w:cs="宋体"/>
                <w:b w:val="0"/>
                <w:bCs/>
                <w:color w:val="auto"/>
                <w:sz w:val="21"/>
                <w:szCs w:val="21"/>
                <w:highlight w:val="none"/>
              </w:rPr>
              <w:t>投标人根据自身情况提供包括但不限于</w:t>
            </w:r>
            <w:r>
              <w:rPr>
                <w:rFonts w:hint="eastAsia" w:ascii="宋体" w:hAnsi="宋体" w:eastAsia="宋体" w:cs="宋体"/>
                <w:b w:val="0"/>
                <w:bCs/>
                <w:color w:val="auto"/>
                <w:sz w:val="21"/>
                <w:szCs w:val="21"/>
                <w:highlight w:val="none"/>
                <w:lang w:val="en-US" w:eastAsia="zh-CN"/>
              </w:rPr>
              <w:t>项目实施方案</w:t>
            </w: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质量保障方案、售后服务方案等。</w:t>
            </w:r>
          </w:p>
        </w:tc>
      </w:tr>
      <w:tr w14:paraId="4E609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8831" w:type="dxa"/>
            <w:gridSpan w:val="2"/>
            <w:vAlign w:val="center"/>
          </w:tcPr>
          <w:p w14:paraId="61E78AD0">
            <w:pPr>
              <w:keepNext w:val="0"/>
              <w:keepLines w:val="0"/>
              <w:pageBreakBefore w:val="0"/>
              <w:widowControl w:val="0"/>
              <w:kinsoku/>
              <w:wordWrap/>
              <w:overflowPunct/>
              <w:topLinePunct w:val="0"/>
              <w:autoSpaceDE/>
              <w:autoSpaceDN/>
              <w:bidi w:val="0"/>
              <w:adjustRightInd/>
              <w:spacing w:line="400" w:lineRule="exact"/>
              <w:jc w:val="left"/>
              <w:textAlignment w:val="auto"/>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各分标报价超出招标文件相应分标规定最高限价</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控制</w:t>
            </w:r>
            <w:r>
              <w:rPr>
                <w:rFonts w:hint="eastAsia" w:ascii="宋体" w:hAnsi="宋体" w:eastAsia="宋体" w:cs="宋体"/>
                <w:b w:val="0"/>
                <w:bCs/>
                <w:color w:val="auto"/>
                <w:sz w:val="21"/>
                <w:szCs w:val="21"/>
                <w:highlight w:val="none"/>
                <w:lang w:eastAsia="zh-CN"/>
              </w:rPr>
              <w:t>总价）</w:t>
            </w:r>
            <w:r>
              <w:rPr>
                <w:rFonts w:hint="eastAsia" w:ascii="宋体" w:hAnsi="宋体" w:eastAsia="宋体" w:cs="宋体"/>
                <w:b w:val="0"/>
                <w:bCs/>
                <w:color w:val="auto"/>
                <w:sz w:val="21"/>
                <w:szCs w:val="21"/>
                <w:highlight w:val="none"/>
              </w:rPr>
              <w:t>，或者超出相应分标采购预算金额的；</w:t>
            </w:r>
            <w:r>
              <w:rPr>
                <w:rFonts w:hint="eastAsia" w:ascii="宋体" w:hAnsi="宋体" w:eastAsia="宋体" w:cs="宋体"/>
                <w:b w:val="0"/>
                <w:bCs/>
                <w:color w:val="auto"/>
                <w:sz w:val="21"/>
                <w:szCs w:val="21"/>
                <w:highlight w:val="none"/>
                <w:lang w:val="en-US" w:eastAsia="zh-CN"/>
              </w:rPr>
              <w:t>投标</w:t>
            </w:r>
            <w:r>
              <w:rPr>
                <w:rFonts w:hint="eastAsia" w:ascii="宋体" w:hAnsi="宋体" w:eastAsia="宋体" w:cs="宋体"/>
                <w:b w:val="0"/>
                <w:bCs/>
                <w:color w:val="auto"/>
                <w:sz w:val="21"/>
                <w:szCs w:val="21"/>
                <w:highlight w:val="none"/>
              </w:rPr>
              <w:t>报价</w:t>
            </w:r>
            <w:r>
              <w:rPr>
                <w:rFonts w:hint="eastAsia" w:ascii="宋体" w:hAnsi="宋体" w:eastAsia="宋体" w:cs="宋体"/>
                <w:b w:val="0"/>
                <w:bCs/>
                <w:color w:val="auto"/>
                <w:sz w:val="21"/>
                <w:szCs w:val="21"/>
                <w:highlight w:val="none"/>
                <w:lang w:val="en-US" w:eastAsia="zh-CN"/>
              </w:rPr>
              <w:t>的分项单价报价金额</w:t>
            </w:r>
            <w:r>
              <w:rPr>
                <w:rFonts w:hint="eastAsia" w:ascii="宋体" w:hAnsi="宋体" w:eastAsia="宋体" w:cs="宋体"/>
                <w:b w:val="0"/>
                <w:bCs/>
                <w:color w:val="auto"/>
                <w:sz w:val="21"/>
                <w:szCs w:val="21"/>
                <w:highlight w:val="none"/>
              </w:rPr>
              <w:t>超出招标文件</w:t>
            </w:r>
            <w:r>
              <w:rPr>
                <w:rFonts w:hint="eastAsia" w:ascii="宋体" w:hAnsi="宋体" w:eastAsia="宋体" w:cs="宋体"/>
                <w:b w:val="0"/>
                <w:bCs/>
                <w:color w:val="auto"/>
                <w:sz w:val="21"/>
                <w:szCs w:val="21"/>
                <w:highlight w:val="none"/>
                <w:lang w:val="en-US" w:eastAsia="zh-CN"/>
              </w:rPr>
              <w:t>对应分项控制单价金额的，作无效投标处理。</w:t>
            </w:r>
          </w:p>
        </w:tc>
      </w:tr>
    </w:tbl>
    <w:p w14:paraId="0A9E3D3D">
      <w:pPr>
        <w:rPr>
          <w:rFonts w:hint="eastAsia" w:ascii="宋体" w:hAnsi="宋体" w:eastAsia="宋体" w:cs="宋体"/>
          <w:color w:val="auto"/>
          <w:highlight w:val="none"/>
          <w:lang w:val="en-US" w:eastAsia="zh-CN"/>
        </w:rPr>
      </w:pPr>
    </w:p>
    <w:p w14:paraId="4CB7F6B5">
      <w:pPr>
        <w:rPr>
          <w:rFonts w:hint="eastAsia" w:ascii="宋体" w:hAnsi="宋体" w:eastAsia="宋体" w:cs="宋体"/>
          <w:color w:val="auto"/>
          <w:sz w:val="32"/>
          <w:szCs w:val="32"/>
          <w:highlight w:val="none"/>
        </w:rPr>
      </w:pPr>
    </w:p>
    <w:p w14:paraId="7C7A0E1A">
      <w:pPr>
        <w:rPr>
          <w:rFonts w:hint="eastAsia" w:ascii="宋体" w:hAnsi="宋体" w:eastAsia="宋体" w:cs="宋体"/>
          <w:color w:val="auto"/>
          <w:sz w:val="32"/>
          <w:szCs w:val="32"/>
          <w:highlight w:val="none"/>
        </w:rPr>
      </w:pPr>
    </w:p>
    <w:p w14:paraId="6BDB823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F5D634A">
      <w:pPr>
        <w:shd w:val="clear" w:color="auto" w:fill="auto"/>
        <w:spacing w:beforeLines="0" w:afterLines="0" w:line="528" w:lineRule="exact"/>
        <w:outlineLvl w:val="9"/>
        <w:rPr>
          <w:color w:val="auto"/>
          <w:highlight w:val="none"/>
        </w:rPr>
      </w:pPr>
      <w:r>
        <w:rPr>
          <w:rFonts w:hint="eastAsia" w:ascii="宋体" w:hAnsi="宋体" w:eastAsia="宋体" w:cs="宋体"/>
          <w:b/>
          <w:color w:val="auto"/>
          <w:sz w:val="21"/>
          <w:szCs w:val="21"/>
          <w:highlight w:val="none"/>
          <w:lang w:val="en-US" w:eastAsia="zh-CN"/>
        </w:rPr>
        <w:t>附件1：节能产品政府采购品目清单</w:t>
      </w:r>
    </w:p>
    <w:tbl>
      <w:tblPr>
        <w:tblStyle w:val="114"/>
        <w:tblW w:w="8427"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0"/>
        <w:gridCol w:w="1166"/>
        <w:gridCol w:w="1797"/>
        <w:gridCol w:w="1914"/>
        <w:gridCol w:w="2970"/>
      </w:tblGrid>
      <w:tr w14:paraId="2B79E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580" w:type="dxa"/>
            <w:vAlign w:val="top"/>
          </w:tcPr>
          <w:p w14:paraId="78C5F1A3">
            <w:pPr>
              <w:pStyle w:val="131"/>
              <w:spacing w:before="143" w:line="223" w:lineRule="auto"/>
              <w:ind w:left="117"/>
              <w:rPr>
                <w:color w:val="auto"/>
                <w:sz w:val="22"/>
                <w:szCs w:val="22"/>
                <w:highlight w:val="none"/>
              </w:rPr>
            </w:pPr>
            <w:r>
              <w:rPr>
                <w:b/>
                <w:bCs/>
                <w:color w:val="auto"/>
                <w:spacing w:val="-11"/>
                <w:sz w:val="22"/>
                <w:szCs w:val="22"/>
                <w:highlight w:val="none"/>
              </w:rPr>
              <w:t>品目</w:t>
            </w:r>
          </w:p>
          <w:p w14:paraId="3CEE1BEB">
            <w:pPr>
              <w:pStyle w:val="131"/>
              <w:spacing w:before="43" w:line="222" w:lineRule="auto"/>
              <w:ind w:left="79"/>
              <w:rPr>
                <w:color w:val="auto"/>
                <w:sz w:val="22"/>
                <w:szCs w:val="22"/>
                <w:highlight w:val="none"/>
              </w:rPr>
            </w:pPr>
            <w:r>
              <w:rPr>
                <w:b/>
                <w:bCs/>
                <w:color w:val="auto"/>
                <w:spacing w:val="-5"/>
                <w:sz w:val="22"/>
                <w:szCs w:val="22"/>
                <w:highlight w:val="none"/>
              </w:rPr>
              <w:t>序号</w:t>
            </w:r>
          </w:p>
        </w:tc>
        <w:tc>
          <w:tcPr>
            <w:tcW w:w="4877" w:type="dxa"/>
            <w:gridSpan w:val="3"/>
            <w:vAlign w:val="top"/>
          </w:tcPr>
          <w:p w14:paraId="066C2A09">
            <w:pPr>
              <w:pStyle w:val="131"/>
              <w:spacing w:before="300" w:line="222" w:lineRule="auto"/>
              <w:ind w:left="2237"/>
              <w:rPr>
                <w:color w:val="auto"/>
                <w:sz w:val="22"/>
                <w:szCs w:val="22"/>
                <w:highlight w:val="none"/>
              </w:rPr>
            </w:pPr>
            <w:r>
              <w:rPr>
                <w:b/>
                <w:bCs/>
                <w:color w:val="auto"/>
                <w:spacing w:val="-6"/>
                <w:sz w:val="22"/>
                <w:szCs w:val="22"/>
                <w:highlight w:val="none"/>
              </w:rPr>
              <w:t>名称</w:t>
            </w:r>
          </w:p>
        </w:tc>
        <w:tc>
          <w:tcPr>
            <w:tcW w:w="2970" w:type="dxa"/>
            <w:vAlign w:val="top"/>
          </w:tcPr>
          <w:p w14:paraId="3F449D32">
            <w:pPr>
              <w:pStyle w:val="131"/>
              <w:spacing w:before="300" w:line="219" w:lineRule="auto"/>
              <w:ind w:left="950"/>
              <w:rPr>
                <w:color w:val="auto"/>
                <w:sz w:val="22"/>
                <w:szCs w:val="22"/>
                <w:highlight w:val="none"/>
              </w:rPr>
            </w:pPr>
            <w:r>
              <w:rPr>
                <w:b/>
                <w:bCs/>
                <w:color w:val="auto"/>
                <w:spacing w:val="-7"/>
                <w:sz w:val="22"/>
                <w:szCs w:val="22"/>
                <w:highlight w:val="none"/>
              </w:rPr>
              <w:t>依据的标准</w:t>
            </w:r>
          </w:p>
        </w:tc>
      </w:tr>
      <w:tr w14:paraId="43324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80" w:type="dxa"/>
            <w:vMerge w:val="restart"/>
            <w:tcBorders>
              <w:bottom w:val="nil"/>
            </w:tcBorders>
            <w:vAlign w:val="top"/>
          </w:tcPr>
          <w:p w14:paraId="394EBEA2">
            <w:pPr>
              <w:spacing w:line="257" w:lineRule="auto"/>
              <w:rPr>
                <w:rFonts w:ascii="Arial"/>
                <w:color w:val="auto"/>
                <w:sz w:val="21"/>
                <w:highlight w:val="none"/>
              </w:rPr>
            </w:pPr>
          </w:p>
          <w:p w14:paraId="7D86882D">
            <w:pPr>
              <w:spacing w:line="258" w:lineRule="auto"/>
              <w:rPr>
                <w:rFonts w:ascii="Arial"/>
                <w:color w:val="auto"/>
                <w:sz w:val="21"/>
                <w:highlight w:val="none"/>
              </w:rPr>
            </w:pPr>
          </w:p>
          <w:p w14:paraId="0A451F94">
            <w:pPr>
              <w:spacing w:line="258" w:lineRule="auto"/>
              <w:rPr>
                <w:rFonts w:ascii="Arial"/>
                <w:color w:val="auto"/>
                <w:sz w:val="21"/>
                <w:highlight w:val="none"/>
              </w:rPr>
            </w:pPr>
          </w:p>
          <w:p w14:paraId="460D2438">
            <w:pPr>
              <w:spacing w:line="258" w:lineRule="auto"/>
              <w:rPr>
                <w:rFonts w:ascii="Arial"/>
                <w:color w:val="auto"/>
                <w:sz w:val="21"/>
                <w:highlight w:val="none"/>
              </w:rPr>
            </w:pPr>
          </w:p>
          <w:p w14:paraId="08C806DE">
            <w:pPr>
              <w:pStyle w:val="131"/>
              <w:spacing w:before="58" w:line="241" w:lineRule="auto"/>
              <w:ind w:left="276"/>
              <w:rPr>
                <w:color w:val="auto"/>
                <w:sz w:val="18"/>
                <w:szCs w:val="18"/>
                <w:highlight w:val="none"/>
              </w:rPr>
            </w:pPr>
            <w:r>
              <w:rPr>
                <w:color w:val="auto"/>
                <w:sz w:val="18"/>
                <w:szCs w:val="18"/>
                <w:highlight w:val="none"/>
              </w:rPr>
              <w:t>1</w:t>
            </w:r>
          </w:p>
        </w:tc>
        <w:tc>
          <w:tcPr>
            <w:tcW w:w="1166" w:type="dxa"/>
            <w:vMerge w:val="restart"/>
            <w:tcBorders>
              <w:bottom w:val="nil"/>
            </w:tcBorders>
            <w:vAlign w:val="top"/>
          </w:tcPr>
          <w:p w14:paraId="7DE4C3BC">
            <w:pPr>
              <w:spacing w:line="287" w:lineRule="auto"/>
              <w:rPr>
                <w:rFonts w:ascii="Arial"/>
                <w:color w:val="auto"/>
                <w:sz w:val="21"/>
                <w:highlight w:val="none"/>
              </w:rPr>
            </w:pPr>
          </w:p>
          <w:p w14:paraId="0F311C3A">
            <w:pPr>
              <w:spacing w:line="287" w:lineRule="auto"/>
              <w:rPr>
                <w:rFonts w:ascii="Arial"/>
                <w:color w:val="auto"/>
                <w:sz w:val="21"/>
                <w:highlight w:val="none"/>
              </w:rPr>
            </w:pPr>
          </w:p>
          <w:p w14:paraId="7F2F162F">
            <w:pPr>
              <w:spacing w:line="288" w:lineRule="auto"/>
              <w:rPr>
                <w:rFonts w:ascii="Arial"/>
                <w:color w:val="auto"/>
                <w:sz w:val="21"/>
                <w:highlight w:val="none"/>
              </w:rPr>
            </w:pPr>
          </w:p>
          <w:p w14:paraId="129DA7F5">
            <w:pPr>
              <w:pStyle w:val="131"/>
              <w:spacing w:before="59" w:line="304" w:lineRule="auto"/>
              <w:ind w:left="18" w:right="10" w:hanging="9"/>
              <w:rPr>
                <w:color w:val="auto"/>
                <w:sz w:val="18"/>
                <w:szCs w:val="18"/>
                <w:highlight w:val="none"/>
              </w:rPr>
            </w:pPr>
            <w:r>
              <w:rPr>
                <w:color w:val="auto"/>
                <w:spacing w:val="6"/>
                <w:sz w:val="18"/>
                <w:szCs w:val="18"/>
                <w:highlight w:val="none"/>
              </w:rPr>
              <w:t>A020101 计算</w:t>
            </w:r>
            <w:r>
              <w:rPr>
                <w:color w:val="auto"/>
                <w:spacing w:val="2"/>
                <w:sz w:val="18"/>
                <w:szCs w:val="18"/>
                <w:highlight w:val="none"/>
              </w:rPr>
              <w:t>机设备</w:t>
            </w:r>
          </w:p>
        </w:tc>
        <w:tc>
          <w:tcPr>
            <w:tcW w:w="1797" w:type="dxa"/>
            <w:vAlign w:val="top"/>
          </w:tcPr>
          <w:p w14:paraId="1260E93A">
            <w:pPr>
              <w:pStyle w:val="131"/>
              <w:spacing w:before="182" w:line="304" w:lineRule="auto"/>
              <w:ind w:left="21" w:right="14" w:firstLine="3"/>
              <w:rPr>
                <w:color w:val="auto"/>
                <w:sz w:val="18"/>
                <w:szCs w:val="18"/>
                <w:highlight w:val="none"/>
              </w:rPr>
            </w:pPr>
            <w:r>
              <w:rPr>
                <w:color w:val="auto"/>
                <w:spacing w:val="3"/>
                <w:sz w:val="18"/>
                <w:szCs w:val="18"/>
                <w:highlight w:val="none"/>
              </w:rPr>
              <w:t>★A02010104</w:t>
            </w:r>
            <w:r>
              <w:rPr>
                <w:color w:val="auto"/>
                <w:spacing w:val="1"/>
                <w:sz w:val="18"/>
                <w:szCs w:val="18"/>
                <w:highlight w:val="none"/>
              </w:rPr>
              <w:t xml:space="preserve">  </w:t>
            </w:r>
            <w:r>
              <w:rPr>
                <w:color w:val="auto"/>
                <w:spacing w:val="3"/>
                <w:sz w:val="18"/>
                <w:szCs w:val="18"/>
                <w:highlight w:val="none"/>
              </w:rPr>
              <w:t>台式计</w:t>
            </w:r>
            <w:r>
              <w:rPr>
                <w:color w:val="auto"/>
                <w:spacing w:val="-1"/>
                <w:sz w:val="18"/>
                <w:szCs w:val="18"/>
                <w:highlight w:val="none"/>
              </w:rPr>
              <w:t>算机</w:t>
            </w:r>
          </w:p>
        </w:tc>
        <w:tc>
          <w:tcPr>
            <w:tcW w:w="1914" w:type="dxa"/>
            <w:vAlign w:val="top"/>
          </w:tcPr>
          <w:p w14:paraId="2C98D9B4">
            <w:pPr>
              <w:rPr>
                <w:rFonts w:ascii="Arial"/>
                <w:color w:val="auto"/>
                <w:sz w:val="21"/>
                <w:highlight w:val="none"/>
              </w:rPr>
            </w:pPr>
          </w:p>
        </w:tc>
        <w:tc>
          <w:tcPr>
            <w:tcW w:w="2970" w:type="dxa"/>
            <w:vAlign w:val="top"/>
          </w:tcPr>
          <w:p w14:paraId="1E682082">
            <w:pPr>
              <w:pStyle w:val="131"/>
              <w:spacing w:before="181" w:line="305" w:lineRule="auto"/>
              <w:ind w:left="28" w:right="39" w:firstLine="1"/>
              <w:rPr>
                <w:color w:val="auto"/>
                <w:sz w:val="18"/>
                <w:szCs w:val="18"/>
                <w:highlight w:val="none"/>
              </w:rPr>
            </w:pPr>
            <w:r>
              <w:rPr>
                <w:color w:val="auto"/>
                <w:spacing w:val="22"/>
                <w:sz w:val="18"/>
                <w:szCs w:val="18"/>
                <w:highlight w:val="none"/>
              </w:rPr>
              <w:t>《</w:t>
            </w:r>
            <w:r>
              <w:rPr>
                <w:color w:val="auto"/>
                <w:spacing w:val="-24"/>
                <w:sz w:val="18"/>
                <w:szCs w:val="18"/>
                <w:highlight w:val="none"/>
              </w:rPr>
              <w:t xml:space="preserve"> </w:t>
            </w:r>
            <w:r>
              <w:rPr>
                <w:color w:val="auto"/>
                <w:spacing w:val="22"/>
                <w:sz w:val="18"/>
                <w:szCs w:val="18"/>
                <w:highlight w:val="none"/>
              </w:rPr>
              <w:t>微型计算机能效限定值及能效</w:t>
            </w:r>
            <w:r>
              <w:rPr>
                <w:color w:val="auto"/>
                <w:spacing w:val="4"/>
                <w:sz w:val="18"/>
                <w:szCs w:val="18"/>
                <w:highlight w:val="none"/>
              </w:rPr>
              <w:t>等级》（</w:t>
            </w:r>
            <w:r>
              <w:rPr>
                <w:color w:val="auto"/>
                <w:sz w:val="18"/>
                <w:szCs w:val="18"/>
                <w:highlight w:val="none"/>
              </w:rPr>
              <w:t>GB</w:t>
            </w:r>
            <w:r>
              <w:rPr>
                <w:color w:val="auto"/>
                <w:spacing w:val="4"/>
                <w:sz w:val="18"/>
                <w:szCs w:val="18"/>
                <w:highlight w:val="none"/>
              </w:rPr>
              <w:t xml:space="preserve"> 28380）</w:t>
            </w:r>
          </w:p>
        </w:tc>
      </w:tr>
      <w:tr w14:paraId="09391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80" w:type="dxa"/>
            <w:vMerge w:val="continue"/>
            <w:tcBorders>
              <w:top w:val="nil"/>
              <w:bottom w:val="nil"/>
            </w:tcBorders>
            <w:vAlign w:val="top"/>
          </w:tcPr>
          <w:p w14:paraId="05C61387">
            <w:pPr>
              <w:rPr>
                <w:rFonts w:ascii="Arial"/>
                <w:color w:val="auto"/>
                <w:sz w:val="21"/>
                <w:highlight w:val="none"/>
              </w:rPr>
            </w:pPr>
          </w:p>
        </w:tc>
        <w:tc>
          <w:tcPr>
            <w:tcW w:w="1166" w:type="dxa"/>
            <w:vMerge w:val="continue"/>
            <w:tcBorders>
              <w:top w:val="nil"/>
              <w:bottom w:val="nil"/>
            </w:tcBorders>
            <w:vAlign w:val="top"/>
          </w:tcPr>
          <w:p w14:paraId="2CBCE074">
            <w:pPr>
              <w:rPr>
                <w:rFonts w:ascii="Arial"/>
                <w:color w:val="auto"/>
                <w:sz w:val="21"/>
                <w:highlight w:val="none"/>
              </w:rPr>
            </w:pPr>
          </w:p>
        </w:tc>
        <w:tc>
          <w:tcPr>
            <w:tcW w:w="1797" w:type="dxa"/>
            <w:vAlign w:val="top"/>
          </w:tcPr>
          <w:p w14:paraId="67191FA2">
            <w:pPr>
              <w:pStyle w:val="131"/>
              <w:spacing w:before="133" w:line="295" w:lineRule="auto"/>
              <w:ind w:left="17" w:right="16" w:firstLine="5"/>
              <w:rPr>
                <w:color w:val="auto"/>
                <w:sz w:val="18"/>
                <w:szCs w:val="18"/>
                <w:highlight w:val="none"/>
              </w:rPr>
            </w:pPr>
            <w:r>
              <w:rPr>
                <w:color w:val="auto"/>
                <w:spacing w:val="4"/>
                <w:sz w:val="18"/>
                <w:szCs w:val="18"/>
                <w:highlight w:val="none"/>
              </w:rPr>
              <w:t>★A02010105</w:t>
            </w:r>
            <w:r>
              <w:rPr>
                <w:color w:val="auto"/>
                <w:spacing w:val="79"/>
                <w:sz w:val="18"/>
                <w:szCs w:val="18"/>
                <w:highlight w:val="none"/>
              </w:rPr>
              <w:t xml:space="preserve"> </w:t>
            </w:r>
            <w:r>
              <w:rPr>
                <w:color w:val="auto"/>
                <w:spacing w:val="4"/>
                <w:sz w:val="18"/>
                <w:szCs w:val="18"/>
                <w:highlight w:val="none"/>
              </w:rPr>
              <w:t>便携式</w:t>
            </w:r>
            <w:r>
              <w:rPr>
                <w:color w:val="auto"/>
                <w:spacing w:val="2"/>
                <w:sz w:val="18"/>
                <w:szCs w:val="18"/>
                <w:highlight w:val="none"/>
              </w:rPr>
              <w:t>计算机</w:t>
            </w:r>
          </w:p>
        </w:tc>
        <w:tc>
          <w:tcPr>
            <w:tcW w:w="1914" w:type="dxa"/>
            <w:vAlign w:val="top"/>
          </w:tcPr>
          <w:p w14:paraId="20607631">
            <w:pPr>
              <w:rPr>
                <w:rFonts w:ascii="Arial"/>
                <w:color w:val="auto"/>
                <w:sz w:val="21"/>
                <w:highlight w:val="none"/>
              </w:rPr>
            </w:pPr>
          </w:p>
        </w:tc>
        <w:tc>
          <w:tcPr>
            <w:tcW w:w="2970" w:type="dxa"/>
            <w:vAlign w:val="top"/>
          </w:tcPr>
          <w:p w14:paraId="0C065639">
            <w:pPr>
              <w:pStyle w:val="131"/>
              <w:spacing w:before="134" w:line="295" w:lineRule="auto"/>
              <w:ind w:left="28" w:right="39" w:firstLine="1"/>
              <w:rPr>
                <w:color w:val="auto"/>
                <w:sz w:val="18"/>
                <w:szCs w:val="18"/>
                <w:highlight w:val="none"/>
              </w:rPr>
            </w:pPr>
            <w:r>
              <w:rPr>
                <w:color w:val="auto"/>
                <w:spacing w:val="22"/>
                <w:sz w:val="18"/>
                <w:szCs w:val="18"/>
                <w:highlight w:val="none"/>
              </w:rPr>
              <w:t>《</w:t>
            </w:r>
            <w:r>
              <w:rPr>
                <w:color w:val="auto"/>
                <w:spacing w:val="-24"/>
                <w:sz w:val="18"/>
                <w:szCs w:val="18"/>
                <w:highlight w:val="none"/>
              </w:rPr>
              <w:t xml:space="preserve"> </w:t>
            </w:r>
            <w:r>
              <w:rPr>
                <w:color w:val="auto"/>
                <w:spacing w:val="22"/>
                <w:sz w:val="18"/>
                <w:szCs w:val="18"/>
                <w:highlight w:val="none"/>
              </w:rPr>
              <w:t>微型计算机能效限定值及能效</w:t>
            </w:r>
            <w:r>
              <w:rPr>
                <w:color w:val="auto"/>
                <w:spacing w:val="4"/>
                <w:sz w:val="18"/>
                <w:szCs w:val="18"/>
                <w:highlight w:val="none"/>
              </w:rPr>
              <w:t>等级》（</w:t>
            </w:r>
            <w:r>
              <w:rPr>
                <w:color w:val="auto"/>
                <w:sz w:val="18"/>
                <w:szCs w:val="18"/>
                <w:highlight w:val="none"/>
              </w:rPr>
              <w:t>GB</w:t>
            </w:r>
            <w:r>
              <w:rPr>
                <w:color w:val="auto"/>
                <w:spacing w:val="4"/>
                <w:sz w:val="18"/>
                <w:szCs w:val="18"/>
                <w:highlight w:val="none"/>
              </w:rPr>
              <w:t xml:space="preserve"> 28380）</w:t>
            </w:r>
          </w:p>
        </w:tc>
      </w:tr>
      <w:tr w14:paraId="5468E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580" w:type="dxa"/>
            <w:vMerge w:val="continue"/>
            <w:tcBorders>
              <w:top w:val="nil"/>
            </w:tcBorders>
            <w:vAlign w:val="top"/>
          </w:tcPr>
          <w:p w14:paraId="73B04A28">
            <w:pPr>
              <w:rPr>
                <w:rFonts w:ascii="Arial"/>
                <w:color w:val="auto"/>
                <w:sz w:val="21"/>
                <w:highlight w:val="none"/>
              </w:rPr>
            </w:pPr>
          </w:p>
        </w:tc>
        <w:tc>
          <w:tcPr>
            <w:tcW w:w="1166" w:type="dxa"/>
            <w:vMerge w:val="continue"/>
            <w:tcBorders>
              <w:top w:val="nil"/>
            </w:tcBorders>
            <w:vAlign w:val="top"/>
          </w:tcPr>
          <w:p w14:paraId="39EC1B84">
            <w:pPr>
              <w:rPr>
                <w:rFonts w:ascii="Arial"/>
                <w:color w:val="auto"/>
                <w:sz w:val="21"/>
                <w:highlight w:val="none"/>
              </w:rPr>
            </w:pPr>
          </w:p>
        </w:tc>
        <w:tc>
          <w:tcPr>
            <w:tcW w:w="1797" w:type="dxa"/>
            <w:vAlign w:val="top"/>
          </w:tcPr>
          <w:p w14:paraId="1041169A">
            <w:pPr>
              <w:pStyle w:val="131"/>
              <w:spacing w:before="154" w:line="302" w:lineRule="auto"/>
              <w:ind w:left="17" w:right="16" w:firstLine="5"/>
              <w:rPr>
                <w:color w:val="auto"/>
                <w:sz w:val="18"/>
                <w:szCs w:val="18"/>
                <w:highlight w:val="none"/>
              </w:rPr>
            </w:pPr>
            <w:r>
              <w:rPr>
                <w:color w:val="auto"/>
                <w:spacing w:val="4"/>
                <w:sz w:val="18"/>
                <w:szCs w:val="18"/>
                <w:highlight w:val="none"/>
              </w:rPr>
              <w:t>★A02010107</w:t>
            </w:r>
            <w:r>
              <w:rPr>
                <w:color w:val="auto"/>
                <w:spacing w:val="79"/>
                <w:sz w:val="18"/>
                <w:szCs w:val="18"/>
                <w:highlight w:val="none"/>
              </w:rPr>
              <w:t xml:space="preserve"> </w:t>
            </w:r>
            <w:r>
              <w:rPr>
                <w:color w:val="auto"/>
                <w:spacing w:val="4"/>
                <w:sz w:val="18"/>
                <w:szCs w:val="18"/>
                <w:highlight w:val="none"/>
              </w:rPr>
              <w:t>平板式微型计算机</w:t>
            </w:r>
          </w:p>
        </w:tc>
        <w:tc>
          <w:tcPr>
            <w:tcW w:w="1914" w:type="dxa"/>
            <w:vAlign w:val="top"/>
          </w:tcPr>
          <w:p w14:paraId="5DD38453">
            <w:pPr>
              <w:rPr>
                <w:rFonts w:ascii="Arial"/>
                <w:color w:val="auto"/>
                <w:sz w:val="21"/>
                <w:highlight w:val="none"/>
              </w:rPr>
            </w:pPr>
          </w:p>
        </w:tc>
        <w:tc>
          <w:tcPr>
            <w:tcW w:w="2970" w:type="dxa"/>
            <w:vAlign w:val="top"/>
          </w:tcPr>
          <w:p w14:paraId="792F7F8C">
            <w:pPr>
              <w:pStyle w:val="131"/>
              <w:spacing w:before="155" w:line="302" w:lineRule="auto"/>
              <w:ind w:left="28" w:right="39" w:firstLine="1"/>
              <w:rPr>
                <w:color w:val="auto"/>
                <w:sz w:val="18"/>
                <w:szCs w:val="18"/>
                <w:highlight w:val="none"/>
              </w:rPr>
            </w:pPr>
            <w:r>
              <w:rPr>
                <w:color w:val="auto"/>
                <w:spacing w:val="22"/>
                <w:sz w:val="18"/>
                <w:szCs w:val="18"/>
                <w:highlight w:val="none"/>
              </w:rPr>
              <w:t>《</w:t>
            </w:r>
            <w:r>
              <w:rPr>
                <w:color w:val="auto"/>
                <w:spacing w:val="-24"/>
                <w:sz w:val="18"/>
                <w:szCs w:val="18"/>
                <w:highlight w:val="none"/>
              </w:rPr>
              <w:t xml:space="preserve"> </w:t>
            </w:r>
            <w:r>
              <w:rPr>
                <w:color w:val="auto"/>
                <w:spacing w:val="22"/>
                <w:sz w:val="18"/>
                <w:szCs w:val="18"/>
                <w:highlight w:val="none"/>
              </w:rPr>
              <w:t>微型计算机能效限定值及能效</w:t>
            </w:r>
            <w:r>
              <w:rPr>
                <w:color w:val="auto"/>
                <w:spacing w:val="4"/>
                <w:sz w:val="18"/>
                <w:szCs w:val="18"/>
                <w:highlight w:val="none"/>
              </w:rPr>
              <w:t>等级》（</w:t>
            </w:r>
            <w:r>
              <w:rPr>
                <w:color w:val="auto"/>
                <w:sz w:val="18"/>
                <w:szCs w:val="18"/>
                <w:highlight w:val="none"/>
              </w:rPr>
              <w:t>GB</w:t>
            </w:r>
            <w:r>
              <w:rPr>
                <w:color w:val="auto"/>
                <w:spacing w:val="4"/>
                <w:sz w:val="18"/>
                <w:szCs w:val="18"/>
                <w:highlight w:val="none"/>
              </w:rPr>
              <w:t xml:space="preserve"> 28380）</w:t>
            </w:r>
          </w:p>
        </w:tc>
      </w:tr>
      <w:tr w14:paraId="665E7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580" w:type="dxa"/>
            <w:vMerge w:val="restart"/>
            <w:tcBorders>
              <w:bottom w:val="nil"/>
            </w:tcBorders>
            <w:vAlign w:val="top"/>
          </w:tcPr>
          <w:p w14:paraId="5D7A606B">
            <w:pPr>
              <w:spacing w:line="256" w:lineRule="auto"/>
              <w:rPr>
                <w:rFonts w:ascii="Arial"/>
                <w:color w:val="auto"/>
                <w:sz w:val="21"/>
                <w:highlight w:val="none"/>
              </w:rPr>
            </w:pPr>
          </w:p>
          <w:p w14:paraId="70665AA0">
            <w:pPr>
              <w:spacing w:line="256" w:lineRule="auto"/>
              <w:rPr>
                <w:rFonts w:ascii="Arial"/>
                <w:color w:val="auto"/>
                <w:sz w:val="21"/>
                <w:highlight w:val="none"/>
              </w:rPr>
            </w:pPr>
          </w:p>
          <w:p w14:paraId="6129974A">
            <w:pPr>
              <w:spacing w:line="256" w:lineRule="auto"/>
              <w:rPr>
                <w:rFonts w:ascii="Arial"/>
                <w:color w:val="auto"/>
                <w:sz w:val="21"/>
                <w:highlight w:val="none"/>
              </w:rPr>
            </w:pPr>
          </w:p>
          <w:p w14:paraId="245CCF8F">
            <w:pPr>
              <w:spacing w:line="256" w:lineRule="auto"/>
              <w:rPr>
                <w:rFonts w:ascii="Arial"/>
                <w:color w:val="auto"/>
                <w:sz w:val="21"/>
                <w:highlight w:val="none"/>
              </w:rPr>
            </w:pPr>
          </w:p>
          <w:p w14:paraId="08F234D2">
            <w:pPr>
              <w:spacing w:line="256" w:lineRule="auto"/>
              <w:rPr>
                <w:rFonts w:ascii="Arial"/>
                <w:color w:val="auto"/>
                <w:sz w:val="21"/>
                <w:highlight w:val="none"/>
              </w:rPr>
            </w:pPr>
          </w:p>
          <w:p w14:paraId="52983753">
            <w:pPr>
              <w:spacing w:line="256" w:lineRule="auto"/>
              <w:rPr>
                <w:rFonts w:ascii="Arial"/>
                <w:color w:val="auto"/>
                <w:sz w:val="21"/>
                <w:highlight w:val="none"/>
              </w:rPr>
            </w:pPr>
          </w:p>
          <w:p w14:paraId="6EC889B1">
            <w:pPr>
              <w:spacing w:line="257" w:lineRule="auto"/>
              <w:rPr>
                <w:rFonts w:ascii="Arial"/>
                <w:color w:val="auto"/>
                <w:sz w:val="21"/>
                <w:highlight w:val="none"/>
              </w:rPr>
            </w:pPr>
          </w:p>
          <w:p w14:paraId="459BFE78">
            <w:pPr>
              <w:spacing w:line="257" w:lineRule="auto"/>
              <w:rPr>
                <w:rFonts w:ascii="Arial"/>
                <w:color w:val="auto"/>
                <w:sz w:val="21"/>
                <w:highlight w:val="none"/>
              </w:rPr>
            </w:pPr>
          </w:p>
          <w:p w14:paraId="3384A71C">
            <w:pPr>
              <w:pStyle w:val="131"/>
              <w:spacing w:before="59" w:line="241" w:lineRule="auto"/>
              <w:ind w:left="253"/>
              <w:rPr>
                <w:color w:val="auto"/>
                <w:sz w:val="18"/>
                <w:szCs w:val="18"/>
                <w:highlight w:val="none"/>
              </w:rPr>
            </w:pPr>
            <w:r>
              <w:rPr>
                <w:color w:val="auto"/>
                <w:sz w:val="18"/>
                <w:szCs w:val="18"/>
                <w:highlight w:val="none"/>
              </w:rPr>
              <w:t>2</w:t>
            </w:r>
          </w:p>
        </w:tc>
        <w:tc>
          <w:tcPr>
            <w:tcW w:w="1166" w:type="dxa"/>
            <w:vMerge w:val="restart"/>
            <w:tcBorders>
              <w:bottom w:val="nil"/>
            </w:tcBorders>
            <w:vAlign w:val="top"/>
          </w:tcPr>
          <w:p w14:paraId="6A149B78">
            <w:pPr>
              <w:spacing w:line="268" w:lineRule="auto"/>
              <w:rPr>
                <w:rFonts w:ascii="Arial"/>
                <w:color w:val="auto"/>
                <w:sz w:val="21"/>
                <w:highlight w:val="none"/>
              </w:rPr>
            </w:pPr>
          </w:p>
          <w:p w14:paraId="23A58A83">
            <w:pPr>
              <w:spacing w:line="268" w:lineRule="auto"/>
              <w:rPr>
                <w:rFonts w:ascii="Arial"/>
                <w:color w:val="auto"/>
                <w:sz w:val="21"/>
                <w:highlight w:val="none"/>
              </w:rPr>
            </w:pPr>
          </w:p>
          <w:p w14:paraId="7D32B5FC">
            <w:pPr>
              <w:spacing w:line="268" w:lineRule="auto"/>
              <w:rPr>
                <w:rFonts w:ascii="Arial"/>
                <w:color w:val="auto"/>
                <w:sz w:val="21"/>
                <w:highlight w:val="none"/>
              </w:rPr>
            </w:pPr>
          </w:p>
          <w:p w14:paraId="200BDEED">
            <w:pPr>
              <w:spacing w:line="269" w:lineRule="auto"/>
              <w:rPr>
                <w:rFonts w:ascii="Arial"/>
                <w:color w:val="auto"/>
                <w:sz w:val="21"/>
                <w:highlight w:val="none"/>
              </w:rPr>
            </w:pPr>
          </w:p>
          <w:p w14:paraId="03F1CC3A">
            <w:pPr>
              <w:spacing w:line="269" w:lineRule="auto"/>
              <w:rPr>
                <w:rFonts w:ascii="Arial"/>
                <w:color w:val="auto"/>
                <w:sz w:val="21"/>
                <w:highlight w:val="none"/>
              </w:rPr>
            </w:pPr>
          </w:p>
          <w:p w14:paraId="0B05B65C">
            <w:pPr>
              <w:spacing w:line="269" w:lineRule="auto"/>
              <w:rPr>
                <w:rFonts w:ascii="Arial"/>
                <w:color w:val="auto"/>
                <w:sz w:val="21"/>
                <w:highlight w:val="none"/>
              </w:rPr>
            </w:pPr>
          </w:p>
          <w:p w14:paraId="22FD8A14">
            <w:pPr>
              <w:spacing w:line="269" w:lineRule="auto"/>
              <w:rPr>
                <w:rFonts w:ascii="Arial"/>
                <w:color w:val="auto"/>
                <w:sz w:val="21"/>
                <w:highlight w:val="none"/>
              </w:rPr>
            </w:pPr>
          </w:p>
          <w:p w14:paraId="07AA5AEB">
            <w:pPr>
              <w:pStyle w:val="131"/>
              <w:spacing w:before="59" w:line="305" w:lineRule="auto"/>
              <w:ind w:left="18" w:right="10" w:hanging="9"/>
              <w:rPr>
                <w:color w:val="auto"/>
                <w:sz w:val="18"/>
                <w:szCs w:val="18"/>
                <w:highlight w:val="none"/>
              </w:rPr>
            </w:pPr>
            <w:r>
              <w:rPr>
                <w:color w:val="auto"/>
                <w:spacing w:val="6"/>
                <w:sz w:val="18"/>
                <w:szCs w:val="18"/>
                <w:highlight w:val="none"/>
              </w:rPr>
              <w:t>A020106 输入</w:t>
            </w:r>
            <w:r>
              <w:rPr>
                <w:color w:val="auto"/>
                <w:spacing w:val="3"/>
                <w:sz w:val="18"/>
                <w:szCs w:val="18"/>
                <w:highlight w:val="none"/>
              </w:rPr>
              <w:t>输出设备</w:t>
            </w:r>
          </w:p>
        </w:tc>
        <w:tc>
          <w:tcPr>
            <w:tcW w:w="1797" w:type="dxa"/>
            <w:vMerge w:val="restart"/>
            <w:tcBorders>
              <w:bottom w:val="nil"/>
            </w:tcBorders>
            <w:vAlign w:val="top"/>
          </w:tcPr>
          <w:p w14:paraId="7B76D63D">
            <w:pPr>
              <w:rPr>
                <w:rFonts w:ascii="Arial"/>
                <w:color w:val="auto"/>
                <w:sz w:val="21"/>
                <w:highlight w:val="none"/>
              </w:rPr>
            </w:pPr>
          </w:p>
          <w:p w14:paraId="78AA8200">
            <w:pPr>
              <w:rPr>
                <w:rFonts w:ascii="Arial"/>
                <w:color w:val="auto"/>
                <w:sz w:val="21"/>
                <w:highlight w:val="none"/>
              </w:rPr>
            </w:pPr>
          </w:p>
          <w:p w14:paraId="45B4E838">
            <w:pPr>
              <w:spacing w:line="241" w:lineRule="auto"/>
              <w:rPr>
                <w:rFonts w:ascii="Arial"/>
                <w:color w:val="auto"/>
                <w:sz w:val="21"/>
                <w:highlight w:val="none"/>
              </w:rPr>
            </w:pPr>
          </w:p>
          <w:p w14:paraId="7D167EAB">
            <w:pPr>
              <w:spacing w:line="241" w:lineRule="auto"/>
              <w:rPr>
                <w:rFonts w:ascii="Arial"/>
                <w:color w:val="auto"/>
                <w:sz w:val="21"/>
                <w:highlight w:val="none"/>
              </w:rPr>
            </w:pPr>
          </w:p>
          <w:p w14:paraId="23E769D4">
            <w:pPr>
              <w:pStyle w:val="131"/>
              <w:spacing w:before="58" w:line="220" w:lineRule="auto"/>
              <w:ind w:left="7"/>
              <w:rPr>
                <w:color w:val="auto"/>
                <w:sz w:val="18"/>
                <w:szCs w:val="18"/>
                <w:highlight w:val="none"/>
              </w:rPr>
            </w:pPr>
            <w:r>
              <w:rPr>
                <w:color w:val="auto"/>
                <w:spacing w:val="2"/>
                <w:sz w:val="18"/>
                <w:szCs w:val="18"/>
                <w:highlight w:val="none"/>
              </w:rPr>
              <w:t>A02010601 打印设备</w:t>
            </w:r>
          </w:p>
        </w:tc>
        <w:tc>
          <w:tcPr>
            <w:tcW w:w="1914" w:type="dxa"/>
            <w:vAlign w:val="top"/>
          </w:tcPr>
          <w:p w14:paraId="07C00F3B">
            <w:pPr>
              <w:pStyle w:val="131"/>
              <w:spacing w:before="139" w:line="297" w:lineRule="auto"/>
              <w:ind w:left="51" w:right="8" w:hanging="41"/>
              <w:rPr>
                <w:color w:val="auto"/>
                <w:sz w:val="18"/>
                <w:szCs w:val="18"/>
                <w:highlight w:val="none"/>
              </w:rPr>
            </w:pPr>
            <w:r>
              <w:rPr>
                <w:color w:val="auto"/>
                <w:spacing w:val="-1"/>
                <w:sz w:val="18"/>
                <w:szCs w:val="18"/>
                <w:highlight w:val="none"/>
              </w:rPr>
              <w:t>A0201060101</w:t>
            </w:r>
            <w:r>
              <w:rPr>
                <w:color w:val="auto"/>
                <w:spacing w:val="25"/>
                <w:sz w:val="18"/>
                <w:szCs w:val="18"/>
                <w:highlight w:val="none"/>
              </w:rPr>
              <w:t xml:space="preserve">  </w:t>
            </w:r>
            <w:r>
              <w:rPr>
                <w:color w:val="auto"/>
                <w:spacing w:val="-1"/>
                <w:sz w:val="18"/>
                <w:szCs w:val="18"/>
                <w:highlight w:val="none"/>
              </w:rPr>
              <w:t>喷</w:t>
            </w:r>
            <w:r>
              <w:rPr>
                <w:color w:val="auto"/>
                <w:spacing w:val="-15"/>
                <w:sz w:val="18"/>
                <w:szCs w:val="18"/>
                <w:highlight w:val="none"/>
              </w:rPr>
              <w:t xml:space="preserve"> </w:t>
            </w:r>
            <w:r>
              <w:rPr>
                <w:color w:val="auto"/>
                <w:spacing w:val="-1"/>
                <w:sz w:val="18"/>
                <w:szCs w:val="18"/>
                <w:highlight w:val="none"/>
              </w:rPr>
              <w:t>墨</w:t>
            </w:r>
            <w:r>
              <w:rPr>
                <w:color w:val="auto"/>
                <w:spacing w:val="-22"/>
                <w:sz w:val="18"/>
                <w:szCs w:val="18"/>
                <w:highlight w:val="none"/>
              </w:rPr>
              <w:t xml:space="preserve"> </w:t>
            </w:r>
            <w:r>
              <w:rPr>
                <w:color w:val="auto"/>
                <w:spacing w:val="-1"/>
                <w:sz w:val="18"/>
                <w:szCs w:val="18"/>
                <w:highlight w:val="none"/>
              </w:rPr>
              <w:t>打</w:t>
            </w:r>
            <w:r>
              <w:rPr>
                <w:color w:val="auto"/>
                <w:spacing w:val="-6"/>
                <w:sz w:val="18"/>
                <w:szCs w:val="18"/>
                <w:highlight w:val="none"/>
              </w:rPr>
              <w:t>印机</w:t>
            </w:r>
          </w:p>
        </w:tc>
        <w:tc>
          <w:tcPr>
            <w:tcW w:w="2970" w:type="dxa"/>
            <w:vAlign w:val="top"/>
          </w:tcPr>
          <w:p w14:paraId="59A0A42F">
            <w:pPr>
              <w:pStyle w:val="131"/>
              <w:spacing w:before="140" w:line="297" w:lineRule="auto"/>
              <w:ind w:left="33" w:right="29" w:hanging="3"/>
              <w:rPr>
                <w:color w:val="auto"/>
                <w:sz w:val="18"/>
                <w:szCs w:val="18"/>
                <w:highlight w:val="none"/>
              </w:rPr>
            </w:pPr>
            <w:r>
              <w:rPr>
                <w:color w:val="auto"/>
                <w:spacing w:val="13"/>
                <w:sz w:val="18"/>
                <w:szCs w:val="18"/>
                <w:highlight w:val="none"/>
              </w:rPr>
              <w:t>《复印机、打印机和传真机能效限</w:t>
            </w:r>
            <w:r>
              <w:rPr>
                <w:color w:val="auto"/>
                <w:spacing w:val="5"/>
                <w:sz w:val="18"/>
                <w:szCs w:val="18"/>
                <w:highlight w:val="none"/>
              </w:rPr>
              <w:t>定值及能效等级》（</w:t>
            </w:r>
            <w:r>
              <w:rPr>
                <w:color w:val="auto"/>
                <w:sz w:val="18"/>
                <w:szCs w:val="18"/>
                <w:highlight w:val="none"/>
              </w:rPr>
              <w:t>GB</w:t>
            </w:r>
            <w:r>
              <w:rPr>
                <w:color w:val="auto"/>
                <w:spacing w:val="5"/>
                <w:sz w:val="18"/>
                <w:szCs w:val="18"/>
                <w:highlight w:val="none"/>
              </w:rPr>
              <w:t xml:space="preserve"> 21521）</w:t>
            </w:r>
          </w:p>
        </w:tc>
      </w:tr>
      <w:tr w14:paraId="4EA89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80" w:type="dxa"/>
            <w:vMerge w:val="continue"/>
            <w:tcBorders>
              <w:top w:val="nil"/>
              <w:bottom w:val="nil"/>
            </w:tcBorders>
            <w:vAlign w:val="top"/>
          </w:tcPr>
          <w:p w14:paraId="3F258A28">
            <w:pPr>
              <w:rPr>
                <w:rFonts w:ascii="Arial"/>
                <w:color w:val="auto"/>
                <w:sz w:val="21"/>
                <w:highlight w:val="none"/>
              </w:rPr>
            </w:pPr>
          </w:p>
        </w:tc>
        <w:tc>
          <w:tcPr>
            <w:tcW w:w="1166" w:type="dxa"/>
            <w:vMerge w:val="continue"/>
            <w:tcBorders>
              <w:top w:val="nil"/>
              <w:bottom w:val="nil"/>
            </w:tcBorders>
            <w:vAlign w:val="top"/>
          </w:tcPr>
          <w:p w14:paraId="4C5C7B7A">
            <w:pPr>
              <w:rPr>
                <w:rFonts w:ascii="Arial"/>
                <w:color w:val="auto"/>
                <w:sz w:val="21"/>
                <w:highlight w:val="none"/>
              </w:rPr>
            </w:pPr>
          </w:p>
        </w:tc>
        <w:tc>
          <w:tcPr>
            <w:tcW w:w="1797" w:type="dxa"/>
            <w:vMerge w:val="continue"/>
            <w:tcBorders>
              <w:top w:val="nil"/>
              <w:bottom w:val="nil"/>
            </w:tcBorders>
            <w:vAlign w:val="top"/>
          </w:tcPr>
          <w:p w14:paraId="56AECAFD">
            <w:pPr>
              <w:rPr>
                <w:rFonts w:ascii="Arial"/>
                <w:color w:val="auto"/>
                <w:sz w:val="21"/>
                <w:highlight w:val="none"/>
              </w:rPr>
            </w:pPr>
          </w:p>
        </w:tc>
        <w:tc>
          <w:tcPr>
            <w:tcW w:w="1914" w:type="dxa"/>
            <w:vAlign w:val="top"/>
          </w:tcPr>
          <w:p w14:paraId="7ECFAD60">
            <w:pPr>
              <w:pStyle w:val="131"/>
              <w:spacing w:before="142" w:line="299" w:lineRule="auto"/>
              <w:ind w:left="28" w:right="10"/>
              <w:rPr>
                <w:color w:val="auto"/>
                <w:sz w:val="18"/>
                <w:szCs w:val="18"/>
                <w:highlight w:val="none"/>
              </w:rPr>
            </w:pPr>
            <w:r>
              <w:rPr>
                <w:color w:val="auto"/>
                <w:sz w:val="18"/>
                <w:szCs w:val="18"/>
                <w:highlight w:val="none"/>
              </w:rPr>
              <w:t>★</w:t>
            </w:r>
            <w:r>
              <w:rPr>
                <w:color w:val="auto"/>
                <w:spacing w:val="-24"/>
                <w:sz w:val="18"/>
                <w:szCs w:val="18"/>
                <w:highlight w:val="none"/>
              </w:rPr>
              <w:t xml:space="preserve"> </w:t>
            </w:r>
            <w:r>
              <w:rPr>
                <w:color w:val="auto"/>
                <w:sz w:val="18"/>
                <w:szCs w:val="18"/>
                <w:highlight w:val="none"/>
              </w:rPr>
              <w:t>A0201060102</w:t>
            </w:r>
            <w:r>
              <w:rPr>
                <w:color w:val="auto"/>
                <w:spacing w:val="14"/>
                <w:sz w:val="18"/>
                <w:szCs w:val="18"/>
                <w:highlight w:val="none"/>
              </w:rPr>
              <w:t xml:space="preserve">  </w:t>
            </w:r>
            <w:r>
              <w:rPr>
                <w:color w:val="auto"/>
                <w:sz w:val="18"/>
                <w:szCs w:val="18"/>
                <w:highlight w:val="none"/>
              </w:rPr>
              <w:t>激</w:t>
            </w:r>
            <w:r>
              <w:rPr>
                <w:color w:val="auto"/>
                <w:spacing w:val="-26"/>
                <w:sz w:val="18"/>
                <w:szCs w:val="18"/>
                <w:highlight w:val="none"/>
              </w:rPr>
              <w:t xml:space="preserve"> </w:t>
            </w:r>
            <w:r>
              <w:rPr>
                <w:color w:val="auto"/>
                <w:sz w:val="18"/>
                <w:szCs w:val="18"/>
                <w:highlight w:val="none"/>
              </w:rPr>
              <w:t>光</w:t>
            </w:r>
            <w:r>
              <w:rPr>
                <w:color w:val="auto"/>
                <w:spacing w:val="-1"/>
                <w:sz w:val="18"/>
                <w:szCs w:val="18"/>
                <w:highlight w:val="none"/>
              </w:rPr>
              <w:t>打印机</w:t>
            </w:r>
          </w:p>
        </w:tc>
        <w:tc>
          <w:tcPr>
            <w:tcW w:w="2970" w:type="dxa"/>
            <w:vAlign w:val="top"/>
          </w:tcPr>
          <w:p w14:paraId="3578C8D5">
            <w:pPr>
              <w:pStyle w:val="131"/>
              <w:spacing w:before="142" w:line="299" w:lineRule="auto"/>
              <w:ind w:left="33" w:right="29" w:hanging="3"/>
              <w:rPr>
                <w:color w:val="auto"/>
                <w:sz w:val="18"/>
                <w:szCs w:val="18"/>
                <w:highlight w:val="none"/>
              </w:rPr>
            </w:pPr>
            <w:r>
              <w:rPr>
                <w:color w:val="auto"/>
                <w:spacing w:val="13"/>
                <w:sz w:val="18"/>
                <w:szCs w:val="18"/>
                <w:highlight w:val="none"/>
              </w:rPr>
              <w:t>《复印机、打印机和传真机能效限</w:t>
            </w:r>
            <w:r>
              <w:rPr>
                <w:color w:val="auto"/>
                <w:spacing w:val="5"/>
                <w:sz w:val="18"/>
                <w:szCs w:val="18"/>
                <w:highlight w:val="none"/>
              </w:rPr>
              <w:t>定值及能效等级》（</w:t>
            </w:r>
            <w:r>
              <w:rPr>
                <w:color w:val="auto"/>
                <w:sz w:val="18"/>
                <w:szCs w:val="18"/>
                <w:highlight w:val="none"/>
              </w:rPr>
              <w:t>GB</w:t>
            </w:r>
            <w:r>
              <w:rPr>
                <w:color w:val="auto"/>
                <w:spacing w:val="5"/>
                <w:sz w:val="18"/>
                <w:szCs w:val="18"/>
                <w:highlight w:val="none"/>
              </w:rPr>
              <w:t xml:space="preserve"> 21521）</w:t>
            </w:r>
          </w:p>
        </w:tc>
      </w:tr>
      <w:tr w14:paraId="79D1F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80" w:type="dxa"/>
            <w:vMerge w:val="continue"/>
            <w:tcBorders>
              <w:top w:val="nil"/>
              <w:bottom w:val="nil"/>
            </w:tcBorders>
            <w:vAlign w:val="top"/>
          </w:tcPr>
          <w:p w14:paraId="2F5E7F68">
            <w:pPr>
              <w:rPr>
                <w:rFonts w:ascii="Arial"/>
                <w:color w:val="auto"/>
                <w:sz w:val="21"/>
                <w:highlight w:val="none"/>
              </w:rPr>
            </w:pPr>
          </w:p>
        </w:tc>
        <w:tc>
          <w:tcPr>
            <w:tcW w:w="1166" w:type="dxa"/>
            <w:vMerge w:val="continue"/>
            <w:tcBorders>
              <w:top w:val="nil"/>
              <w:bottom w:val="nil"/>
            </w:tcBorders>
            <w:vAlign w:val="top"/>
          </w:tcPr>
          <w:p w14:paraId="280D3284">
            <w:pPr>
              <w:rPr>
                <w:rFonts w:ascii="Arial"/>
                <w:color w:val="auto"/>
                <w:sz w:val="21"/>
                <w:highlight w:val="none"/>
              </w:rPr>
            </w:pPr>
          </w:p>
        </w:tc>
        <w:tc>
          <w:tcPr>
            <w:tcW w:w="1797" w:type="dxa"/>
            <w:vMerge w:val="continue"/>
            <w:tcBorders>
              <w:top w:val="nil"/>
            </w:tcBorders>
            <w:vAlign w:val="top"/>
          </w:tcPr>
          <w:p w14:paraId="0582FAC0">
            <w:pPr>
              <w:rPr>
                <w:rFonts w:ascii="Arial"/>
                <w:color w:val="auto"/>
                <w:sz w:val="21"/>
                <w:highlight w:val="none"/>
              </w:rPr>
            </w:pPr>
          </w:p>
        </w:tc>
        <w:tc>
          <w:tcPr>
            <w:tcW w:w="1914" w:type="dxa"/>
            <w:vAlign w:val="top"/>
          </w:tcPr>
          <w:p w14:paraId="7FF5F4C9">
            <w:pPr>
              <w:pStyle w:val="131"/>
              <w:spacing w:before="142" w:line="297" w:lineRule="auto"/>
              <w:ind w:left="28" w:right="8"/>
              <w:rPr>
                <w:color w:val="auto"/>
                <w:sz w:val="18"/>
                <w:szCs w:val="18"/>
                <w:highlight w:val="none"/>
              </w:rPr>
            </w:pPr>
            <w:r>
              <w:rPr>
                <w:color w:val="auto"/>
                <w:sz w:val="18"/>
                <w:szCs w:val="18"/>
                <w:highlight w:val="none"/>
              </w:rPr>
              <w:t>★</w:t>
            </w:r>
            <w:r>
              <w:rPr>
                <w:color w:val="auto"/>
                <w:spacing w:val="-30"/>
                <w:sz w:val="18"/>
                <w:szCs w:val="18"/>
                <w:highlight w:val="none"/>
              </w:rPr>
              <w:t xml:space="preserve"> </w:t>
            </w:r>
            <w:r>
              <w:rPr>
                <w:color w:val="auto"/>
                <w:sz w:val="18"/>
                <w:szCs w:val="18"/>
                <w:highlight w:val="none"/>
              </w:rPr>
              <w:t>A0201060104</w:t>
            </w:r>
            <w:r>
              <w:rPr>
                <w:color w:val="auto"/>
                <w:spacing w:val="15"/>
                <w:sz w:val="18"/>
                <w:szCs w:val="18"/>
                <w:highlight w:val="none"/>
              </w:rPr>
              <w:t xml:space="preserve">  </w:t>
            </w:r>
            <w:r>
              <w:rPr>
                <w:color w:val="auto"/>
                <w:sz w:val="18"/>
                <w:szCs w:val="18"/>
                <w:highlight w:val="none"/>
              </w:rPr>
              <w:t>针</w:t>
            </w:r>
            <w:r>
              <w:rPr>
                <w:color w:val="auto"/>
                <w:spacing w:val="-19"/>
                <w:sz w:val="18"/>
                <w:szCs w:val="18"/>
                <w:highlight w:val="none"/>
              </w:rPr>
              <w:t xml:space="preserve"> </w:t>
            </w:r>
            <w:r>
              <w:rPr>
                <w:color w:val="auto"/>
                <w:sz w:val="18"/>
                <w:szCs w:val="18"/>
                <w:highlight w:val="none"/>
              </w:rPr>
              <w:t>式</w:t>
            </w:r>
            <w:r>
              <w:rPr>
                <w:color w:val="auto"/>
                <w:spacing w:val="-1"/>
                <w:sz w:val="18"/>
                <w:szCs w:val="18"/>
                <w:highlight w:val="none"/>
              </w:rPr>
              <w:t>打印机</w:t>
            </w:r>
          </w:p>
        </w:tc>
        <w:tc>
          <w:tcPr>
            <w:tcW w:w="2970" w:type="dxa"/>
            <w:vAlign w:val="top"/>
          </w:tcPr>
          <w:p w14:paraId="6B2ADFAB">
            <w:pPr>
              <w:pStyle w:val="131"/>
              <w:spacing w:before="143" w:line="297" w:lineRule="auto"/>
              <w:ind w:left="33" w:right="29" w:hanging="3"/>
              <w:rPr>
                <w:color w:val="auto"/>
                <w:sz w:val="18"/>
                <w:szCs w:val="18"/>
                <w:highlight w:val="none"/>
              </w:rPr>
            </w:pPr>
            <w:r>
              <w:rPr>
                <w:color w:val="auto"/>
                <w:spacing w:val="13"/>
                <w:sz w:val="18"/>
                <w:szCs w:val="18"/>
                <w:highlight w:val="none"/>
              </w:rPr>
              <w:t>《复印机、打印机和传真机能效限</w:t>
            </w:r>
            <w:r>
              <w:rPr>
                <w:color w:val="auto"/>
                <w:spacing w:val="5"/>
                <w:sz w:val="18"/>
                <w:szCs w:val="18"/>
                <w:highlight w:val="none"/>
              </w:rPr>
              <w:t>定值及能效等级》（</w:t>
            </w:r>
            <w:r>
              <w:rPr>
                <w:color w:val="auto"/>
                <w:sz w:val="18"/>
                <w:szCs w:val="18"/>
                <w:highlight w:val="none"/>
              </w:rPr>
              <w:t>GB</w:t>
            </w:r>
            <w:r>
              <w:rPr>
                <w:color w:val="auto"/>
                <w:spacing w:val="5"/>
                <w:sz w:val="18"/>
                <w:szCs w:val="18"/>
                <w:highlight w:val="none"/>
              </w:rPr>
              <w:t xml:space="preserve"> 21521）</w:t>
            </w:r>
          </w:p>
        </w:tc>
      </w:tr>
      <w:tr w14:paraId="23B63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80" w:type="dxa"/>
            <w:vMerge w:val="continue"/>
            <w:tcBorders>
              <w:top w:val="nil"/>
              <w:bottom w:val="nil"/>
            </w:tcBorders>
            <w:vAlign w:val="top"/>
          </w:tcPr>
          <w:p w14:paraId="365C4B00">
            <w:pPr>
              <w:rPr>
                <w:rFonts w:ascii="Arial"/>
                <w:color w:val="auto"/>
                <w:sz w:val="21"/>
                <w:highlight w:val="none"/>
              </w:rPr>
            </w:pPr>
          </w:p>
        </w:tc>
        <w:tc>
          <w:tcPr>
            <w:tcW w:w="1166" w:type="dxa"/>
            <w:vMerge w:val="continue"/>
            <w:tcBorders>
              <w:top w:val="nil"/>
              <w:bottom w:val="nil"/>
            </w:tcBorders>
            <w:vAlign w:val="top"/>
          </w:tcPr>
          <w:p w14:paraId="5D08E024">
            <w:pPr>
              <w:rPr>
                <w:rFonts w:ascii="Arial"/>
                <w:color w:val="auto"/>
                <w:sz w:val="21"/>
                <w:highlight w:val="none"/>
              </w:rPr>
            </w:pPr>
          </w:p>
        </w:tc>
        <w:tc>
          <w:tcPr>
            <w:tcW w:w="1797" w:type="dxa"/>
            <w:vAlign w:val="top"/>
          </w:tcPr>
          <w:p w14:paraId="7684D3B3">
            <w:pPr>
              <w:spacing w:line="248" w:lineRule="auto"/>
              <w:rPr>
                <w:rFonts w:ascii="Arial"/>
                <w:color w:val="auto"/>
                <w:sz w:val="21"/>
                <w:highlight w:val="none"/>
              </w:rPr>
            </w:pPr>
          </w:p>
          <w:p w14:paraId="15054A9C">
            <w:pPr>
              <w:pStyle w:val="131"/>
              <w:spacing w:before="59" w:line="221" w:lineRule="auto"/>
              <w:ind w:left="7"/>
              <w:rPr>
                <w:color w:val="auto"/>
                <w:sz w:val="18"/>
                <w:szCs w:val="18"/>
                <w:highlight w:val="none"/>
              </w:rPr>
            </w:pPr>
            <w:r>
              <w:rPr>
                <w:color w:val="auto"/>
                <w:spacing w:val="2"/>
                <w:sz w:val="18"/>
                <w:szCs w:val="18"/>
                <w:highlight w:val="none"/>
              </w:rPr>
              <w:t>A02010604 显示设备</w:t>
            </w:r>
          </w:p>
        </w:tc>
        <w:tc>
          <w:tcPr>
            <w:tcW w:w="1914" w:type="dxa"/>
            <w:vAlign w:val="top"/>
          </w:tcPr>
          <w:p w14:paraId="4202FCD1">
            <w:pPr>
              <w:pStyle w:val="131"/>
              <w:spacing w:before="160" w:line="305" w:lineRule="auto"/>
              <w:ind w:left="29" w:right="8" w:hanging="1"/>
              <w:rPr>
                <w:color w:val="auto"/>
                <w:sz w:val="18"/>
                <w:szCs w:val="18"/>
                <w:highlight w:val="none"/>
              </w:rPr>
            </w:pPr>
            <w:r>
              <w:rPr>
                <w:color w:val="auto"/>
                <w:spacing w:val="-1"/>
                <w:sz w:val="18"/>
                <w:szCs w:val="18"/>
                <w:highlight w:val="none"/>
              </w:rPr>
              <w:t>★</w:t>
            </w:r>
            <w:r>
              <w:rPr>
                <w:color w:val="auto"/>
                <w:spacing w:val="-33"/>
                <w:sz w:val="18"/>
                <w:szCs w:val="18"/>
                <w:highlight w:val="none"/>
              </w:rPr>
              <w:t xml:space="preserve"> </w:t>
            </w:r>
            <w:r>
              <w:rPr>
                <w:color w:val="auto"/>
                <w:spacing w:val="-1"/>
                <w:sz w:val="18"/>
                <w:szCs w:val="18"/>
                <w:highlight w:val="none"/>
              </w:rPr>
              <w:t>A0201060401</w:t>
            </w:r>
            <w:r>
              <w:rPr>
                <w:color w:val="auto"/>
                <w:spacing w:val="14"/>
                <w:sz w:val="18"/>
                <w:szCs w:val="18"/>
                <w:highlight w:val="none"/>
              </w:rPr>
              <w:t xml:space="preserve">  </w:t>
            </w:r>
            <w:r>
              <w:rPr>
                <w:color w:val="auto"/>
                <w:spacing w:val="-1"/>
                <w:sz w:val="18"/>
                <w:szCs w:val="18"/>
                <w:highlight w:val="none"/>
              </w:rPr>
              <w:t>液 晶显示器</w:t>
            </w:r>
          </w:p>
        </w:tc>
        <w:tc>
          <w:tcPr>
            <w:tcW w:w="2970" w:type="dxa"/>
            <w:vAlign w:val="top"/>
          </w:tcPr>
          <w:p w14:paraId="65131089">
            <w:pPr>
              <w:pStyle w:val="131"/>
              <w:spacing w:before="159" w:line="305" w:lineRule="auto"/>
              <w:ind w:left="33" w:right="40" w:hanging="3"/>
              <w:rPr>
                <w:color w:val="auto"/>
                <w:sz w:val="18"/>
                <w:szCs w:val="18"/>
                <w:highlight w:val="none"/>
              </w:rPr>
            </w:pPr>
            <w:r>
              <w:rPr>
                <w:color w:val="auto"/>
                <w:spacing w:val="22"/>
                <w:sz w:val="18"/>
                <w:szCs w:val="18"/>
                <w:highlight w:val="none"/>
              </w:rPr>
              <w:t>《</w:t>
            </w:r>
            <w:r>
              <w:rPr>
                <w:color w:val="auto"/>
                <w:spacing w:val="-26"/>
                <w:sz w:val="18"/>
                <w:szCs w:val="18"/>
                <w:highlight w:val="none"/>
              </w:rPr>
              <w:t xml:space="preserve"> </w:t>
            </w:r>
            <w:r>
              <w:rPr>
                <w:color w:val="auto"/>
                <w:spacing w:val="22"/>
                <w:sz w:val="18"/>
                <w:szCs w:val="18"/>
                <w:highlight w:val="none"/>
              </w:rPr>
              <w:t>计算机显示器能效限定值及能</w:t>
            </w:r>
            <w:r>
              <w:rPr>
                <w:color w:val="auto"/>
                <w:spacing w:val="4"/>
                <w:sz w:val="18"/>
                <w:szCs w:val="18"/>
                <w:highlight w:val="none"/>
              </w:rPr>
              <w:t>效等级》（</w:t>
            </w:r>
            <w:r>
              <w:rPr>
                <w:color w:val="auto"/>
                <w:sz w:val="18"/>
                <w:szCs w:val="18"/>
                <w:highlight w:val="none"/>
              </w:rPr>
              <w:t>GB</w:t>
            </w:r>
            <w:r>
              <w:rPr>
                <w:color w:val="auto"/>
                <w:spacing w:val="4"/>
                <w:sz w:val="18"/>
                <w:szCs w:val="18"/>
                <w:highlight w:val="none"/>
              </w:rPr>
              <w:t xml:space="preserve"> 21520）</w:t>
            </w:r>
          </w:p>
        </w:tc>
      </w:tr>
      <w:tr w14:paraId="466A9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trPr>
        <w:tc>
          <w:tcPr>
            <w:tcW w:w="580" w:type="dxa"/>
            <w:vMerge w:val="continue"/>
            <w:tcBorders>
              <w:top w:val="nil"/>
            </w:tcBorders>
            <w:vAlign w:val="top"/>
          </w:tcPr>
          <w:p w14:paraId="0D8749B8">
            <w:pPr>
              <w:rPr>
                <w:rFonts w:ascii="Arial"/>
                <w:color w:val="auto"/>
                <w:sz w:val="21"/>
                <w:highlight w:val="none"/>
              </w:rPr>
            </w:pPr>
          </w:p>
        </w:tc>
        <w:tc>
          <w:tcPr>
            <w:tcW w:w="1166" w:type="dxa"/>
            <w:vMerge w:val="continue"/>
            <w:tcBorders>
              <w:top w:val="nil"/>
            </w:tcBorders>
            <w:vAlign w:val="top"/>
          </w:tcPr>
          <w:p w14:paraId="4CABBF70">
            <w:pPr>
              <w:rPr>
                <w:rFonts w:ascii="Arial"/>
                <w:color w:val="auto"/>
                <w:sz w:val="21"/>
                <w:highlight w:val="none"/>
              </w:rPr>
            </w:pPr>
          </w:p>
        </w:tc>
        <w:tc>
          <w:tcPr>
            <w:tcW w:w="1797" w:type="dxa"/>
            <w:vAlign w:val="top"/>
          </w:tcPr>
          <w:p w14:paraId="635E8B4D">
            <w:pPr>
              <w:spacing w:line="397" w:lineRule="auto"/>
              <w:rPr>
                <w:rFonts w:ascii="Arial"/>
                <w:color w:val="auto"/>
                <w:sz w:val="21"/>
                <w:highlight w:val="none"/>
              </w:rPr>
            </w:pPr>
          </w:p>
          <w:p w14:paraId="20112148">
            <w:pPr>
              <w:pStyle w:val="131"/>
              <w:spacing w:before="58" w:line="305" w:lineRule="auto"/>
              <w:ind w:left="16" w:right="12" w:hanging="9"/>
              <w:rPr>
                <w:color w:val="auto"/>
                <w:sz w:val="18"/>
                <w:szCs w:val="18"/>
                <w:highlight w:val="none"/>
              </w:rPr>
            </w:pPr>
            <w:r>
              <w:rPr>
                <w:color w:val="auto"/>
                <w:spacing w:val="4"/>
                <w:sz w:val="18"/>
                <w:szCs w:val="18"/>
                <w:highlight w:val="none"/>
              </w:rPr>
              <w:t>A02010609  图形图像</w:t>
            </w:r>
            <w:r>
              <w:rPr>
                <w:color w:val="auto"/>
                <w:spacing w:val="3"/>
                <w:sz w:val="18"/>
                <w:szCs w:val="18"/>
                <w:highlight w:val="none"/>
              </w:rPr>
              <w:t>输入设备</w:t>
            </w:r>
          </w:p>
        </w:tc>
        <w:tc>
          <w:tcPr>
            <w:tcW w:w="1914" w:type="dxa"/>
            <w:vAlign w:val="top"/>
          </w:tcPr>
          <w:p w14:paraId="3B407040">
            <w:pPr>
              <w:spacing w:line="270" w:lineRule="auto"/>
              <w:rPr>
                <w:rFonts w:ascii="Arial"/>
                <w:color w:val="auto"/>
                <w:sz w:val="21"/>
                <w:highlight w:val="none"/>
              </w:rPr>
            </w:pPr>
          </w:p>
          <w:p w14:paraId="20E36101">
            <w:pPr>
              <w:spacing w:line="270" w:lineRule="auto"/>
              <w:rPr>
                <w:rFonts w:ascii="Arial"/>
                <w:color w:val="auto"/>
                <w:sz w:val="21"/>
                <w:highlight w:val="none"/>
              </w:rPr>
            </w:pPr>
          </w:p>
          <w:p w14:paraId="6B05A51C">
            <w:pPr>
              <w:pStyle w:val="131"/>
              <w:spacing w:before="58" w:line="220" w:lineRule="auto"/>
              <w:ind w:left="10"/>
              <w:rPr>
                <w:color w:val="auto"/>
                <w:sz w:val="18"/>
                <w:szCs w:val="18"/>
                <w:highlight w:val="none"/>
              </w:rPr>
            </w:pPr>
            <w:r>
              <w:rPr>
                <w:color w:val="auto"/>
                <w:spacing w:val="3"/>
                <w:sz w:val="18"/>
                <w:szCs w:val="18"/>
                <w:highlight w:val="none"/>
              </w:rPr>
              <w:t>A0201060901</w:t>
            </w:r>
            <w:r>
              <w:rPr>
                <w:color w:val="auto"/>
                <w:spacing w:val="-11"/>
                <w:sz w:val="18"/>
                <w:szCs w:val="18"/>
                <w:highlight w:val="none"/>
              </w:rPr>
              <w:t xml:space="preserve"> </w:t>
            </w:r>
            <w:r>
              <w:rPr>
                <w:color w:val="auto"/>
                <w:spacing w:val="3"/>
                <w:sz w:val="18"/>
                <w:szCs w:val="18"/>
                <w:highlight w:val="none"/>
              </w:rPr>
              <w:t>扫描仪</w:t>
            </w:r>
          </w:p>
        </w:tc>
        <w:tc>
          <w:tcPr>
            <w:tcW w:w="2970" w:type="dxa"/>
            <w:vAlign w:val="top"/>
          </w:tcPr>
          <w:p w14:paraId="5ABB0D09">
            <w:pPr>
              <w:pStyle w:val="131"/>
              <w:spacing w:before="142" w:line="300" w:lineRule="auto"/>
              <w:ind w:left="33" w:right="2" w:hanging="5"/>
              <w:jc w:val="both"/>
              <w:rPr>
                <w:color w:val="auto"/>
                <w:sz w:val="18"/>
                <w:szCs w:val="18"/>
                <w:highlight w:val="none"/>
              </w:rPr>
            </w:pPr>
            <w:r>
              <w:rPr>
                <w:color w:val="auto"/>
                <w:spacing w:val="12"/>
                <w:sz w:val="18"/>
                <w:szCs w:val="18"/>
                <w:highlight w:val="none"/>
              </w:rPr>
              <w:t>参照《复印机、打</w:t>
            </w:r>
            <w:r>
              <w:rPr>
                <w:color w:val="auto"/>
                <w:spacing w:val="-38"/>
                <w:sz w:val="18"/>
                <w:szCs w:val="18"/>
                <w:highlight w:val="none"/>
              </w:rPr>
              <w:t xml:space="preserve"> </w:t>
            </w:r>
            <w:r>
              <w:rPr>
                <w:color w:val="auto"/>
                <w:spacing w:val="12"/>
                <w:sz w:val="18"/>
                <w:szCs w:val="18"/>
                <w:highlight w:val="none"/>
              </w:rPr>
              <w:t>印机和传真机能</w:t>
            </w:r>
            <w:r>
              <w:rPr>
                <w:color w:val="auto"/>
                <w:spacing w:val="2"/>
                <w:sz w:val="18"/>
                <w:szCs w:val="18"/>
                <w:highlight w:val="none"/>
              </w:rPr>
              <w:t>效限定值及能效等级》（</w:t>
            </w:r>
            <w:r>
              <w:rPr>
                <w:color w:val="auto"/>
                <w:sz w:val="18"/>
                <w:szCs w:val="18"/>
                <w:highlight w:val="none"/>
              </w:rPr>
              <w:t>GB</w:t>
            </w:r>
            <w:r>
              <w:rPr>
                <w:color w:val="auto"/>
                <w:spacing w:val="2"/>
                <w:sz w:val="18"/>
                <w:szCs w:val="18"/>
                <w:highlight w:val="none"/>
              </w:rPr>
              <w:t xml:space="preserve"> 21521）</w:t>
            </w:r>
            <w:r>
              <w:rPr>
                <w:color w:val="auto"/>
                <w:spacing w:val="6"/>
                <w:sz w:val="18"/>
                <w:szCs w:val="18"/>
                <w:highlight w:val="none"/>
              </w:rPr>
              <w:t>中打印速度为</w:t>
            </w:r>
            <w:r>
              <w:rPr>
                <w:color w:val="auto"/>
                <w:spacing w:val="30"/>
                <w:sz w:val="18"/>
                <w:szCs w:val="18"/>
                <w:highlight w:val="none"/>
              </w:rPr>
              <w:t xml:space="preserve">  </w:t>
            </w:r>
            <w:r>
              <w:rPr>
                <w:color w:val="auto"/>
                <w:spacing w:val="6"/>
                <w:sz w:val="18"/>
                <w:szCs w:val="18"/>
                <w:highlight w:val="none"/>
              </w:rPr>
              <w:t>15</w:t>
            </w:r>
            <w:r>
              <w:rPr>
                <w:color w:val="auto"/>
                <w:spacing w:val="75"/>
                <w:sz w:val="18"/>
                <w:szCs w:val="18"/>
                <w:highlight w:val="none"/>
              </w:rPr>
              <w:t xml:space="preserve"> </w:t>
            </w:r>
            <w:r>
              <w:rPr>
                <w:color w:val="auto"/>
                <w:spacing w:val="6"/>
                <w:sz w:val="18"/>
                <w:szCs w:val="18"/>
                <w:highlight w:val="none"/>
              </w:rPr>
              <w:t>页/分的针式打</w:t>
            </w:r>
            <w:r>
              <w:rPr>
                <w:color w:val="auto"/>
                <w:sz w:val="18"/>
                <w:szCs w:val="18"/>
                <w:highlight w:val="none"/>
              </w:rPr>
              <w:t>印机相关要求</w:t>
            </w:r>
          </w:p>
        </w:tc>
      </w:tr>
      <w:tr w14:paraId="56B9B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80" w:type="dxa"/>
            <w:vAlign w:val="top"/>
          </w:tcPr>
          <w:p w14:paraId="2ED47395">
            <w:pPr>
              <w:pStyle w:val="131"/>
              <w:spacing w:before="287"/>
              <w:ind w:left="257"/>
              <w:rPr>
                <w:color w:val="auto"/>
                <w:sz w:val="18"/>
                <w:szCs w:val="18"/>
                <w:highlight w:val="none"/>
              </w:rPr>
            </w:pPr>
            <w:r>
              <w:rPr>
                <w:color w:val="auto"/>
                <w:sz w:val="18"/>
                <w:szCs w:val="18"/>
                <w:highlight w:val="none"/>
              </w:rPr>
              <w:t>3</w:t>
            </w:r>
          </w:p>
        </w:tc>
        <w:tc>
          <w:tcPr>
            <w:tcW w:w="1166" w:type="dxa"/>
            <w:vAlign w:val="top"/>
          </w:tcPr>
          <w:p w14:paraId="2164388C">
            <w:pPr>
              <w:pStyle w:val="131"/>
              <w:spacing w:before="117" w:line="283" w:lineRule="auto"/>
              <w:ind w:left="20" w:right="10" w:hanging="11"/>
              <w:rPr>
                <w:color w:val="auto"/>
                <w:sz w:val="18"/>
                <w:szCs w:val="18"/>
                <w:highlight w:val="none"/>
              </w:rPr>
            </w:pPr>
            <w:r>
              <w:rPr>
                <w:color w:val="auto"/>
                <w:spacing w:val="4"/>
                <w:sz w:val="18"/>
                <w:szCs w:val="18"/>
                <w:highlight w:val="none"/>
              </w:rPr>
              <w:t>A020202</w:t>
            </w:r>
            <w:r>
              <w:rPr>
                <w:color w:val="auto"/>
                <w:spacing w:val="24"/>
                <w:sz w:val="18"/>
                <w:szCs w:val="18"/>
                <w:highlight w:val="none"/>
              </w:rPr>
              <w:t xml:space="preserve"> </w:t>
            </w:r>
            <w:r>
              <w:rPr>
                <w:color w:val="auto"/>
                <w:spacing w:val="4"/>
                <w:sz w:val="18"/>
                <w:szCs w:val="18"/>
                <w:highlight w:val="none"/>
              </w:rPr>
              <w:t>投影</w:t>
            </w:r>
            <w:r>
              <w:rPr>
                <w:color w:val="auto"/>
                <w:sz w:val="18"/>
                <w:szCs w:val="18"/>
                <w:highlight w:val="none"/>
              </w:rPr>
              <w:t>仪</w:t>
            </w:r>
          </w:p>
        </w:tc>
        <w:tc>
          <w:tcPr>
            <w:tcW w:w="1797" w:type="dxa"/>
            <w:vAlign w:val="top"/>
          </w:tcPr>
          <w:p w14:paraId="422553EB">
            <w:pPr>
              <w:rPr>
                <w:rFonts w:ascii="Arial"/>
                <w:color w:val="auto"/>
                <w:sz w:val="21"/>
                <w:highlight w:val="none"/>
              </w:rPr>
            </w:pPr>
          </w:p>
        </w:tc>
        <w:tc>
          <w:tcPr>
            <w:tcW w:w="1914" w:type="dxa"/>
            <w:vAlign w:val="top"/>
          </w:tcPr>
          <w:p w14:paraId="2ED468E1">
            <w:pPr>
              <w:rPr>
                <w:rFonts w:ascii="Arial"/>
                <w:color w:val="auto"/>
                <w:sz w:val="21"/>
                <w:highlight w:val="none"/>
              </w:rPr>
            </w:pPr>
          </w:p>
        </w:tc>
        <w:tc>
          <w:tcPr>
            <w:tcW w:w="2970" w:type="dxa"/>
            <w:vAlign w:val="top"/>
          </w:tcPr>
          <w:p w14:paraId="2A9FE30D">
            <w:pPr>
              <w:pStyle w:val="131"/>
              <w:spacing w:before="117" w:line="283" w:lineRule="auto"/>
              <w:ind w:left="39" w:right="11" w:hanging="6"/>
              <w:rPr>
                <w:color w:val="auto"/>
                <w:sz w:val="18"/>
                <w:szCs w:val="18"/>
                <w:highlight w:val="none"/>
              </w:rPr>
            </w:pPr>
            <w:r>
              <w:rPr>
                <w:color w:val="auto"/>
                <w:spacing w:val="14"/>
                <w:sz w:val="18"/>
                <w:szCs w:val="18"/>
                <w:highlight w:val="none"/>
              </w:rPr>
              <w:t>《投影机能效限定值及能效等级》</w:t>
            </w:r>
            <w:r>
              <w:rPr>
                <w:color w:val="auto"/>
                <w:spacing w:val="9"/>
                <w:sz w:val="18"/>
                <w:szCs w:val="18"/>
                <w:highlight w:val="none"/>
              </w:rPr>
              <w:t xml:space="preserve"> </w:t>
            </w:r>
            <w:r>
              <w:rPr>
                <w:color w:val="auto"/>
                <w:spacing w:val="-3"/>
                <w:sz w:val="18"/>
                <w:szCs w:val="18"/>
                <w:highlight w:val="none"/>
              </w:rPr>
              <w:t>（GB</w:t>
            </w:r>
            <w:r>
              <w:rPr>
                <w:color w:val="auto"/>
                <w:spacing w:val="36"/>
                <w:sz w:val="18"/>
                <w:szCs w:val="18"/>
                <w:highlight w:val="none"/>
              </w:rPr>
              <w:t xml:space="preserve"> </w:t>
            </w:r>
            <w:r>
              <w:rPr>
                <w:color w:val="auto"/>
                <w:spacing w:val="-3"/>
                <w:sz w:val="18"/>
                <w:szCs w:val="18"/>
                <w:highlight w:val="none"/>
              </w:rPr>
              <w:t>32028）</w:t>
            </w:r>
          </w:p>
        </w:tc>
      </w:tr>
      <w:tr w14:paraId="642A7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80" w:type="dxa"/>
            <w:vAlign w:val="top"/>
          </w:tcPr>
          <w:p w14:paraId="1DF2632E">
            <w:pPr>
              <w:spacing w:line="273" w:lineRule="auto"/>
              <w:rPr>
                <w:rFonts w:ascii="Arial"/>
                <w:color w:val="auto"/>
                <w:sz w:val="21"/>
                <w:highlight w:val="none"/>
              </w:rPr>
            </w:pPr>
          </w:p>
          <w:p w14:paraId="794E144E">
            <w:pPr>
              <w:pStyle w:val="131"/>
              <w:spacing w:before="58" w:line="241" w:lineRule="auto"/>
              <w:ind w:left="248"/>
              <w:rPr>
                <w:color w:val="auto"/>
                <w:sz w:val="18"/>
                <w:szCs w:val="18"/>
                <w:highlight w:val="none"/>
              </w:rPr>
            </w:pPr>
            <w:r>
              <w:rPr>
                <w:color w:val="auto"/>
                <w:sz w:val="18"/>
                <w:szCs w:val="18"/>
                <w:highlight w:val="none"/>
              </w:rPr>
              <w:t>4</w:t>
            </w:r>
          </w:p>
        </w:tc>
        <w:tc>
          <w:tcPr>
            <w:tcW w:w="1166" w:type="dxa"/>
            <w:vAlign w:val="top"/>
          </w:tcPr>
          <w:p w14:paraId="6F7C5840">
            <w:pPr>
              <w:pStyle w:val="131"/>
              <w:spacing w:before="153" w:line="307" w:lineRule="auto"/>
              <w:ind w:left="35" w:right="73" w:hanging="26"/>
              <w:rPr>
                <w:color w:val="auto"/>
                <w:sz w:val="18"/>
                <w:szCs w:val="18"/>
                <w:highlight w:val="none"/>
              </w:rPr>
            </w:pPr>
            <w:r>
              <w:rPr>
                <w:color w:val="auto"/>
                <w:spacing w:val="1"/>
                <w:sz w:val="18"/>
                <w:szCs w:val="18"/>
                <w:highlight w:val="none"/>
              </w:rPr>
              <w:t>A020204</w:t>
            </w:r>
            <w:r>
              <w:rPr>
                <w:color w:val="auto"/>
                <w:spacing w:val="-12"/>
                <w:sz w:val="18"/>
                <w:szCs w:val="18"/>
                <w:highlight w:val="none"/>
              </w:rPr>
              <w:t xml:space="preserve"> </w:t>
            </w:r>
            <w:r>
              <w:rPr>
                <w:color w:val="auto"/>
                <w:spacing w:val="1"/>
                <w:sz w:val="18"/>
                <w:szCs w:val="18"/>
                <w:highlight w:val="none"/>
              </w:rPr>
              <w:t>多功</w:t>
            </w:r>
            <w:r>
              <w:rPr>
                <w:color w:val="auto"/>
                <w:sz w:val="18"/>
                <w:szCs w:val="18"/>
                <w:highlight w:val="none"/>
              </w:rPr>
              <w:t>能一体机</w:t>
            </w:r>
          </w:p>
        </w:tc>
        <w:tc>
          <w:tcPr>
            <w:tcW w:w="1797" w:type="dxa"/>
            <w:vAlign w:val="top"/>
          </w:tcPr>
          <w:p w14:paraId="67027EC9">
            <w:pPr>
              <w:rPr>
                <w:rFonts w:ascii="Arial"/>
                <w:color w:val="auto"/>
                <w:sz w:val="21"/>
                <w:highlight w:val="none"/>
              </w:rPr>
            </w:pPr>
          </w:p>
        </w:tc>
        <w:tc>
          <w:tcPr>
            <w:tcW w:w="1914" w:type="dxa"/>
            <w:vAlign w:val="top"/>
          </w:tcPr>
          <w:p w14:paraId="41BD5535">
            <w:pPr>
              <w:rPr>
                <w:rFonts w:ascii="Arial"/>
                <w:color w:val="auto"/>
                <w:sz w:val="21"/>
                <w:highlight w:val="none"/>
              </w:rPr>
            </w:pPr>
          </w:p>
        </w:tc>
        <w:tc>
          <w:tcPr>
            <w:tcW w:w="2970" w:type="dxa"/>
            <w:vAlign w:val="top"/>
          </w:tcPr>
          <w:p w14:paraId="11751EB8">
            <w:pPr>
              <w:pStyle w:val="131"/>
              <w:spacing w:before="160" w:line="305" w:lineRule="auto"/>
              <w:ind w:left="33" w:right="29" w:hanging="3"/>
              <w:rPr>
                <w:color w:val="auto"/>
                <w:sz w:val="18"/>
                <w:szCs w:val="18"/>
                <w:highlight w:val="none"/>
              </w:rPr>
            </w:pPr>
            <w:r>
              <w:rPr>
                <w:color w:val="auto"/>
                <w:spacing w:val="13"/>
                <w:sz w:val="18"/>
                <w:szCs w:val="18"/>
                <w:highlight w:val="none"/>
              </w:rPr>
              <w:t>《复印机、打印机和传真机能效限</w:t>
            </w:r>
            <w:r>
              <w:rPr>
                <w:color w:val="auto"/>
                <w:spacing w:val="5"/>
                <w:sz w:val="18"/>
                <w:szCs w:val="18"/>
                <w:highlight w:val="none"/>
              </w:rPr>
              <w:t>定值及能效等级》（</w:t>
            </w:r>
            <w:r>
              <w:rPr>
                <w:color w:val="auto"/>
                <w:sz w:val="18"/>
                <w:szCs w:val="18"/>
                <w:highlight w:val="none"/>
              </w:rPr>
              <w:t>GB</w:t>
            </w:r>
            <w:r>
              <w:rPr>
                <w:color w:val="auto"/>
                <w:spacing w:val="5"/>
                <w:sz w:val="18"/>
                <w:szCs w:val="18"/>
                <w:highlight w:val="none"/>
              </w:rPr>
              <w:t xml:space="preserve"> 21521）</w:t>
            </w:r>
          </w:p>
        </w:tc>
      </w:tr>
      <w:tr w14:paraId="72CD7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80" w:type="dxa"/>
            <w:vAlign w:val="top"/>
          </w:tcPr>
          <w:p w14:paraId="2BDF1E96">
            <w:pPr>
              <w:pStyle w:val="131"/>
              <w:spacing w:before="268"/>
              <w:ind w:left="257"/>
              <w:rPr>
                <w:color w:val="auto"/>
                <w:sz w:val="18"/>
                <w:szCs w:val="18"/>
                <w:highlight w:val="none"/>
              </w:rPr>
            </w:pPr>
            <w:r>
              <w:rPr>
                <w:color w:val="auto"/>
                <w:sz w:val="18"/>
                <w:szCs w:val="18"/>
                <w:highlight w:val="none"/>
              </w:rPr>
              <w:t>5</w:t>
            </w:r>
          </w:p>
        </w:tc>
        <w:tc>
          <w:tcPr>
            <w:tcW w:w="1166" w:type="dxa"/>
            <w:vAlign w:val="top"/>
          </w:tcPr>
          <w:p w14:paraId="73D20E85">
            <w:pPr>
              <w:pStyle w:val="131"/>
              <w:spacing w:before="244" w:line="220" w:lineRule="auto"/>
              <w:ind w:left="9"/>
              <w:rPr>
                <w:color w:val="auto"/>
                <w:sz w:val="18"/>
                <w:szCs w:val="18"/>
                <w:highlight w:val="none"/>
              </w:rPr>
            </w:pPr>
            <w:r>
              <w:rPr>
                <w:color w:val="auto"/>
                <w:spacing w:val="2"/>
                <w:sz w:val="18"/>
                <w:szCs w:val="18"/>
                <w:highlight w:val="none"/>
              </w:rPr>
              <w:t>A020519</w:t>
            </w:r>
            <w:r>
              <w:rPr>
                <w:color w:val="auto"/>
                <w:spacing w:val="-14"/>
                <w:sz w:val="18"/>
                <w:szCs w:val="18"/>
                <w:highlight w:val="none"/>
              </w:rPr>
              <w:t xml:space="preserve"> </w:t>
            </w:r>
            <w:r>
              <w:rPr>
                <w:color w:val="auto"/>
                <w:spacing w:val="2"/>
                <w:sz w:val="18"/>
                <w:szCs w:val="18"/>
                <w:highlight w:val="none"/>
              </w:rPr>
              <w:t>泵</w:t>
            </w:r>
          </w:p>
        </w:tc>
        <w:tc>
          <w:tcPr>
            <w:tcW w:w="1797" w:type="dxa"/>
            <w:vAlign w:val="top"/>
          </w:tcPr>
          <w:p w14:paraId="4ADD04E4">
            <w:pPr>
              <w:pStyle w:val="131"/>
              <w:spacing w:before="244" w:line="220" w:lineRule="auto"/>
              <w:ind w:left="7"/>
              <w:rPr>
                <w:color w:val="auto"/>
                <w:sz w:val="18"/>
                <w:szCs w:val="18"/>
                <w:highlight w:val="none"/>
              </w:rPr>
            </w:pPr>
            <w:r>
              <w:rPr>
                <w:color w:val="auto"/>
                <w:spacing w:val="3"/>
                <w:sz w:val="18"/>
                <w:szCs w:val="18"/>
                <w:highlight w:val="none"/>
              </w:rPr>
              <w:t>A02051901</w:t>
            </w:r>
            <w:r>
              <w:rPr>
                <w:color w:val="auto"/>
                <w:spacing w:val="-14"/>
                <w:sz w:val="18"/>
                <w:szCs w:val="18"/>
                <w:highlight w:val="none"/>
              </w:rPr>
              <w:t xml:space="preserve"> </w:t>
            </w:r>
            <w:r>
              <w:rPr>
                <w:color w:val="auto"/>
                <w:spacing w:val="3"/>
                <w:sz w:val="18"/>
                <w:szCs w:val="18"/>
                <w:highlight w:val="none"/>
              </w:rPr>
              <w:t>离心泵</w:t>
            </w:r>
          </w:p>
        </w:tc>
        <w:tc>
          <w:tcPr>
            <w:tcW w:w="1914" w:type="dxa"/>
            <w:vAlign w:val="top"/>
          </w:tcPr>
          <w:p w14:paraId="7E8D15DF">
            <w:pPr>
              <w:rPr>
                <w:rFonts w:ascii="Arial"/>
                <w:color w:val="auto"/>
                <w:sz w:val="21"/>
                <w:highlight w:val="none"/>
              </w:rPr>
            </w:pPr>
          </w:p>
        </w:tc>
        <w:tc>
          <w:tcPr>
            <w:tcW w:w="2970" w:type="dxa"/>
            <w:vAlign w:val="top"/>
          </w:tcPr>
          <w:p w14:paraId="49944BA4">
            <w:pPr>
              <w:pStyle w:val="131"/>
              <w:spacing w:before="101" w:line="271" w:lineRule="auto"/>
              <w:ind w:left="24" w:right="38" w:firstLine="8"/>
              <w:rPr>
                <w:color w:val="auto"/>
                <w:sz w:val="18"/>
                <w:szCs w:val="18"/>
                <w:highlight w:val="none"/>
              </w:rPr>
            </w:pPr>
            <w:r>
              <w:rPr>
                <w:color w:val="auto"/>
                <w:spacing w:val="22"/>
                <w:sz w:val="18"/>
                <w:szCs w:val="18"/>
                <w:highlight w:val="none"/>
              </w:rPr>
              <w:t>《</w:t>
            </w:r>
            <w:r>
              <w:rPr>
                <w:color w:val="auto"/>
                <w:spacing w:val="-26"/>
                <w:sz w:val="18"/>
                <w:szCs w:val="18"/>
                <w:highlight w:val="none"/>
              </w:rPr>
              <w:t xml:space="preserve"> </w:t>
            </w:r>
            <w:r>
              <w:rPr>
                <w:color w:val="auto"/>
                <w:spacing w:val="22"/>
                <w:sz w:val="18"/>
                <w:szCs w:val="18"/>
                <w:highlight w:val="none"/>
              </w:rPr>
              <w:t>清水离心泵能效限定值及节能</w:t>
            </w:r>
            <w:r>
              <w:rPr>
                <w:color w:val="auto"/>
                <w:sz w:val="18"/>
                <w:szCs w:val="18"/>
                <w:highlight w:val="none"/>
              </w:rPr>
              <w:t>评价值》（GB</w:t>
            </w:r>
            <w:r>
              <w:rPr>
                <w:color w:val="auto"/>
                <w:spacing w:val="67"/>
                <w:sz w:val="18"/>
                <w:szCs w:val="18"/>
                <w:highlight w:val="none"/>
              </w:rPr>
              <w:t xml:space="preserve"> </w:t>
            </w:r>
            <w:r>
              <w:rPr>
                <w:color w:val="auto"/>
                <w:sz w:val="18"/>
                <w:szCs w:val="18"/>
                <w:highlight w:val="none"/>
              </w:rPr>
              <w:t>19762）</w:t>
            </w:r>
          </w:p>
        </w:tc>
      </w:tr>
      <w:tr w14:paraId="4B983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580" w:type="dxa"/>
            <w:vMerge w:val="restart"/>
            <w:tcBorders>
              <w:bottom w:val="nil"/>
            </w:tcBorders>
            <w:vAlign w:val="top"/>
          </w:tcPr>
          <w:p w14:paraId="01632EED">
            <w:pPr>
              <w:spacing w:line="305" w:lineRule="auto"/>
              <w:rPr>
                <w:rFonts w:ascii="Arial"/>
                <w:color w:val="auto"/>
                <w:sz w:val="21"/>
                <w:highlight w:val="none"/>
              </w:rPr>
            </w:pPr>
          </w:p>
          <w:p w14:paraId="460344B5">
            <w:pPr>
              <w:spacing w:line="305" w:lineRule="auto"/>
              <w:rPr>
                <w:rFonts w:ascii="Arial"/>
                <w:color w:val="auto"/>
                <w:sz w:val="21"/>
                <w:highlight w:val="none"/>
              </w:rPr>
            </w:pPr>
          </w:p>
          <w:p w14:paraId="70C61464">
            <w:pPr>
              <w:spacing w:line="306" w:lineRule="auto"/>
              <w:rPr>
                <w:rFonts w:ascii="Arial"/>
                <w:color w:val="auto"/>
                <w:sz w:val="21"/>
                <w:highlight w:val="none"/>
              </w:rPr>
            </w:pPr>
          </w:p>
          <w:p w14:paraId="315FEA3E">
            <w:pPr>
              <w:pStyle w:val="131"/>
              <w:spacing w:before="58"/>
              <w:ind w:left="252"/>
              <w:rPr>
                <w:color w:val="auto"/>
                <w:sz w:val="18"/>
                <w:szCs w:val="18"/>
                <w:highlight w:val="none"/>
              </w:rPr>
            </w:pPr>
            <w:r>
              <w:rPr>
                <w:color w:val="auto"/>
                <w:sz w:val="18"/>
                <w:szCs w:val="18"/>
                <w:highlight w:val="none"/>
              </w:rPr>
              <w:t>6</w:t>
            </w:r>
          </w:p>
        </w:tc>
        <w:tc>
          <w:tcPr>
            <w:tcW w:w="1166" w:type="dxa"/>
            <w:vMerge w:val="restart"/>
            <w:tcBorders>
              <w:bottom w:val="nil"/>
            </w:tcBorders>
            <w:vAlign w:val="top"/>
          </w:tcPr>
          <w:p w14:paraId="1563CCE1">
            <w:pPr>
              <w:spacing w:line="246" w:lineRule="auto"/>
              <w:rPr>
                <w:rFonts w:ascii="Arial"/>
                <w:color w:val="auto"/>
                <w:sz w:val="21"/>
                <w:highlight w:val="none"/>
              </w:rPr>
            </w:pPr>
          </w:p>
          <w:p w14:paraId="391D34D1">
            <w:pPr>
              <w:spacing w:line="246" w:lineRule="auto"/>
              <w:rPr>
                <w:rFonts w:ascii="Arial"/>
                <w:color w:val="auto"/>
                <w:sz w:val="21"/>
                <w:highlight w:val="none"/>
              </w:rPr>
            </w:pPr>
          </w:p>
          <w:p w14:paraId="6B35B92E">
            <w:pPr>
              <w:spacing w:line="247" w:lineRule="auto"/>
              <w:rPr>
                <w:rFonts w:ascii="Arial"/>
                <w:color w:val="auto"/>
                <w:sz w:val="21"/>
                <w:highlight w:val="none"/>
              </w:rPr>
            </w:pPr>
          </w:p>
          <w:p w14:paraId="04A089DF">
            <w:pPr>
              <w:pStyle w:val="131"/>
              <w:spacing w:before="59" w:line="308" w:lineRule="auto"/>
              <w:ind w:left="32" w:right="73" w:hanging="23"/>
              <w:rPr>
                <w:color w:val="auto"/>
                <w:sz w:val="18"/>
                <w:szCs w:val="18"/>
                <w:highlight w:val="none"/>
              </w:rPr>
            </w:pPr>
            <w:r>
              <w:rPr>
                <w:color w:val="auto"/>
                <w:spacing w:val="2"/>
                <w:sz w:val="18"/>
                <w:szCs w:val="18"/>
                <w:highlight w:val="none"/>
              </w:rPr>
              <w:t>A020523</w:t>
            </w:r>
            <w:r>
              <w:rPr>
                <w:color w:val="auto"/>
                <w:spacing w:val="-21"/>
                <w:sz w:val="18"/>
                <w:szCs w:val="18"/>
                <w:highlight w:val="none"/>
              </w:rPr>
              <w:t xml:space="preserve"> </w:t>
            </w:r>
            <w:r>
              <w:rPr>
                <w:color w:val="auto"/>
                <w:spacing w:val="2"/>
                <w:sz w:val="18"/>
                <w:szCs w:val="18"/>
                <w:highlight w:val="none"/>
              </w:rPr>
              <w:t>制冷</w:t>
            </w:r>
            <w:r>
              <w:rPr>
                <w:color w:val="auto"/>
                <w:sz w:val="18"/>
                <w:szCs w:val="18"/>
                <w:highlight w:val="none"/>
              </w:rPr>
              <w:t>空调设备</w:t>
            </w:r>
          </w:p>
        </w:tc>
        <w:tc>
          <w:tcPr>
            <w:tcW w:w="1797" w:type="dxa"/>
            <w:vMerge w:val="restart"/>
            <w:tcBorders>
              <w:bottom w:val="nil"/>
            </w:tcBorders>
            <w:vAlign w:val="top"/>
          </w:tcPr>
          <w:p w14:paraId="6A0C8905">
            <w:pPr>
              <w:spacing w:line="250" w:lineRule="auto"/>
              <w:rPr>
                <w:rFonts w:ascii="Arial"/>
                <w:color w:val="auto"/>
                <w:sz w:val="21"/>
                <w:highlight w:val="none"/>
              </w:rPr>
            </w:pPr>
          </w:p>
          <w:p w14:paraId="42BE7649">
            <w:pPr>
              <w:spacing w:line="250" w:lineRule="auto"/>
              <w:rPr>
                <w:rFonts w:ascii="Arial"/>
                <w:color w:val="auto"/>
                <w:sz w:val="21"/>
                <w:highlight w:val="none"/>
              </w:rPr>
            </w:pPr>
          </w:p>
          <w:p w14:paraId="30C43246">
            <w:pPr>
              <w:spacing w:line="250" w:lineRule="auto"/>
              <w:rPr>
                <w:rFonts w:ascii="Arial"/>
                <w:color w:val="auto"/>
                <w:sz w:val="21"/>
                <w:highlight w:val="none"/>
              </w:rPr>
            </w:pPr>
          </w:p>
          <w:p w14:paraId="0BC91904">
            <w:pPr>
              <w:pStyle w:val="131"/>
              <w:spacing w:before="58" w:line="304" w:lineRule="auto"/>
              <w:ind w:left="17" w:right="16" w:firstLine="5"/>
              <w:rPr>
                <w:color w:val="auto"/>
                <w:sz w:val="18"/>
                <w:szCs w:val="18"/>
                <w:highlight w:val="none"/>
              </w:rPr>
            </w:pPr>
            <w:r>
              <w:rPr>
                <w:color w:val="auto"/>
                <w:spacing w:val="4"/>
                <w:sz w:val="18"/>
                <w:szCs w:val="18"/>
                <w:highlight w:val="none"/>
              </w:rPr>
              <w:t>★A02052301</w:t>
            </w:r>
            <w:r>
              <w:rPr>
                <w:color w:val="auto"/>
                <w:spacing w:val="79"/>
                <w:sz w:val="18"/>
                <w:szCs w:val="18"/>
                <w:highlight w:val="none"/>
              </w:rPr>
              <w:t xml:space="preserve"> </w:t>
            </w:r>
            <w:r>
              <w:rPr>
                <w:color w:val="auto"/>
                <w:spacing w:val="4"/>
                <w:sz w:val="18"/>
                <w:szCs w:val="18"/>
                <w:highlight w:val="none"/>
              </w:rPr>
              <w:t>制冷压</w:t>
            </w:r>
            <w:r>
              <w:rPr>
                <w:color w:val="auto"/>
                <w:spacing w:val="-1"/>
                <w:sz w:val="18"/>
                <w:szCs w:val="18"/>
                <w:highlight w:val="none"/>
              </w:rPr>
              <w:t>缩机</w:t>
            </w:r>
          </w:p>
        </w:tc>
        <w:tc>
          <w:tcPr>
            <w:tcW w:w="1914" w:type="dxa"/>
            <w:vAlign w:val="top"/>
          </w:tcPr>
          <w:p w14:paraId="32CA5A81">
            <w:pPr>
              <w:spacing w:line="261" w:lineRule="auto"/>
              <w:rPr>
                <w:rFonts w:ascii="Arial"/>
                <w:color w:val="auto"/>
                <w:sz w:val="21"/>
                <w:highlight w:val="none"/>
              </w:rPr>
            </w:pPr>
          </w:p>
          <w:p w14:paraId="744AB967">
            <w:pPr>
              <w:spacing w:line="261" w:lineRule="auto"/>
              <w:rPr>
                <w:rFonts w:ascii="Arial"/>
                <w:color w:val="auto"/>
                <w:sz w:val="21"/>
                <w:highlight w:val="none"/>
              </w:rPr>
            </w:pPr>
          </w:p>
          <w:p w14:paraId="506D5676">
            <w:pPr>
              <w:pStyle w:val="131"/>
              <w:spacing w:before="59" w:line="219" w:lineRule="auto"/>
              <w:ind w:left="24"/>
              <w:rPr>
                <w:color w:val="auto"/>
                <w:sz w:val="18"/>
                <w:szCs w:val="18"/>
                <w:highlight w:val="none"/>
              </w:rPr>
            </w:pPr>
            <w:r>
              <w:rPr>
                <w:color w:val="auto"/>
                <w:spacing w:val="2"/>
                <w:sz w:val="18"/>
                <w:szCs w:val="18"/>
                <w:highlight w:val="none"/>
              </w:rPr>
              <w:t>冷水机组</w:t>
            </w:r>
          </w:p>
        </w:tc>
        <w:tc>
          <w:tcPr>
            <w:tcW w:w="2970" w:type="dxa"/>
            <w:vAlign w:val="top"/>
          </w:tcPr>
          <w:p w14:paraId="29BBBD0A">
            <w:pPr>
              <w:pStyle w:val="131"/>
              <w:spacing w:before="126" w:line="294" w:lineRule="auto"/>
              <w:ind w:left="25" w:right="14" w:firstLine="5"/>
              <w:jc w:val="both"/>
              <w:rPr>
                <w:color w:val="auto"/>
                <w:sz w:val="18"/>
                <w:szCs w:val="18"/>
                <w:highlight w:val="none"/>
              </w:rPr>
            </w:pPr>
            <w:r>
              <w:rPr>
                <w:color w:val="auto"/>
                <w:spacing w:val="23"/>
                <w:sz w:val="18"/>
                <w:szCs w:val="18"/>
                <w:highlight w:val="none"/>
              </w:rPr>
              <w:t>《</w:t>
            </w:r>
            <w:r>
              <w:rPr>
                <w:color w:val="auto"/>
                <w:spacing w:val="-30"/>
                <w:sz w:val="18"/>
                <w:szCs w:val="18"/>
                <w:highlight w:val="none"/>
              </w:rPr>
              <w:t xml:space="preserve"> </w:t>
            </w:r>
            <w:r>
              <w:rPr>
                <w:color w:val="auto"/>
                <w:spacing w:val="23"/>
                <w:sz w:val="18"/>
                <w:szCs w:val="18"/>
                <w:highlight w:val="none"/>
              </w:rPr>
              <w:t>冷水机组能效限定值及能效等</w:t>
            </w:r>
            <w:r>
              <w:rPr>
                <w:color w:val="auto"/>
                <w:spacing w:val="8"/>
                <w:sz w:val="18"/>
                <w:szCs w:val="18"/>
                <w:highlight w:val="none"/>
              </w:rPr>
              <w:t>级》（</w:t>
            </w:r>
            <w:r>
              <w:rPr>
                <w:color w:val="auto"/>
                <w:sz w:val="18"/>
                <w:szCs w:val="18"/>
                <w:highlight w:val="none"/>
              </w:rPr>
              <w:t>GB</w:t>
            </w:r>
            <w:r>
              <w:rPr>
                <w:color w:val="auto"/>
                <w:spacing w:val="42"/>
                <w:sz w:val="18"/>
                <w:szCs w:val="18"/>
                <w:highlight w:val="none"/>
              </w:rPr>
              <w:t xml:space="preserve"> </w:t>
            </w:r>
            <w:r>
              <w:rPr>
                <w:color w:val="auto"/>
                <w:spacing w:val="8"/>
                <w:sz w:val="18"/>
                <w:szCs w:val="18"/>
                <w:highlight w:val="none"/>
              </w:rPr>
              <w:t>19577</w:t>
            </w:r>
            <w:r>
              <w:rPr>
                <w:color w:val="auto"/>
                <w:spacing w:val="5"/>
                <w:sz w:val="18"/>
                <w:szCs w:val="18"/>
                <w:highlight w:val="none"/>
              </w:rPr>
              <w:t>），</w:t>
            </w:r>
            <w:r>
              <w:rPr>
                <w:color w:val="auto"/>
                <w:spacing w:val="-33"/>
                <w:sz w:val="18"/>
                <w:szCs w:val="18"/>
                <w:highlight w:val="none"/>
              </w:rPr>
              <w:t xml:space="preserve"> </w:t>
            </w:r>
            <w:r>
              <w:rPr>
                <w:color w:val="auto"/>
                <w:spacing w:val="8"/>
                <w:sz w:val="18"/>
                <w:szCs w:val="18"/>
                <w:highlight w:val="none"/>
              </w:rPr>
              <w:t>《低环境温度</w:t>
            </w:r>
            <w:r>
              <w:rPr>
                <w:color w:val="auto"/>
                <w:spacing w:val="15"/>
                <w:sz w:val="18"/>
                <w:szCs w:val="18"/>
                <w:highlight w:val="none"/>
              </w:rPr>
              <w:t>空气源热泵（冷水）机组能效限定</w:t>
            </w:r>
            <w:r>
              <w:rPr>
                <w:color w:val="auto"/>
                <w:spacing w:val="5"/>
                <w:sz w:val="18"/>
                <w:szCs w:val="18"/>
                <w:highlight w:val="none"/>
              </w:rPr>
              <w:t>值及能效等级》（</w:t>
            </w:r>
            <w:r>
              <w:rPr>
                <w:color w:val="auto"/>
                <w:sz w:val="18"/>
                <w:szCs w:val="18"/>
                <w:highlight w:val="none"/>
              </w:rPr>
              <w:t>GB</w:t>
            </w:r>
            <w:r>
              <w:rPr>
                <w:color w:val="auto"/>
                <w:spacing w:val="5"/>
                <w:sz w:val="18"/>
                <w:szCs w:val="18"/>
                <w:highlight w:val="none"/>
              </w:rPr>
              <w:t xml:space="preserve"> 37480）</w:t>
            </w:r>
          </w:p>
        </w:tc>
      </w:tr>
      <w:tr w14:paraId="0D8B7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580" w:type="dxa"/>
            <w:vMerge w:val="continue"/>
            <w:tcBorders>
              <w:top w:val="nil"/>
            </w:tcBorders>
            <w:vAlign w:val="top"/>
          </w:tcPr>
          <w:p w14:paraId="620AB91C">
            <w:pPr>
              <w:rPr>
                <w:rFonts w:ascii="Arial"/>
                <w:color w:val="auto"/>
                <w:sz w:val="21"/>
                <w:highlight w:val="none"/>
              </w:rPr>
            </w:pPr>
          </w:p>
        </w:tc>
        <w:tc>
          <w:tcPr>
            <w:tcW w:w="1166" w:type="dxa"/>
            <w:vMerge w:val="continue"/>
            <w:tcBorders>
              <w:top w:val="nil"/>
            </w:tcBorders>
            <w:vAlign w:val="top"/>
          </w:tcPr>
          <w:p w14:paraId="1A6ADAA2">
            <w:pPr>
              <w:rPr>
                <w:rFonts w:ascii="Arial"/>
                <w:color w:val="auto"/>
                <w:sz w:val="21"/>
                <w:highlight w:val="none"/>
              </w:rPr>
            </w:pPr>
          </w:p>
        </w:tc>
        <w:tc>
          <w:tcPr>
            <w:tcW w:w="1797" w:type="dxa"/>
            <w:vMerge w:val="continue"/>
            <w:tcBorders>
              <w:top w:val="nil"/>
            </w:tcBorders>
            <w:vAlign w:val="top"/>
          </w:tcPr>
          <w:p w14:paraId="41DE6F9E">
            <w:pPr>
              <w:rPr>
                <w:rFonts w:ascii="Arial"/>
                <w:color w:val="auto"/>
                <w:sz w:val="21"/>
                <w:highlight w:val="none"/>
              </w:rPr>
            </w:pPr>
          </w:p>
        </w:tc>
        <w:tc>
          <w:tcPr>
            <w:tcW w:w="1914" w:type="dxa"/>
            <w:vAlign w:val="top"/>
          </w:tcPr>
          <w:p w14:paraId="1F7559D9">
            <w:pPr>
              <w:pStyle w:val="131"/>
              <w:spacing w:before="294" w:line="219" w:lineRule="auto"/>
              <w:ind w:left="28"/>
              <w:rPr>
                <w:color w:val="auto"/>
                <w:sz w:val="18"/>
                <w:szCs w:val="18"/>
                <w:highlight w:val="none"/>
              </w:rPr>
            </w:pPr>
            <w:r>
              <w:rPr>
                <w:color w:val="auto"/>
                <w:spacing w:val="4"/>
                <w:sz w:val="18"/>
                <w:szCs w:val="18"/>
                <w:highlight w:val="none"/>
              </w:rPr>
              <w:t>水源热泵机组</w:t>
            </w:r>
          </w:p>
        </w:tc>
        <w:tc>
          <w:tcPr>
            <w:tcW w:w="2970" w:type="dxa"/>
            <w:vAlign w:val="top"/>
          </w:tcPr>
          <w:p w14:paraId="4916C66F">
            <w:pPr>
              <w:pStyle w:val="131"/>
              <w:spacing w:before="151" w:line="297" w:lineRule="auto"/>
              <w:ind w:left="24" w:right="24" w:firstLine="8"/>
              <w:rPr>
                <w:color w:val="auto"/>
                <w:sz w:val="18"/>
                <w:szCs w:val="18"/>
                <w:highlight w:val="none"/>
              </w:rPr>
            </w:pPr>
            <w:r>
              <w:rPr>
                <w:color w:val="auto"/>
                <w:spacing w:val="11"/>
                <w:sz w:val="18"/>
                <w:szCs w:val="18"/>
                <w:highlight w:val="none"/>
              </w:rPr>
              <w:t>《水（地）</w:t>
            </w:r>
            <w:r>
              <w:rPr>
                <w:color w:val="auto"/>
                <w:spacing w:val="-49"/>
                <w:sz w:val="18"/>
                <w:szCs w:val="18"/>
                <w:highlight w:val="none"/>
              </w:rPr>
              <w:t xml:space="preserve"> </w:t>
            </w:r>
            <w:r>
              <w:rPr>
                <w:color w:val="auto"/>
                <w:spacing w:val="11"/>
                <w:sz w:val="18"/>
                <w:szCs w:val="18"/>
                <w:highlight w:val="none"/>
              </w:rPr>
              <w:t>源热泵机组能效限定值</w:t>
            </w:r>
            <w:r>
              <w:rPr>
                <w:color w:val="auto"/>
                <w:spacing w:val="5"/>
                <w:sz w:val="18"/>
                <w:szCs w:val="18"/>
                <w:highlight w:val="none"/>
              </w:rPr>
              <w:t>及能效等级》（</w:t>
            </w:r>
            <w:r>
              <w:rPr>
                <w:color w:val="auto"/>
                <w:sz w:val="18"/>
                <w:szCs w:val="18"/>
                <w:highlight w:val="none"/>
              </w:rPr>
              <w:t>GB</w:t>
            </w:r>
            <w:r>
              <w:rPr>
                <w:color w:val="auto"/>
                <w:spacing w:val="5"/>
                <w:sz w:val="18"/>
                <w:szCs w:val="18"/>
                <w:highlight w:val="none"/>
              </w:rPr>
              <w:t xml:space="preserve"> 30721）</w:t>
            </w:r>
          </w:p>
        </w:tc>
      </w:tr>
    </w:tbl>
    <w:p w14:paraId="2662732C">
      <w:pPr>
        <w:pStyle w:val="18"/>
        <w:rPr>
          <w:color w:val="auto"/>
          <w:highlight w:val="none"/>
        </w:rPr>
      </w:pPr>
    </w:p>
    <w:p w14:paraId="3A8025E1">
      <w:pPr>
        <w:rPr>
          <w:color w:val="auto"/>
          <w:highlight w:val="none"/>
        </w:rPr>
        <w:sectPr>
          <w:headerReference r:id="rId6" w:type="default"/>
          <w:footerReference r:id="rId7" w:type="default"/>
          <w:pgSz w:w="11907" w:h="16839"/>
          <w:pgMar w:top="1440" w:right="1800" w:bottom="1440" w:left="1800" w:header="1188" w:footer="942" w:gutter="0"/>
          <w:pgNumType w:fmt="decimal" w:start="1"/>
          <w:cols w:space="720" w:num="1"/>
        </w:sectPr>
      </w:pPr>
    </w:p>
    <w:p w14:paraId="30DCEF68">
      <w:pPr>
        <w:spacing w:before="59"/>
        <w:rPr>
          <w:color w:val="auto"/>
          <w:highlight w:val="none"/>
        </w:rPr>
      </w:pPr>
    </w:p>
    <w:p w14:paraId="63894953">
      <w:pPr>
        <w:spacing w:before="59"/>
        <w:rPr>
          <w:color w:val="auto"/>
          <w:highlight w:val="none"/>
        </w:rPr>
      </w:pPr>
    </w:p>
    <w:p w14:paraId="12053B61">
      <w:pPr>
        <w:spacing w:before="58"/>
        <w:rPr>
          <w:color w:val="auto"/>
          <w:highlight w:val="none"/>
        </w:rPr>
      </w:pPr>
    </w:p>
    <w:p w14:paraId="20DF9DF2">
      <w:pPr>
        <w:spacing w:before="58"/>
        <w:rPr>
          <w:color w:val="auto"/>
          <w:highlight w:val="none"/>
        </w:rPr>
      </w:pPr>
    </w:p>
    <w:tbl>
      <w:tblPr>
        <w:tblStyle w:val="114"/>
        <w:tblW w:w="843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0"/>
        <w:gridCol w:w="1166"/>
        <w:gridCol w:w="1797"/>
        <w:gridCol w:w="1914"/>
        <w:gridCol w:w="2976"/>
      </w:tblGrid>
      <w:tr w14:paraId="5A176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580" w:type="dxa"/>
            <w:vMerge w:val="restart"/>
            <w:tcBorders>
              <w:bottom w:val="nil"/>
            </w:tcBorders>
            <w:vAlign w:val="top"/>
          </w:tcPr>
          <w:p w14:paraId="3798AD68">
            <w:pPr>
              <w:rPr>
                <w:rFonts w:ascii="Arial"/>
                <w:color w:val="auto"/>
                <w:sz w:val="21"/>
                <w:highlight w:val="none"/>
              </w:rPr>
            </w:pPr>
          </w:p>
        </w:tc>
        <w:tc>
          <w:tcPr>
            <w:tcW w:w="1166" w:type="dxa"/>
            <w:vMerge w:val="restart"/>
            <w:tcBorders>
              <w:bottom w:val="nil"/>
            </w:tcBorders>
            <w:vAlign w:val="top"/>
          </w:tcPr>
          <w:p w14:paraId="70DC464B">
            <w:pPr>
              <w:rPr>
                <w:rFonts w:ascii="Arial"/>
                <w:color w:val="auto"/>
                <w:sz w:val="21"/>
                <w:highlight w:val="none"/>
              </w:rPr>
            </w:pPr>
          </w:p>
        </w:tc>
        <w:tc>
          <w:tcPr>
            <w:tcW w:w="1797" w:type="dxa"/>
            <w:vAlign w:val="top"/>
          </w:tcPr>
          <w:p w14:paraId="133441CF">
            <w:pPr>
              <w:rPr>
                <w:rFonts w:ascii="Arial"/>
                <w:color w:val="auto"/>
                <w:sz w:val="21"/>
                <w:highlight w:val="none"/>
              </w:rPr>
            </w:pPr>
          </w:p>
        </w:tc>
        <w:tc>
          <w:tcPr>
            <w:tcW w:w="1914" w:type="dxa"/>
            <w:vAlign w:val="top"/>
          </w:tcPr>
          <w:p w14:paraId="09883F16">
            <w:pPr>
              <w:pStyle w:val="131"/>
              <w:spacing w:before="185" w:line="318" w:lineRule="auto"/>
              <w:ind w:left="28" w:right="29" w:firstLine="1"/>
              <w:rPr>
                <w:color w:val="auto"/>
                <w:sz w:val="18"/>
                <w:szCs w:val="18"/>
                <w:highlight w:val="none"/>
              </w:rPr>
            </w:pPr>
            <w:r>
              <w:rPr>
                <w:color w:val="auto"/>
                <w:spacing w:val="25"/>
                <w:sz w:val="18"/>
                <w:szCs w:val="18"/>
                <w:highlight w:val="none"/>
              </w:rPr>
              <w:t>溴化锂吸收式冷水机</w:t>
            </w:r>
            <w:r>
              <w:rPr>
                <w:color w:val="auto"/>
                <w:sz w:val="18"/>
                <w:szCs w:val="18"/>
                <w:highlight w:val="none"/>
              </w:rPr>
              <w:t>组</w:t>
            </w:r>
          </w:p>
        </w:tc>
        <w:tc>
          <w:tcPr>
            <w:tcW w:w="2976" w:type="dxa"/>
            <w:vAlign w:val="top"/>
          </w:tcPr>
          <w:p w14:paraId="0462C7AE">
            <w:pPr>
              <w:pStyle w:val="131"/>
              <w:spacing w:before="188" w:line="305" w:lineRule="auto"/>
              <w:ind w:left="33" w:right="47" w:hanging="3"/>
              <w:rPr>
                <w:color w:val="auto"/>
                <w:sz w:val="18"/>
                <w:szCs w:val="18"/>
                <w:highlight w:val="none"/>
              </w:rPr>
            </w:pPr>
            <w:r>
              <w:rPr>
                <w:color w:val="auto"/>
                <w:spacing w:val="22"/>
                <w:sz w:val="18"/>
                <w:szCs w:val="18"/>
                <w:highlight w:val="none"/>
              </w:rPr>
              <w:t>《</w:t>
            </w:r>
            <w:r>
              <w:rPr>
                <w:color w:val="auto"/>
                <w:spacing w:val="-26"/>
                <w:sz w:val="18"/>
                <w:szCs w:val="18"/>
                <w:highlight w:val="none"/>
              </w:rPr>
              <w:t xml:space="preserve"> </w:t>
            </w:r>
            <w:r>
              <w:rPr>
                <w:color w:val="auto"/>
                <w:spacing w:val="22"/>
                <w:sz w:val="18"/>
                <w:szCs w:val="18"/>
                <w:highlight w:val="none"/>
              </w:rPr>
              <w:t>溴化锂吸收式冷水机组能效限</w:t>
            </w:r>
            <w:r>
              <w:rPr>
                <w:color w:val="auto"/>
                <w:spacing w:val="5"/>
                <w:sz w:val="18"/>
                <w:szCs w:val="18"/>
                <w:highlight w:val="none"/>
              </w:rPr>
              <w:t>定值及能效等级》（</w:t>
            </w:r>
            <w:r>
              <w:rPr>
                <w:color w:val="auto"/>
                <w:sz w:val="18"/>
                <w:szCs w:val="18"/>
                <w:highlight w:val="none"/>
              </w:rPr>
              <w:t>GB</w:t>
            </w:r>
            <w:r>
              <w:rPr>
                <w:color w:val="auto"/>
                <w:spacing w:val="5"/>
                <w:sz w:val="18"/>
                <w:szCs w:val="18"/>
                <w:highlight w:val="none"/>
              </w:rPr>
              <w:t xml:space="preserve"> 29540）</w:t>
            </w:r>
          </w:p>
        </w:tc>
      </w:tr>
      <w:tr w14:paraId="291C3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80" w:type="dxa"/>
            <w:vMerge w:val="continue"/>
            <w:tcBorders>
              <w:top w:val="nil"/>
              <w:bottom w:val="nil"/>
            </w:tcBorders>
            <w:vAlign w:val="top"/>
          </w:tcPr>
          <w:p w14:paraId="43D78971">
            <w:pPr>
              <w:rPr>
                <w:rFonts w:ascii="Arial"/>
                <w:color w:val="auto"/>
                <w:sz w:val="21"/>
                <w:highlight w:val="none"/>
              </w:rPr>
            </w:pPr>
          </w:p>
        </w:tc>
        <w:tc>
          <w:tcPr>
            <w:tcW w:w="1166" w:type="dxa"/>
            <w:vMerge w:val="continue"/>
            <w:tcBorders>
              <w:top w:val="nil"/>
              <w:bottom w:val="nil"/>
            </w:tcBorders>
            <w:vAlign w:val="top"/>
          </w:tcPr>
          <w:p w14:paraId="63DFCB6F">
            <w:pPr>
              <w:rPr>
                <w:rFonts w:ascii="Arial"/>
                <w:color w:val="auto"/>
                <w:sz w:val="21"/>
                <w:highlight w:val="none"/>
              </w:rPr>
            </w:pPr>
          </w:p>
        </w:tc>
        <w:tc>
          <w:tcPr>
            <w:tcW w:w="1797" w:type="dxa"/>
            <w:vMerge w:val="restart"/>
            <w:tcBorders>
              <w:bottom w:val="nil"/>
            </w:tcBorders>
            <w:vAlign w:val="top"/>
          </w:tcPr>
          <w:p w14:paraId="074C03C8">
            <w:pPr>
              <w:spacing w:line="275" w:lineRule="auto"/>
              <w:rPr>
                <w:rFonts w:ascii="Arial"/>
                <w:color w:val="auto"/>
                <w:sz w:val="21"/>
                <w:highlight w:val="none"/>
              </w:rPr>
            </w:pPr>
          </w:p>
          <w:p w14:paraId="6FEF3E2B">
            <w:pPr>
              <w:spacing w:line="275" w:lineRule="auto"/>
              <w:rPr>
                <w:rFonts w:ascii="Arial"/>
                <w:color w:val="auto"/>
                <w:sz w:val="21"/>
                <w:highlight w:val="none"/>
              </w:rPr>
            </w:pPr>
          </w:p>
          <w:p w14:paraId="3B0F8237">
            <w:pPr>
              <w:spacing w:line="276" w:lineRule="auto"/>
              <w:rPr>
                <w:rFonts w:ascii="Arial"/>
                <w:color w:val="auto"/>
                <w:sz w:val="21"/>
                <w:highlight w:val="none"/>
              </w:rPr>
            </w:pPr>
          </w:p>
          <w:p w14:paraId="54BF48A7">
            <w:pPr>
              <w:pStyle w:val="131"/>
              <w:spacing w:before="59" w:line="315" w:lineRule="auto"/>
              <w:ind w:left="22" w:right="12"/>
              <w:rPr>
                <w:color w:val="auto"/>
                <w:sz w:val="18"/>
                <w:szCs w:val="18"/>
                <w:highlight w:val="none"/>
              </w:rPr>
            </w:pPr>
            <w:r>
              <w:rPr>
                <w:color w:val="auto"/>
                <w:spacing w:val="4"/>
                <w:sz w:val="18"/>
                <w:szCs w:val="18"/>
                <w:highlight w:val="none"/>
              </w:rPr>
              <w:t>★A02052305</w:t>
            </w:r>
            <w:r>
              <w:rPr>
                <w:color w:val="auto"/>
                <w:spacing w:val="84"/>
                <w:sz w:val="18"/>
                <w:szCs w:val="18"/>
                <w:highlight w:val="none"/>
              </w:rPr>
              <w:t xml:space="preserve"> </w:t>
            </w:r>
            <w:r>
              <w:rPr>
                <w:color w:val="auto"/>
                <w:spacing w:val="4"/>
                <w:sz w:val="18"/>
                <w:szCs w:val="18"/>
                <w:highlight w:val="none"/>
              </w:rPr>
              <w:t>空调机</w:t>
            </w:r>
            <w:r>
              <w:rPr>
                <w:color w:val="auto"/>
                <w:sz w:val="18"/>
                <w:szCs w:val="18"/>
                <w:highlight w:val="none"/>
              </w:rPr>
              <w:t>组</w:t>
            </w:r>
          </w:p>
        </w:tc>
        <w:tc>
          <w:tcPr>
            <w:tcW w:w="1914" w:type="dxa"/>
            <w:vAlign w:val="top"/>
          </w:tcPr>
          <w:p w14:paraId="24ED439A">
            <w:pPr>
              <w:pStyle w:val="131"/>
              <w:spacing w:before="91" w:line="285" w:lineRule="auto"/>
              <w:ind w:left="20" w:firstLine="18"/>
              <w:jc w:val="both"/>
              <w:rPr>
                <w:color w:val="auto"/>
                <w:sz w:val="18"/>
                <w:szCs w:val="18"/>
                <w:highlight w:val="none"/>
              </w:rPr>
            </w:pPr>
            <w:r>
              <w:rPr>
                <w:color w:val="auto"/>
                <w:spacing w:val="21"/>
                <w:sz w:val="18"/>
                <w:szCs w:val="18"/>
                <w:highlight w:val="none"/>
              </w:rPr>
              <w:t>多联式空调（热泵</w:t>
            </w:r>
            <w:r>
              <w:rPr>
                <w:color w:val="auto"/>
                <w:spacing w:val="-33"/>
                <w:sz w:val="18"/>
                <w:szCs w:val="18"/>
                <w:highlight w:val="none"/>
              </w:rPr>
              <w:t xml:space="preserve"> </w:t>
            </w:r>
            <w:r>
              <w:rPr>
                <w:color w:val="auto"/>
                <w:spacing w:val="21"/>
                <w:sz w:val="18"/>
                <w:szCs w:val="18"/>
                <w:highlight w:val="none"/>
              </w:rPr>
              <w:t>）</w:t>
            </w:r>
            <w:r>
              <w:rPr>
                <w:color w:val="auto"/>
                <w:spacing w:val="-12"/>
                <w:sz w:val="18"/>
                <w:szCs w:val="18"/>
                <w:highlight w:val="none"/>
              </w:rPr>
              <w:t>机</w:t>
            </w:r>
            <w:r>
              <w:rPr>
                <w:color w:val="auto"/>
                <w:spacing w:val="1"/>
                <w:sz w:val="18"/>
                <w:szCs w:val="18"/>
                <w:highlight w:val="none"/>
              </w:rPr>
              <w:t xml:space="preserve">   </w:t>
            </w:r>
            <w:r>
              <w:rPr>
                <w:color w:val="auto"/>
                <w:spacing w:val="-12"/>
                <w:sz w:val="18"/>
                <w:szCs w:val="18"/>
                <w:highlight w:val="none"/>
              </w:rPr>
              <w:t xml:space="preserve">组 </w:t>
            </w:r>
            <w:r>
              <w:rPr>
                <w:color w:val="auto"/>
                <w:spacing w:val="-11"/>
                <w:sz w:val="18"/>
                <w:szCs w:val="18"/>
                <w:highlight w:val="none"/>
              </w:rPr>
              <w:t xml:space="preserve">   (</w:t>
            </w:r>
            <w:r>
              <w:rPr>
                <w:color w:val="auto"/>
                <w:spacing w:val="44"/>
                <w:sz w:val="18"/>
                <w:szCs w:val="18"/>
                <w:highlight w:val="none"/>
              </w:rPr>
              <w:t xml:space="preserve">  </w:t>
            </w:r>
            <w:r>
              <w:rPr>
                <w:color w:val="auto"/>
                <w:spacing w:val="-11"/>
                <w:sz w:val="18"/>
                <w:szCs w:val="18"/>
                <w:highlight w:val="none"/>
              </w:rPr>
              <w:t>制</w:t>
            </w:r>
            <w:r>
              <w:rPr>
                <w:color w:val="auto"/>
                <w:spacing w:val="1"/>
                <w:sz w:val="18"/>
                <w:szCs w:val="18"/>
                <w:highlight w:val="none"/>
              </w:rPr>
              <w:t xml:space="preserve">   </w:t>
            </w:r>
            <w:r>
              <w:rPr>
                <w:color w:val="auto"/>
                <w:spacing w:val="-8"/>
                <w:sz w:val="18"/>
                <w:szCs w:val="18"/>
                <w:highlight w:val="none"/>
              </w:rPr>
              <w:t>冷</w:t>
            </w:r>
            <w:r>
              <w:rPr>
                <w:color w:val="auto"/>
                <w:spacing w:val="3"/>
                <w:sz w:val="18"/>
                <w:szCs w:val="18"/>
                <w:highlight w:val="none"/>
              </w:rPr>
              <w:t>量&gt;14000W)</w:t>
            </w:r>
          </w:p>
        </w:tc>
        <w:tc>
          <w:tcPr>
            <w:tcW w:w="2976" w:type="dxa"/>
            <w:vAlign w:val="top"/>
          </w:tcPr>
          <w:p w14:paraId="3DE877D3">
            <w:pPr>
              <w:pStyle w:val="131"/>
              <w:spacing w:before="247" w:line="307" w:lineRule="auto"/>
              <w:ind w:left="33" w:right="18" w:hanging="3"/>
              <w:rPr>
                <w:color w:val="auto"/>
                <w:sz w:val="18"/>
                <w:szCs w:val="18"/>
                <w:highlight w:val="none"/>
              </w:rPr>
            </w:pPr>
            <w:r>
              <w:rPr>
                <w:color w:val="auto"/>
                <w:spacing w:val="12"/>
                <w:sz w:val="18"/>
                <w:szCs w:val="18"/>
                <w:highlight w:val="none"/>
              </w:rPr>
              <w:t>《多联式空调（热泵）</w:t>
            </w:r>
            <w:r>
              <w:rPr>
                <w:color w:val="auto"/>
                <w:spacing w:val="-50"/>
                <w:sz w:val="18"/>
                <w:szCs w:val="18"/>
                <w:highlight w:val="none"/>
              </w:rPr>
              <w:t xml:space="preserve"> </w:t>
            </w:r>
            <w:r>
              <w:rPr>
                <w:color w:val="auto"/>
                <w:spacing w:val="12"/>
                <w:sz w:val="18"/>
                <w:szCs w:val="18"/>
                <w:highlight w:val="none"/>
              </w:rPr>
              <w:t>机组能效限</w:t>
            </w:r>
            <w:r>
              <w:rPr>
                <w:color w:val="auto"/>
                <w:spacing w:val="-6"/>
                <w:sz w:val="18"/>
                <w:szCs w:val="18"/>
                <w:highlight w:val="none"/>
              </w:rPr>
              <w:t>定值及能源效率等级》（GB 21454）</w:t>
            </w:r>
          </w:p>
        </w:tc>
      </w:tr>
      <w:tr w14:paraId="01417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4" w:hRule="atLeast"/>
        </w:trPr>
        <w:tc>
          <w:tcPr>
            <w:tcW w:w="580" w:type="dxa"/>
            <w:vMerge w:val="continue"/>
            <w:tcBorders>
              <w:top w:val="nil"/>
              <w:bottom w:val="nil"/>
            </w:tcBorders>
            <w:vAlign w:val="top"/>
          </w:tcPr>
          <w:p w14:paraId="66287C25">
            <w:pPr>
              <w:rPr>
                <w:rFonts w:ascii="Arial"/>
                <w:color w:val="auto"/>
                <w:sz w:val="21"/>
                <w:highlight w:val="none"/>
              </w:rPr>
            </w:pPr>
          </w:p>
        </w:tc>
        <w:tc>
          <w:tcPr>
            <w:tcW w:w="1166" w:type="dxa"/>
            <w:vMerge w:val="continue"/>
            <w:tcBorders>
              <w:top w:val="nil"/>
              <w:bottom w:val="nil"/>
            </w:tcBorders>
            <w:vAlign w:val="top"/>
          </w:tcPr>
          <w:p w14:paraId="1259183C">
            <w:pPr>
              <w:rPr>
                <w:rFonts w:ascii="Arial"/>
                <w:color w:val="auto"/>
                <w:sz w:val="21"/>
                <w:highlight w:val="none"/>
              </w:rPr>
            </w:pPr>
          </w:p>
        </w:tc>
        <w:tc>
          <w:tcPr>
            <w:tcW w:w="1797" w:type="dxa"/>
            <w:vMerge w:val="continue"/>
            <w:tcBorders>
              <w:top w:val="nil"/>
            </w:tcBorders>
            <w:vAlign w:val="top"/>
          </w:tcPr>
          <w:p w14:paraId="6CE28BE9">
            <w:pPr>
              <w:rPr>
                <w:rFonts w:ascii="Arial"/>
                <w:color w:val="auto"/>
                <w:sz w:val="21"/>
                <w:highlight w:val="none"/>
              </w:rPr>
            </w:pPr>
          </w:p>
        </w:tc>
        <w:tc>
          <w:tcPr>
            <w:tcW w:w="1914" w:type="dxa"/>
            <w:vAlign w:val="top"/>
          </w:tcPr>
          <w:p w14:paraId="044EAC58">
            <w:pPr>
              <w:spacing w:line="346" w:lineRule="auto"/>
              <w:rPr>
                <w:rFonts w:ascii="Arial"/>
                <w:color w:val="auto"/>
                <w:sz w:val="21"/>
                <w:highlight w:val="none"/>
              </w:rPr>
            </w:pPr>
          </w:p>
          <w:p w14:paraId="66D99723">
            <w:pPr>
              <w:pStyle w:val="131"/>
              <w:spacing w:before="59" w:line="308" w:lineRule="auto"/>
              <w:ind w:left="88" w:right="57" w:hanging="61"/>
              <w:rPr>
                <w:color w:val="auto"/>
                <w:sz w:val="18"/>
                <w:szCs w:val="18"/>
                <w:highlight w:val="none"/>
              </w:rPr>
            </w:pPr>
            <w:r>
              <w:rPr>
                <w:color w:val="auto"/>
                <w:spacing w:val="-9"/>
                <w:sz w:val="18"/>
                <w:szCs w:val="18"/>
                <w:highlight w:val="none"/>
              </w:rPr>
              <w:t>单</w:t>
            </w:r>
            <w:r>
              <w:rPr>
                <w:color w:val="auto"/>
                <w:spacing w:val="-26"/>
                <w:sz w:val="18"/>
                <w:szCs w:val="18"/>
                <w:highlight w:val="none"/>
              </w:rPr>
              <w:t xml:space="preserve"> </w:t>
            </w:r>
            <w:r>
              <w:rPr>
                <w:color w:val="auto"/>
                <w:spacing w:val="-9"/>
                <w:sz w:val="18"/>
                <w:szCs w:val="18"/>
                <w:highlight w:val="none"/>
              </w:rPr>
              <w:t>元</w:t>
            </w:r>
            <w:r>
              <w:rPr>
                <w:color w:val="auto"/>
                <w:spacing w:val="-22"/>
                <w:sz w:val="18"/>
                <w:szCs w:val="18"/>
                <w:highlight w:val="none"/>
              </w:rPr>
              <w:t xml:space="preserve"> </w:t>
            </w:r>
            <w:r>
              <w:rPr>
                <w:color w:val="auto"/>
                <w:spacing w:val="-9"/>
                <w:sz w:val="18"/>
                <w:szCs w:val="18"/>
                <w:highlight w:val="none"/>
              </w:rPr>
              <w:t>式</w:t>
            </w:r>
            <w:r>
              <w:rPr>
                <w:color w:val="auto"/>
                <w:spacing w:val="-22"/>
                <w:sz w:val="18"/>
                <w:szCs w:val="18"/>
                <w:highlight w:val="none"/>
              </w:rPr>
              <w:t xml:space="preserve"> </w:t>
            </w:r>
            <w:r>
              <w:rPr>
                <w:color w:val="auto"/>
                <w:spacing w:val="-9"/>
                <w:sz w:val="18"/>
                <w:szCs w:val="18"/>
                <w:highlight w:val="none"/>
              </w:rPr>
              <w:t>空</w:t>
            </w:r>
            <w:r>
              <w:rPr>
                <w:color w:val="auto"/>
                <w:spacing w:val="-25"/>
                <w:sz w:val="18"/>
                <w:szCs w:val="18"/>
                <w:highlight w:val="none"/>
              </w:rPr>
              <w:t xml:space="preserve"> </w:t>
            </w:r>
            <w:r>
              <w:rPr>
                <w:color w:val="auto"/>
                <w:spacing w:val="-9"/>
                <w:sz w:val="18"/>
                <w:szCs w:val="18"/>
                <w:highlight w:val="none"/>
              </w:rPr>
              <w:t>气</w:t>
            </w:r>
            <w:r>
              <w:rPr>
                <w:color w:val="auto"/>
                <w:spacing w:val="-26"/>
                <w:sz w:val="18"/>
                <w:szCs w:val="18"/>
                <w:highlight w:val="none"/>
              </w:rPr>
              <w:t xml:space="preserve"> </w:t>
            </w:r>
            <w:r>
              <w:rPr>
                <w:color w:val="auto"/>
                <w:spacing w:val="-9"/>
                <w:sz w:val="18"/>
                <w:szCs w:val="18"/>
                <w:highlight w:val="none"/>
              </w:rPr>
              <w:t>调</w:t>
            </w:r>
            <w:r>
              <w:rPr>
                <w:color w:val="auto"/>
                <w:spacing w:val="-26"/>
                <w:sz w:val="18"/>
                <w:szCs w:val="18"/>
                <w:highlight w:val="none"/>
              </w:rPr>
              <w:t xml:space="preserve"> </w:t>
            </w:r>
            <w:r>
              <w:rPr>
                <w:color w:val="auto"/>
                <w:spacing w:val="-9"/>
                <w:sz w:val="18"/>
                <w:szCs w:val="18"/>
                <w:highlight w:val="none"/>
              </w:rPr>
              <w:t>节</w:t>
            </w:r>
            <w:r>
              <w:rPr>
                <w:color w:val="auto"/>
                <w:spacing w:val="-28"/>
                <w:sz w:val="18"/>
                <w:szCs w:val="18"/>
                <w:highlight w:val="none"/>
              </w:rPr>
              <w:t xml:space="preserve"> </w:t>
            </w:r>
            <w:r>
              <w:rPr>
                <w:color w:val="auto"/>
                <w:spacing w:val="-9"/>
                <w:sz w:val="18"/>
                <w:szCs w:val="18"/>
                <w:highlight w:val="none"/>
              </w:rPr>
              <w:t>机</w:t>
            </w:r>
            <w:r>
              <w:rPr>
                <w:color w:val="auto"/>
                <w:spacing w:val="-2"/>
                <w:sz w:val="18"/>
                <w:szCs w:val="18"/>
                <w:highlight w:val="none"/>
              </w:rPr>
              <w:t>(制冷量&gt;14000W)</w:t>
            </w:r>
          </w:p>
        </w:tc>
        <w:tc>
          <w:tcPr>
            <w:tcW w:w="2976" w:type="dxa"/>
            <w:vAlign w:val="top"/>
          </w:tcPr>
          <w:p w14:paraId="6CBFC8D7">
            <w:pPr>
              <w:pStyle w:val="131"/>
              <w:spacing w:before="98" w:line="290" w:lineRule="auto"/>
              <w:ind w:left="23" w:right="30" w:firstLine="6"/>
              <w:jc w:val="both"/>
              <w:rPr>
                <w:color w:val="auto"/>
                <w:sz w:val="18"/>
                <w:szCs w:val="18"/>
                <w:highlight w:val="none"/>
              </w:rPr>
            </w:pPr>
            <w:r>
              <w:rPr>
                <w:color w:val="auto"/>
                <w:spacing w:val="23"/>
                <w:sz w:val="18"/>
                <w:szCs w:val="18"/>
                <w:highlight w:val="none"/>
              </w:rPr>
              <w:t>《</w:t>
            </w:r>
            <w:r>
              <w:rPr>
                <w:color w:val="auto"/>
                <w:spacing w:val="-30"/>
                <w:sz w:val="18"/>
                <w:szCs w:val="18"/>
                <w:highlight w:val="none"/>
              </w:rPr>
              <w:t xml:space="preserve"> </w:t>
            </w:r>
            <w:r>
              <w:rPr>
                <w:color w:val="auto"/>
                <w:spacing w:val="23"/>
                <w:sz w:val="18"/>
                <w:szCs w:val="18"/>
                <w:highlight w:val="none"/>
              </w:rPr>
              <w:t>单元式空气调节机能效限定值</w:t>
            </w:r>
            <w:r>
              <w:rPr>
                <w:color w:val="auto"/>
                <w:spacing w:val="4"/>
                <w:sz w:val="18"/>
                <w:szCs w:val="18"/>
                <w:highlight w:val="none"/>
              </w:rPr>
              <w:t>及能效等级》（</w:t>
            </w:r>
            <w:r>
              <w:rPr>
                <w:color w:val="auto"/>
                <w:spacing w:val="-34"/>
                <w:sz w:val="18"/>
                <w:szCs w:val="18"/>
                <w:highlight w:val="none"/>
              </w:rPr>
              <w:t xml:space="preserve"> </w:t>
            </w:r>
            <w:r>
              <w:rPr>
                <w:color w:val="auto"/>
                <w:sz w:val="18"/>
                <w:szCs w:val="18"/>
                <w:highlight w:val="none"/>
              </w:rPr>
              <w:t>GB</w:t>
            </w:r>
            <w:r>
              <w:rPr>
                <w:color w:val="auto"/>
                <w:spacing w:val="52"/>
                <w:sz w:val="18"/>
                <w:szCs w:val="18"/>
                <w:highlight w:val="none"/>
              </w:rPr>
              <w:t xml:space="preserve"> </w:t>
            </w:r>
            <w:r>
              <w:rPr>
                <w:color w:val="auto"/>
                <w:spacing w:val="4"/>
                <w:sz w:val="18"/>
                <w:szCs w:val="18"/>
                <w:highlight w:val="none"/>
              </w:rPr>
              <w:t>19576</w:t>
            </w:r>
            <w:r>
              <w:rPr>
                <w:color w:val="auto"/>
                <w:spacing w:val="-46"/>
                <w:sz w:val="18"/>
                <w:szCs w:val="18"/>
                <w:highlight w:val="none"/>
              </w:rPr>
              <w:t xml:space="preserve"> </w:t>
            </w:r>
            <w:r>
              <w:rPr>
                <w:color w:val="auto"/>
                <w:spacing w:val="4"/>
                <w:sz w:val="18"/>
                <w:szCs w:val="18"/>
                <w:highlight w:val="none"/>
              </w:rPr>
              <w:t>）《风管</w:t>
            </w:r>
            <w:r>
              <w:rPr>
                <w:color w:val="auto"/>
                <w:spacing w:val="27"/>
                <w:sz w:val="18"/>
                <w:szCs w:val="18"/>
                <w:highlight w:val="none"/>
              </w:rPr>
              <w:t>送风式空调机组能效限定值及能</w:t>
            </w:r>
            <w:r>
              <w:rPr>
                <w:color w:val="auto"/>
                <w:spacing w:val="5"/>
                <w:sz w:val="18"/>
                <w:szCs w:val="18"/>
                <w:highlight w:val="none"/>
              </w:rPr>
              <w:t>效等级》（</w:t>
            </w:r>
            <w:r>
              <w:rPr>
                <w:color w:val="auto"/>
                <w:sz w:val="18"/>
                <w:szCs w:val="18"/>
                <w:highlight w:val="none"/>
              </w:rPr>
              <w:t>GB</w:t>
            </w:r>
            <w:r>
              <w:rPr>
                <w:color w:val="auto"/>
                <w:spacing w:val="5"/>
                <w:sz w:val="18"/>
                <w:szCs w:val="18"/>
                <w:highlight w:val="none"/>
              </w:rPr>
              <w:t xml:space="preserve"> 37479）</w:t>
            </w:r>
          </w:p>
        </w:tc>
      </w:tr>
      <w:tr w14:paraId="1B51C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580" w:type="dxa"/>
            <w:vMerge w:val="continue"/>
            <w:tcBorders>
              <w:top w:val="nil"/>
              <w:bottom w:val="nil"/>
            </w:tcBorders>
            <w:vAlign w:val="top"/>
          </w:tcPr>
          <w:p w14:paraId="1F47A72F">
            <w:pPr>
              <w:rPr>
                <w:rFonts w:ascii="Arial"/>
                <w:color w:val="auto"/>
                <w:sz w:val="21"/>
                <w:highlight w:val="none"/>
              </w:rPr>
            </w:pPr>
          </w:p>
        </w:tc>
        <w:tc>
          <w:tcPr>
            <w:tcW w:w="1166" w:type="dxa"/>
            <w:vMerge w:val="continue"/>
            <w:tcBorders>
              <w:top w:val="nil"/>
              <w:bottom w:val="nil"/>
            </w:tcBorders>
            <w:vAlign w:val="top"/>
          </w:tcPr>
          <w:p w14:paraId="034B10FA">
            <w:pPr>
              <w:rPr>
                <w:rFonts w:ascii="Arial"/>
                <w:color w:val="auto"/>
                <w:sz w:val="21"/>
                <w:highlight w:val="none"/>
              </w:rPr>
            </w:pPr>
          </w:p>
        </w:tc>
        <w:tc>
          <w:tcPr>
            <w:tcW w:w="1797" w:type="dxa"/>
            <w:vAlign w:val="top"/>
          </w:tcPr>
          <w:p w14:paraId="22BAE2B7">
            <w:pPr>
              <w:pStyle w:val="131"/>
              <w:spacing w:before="172" w:line="306" w:lineRule="auto"/>
              <w:ind w:left="21" w:right="14" w:firstLine="3"/>
              <w:rPr>
                <w:color w:val="auto"/>
                <w:sz w:val="18"/>
                <w:szCs w:val="18"/>
                <w:highlight w:val="none"/>
              </w:rPr>
            </w:pPr>
            <w:r>
              <w:rPr>
                <w:color w:val="auto"/>
                <w:spacing w:val="4"/>
                <w:sz w:val="18"/>
                <w:szCs w:val="18"/>
                <w:highlight w:val="none"/>
              </w:rPr>
              <w:t>★A02052309</w:t>
            </w:r>
            <w:r>
              <w:rPr>
                <w:color w:val="auto"/>
                <w:spacing w:val="79"/>
                <w:sz w:val="18"/>
                <w:szCs w:val="18"/>
                <w:highlight w:val="none"/>
              </w:rPr>
              <w:t xml:space="preserve"> </w:t>
            </w:r>
            <w:r>
              <w:rPr>
                <w:color w:val="auto"/>
                <w:spacing w:val="4"/>
                <w:sz w:val="18"/>
                <w:szCs w:val="18"/>
                <w:highlight w:val="none"/>
              </w:rPr>
              <w:t>专用制冷、空调设备</w:t>
            </w:r>
          </w:p>
        </w:tc>
        <w:tc>
          <w:tcPr>
            <w:tcW w:w="1914" w:type="dxa"/>
            <w:vAlign w:val="top"/>
          </w:tcPr>
          <w:p w14:paraId="19E1B209">
            <w:pPr>
              <w:spacing w:line="254" w:lineRule="auto"/>
              <w:rPr>
                <w:rFonts w:ascii="Arial"/>
                <w:color w:val="auto"/>
                <w:sz w:val="21"/>
                <w:highlight w:val="none"/>
              </w:rPr>
            </w:pPr>
          </w:p>
          <w:p w14:paraId="7425BABB">
            <w:pPr>
              <w:pStyle w:val="131"/>
              <w:spacing w:before="59" w:line="219" w:lineRule="auto"/>
              <w:ind w:left="20"/>
              <w:rPr>
                <w:color w:val="auto"/>
                <w:sz w:val="18"/>
                <w:szCs w:val="18"/>
                <w:highlight w:val="none"/>
              </w:rPr>
            </w:pPr>
            <w:r>
              <w:rPr>
                <w:color w:val="auto"/>
                <w:spacing w:val="3"/>
                <w:sz w:val="18"/>
                <w:szCs w:val="18"/>
                <w:highlight w:val="none"/>
              </w:rPr>
              <w:t>机房空调</w:t>
            </w:r>
          </w:p>
        </w:tc>
        <w:tc>
          <w:tcPr>
            <w:tcW w:w="2976" w:type="dxa"/>
            <w:vAlign w:val="top"/>
          </w:tcPr>
          <w:p w14:paraId="480C56ED">
            <w:pPr>
              <w:pStyle w:val="131"/>
              <w:spacing w:before="172" w:line="305" w:lineRule="auto"/>
              <w:ind w:left="24" w:right="41" w:firstLine="8"/>
              <w:rPr>
                <w:color w:val="auto"/>
                <w:sz w:val="18"/>
                <w:szCs w:val="18"/>
                <w:highlight w:val="none"/>
              </w:rPr>
            </w:pPr>
            <w:r>
              <w:rPr>
                <w:color w:val="auto"/>
                <w:spacing w:val="22"/>
                <w:sz w:val="18"/>
                <w:szCs w:val="18"/>
                <w:highlight w:val="none"/>
              </w:rPr>
              <w:t>《</w:t>
            </w:r>
            <w:r>
              <w:rPr>
                <w:color w:val="auto"/>
                <w:spacing w:val="-23"/>
                <w:sz w:val="18"/>
                <w:szCs w:val="18"/>
                <w:highlight w:val="none"/>
              </w:rPr>
              <w:t xml:space="preserve"> </w:t>
            </w:r>
            <w:r>
              <w:rPr>
                <w:color w:val="auto"/>
                <w:spacing w:val="22"/>
                <w:sz w:val="18"/>
                <w:szCs w:val="18"/>
                <w:highlight w:val="none"/>
              </w:rPr>
              <w:t>单元式空气调节机能效限定值</w:t>
            </w:r>
            <w:r>
              <w:rPr>
                <w:color w:val="auto"/>
                <w:spacing w:val="2"/>
                <w:sz w:val="18"/>
                <w:szCs w:val="18"/>
                <w:highlight w:val="none"/>
              </w:rPr>
              <w:t>及能效等级》（</w:t>
            </w:r>
            <w:r>
              <w:rPr>
                <w:color w:val="auto"/>
                <w:sz w:val="18"/>
                <w:szCs w:val="18"/>
                <w:highlight w:val="none"/>
              </w:rPr>
              <w:t>GB</w:t>
            </w:r>
            <w:r>
              <w:rPr>
                <w:color w:val="auto"/>
                <w:spacing w:val="61"/>
                <w:sz w:val="18"/>
                <w:szCs w:val="18"/>
                <w:highlight w:val="none"/>
              </w:rPr>
              <w:t xml:space="preserve"> </w:t>
            </w:r>
            <w:r>
              <w:rPr>
                <w:color w:val="auto"/>
                <w:spacing w:val="2"/>
                <w:sz w:val="18"/>
                <w:szCs w:val="18"/>
                <w:highlight w:val="none"/>
              </w:rPr>
              <w:t>19576）</w:t>
            </w:r>
          </w:p>
        </w:tc>
      </w:tr>
      <w:tr w14:paraId="491F7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580" w:type="dxa"/>
            <w:vMerge w:val="continue"/>
            <w:tcBorders>
              <w:top w:val="nil"/>
            </w:tcBorders>
            <w:vAlign w:val="top"/>
          </w:tcPr>
          <w:p w14:paraId="76BF4DA7">
            <w:pPr>
              <w:rPr>
                <w:rFonts w:ascii="Arial"/>
                <w:color w:val="auto"/>
                <w:sz w:val="21"/>
                <w:highlight w:val="none"/>
              </w:rPr>
            </w:pPr>
          </w:p>
        </w:tc>
        <w:tc>
          <w:tcPr>
            <w:tcW w:w="1166" w:type="dxa"/>
            <w:vMerge w:val="continue"/>
            <w:tcBorders>
              <w:top w:val="nil"/>
            </w:tcBorders>
            <w:vAlign w:val="top"/>
          </w:tcPr>
          <w:p w14:paraId="4CDFB860">
            <w:pPr>
              <w:rPr>
                <w:rFonts w:ascii="Arial"/>
                <w:color w:val="auto"/>
                <w:sz w:val="21"/>
                <w:highlight w:val="none"/>
              </w:rPr>
            </w:pPr>
          </w:p>
        </w:tc>
        <w:tc>
          <w:tcPr>
            <w:tcW w:w="1797" w:type="dxa"/>
            <w:vAlign w:val="top"/>
          </w:tcPr>
          <w:p w14:paraId="353DF80D">
            <w:pPr>
              <w:spacing w:line="275" w:lineRule="auto"/>
              <w:rPr>
                <w:rFonts w:ascii="Arial"/>
                <w:color w:val="auto"/>
                <w:sz w:val="21"/>
                <w:highlight w:val="none"/>
              </w:rPr>
            </w:pPr>
          </w:p>
          <w:p w14:paraId="63B68C2A">
            <w:pPr>
              <w:spacing w:line="275" w:lineRule="auto"/>
              <w:rPr>
                <w:rFonts w:ascii="Arial"/>
                <w:color w:val="auto"/>
                <w:sz w:val="21"/>
                <w:highlight w:val="none"/>
              </w:rPr>
            </w:pPr>
          </w:p>
          <w:p w14:paraId="493485E7">
            <w:pPr>
              <w:pStyle w:val="131"/>
              <w:spacing w:before="59" w:line="308" w:lineRule="auto"/>
              <w:ind w:left="30" w:right="113" w:hanging="23"/>
              <w:rPr>
                <w:color w:val="auto"/>
                <w:sz w:val="18"/>
                <w:szCs w:val="18"/>
                <w:highlight w:val="none"/>
              </w:rPr>
            </w:pPr>
            <w:r>
              <w:rPr>
                <w:color w:val="auto"/>
                <w:spacing w:val="2"/>
                <w:sz w:val="18"/>
                <w:szCs w:val="18"/>
                <w:highlight w:val="none"/>
              </w:rPr>
              <w:t>A02052399</w:t>
            </w:r>
            <w:r>
              <w:rPr>
                <w:color w:val="auto"/>
                <w:spacing w:val="24"/>
                <w:sz w:val="18"/>
                <w:szCs w:val="18"/>
                <w:highlight w:val="none"/>
              </w:rPr>
              <w:t xml:space="preserve"> </w:t>
            </w:r>
            <w:r>
              <w:rPr>
                <w:color w:val="auto"/>
                <w:spacing w:val="2"/>
                <w:sz w:val="18"/>
                <w:szCs w:val="18"/>
                <w:highlight w:val="none"/>
              </w:rPr>
              <w:t>其他制冷</w:t>
            </w:r>
            <w:r>
              <w:rPr>
                <w:color w:val="auto"/>
                <w:sz w:val="18"/>
                <w:szCs w:val="18"/>
                <w:highlight w:val="none"/>
              </w:rPr>
              <w:t>空调设备</w:t>
            </w:r>
          </w:p>
        </w:tc>
        <w:tc>
          <w:tcPr>
            <w:tcW w:w="1914" w:type="dxa"/>
            <w:vAlign w:val="top"/>
          </w:tcPr>
          <w:p w14:paraId="27F177B7">
            <w:pPr>
              <w:spacing w:line="353" w:lineRule="auto"/>
              <w:rPr>
                <w:rFonts w:ascii="Arial"/>
                <w:color w:val="auto"/>
                <w:sz w:val="21"/>
                <w:highlight w:val="none"/>
              </w:rPr>
            </w:pPr>
          </w:p>
          <w:p w14:paraId="0E252E48">
            <w:pPr>
              <w:spacing w:line="354" w:lineRule="auto"/>
              <w:rPr>
                <w:rFonts w:ascii="Arial"/>
                <w:color w:val="auto"/>
                <w:sz w:val="21"/>
                <w:highlight w:val="none"/>
              </w:rPr>
            </w:pPr>
          </w:p>
          <w:p w14:paraId="1A7CC6D8">
            <w:pPr>
              <w:pStyle w:val="131"/>
              <w:spacing w:before="59" w:line="222" w:lineRule="auto"/>
              <w:ind w:left="24"/>
              <w:rPr>
                <w:color w:val="auto"/>
                <w:sz w:val="18"/>
                <w:szCs w:val="18"/>
                <w:highlight w:val="none"/>
              </w:rPr>
            </w:pPr>
            <w:r>
              <w:rPr>
                <w:color w:val="auto"/>
                <w:spacing w:val="1"/>
                <w:sz w:val="18"/>
                <w:szCs w:val="18"/>
                <w:highlight w:val="none"/>
              </w:rPr>
              <w:t>冷却塔</w:t>
            </w:r>
          </w:p>
        </w:tc>
        <w:tc>
          <w:tcPr>
            <w:tcW w:w="2976" w:type="dxa"/>
            <w:vAlign w:val="top"/>
          </w:tcPr>
          <w:p w14:paraId="7107C9FB">
            <w:pPr>
              <w:spacing w:line="250" w:lineRule="auto"/>
              <w:rPr>
                <w:rFonts w:ascii="Arial"/>
                <w:color w:val="auto"/>
                <w:sz w:val="21"/>
                <w:highlight w:val="none"/>
              </w:rPr>
            </w:pPr>
          </w:p>
          <w:p w14:paraId="69FCE0AE">
            <w:pPr>
              <w:pStyle w:val="131"/>
              <w:spacing w:before="58" w:line="305" w:lineRule="auto"/>
              <w:ind w:left="33"/>
              <w:jc w:val="both"/>
              <w:rPr>
                <w:color w:val="auto"/>
                <w:sz w:val="18"/>
                <w:szCs w:val="18"/>
                <w:highlight w:val="none"/>
              </w:rPr>
            </w:pPr>
            <w:r>
              <w:rPr>
                <w:color w:val="auto"/>
                <w:spacing w:val="-2"/>
                <w:sz w:val="18"/>
                <w:szCs w:val="18"/>
                <w:highlight w:val="none"/>
              </w:rPr>
              <w:t>《机械通风冷却塔 第 1 部分：中 小</w:t>
            </w:r>
            <w:r>
              <w:rPr>
                <w:color w:val="auto"/>
                <w:spacing w:val="2"/>
                <w:sz w:val="18"/>
                <w:szCs w:val="18"/>
                <w:highlight w:val="none"/>
              </w:rPr>
              <w:t>型开式冷却塔》（</w:t>
            </w:r>
            <w:r>
              <w:rPr>
                <w:color w:val="auto"/>
                <w:spacing w:val="-41"/>
                <w:sz w:val="18"/>
                <w:szCs w:val="18"/>
                <w:highlight w:val="none"/>
              </w:rPr>
              <w:t xml:space="preserve"> </w:t>
            </w:r>
            <w:r>
              <w:rPr>
                <w:color w:val="auto"/>
                <w:sz w:val="18"/>
                <w:szCs w:val="18"/>
                <w:highlight w:val="none"/>
              </w:rPr>
              <w:t>GB</w:t>
            </w:r>
            <w:r>
              <w:rPr>
                <w:color w:val="auto"/>
                <w:spacing w:val="2"/>
                <w:sz w:val="18"/>
                <w:szCs w:val="18"/>
                <w:highlight w:val="none"/>
              </w:rPr>
              <w:t xml:space="preserve"> /T</w:t>
            </w:r>
            <w:r>
              <w:rPr>
                <w:color w:val="auto"/>
                <w:spacing w:val="25"/>
                <w:w w:val="101"/>
                <w:sz w:val="18"/>
                <w:szCs w:val="18"/>
                <w:highlight w:val="none"/>
              </w:rPr>
              <w:t xml:space="preserve"> </w:t>
            </w:r>
            <w:r>
              <w:rPr>
                <w:color w:val="auto"/>
                <w:spacing w:val="2"/>
                <w:sz w:val="18"/>
                <w:szCs w:val="18"/>
                <w:highlight w:val="none"/>
              </w:rPr>
              <w:t>7190.1</w:t>
            </w:r>
            <w:r>
              <w:rPr>
                <w:color w:val="auto"/>
                <w:spacing w:val="-26"/>
                <w:sz w:val="18"/>
                <w:szCs w:val="18"/>
                <w:highlight w:val="none"/>
              </w:rPr>
              <w:t>）；</w:t>
            </w:r>
            <w:r>
              <w:rPr>
                <w:color w:val="auto"/>
                <w:sz w:val="18"/>
                <w:szCs w:val="18"/>
                <w:highlight w:val="none"/>
              </w:rPr>
              <w:t xml:space="preserve"> </w:t>
            </w:r>
            <w:r>
              <w:rPr>
                <w:color w:val="auto"/>
                <w:spacing w:val="-3"/>
                <w:sz w:val="18"/>
                <w:szCs w:val="18"/>
                <w:highlight w:val="none"/>
              </w:rPr>
              <w:t>《机械通风冷却塔 第 2 部分：大 型</w:t>
            </w:r>
            <w:r>
              <w:rPr>
                <w:color w:val="auto"/>
                <w:spacing w:val="1"/>
                <w:sz w:val="18"/>
                <w:szCs w:val="18"/>
                <w:highlight w:val="none"/>
              </w:rPr>
              <w:t>开式冷却塔》（</w:t>
            </w:r>
            <w:r>
              <w:rPr>
                <w:color w:val="auto"/>
                <w:sz w:val="18"/>
                <w:szCs w:val="18"/>
                <w:highlight w:val="none"/>
              </w:rPr>
              <w:t>GB</w:t>
            </w:r>
            <w:r>
              <w:rPr>
                <w:color w:val="auto"/>
                <w:spacing w:val="1"/>
                <w:sz w:val="18"/>
                <w:szCs w:val="18"/>
                <w:highlight w:val="none"/>
              </w:rPr>
              <w:t xml:space="preserve"> /T</w:t>
            </w:r>
            <w:r>
              <w:rPr>
                <w:color w:val="auto"/>
                <w:spacing w:val="32"/>
                <w:sz w:val="18"/>
                <w:szCs w:val="18"/>
                <w:highlight w:val="none"/>
              </w:rPr>
              <w:t xml:space="preserve"> </w:t>
            </w:r>
            <w:r>
              <w:rPr>
                <w:color w:val="auto"/>
                <w:spacing w:val="1"/>
                <w:sz w:val="18"/>
                <w:szCs w:val="18"/>
                <w:highlight w:val="none"/>
              </w:rPr>
              <w:t>7190.2）</w:t>
            </w:r>
          </w:p>
        </w:tc>
      </w:tr>
      <w:tr w14:paraId="1E8F4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80" w:type="dxa"/>
            <w:vAlign w:val="top"/>
          </w:tcPr>
          <w:p w14:paraId="2AF88FDC">
            <w:pPr>
              <w:spacing w:line="252" w:lineRule="auto"/>
              <w:rPr>
                <w:rFonts w:ascii="Arial"/>
                <w:color w:val="auto"/>
                <w:sz w:val="21"/>
                <w:highlight w:val="none"/>
              </w:rPr>
            </w:pPr>
          </w:p>
          <w:p w14:paraId="0C022967">
            <w:pPr>
              <w:pStyle w:val="131"/>
              <w:spacing w:before="59"/>
              <w:ind w:left="258"/>
              <w:rPr>
                <w:color w:val="auto"/>
                <w:sz w:val="18"/>
                <w:szCs w:val="18"/>
                <w:highlight w:val="none"/>
              </w:rPr>
            </w:pPr>
            <w:r>
              <w:rPr>
                <w:color w:val="auto"/>
                <w:sz w:val="18"/>
                <w:szCs w:val="18"/>
                <w:highlight w:val="none"/>
              </w:rPr>
              <w:t>7</w:t>
            </w:r>
          </w:p>
        </w:tc>
        <w:tc>
          <w:tcPr>
            <w:tcW w:w="1166" w:type="dxa"/>
            <w:vAlign w:val="top"/>
          </w:tcPr>
          <w:p w14:paraId="5D5D8F40">
            <w:pPr>
              <w:pStyle w:val="131"/>
              <w:spacing w:before="288" w:line="219" w:lineRule="auto"/>
              <w:ind w:left="9"/>
              <w:rPr>
                <w:color w:val="auto"/>
                <w:sz w:val="18"/>
                <w:szCs w:val="18"/>
                <w:highlight w:val="none"/>
              </w:rPr>
            </w:pPr>
            <w:r>
              <w:rPr>
                <w:color w:val="auto"/>
                <w:sz w:val="18"/>
                <w:szCs w:val="18"/>
                <w:highlight w:val="none"/>
              </w:rPr>
              <w:t>A020601</w:t>
            </w:r>
            <w:r>
              <w:rPr>
                <w:color w:val="auto"/>
                <w:spacing w:val="17"/>
                <w:sz w:val="18"/>
                <w:szCs w:val="18"/>
                <w:highlight w:val="none"/>
              </w:rPr>
              <w:t xml:space="preserve"> </w:t>
            </w:r>
            <w:r>
              <w:rPr>
                <w:color w:val="auto"/>
                <w:sz w:val="18"/>
                <w:szCs w:val="18"/>
                <w:highlight w:val="none"/>
              </w:rPr>
              <w:t>电机</w:t>
            </w:r>
          </w:p>
        </w:tc>
        <w:tc>
          <w:tcPr>
            <w:tcW w:w="1797" w:type="dxa"/>
            <w:vAlign w:val="top"/>
          </w:tcPr>
          <w:p w14:paraId="344FF6EF">
            <w:pPr>
              <w:rPr>
                <w:rFonts w:ascii="Arial"/>
                <w:color w:val="auto"/>
                <w:sz w:val="21"/>
                <w:highlight w:val="none"/>
              </w:rPr>
            </w:pPr>
          </w:p>
        </w:tc>
        <w:tc>
          <w:tcPr>
            <w:tcW w:w="1914" w:type="dxa"/>
            <w:vAlign w:val="top"/>
          </w:tcPr>
          <w:p w14:paraId="6AC59BC9">
            <w:pPr>
              <w:rPr>
                <w:rFonts w:ascii="Arial"/>
                <w:color w:val="auto"/>
                <w:sz w:val="21"/>
                <w:highlight w:val="none"/>
              </w:rPr>
            </w:pPr>
          </w:p>
        </w:tc>
        <w:tc>
          <w:tcPr>
            <w:tcW w:w="2976" w:type="dxa"/>
            <w:vAlign w:val="top"/>
          </w:tcPr>
          <w:p w14:paraId="40A1A190">
            <w:pPr>
              <w:pStyle w:val="131"/>
              <w:spacing w:before="143" w:line="297" w:lineRule="auto"/>
              <w:ind w:left="33" w:right="47" w:hanging="3"/>
              <w:rPr>
                <w:color w:val="auto"/>
                <w:sz w:val="18"/>
                <w:szCs w:val="18"/>
                <w:highlight w:val="none"/>
              </w:rPr>
            </w:pPr>
            <w:r>
              <w:rPr>
                <w:color w:val="auto"/>
                <w:spacing w:val="21"/>
                <w:sz w:val="18"/>
                <w:szCs w:val="18"/>
                <w:highlight w:val="none"/>
              </w:rPr>
              <w:t>《</w:t>
            </w:r>
            <w:r>
              <w:rPr>
                <w:color w:val="auto"/>
                <w:spacing w:val="-12"/>
                <w:sz w:val="18"/>
                <w:szCs w:val="18"/>
                <w:highlight w:val="none"/>
              </w:rPr>
              <w:t xml:space="preserve"> </w:t>
            </w:r>
            <w:r>
              <w:rPr>
                <w:color w:val="auto"/>
                <w:spacing w:val="21"/>
                <w:sz w:val="18"/>
                <w:szCs w:val="18"/>
                <w:highlight w:val="none"/>
              </w:rPr>
              <w:t>中小型三相异步电动机能效限</w:t>
            </w:r>
            <w:r>
              <w:rPr>
                <w:color w:val="auto"/>
                <w:spacing w:val="2"/>
                <w:sz w:val="18"/>
                <w:szCs w:val="18"/>
                <w:highlight w:val="none"/>
              </w:rPr>
              <w:t>定值及能效等级》（</w:t>
            </w:r>
            <w:r>
              <w:rPr>
                <w:color w:val="auto"/>
                <w:sz w:val="18"/>
                <w:szCs w:val="18"/>
                <w:highlight w:val="none"/>
              </w:rPr>
              <w:t>GB</w:t>
            </w:r>
            <w:r>
              <w:rPr>
                <w:color w:val="auto"/>
                <w:spacing w:val="66"/>
                <w:sz w:val="18"/>
                <w:szCs w:val="18"/>
                <w:highlight w:val="none"/>
              </w:rPr>
              <w:t xml:space="preserve"> </w:t>
            </w:r>
            <w:r>
              <w:rPr>
                <w:color w:val="auto"/>
                <w:spacing w:val="2"/>
                <w:sz w:val="18"/>
                <w:szCs w:val="18"/>
                <w:highlight w:val="none"/>
              </w:rPr>
              <w:t>18613）</w:t>
            </w:r>
          </w:p>
        </w:tc>
      </w:tr>
      <w:tr w14:paraId="16B85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580" w:type="dxa"/>
            <w:vAlign w:val="top"/>
          </w:tcPr>
          <w:p w14:paraId="20F020E8">
            <w:pPr>
              <w:pStyle w:val="131"/>
              <w:spacing w:before="291"/>
              <w:ind w:left="249"/>
              <w:rPr>
                <w:color w:val="auto"/>
                <w:sz w:val="18"/>
                <w:szCs w:val="18"/>
                <w:highlight w:val="none"/>
              </w:rPr>
            </w:pPr>
            <w:r>
              <w:rPr>
                <w:color w:val="auto"/>
                <w:sz w:val="18"/>
                <w:szCs w:val="18"/>
                <w:highlight w:val="none"/>
              </w:rPr>
              <w:t>8</w:t>
            </w:r>
          </w:p>
        </w:tc>
        <w:tc>
          <w:tcPr>
            <w:tcW w:w="1166" w:type="dxa"/>
            <w:vAlign w:val="top"/>
          </w:tcPr>
          <w:p w14:paraId="2D73AEBF">
            <w:pPr>
              <w:pStyle w:val="131"/>
              <w:spacing w:before="123" w:line="286" w:lineRule="auto"/>
              <w:ind w:left="19" w:right="10" w:hanging="10"/>
              <w:rPr>
                <w:color w:val="auto"/>
                <w:sz w:val="18"/>
                <w:szCs w:val="18"/>
                <w:highlight w:val="none"/>
              </w:rPr>
            </w:pPr>
            <w:r>
              <w:rPr>
                <w:color w:val="auto"/>
                <w:spacing w:val="6"/>
                <w:sz w:val="18"/>
                <w:szCs w:val="18"/>
                <w:highlight w:val="none"/>
              </w:rPr>
              <w:t>A020602 变压</w:t>
            </w:r>
            <w:r>
              <w:rPr>
                <w:color w:val="auto"/>
                <w:sz w:val="18"/>
                <w:szCs w:val="18"/>
                <w:highlight w:val="none"/>
              </w:rPr>
              <w:t>器</w:t>
            </w:r>
          </w:p>
        </w:tc>
        <w:tc>
          <w:tcPr>
            <w:tcW w:w="1797" w:type="dxa"/>
            <w:vAlign w:val="top"/>
          </w:tcPr>
          <w:p w14:paraId="3F8F28D1">
            <w:pPr>
              <w:pStyle w:val="131"/>
              <w:spacing w:before="270" w:line="221" w:lineRule="auto"/>
              <w:ind w:left="17"/>
              <w:rPr>
                <w:color w:val="auto"/>
                <w:sz w:val="18"/>
                <w:szCs w:val="18"/>
                <w:highlight w:val="none"/>
              </w:rPr>
            </w:pPr>
            <w:r>
              <w:rPr>
                <w:color w:val="auto"/>
                <w:spacing w:val="4"/>
                <w:sz w:val="18"/>
                <w:szCs w:val="18"/>
                <w:highlight w:val="none"/>
              </w:rPr>
              <w:t>配电变压器</w:t>
            </w:r>
          </w:p>
        </w:tc>
        <w:tc>
          <w:tcPr>
            <w:tcW w:w="1914" w:type="dxa"/>
            <w:vAlign w:val="top"/>
          </w:tcPr>
          <w:p w14:paraId="456A303A">
            <w:pPr>
              <w:rPr>
                <w:rFonts w:ascii="Arial"/>
                <w:color w:val="auto"/>
                <w:sz w:val="21"/>
                <w:highlight w:val="none"/>
              </w:rPr>
            </w:pPr>
          </w:p>
        </w:tc>
        <w:tc>
          <w:tcPr>
            <w:tcW w:w="2976" w:type="dxa"/>
            <w:vAlign w:val="top"/>
          </w:tcPr>
          <w:p w14:paraId="6C0F85C7">
            <w:pPr>
              <w:pStyle w:val="131"/>
              <w:spacing w:before="124" w:line="285" w:lineRule="auto"/>
              <w:ind w:left="39" w:right="44" w:hanging="6"/>
              <w:rPr>
                <w:color w:val="auto"/>
                <w:sz w:val="18"/>
                <w:szCs w:val="18"/>
                <w:highlight w:val="none"/>
              </w:rPr>
            </w:pPr>
            <w:r>
              <w:rPr>
                <w:color w:val="auto"/>
                <w:spacing w:val="22"/>
                <w:sz w:val="18"/>
                <w:szCs w:val="18"/>
                <w:highlight w:val="none"/>
              </w:rPr>
              <w:t>《</w:t>
            </w:r>
            <w:r>
              <w:rPr>
                <w:color w:val="auto"/>
                <w:spacing w:val="-26"/>
                <w:sz w:val="18"/>
                <w:szCs w:val="18"/>
                <w:highlight w:val="none"/>
              </w:rPr>
              <w:t xml:space="preserve"> </w:t>
            </w:r>
            <w:r>
              <w:rPr>
                <w:color w:val="auto"/>
                <w:spacing w:val="22"/>
                <w:sz w:val="18"/>
                <w:szCs w:val="18"/>
                <w:highlight w:val="none"/>
              </w:rPr>
              <w:t>三相配电变压器能效限定值及</w:t>
            </w:r>
            <w:r>
              <w:rPr>
                <w:color w:val="auto"/>
                <w:spacing w:val="3"/>
                <w:sz w:val="18"/>
                <w:szCs w:val="18"/>
                <w:highlight w:val="none"/>
              </w:rPr>
              <w:t>能效等级》（</w:t>
            </w:r>
            <w:r>
              <w:rPr>
                <w:color w:val="auto"/>
                <w:sz w:val="18"/>
                <w:szCs w:val="18"/>
                <w:highlight w:val="none"/>
              </w:rPr>
              <w:t>GB</w:t>
            </w:r>
            <w:r>
              <w:rPr>
                <w:color w:val="auto"/>
                <w:spacing w:val="3"/>
                <w:sz w:val="18"/>
                <w:szCs w:val="18"/>
                <w:highlight w:val="none"/>
              </w:rPr>
              <w:t xml:space="preserve"> 20052）</w:t>
            </w:r>
          </w:p>
        </w:tc>
      </w:tr>
      <w:tr w14:paraId="7F1A3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80" w:type="dxa"/>
            <w:vAlign w:val="top"/>
          </w:tcPr>
          <w:p w14:paraId="37CBD1F1">
            <w:pPr>
              <w:spacing w:line="330" w:lineRule="auto"/>
              <w:rPr>
                <w:rFonts w:ascii="Arial"/>
                <w:color w:val="auto"/>
                <w:sz w:val="21"/>
                <w:highlight w:val="none"/>
              </w:rPr>
            </w:pPr>
          </w:p>
          <w:p w14:paraId="70219F60">
            <w:pPr>
              <w:pStyle w:val="131"/>
              <w:spacing w:before="58"/>
              <w:ind w:left="249"/>
              <w:rPr>
                <w:color w:val="auto"/>
                <w:sz w:val="18"/>
                <w:szCs w:val="18"/>
                <w:highlight w:val="none"/>
              </w:rPr>
            </w:pPr>
            <w:r>
              <w:rPr>
                <w:color w:val="auto"/>
                <w:sz w:val="18"/>
                <w:szCs w:val="18"/>
                <w:highlight w:val="none"/>
              </w:rPr>
              <w:t>9</w:t>
            </w:r>
          </w:p>
        </w:tc>
        <w:tc>
          <w:tcPr>
            <w:tcW w:w="1166" w:type="dxa"/>
            <w:vAlign w:val="top"/>
          </w:tcPr>
          <w:p w14:paraId="5239B226">
            <w:pPr>
              <w:pStyle w:val="131"/>
              <w:spacing w:before="223" w:line="309" w:lineRule="auto"/>
              <w:ind w:left="22" w:right="10" w:firstLine="4"/>
              <w:rPr>
                <w:color w:val="auto"/>
                <w:sz w:val="18"/>
                <w:szCs w:val="18"/>
                <w:highlight w:val="none"/>
              </w:rPr>
            </w:pPr>
            <w:r>
              <w:rPr>
                <w:color w:val="auto"/>
                <w:spacing w:val="1"/>
                <w:sz w:val="18"/>
                <w:szCs w:val="18"/>
                <w:highlight w:val="none"/>
              </w:rPr>
              <w:t>★A020609</w:t>
            </w:r>
            <w:r>
              <w:rPr>
                <w:color w:val="auto"/>
                <w:spacing w:val="32"/>
                <w:sz w:val="18"/>
                <w:szCs w:val="18"/>
                <w:highlight w:val="none"/>
              </w:rPr>
              <w:t xml:space="preserve"> </w:t>
            </w:r>
            <w:r>
              <w:rPr>
                <w:color w:val="auto"/>
                <w:spacing w:val="1"/>
                <w:sz w:val="18"/>
                <w:szCs w:val="18"/>
                <w:highlight w:val="none"/>
              </w:rPr>
              <w:t>镇</w:t>
            </w:r>
            <w:r>
              <w:rPr>
                <w:color w:val="auto"/>
                <w:spacing w:val="-1"/>
                <w:sz w:val="18"/>
                <w:szCs w:val="18"/>
                <w:highlight w:val="none"/>
              </w:rPr>
              <w:t>流器</w:t>
            </w:r>
          </w:p>
        </w:tc>
        <w:tc>
          <w:tcPr>
            <w:tcW w:w="1797" w:type="dxa"/>
            <w:vAlign w:val="top"/>
          </w:tcPr>
          <w:p w14:paraId="4197006D">
            <w:pPr>
              <w:spacing w:line="306" w:lineRule="auto"/>
              <w:rPr>
                <w:rFonts w:ascii="Arial"/>
                <w:color w:val="auto"/>
                <w:sz w:val="21"/>
                <w:highlight w:val="none"/>
              </w:rPr>
            </w:pPr>
          </w:p>
          <w:p w14:paraId="62135769">
            <w:pPr>
              <w:pStyle w:val="131"/>
              <w:spacing w:before="58" w:line="220" w:lineRule="auto"/>
              <w:ind w:left="26"/>
              <w:rPr>
                <w:color w:val="auto"/>
                <w:sz w:val="18"/>
                <w:szCs w:val="18"/>
                <w:highlight w:val="none"/>
              </w:rPr>
            </w:pPr>
            <w:r>
              <w:rPr>
                <w:color w:val="auto"/>
                <w:spacing w:val="5"/>
                <w:sz w:val="18"/>
                <w:szCs w:val="18"/>
                <w:highlight w:val="none"/>
              </w:rPr>
              <w:t>管型荧光灯镇流器</w:t>
            </w:r>
          </w:p>
        </w:tc>
        <w:tc>
          <w:tcPr>
            <w:tcW w:w="1914" w:type="dxa"/>
            <w:vAlign w:val="top"/>
          </w:tcPr>
          <w:p w14:paraId="7BFE2891">
            <w:pPr>
              <w:rPr>
                <w:rFonts w:ascii="Arial"/>
                <w:color w:val="auto"/>
                <w:sz w:val="21"/>
                <w:highlight w:val="none"/>
              </w:rPr>
            </w:pPr>
          </w:p>
        </w:tc>
        <w:tc>
          <w:tcPr>
            <w:tcW w:w="2976" w:type="dxa"/>
            <w:vAlign w:val="top"/>
          </w:tcPr>
          <w:p w14:paraId="5BA564CC">
            <w:pPr>
              <w:pStyle w:val="131"/>
              <w:spacing w:before="222" w:line="305" w:lineRule="auto"/>
              <w:ind w:left="24" w:right="41" w:firstLine="8"/>
              <w:rPr>
                <w:color w:val="auto"/>
                <w:sz w:val="18"/>
                <w:szCs w:val="18"/>
                <w:highlight w:val="none"/>
              </w:rPr>
            </w:pPr>
            <w:r>
              <w:rPr>
                <w:color w:val="auto"/>
                <w:spacing w:val="22"/>
                <w:sz w:val="18"/>
                <w:szCs w:val="18"/>
                <w:highlight w:val="none"/>
              </w:rPr>
              <w:t>《</w:t>
            </w:r>
            <w:r>
              <w:rPr>
                <w:color w:val="auto"/>
                <w:spacing w:val="-23"/>
                <w:sz w:val="18"/>
                <w:szCs w:val="18"/>
                <w:highlight w:val="none"/>
              </w:rPr>
              <w:t xml:space="preserve"> </w:t>
            </w:r>
            <w:r>
              <w:rPr>
                <w:color w:val="auto"/>
                <w:spacing w:val="22"/>
                <w:sz w:val="18"/>
                <w:szCs w:val="18"/>
                <w:highlight w:val="none"/>
              </w:rPr>
              <w:t>管形荧光灯镇流器能效限定值</w:t>
            </w:r>
            <w:r>
              <w:rPr>
                <w:color w:val="auto"/>
                <w:spacing w:val="2"/>
                <w:sz w:val="18"/>
                <w:szCs w:val="18"/>
                <w:highlight w:val="none"/>
              </w:rPr>
              <w:t>及能效等级》（</w:t>
            </w:r>
            <w:r>
              <w:rPr>
                <w:color w:val="auto"/>
                <w:sz w:val="18"/>
                <w:szCs w:val="18"/>
                <w:highlight w:val="none"/>
              </w:rPr>
              <w:t>GB</w:t>
            </w:r>
            <w:r>
              <w:rPr>
                <w:color w:val="auto"/>
                <w:spacing w:val="61"/>
                <w:sz w:val="18"/>
                <w:szCs w:val="18"/>
                <w:highlight w:val="none"/>
              </w:rPr>
              <w:t xml:space="preserve"> </w:t>
            </w:r>
            <w:r>
              <w:rPr>
                <w:color w:val="auto"/>
                <w:spacing w:val="2"/>
                <w:sz w:val="18"/>
                <w:szCs w:val="18"/>
                <w:highlight w:val="none"/>
              </w:rPr>
              <w:t>17896）</w:t>
            </w:r>
          </w:p>
        </w:tc>
      </w:tr>
      <w:tr w14:paraId="3DB6C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580" w:type="dxa"/>
            <w:vMerge w:val="restart"/>
            <w:tcBorders>
              <w:bottom w:val="nil"/>
            </w:tcBorders>
            <w:vAlign w:val="top"/>
          </w:tcPr>
          <w:p w14:paraId="51EC76AA">
            <w:pPr>
              <w:spacing w:line="262" w:lineRule="auto"/>
              <w:rPr>
                <w:rFonts w:ascii="Arial"/>
                <w:color w:val="auto"/>
                <w:sz w:val="21"/>
                <w:highlight w:val="none"/>
              </w:rPr>
            </w:pPr>
          </w:p>
          <w:p w14:paraId="791C89BA">
            <w:pPr>
              <w:spacing w:line="263" w:lineRule="auto"/>
              <w:rPr>
                <w:rFonts w:ascii="Arial"/>
                <w:color w:val="auto"/>
                <w:sz w:val="21"/>
                <w:highlight w:val="none"/>
              </w:rPr>
            </w:pPr>
          </w:p>
          <w:p w14:paraId="4985F118">
            <w:pPr>
              <w:spacing w:line="263" w:lineRule="auto"/>
              <w:rPr>
                <w:rFonts w:ascii="Arial"/>
                <w:color w:val="auto"/>
                <w:sz w:val="21"/>
                <w:highlight w:val="none"/>
              </w:rPr>
            </w:pPr>
          </w:p>
          <w:p w14:paraId="13955877">
            <w:pPr>
              <w:spacing w:line="263" w:lineRule="auto"/>
              <w:rPr>
                <w:rFonts w:ascii="Arial"/>
                <w:color w:val="auto"/>
                <w:sz w:val="21"/>
                <w:highlight w:val="none"/>
              </w:rPr>
            </w:pPr>
          </w:p>
          <w:p w14:paraId="507879C9">
            <w:pPr>
              <w:spacing w:line="263" w:lineRule="auto"/>
              <w:rPr>
                <w:rFonts w:ascii="Arial"/>
                <w:color w:val="auto"/>
                <w:sz w:val="21"/>
                <w:highlight w:val="none"/>
              </w:rPr>
            </w:pPr>
          </w:p>
          <w:p w14:paraId="1AD5F836">
            <w:pPr>
              <w:spacing w:line="263" w:lineRule="auto"/>
              <w:rPr>
                <w:rFonts w:ascii="Arial"/>
                <w:color w:val="auto"/>
                <w:sz w:val="21"/>
                <w:highlight w:val="none"/>
              </w:rPr>
            </w:pPr>
          </w:p>
          <w:p w14:paraId="1938A35B">
            <w:pPr>
              <w:spacing w:line="263" w:lineRule="auto"/>
              <w:rPr>
                <w:rFonts w:ascii="Arial"/>
                <w:color w:val="auto"/>
                <w:sz w:val="21"/>
                <w:highlight w:val="none"/>
              </w:rPr>
            </w:pPr>
          </w:p>
          <w:p w14:paraId="40EBB28B">
            <w:pPr>
              <w:spacing w:line="263" w:lineRule="auto"/>
              <w:rPr>
                <w:rFonts w:ascii="Arial"/>
                <w:color w:val="auto"/>
                <w:sz w:val="21"/>
                <w:highlight w:val="none"/>
              </w:rPr>
            </w:pPr>
          </w:p>
          <w:p w14:paraId="3314E1E4">
            <w:pPr>
              <w:spacing w:line="263" w:lineRule="auto"/>
              <w:rPr>
                <w:rFonts w:ascii="Arial"/>
                <w:color w:val="auto"/>
                <w:sz w:val="21"/>
                <w:highlight w:val="none"/>
              </w:rPr>
            </w:pPr>
          </w:p>
          <w:p w14:paraId="5A00FDBD">
            <w:pPr>
              <w:spacing w:line="263" w:lineRule="auto"/>
              <w:rPr>
                <w:rFonts w:ascii="Arial"/>
                <w:color w:val="auto"/>
                <w:sz w:val="21"/>
                <w:highlight w:val="none"/>
              </w:rPr>
            </w:pPr>
          </w:p>
          <w:p w14:paraId="64A2B10E">
            <w:pPr>
              <w:pStyle w:val="131"/>
              <w:spacing w:before="59"/>
              <w:ind w:left="228"/>
              <w:rPr>
                <w:color w:val="auto"/>
                <w:sz w:val="18"/>
                <w:szCs w:val="18"/>
                <w:highlight w:val="none"/>
              </w:rPr>
            </w:pPr>
            <w:r>
              <w:rPr>
                <w:color w:val="auto"/>
                <w:spacing w:val="-7"/>
                <w:sz w:val="18"/>
                <w:szCs w:val="18"/>
                <w:highlight w:val="none"/>
              </w:rPr>
              <w:t>10</w:t>
            </w:r>
          </w:p>
        </w:tc>
        <w:tc>
          <w:tcPr>
            <w:tcW w:w="1166" w:type="dxa"/>
            <w:vMerge w:val="restart"/>
            <w:tcBorders>
              <w:bottom w:val="nil"/>
            </w:tcBorders>
            <w:vAlign w:val="top"/>
          </w:tcPr>
          <w:p w14:paraId="757163FD">
            <w:pPr>
              <w:spacing w:line="246" w:lineRule="auto"/>
              <w:rPr>
                <w:rFonts w:ascii="Arial"/>
                <w:color w:val="auto"/>
                <w:sz w:val="21"/>
                <w:highlight w:val="none"/>
              </w:rPr>
            </w:pPr>
          </w:p>
          <w:p w14:paraId="5B78B38E">
            <w:pPr>
              <w:spacing w:line="246" w:lineRule="auto"/>
              <w:rPr>
                <w:rFonts w:ascii="Arial"/>
                <w:color w:val="auto"/>
                <w:sz w:val="21"/>
                <w:highlight w:val="none"/>
              </w:rPr>
            </w:pPr>
          </w:p>
          <w:p w14:paraId="6EED5F2E">
            <w:pPr>
              <w:spacing w:line="246" w:lineRule="auto"/>
              <w:rPr>
                <w:rFonts w:ascii="Arial"/>
                <w:color w:val="auto"/>
                <w:sz w:val="21"/>
                <w:highlight w:val="none"/>
              </w:rPr>
            </w:pPr>
          </w:p>
          <w:p w14:paraId="1DDE819C">
            <w:pPr>
              <w:spacing w:line="246" w:lineRule="auto"/>
              <w:rPr>
                <w:rFonts w:ascii="Arial"/>
                <w:color w:val="auto"/>
                <w:sz w:val="21"/>
                <w:highlight w:val="none"/>
              </w:rPr>
            </w:pPr>
          </w:p>
          <w:p w14:paraId="2D7C9E93">
            <w:pPr>
              <w:spacing w:line="246" w:lineRule="auto"/>
              <w:rPr>
                <w:rFonts w:ascii="Arial"/>
                <w:color w:val="auto"/>
                <w:sz w:val="21"/>
                <w:highlight w:val="none"/>
              </w:rPr>
            </w:pPr>
          </w:p>
          <w:p w14:paraId="357A9919">
            <w:pPr>
              <w:spacing w:line="246" w:lineRule="auto"/>
              <w:rPr>
                <w:rFonts w:ascii="Arial"/>
                <w:color w:val="auto"/>
                <w:sz w:val="21"/>
                <w:highlight w:val="none"/>
              </w:rPr>
            </w:pPr>
          </w:p>
          <w:p w14:paraId="5287FC28">
            <w:pPr>
              <w:spacing w:line="246" w:lineRule="auto"/>
              <w:rPr>
                <w:rFonts w:ascii="Arial"/>
                <w:color w:val="auto"/>
                <w:sz w:val="21"/>
                <w:highlight w:val="none"/>
              </w:rPr>
            </w:pPr>
          </w:p>
          <w:p w14:paraId="0803194B">
            <w:pPr>
              <w:spacing w:line="246" w:lineRule="auto"/>
              <w:rPr>
                <w:rFonts w:ascii="Arial"/>
                <w:color w:val="auto"/>
                <w:sz w:val="21"/>
                <w:highlight w:val="none"/>
              </w:rPr>
            </w:pPr>
          </w:p>
          <w:p w14:paraId="0A3BAF5A">
            <w:pPr>
              <w:spacing w:line="247" w:lineRule="auto"/>
              <w:rPr>
                <w:rFonts w:ascii="Arial"/>
                <w:color w:val="auto"/>
                <w:sz w:val="21"/>
                <w:highlight w:val="none"/>
              </w:rPr>
            </w:pPr>
          </w:p>
          <w:p w14:paraId="2EF0FE60">
            <w:pPr>
              <w:spacing w:line="247" w:lineRule="auto"/>
              <w:rPr>
                <w:rFonts w:ascii="Arial"/>
                <w:color w:val="auto"/>
                <w:sz w:val="21"/>
                <w:highlight w:val="none"/>
              </w:rPr>
            </w:pPr>
          </w:p>
          <w:p w14:paraId="409C6344">
            <w:pPr>
              <w:pStyle w:val="131"/>
              <w:spacing w:before="58" w:line="306" w:lineRule="auto"/>
              <w:ind w:left="23" w:right="10" w:hanging="14"/>
              <w:rPr>
                <w:color w:val="auto"/>
                <w:sz w:val="18"/>
                <w:szCs w:val="18"/>
                <w:highlight w:val="none"/>
              </w:rPr>
            </w:pPr>
            <w:r>
              <w:rPr>
                <w:color w:val="auto"/>
                <w:spacing w:val="4"/>
                <w:sz w:val="18"/>
                <w:szCs w:val="18"/>
                <w:highlight w:val="none"/>
              </w:rPr>
              <w:t>A020618</w:t>
            </w:r>
            <w:r>
              <w:rPr>
                <w:color w:val="auto"/>
                <w:spacing w:val="23"/>
                <w:w w:val="101"/>
                <w:sz w:val="18"/>
                <w:szCs w:val="18"/>
                <w:highlight w:val="none"/>
              </w:rPr>
              <w:t xml:space="preserve"> </w:t>
            </w:r>
            <w:r>
              <w:rPr>
                <w:color w:val="auto"/>
                <w:spacing w:val="4"/>
                <w:sz w:val="18"/>
                <w:szCs w:val="18"/>
                <w:highlight w:val="none"/>
              </w:rPr>
              <w:t>生活</w:t>
            </w:r>
            <w:r>
              <w:rPr>
                <w:color w:val="auto"/>
                <w:spacing w:val="1"/>
                <w:sz w:val="18"/>
                <w:szCs w:val="18"/>
                <w:highlight w:val="none"/>
              </w:rPr>
              <w:t>用电器</w:t>
            </w:r>
          </w:p>
        </w:tc>
        <w:tc>
          <w:tcPr>
            <w:tcW w:w="1797" w:type="dxa"/>
            <w:vAlign w:val="top"/>
          </w:tcPr>
          <w:p w14:paraId="0FE8BA70">
            <w:pPr>
              <w:pStyle w:val="131"/>
              <w:spacing w:before="295" w:line="220" w:lineRule="auto"/>
              <w:ind w:left="7"/>
              <w:rPr>
                <w:color w:val="auto"/>
                <w:sz w:val="18"/>
                <w:szCs w:val="18"/>
                <w:highlight w:val="none"/>
              </w:rPr>
            </w:pPr>
            <w:r>
              <w:rPr>
                <w:color w:val="auto"/>
                <w:sz w:val="18"/>
                <w:szCs w:val="18"/>
                <w:highlight w:val="none"/>
              </w:rPr>
              <w:t>A0206180101</w:t>
            </w:r>
            <w:r>
              <w:rPr>
                <w:color w:val="auto"/>
                <w:spacing w:val="41"/>
                <w:w w:val="101"/>
                <w:sz w:val="18"/>
                <w:szCs w:val="18"/>
                <w:highlight w:val="none"/>
              </w:rPr>
              <w:t xml:space="preserve"> </w:t>
            </w:r>
            <w:r>
              <w:rPr>
                <w:color w:val="auto"/>
                <w:sz w:val="18"/>
                <w:szCs w:val="18"/>
                <w:highlight w:val="none"/>
              </w:rPr>
              <w:t>电冰箱</w:t>
            </w:r>
          </w:p>
        </w:tc>
        <w:tc>
          <w:tcPr>
            <w:tcW w:w="1914" w:type="dxa"/>
            <w:vAlign w:val="top"/>
          </w:tcPr>
          <w:p w14:paraId="7E63595E">
            <w:pPr>
              <w:rPr>
                <w:rFonts w:ascii="Arial"/>
                <w:color w:val="auto"/>
                <w:sz w:val="21"/>
                <w:highlight w:val="none"/>
              </w:rPr>
            </w:pPr>
          </w:p>
        </w:tc>
        <w:tc>
          <w:tcPr>
            <w:tcW w:w="2976" w:type="dxa"/>
            <w:vAlign w:val="top"/>
          </w:tcPr>
          <w:p w14:paraId="5EEA6395">
            <w:pPr>
              <w:pStyle w:val="131"/>
              <w:spacing w:before="149" w:line="297" w:lineRule="auto"/>
              <w:ind w:left="33" w:right="46" w:hanging="3"/>
              <w:rPr>
                <w:color w:val="auto"/>
                <w:sz w:val="18"/>
                <w:szCs w:val="18"/>
                <w:highlight w:val="none"/>
              </w:rPr>
            </w:pPr>
            <w:r>
              <w:rPr>
                <w:color w:val="auto"/>
                <w:spacing w:val="22"/>
                <w:sz w:val="18"/>
                <w:szCs w:val="18"/>
                <w:highlight w:val="none"/>
              </w:rPr>
              <w:t>《</w:t>
            </w:r>
            <w:r>
              <w:rPr>
                <w:color w:val="auto"/>
                <w:spacing w:val="-26"/>
                <w:sz w:val="18"/>
                <w:szCs w:val="18"/>
                <w:highlight w:val="none"/>
              </w:rPr>
              <w:t xml:space="preserve"> </w:t>
            </w:r>
            <w:r>
              <w:rPr>
                <w:color w:val="auto"/>
                <w:spacing w:val="22"/>
                <w:sz w:val="18"/>
                <w:szCs w:val="18"/>
                <w:highlight w:val="none"/>
              </w:rPr>
              <w:t>家用电冰箱耗电量限定值及能</w:t>
            </w:r>
            <w:r>
              <w:rPr>
                <w:color w:val="auto"/>
                <w:sz w:val="18"/>
                <w:szCs w:val="18"/>
                <w:highlight w:val="none"/>
              </w:rPr>
              <w:t>效等级》（GB</w:t>
            </w:r>
            <w:r>
              <w:rPr>
                <w:color w:val="auto"/>
                <w:spacing w:val="35"/>
                <w:sz w:val="18"/>
                <w:szCs w:val="18"/>
                <w:highlight w:val="none"/>
              </w:rPr>
              <w:t xml:space="preserve">  </w:t>
            </w:r>
            <w:r>
              <w:rPr>
                <w:color w:val="auto"/>
                <w:sz w:val="18"/>
                <w:szCs w:val="18"/>
                <w:highlight w:val="none"/>
              </w:rPr>
              <w:t>12021.2）</w:t>
            </w:r>
          </w:p>
        </w:tc>
      </w:tr>
      <w:tr w14:paraId="7B38E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580" w:type="dxa"/>
            <w:vMerge w:val="continue"/>
            <w:tcBorders>
              <w:top w:val="nil"/>
              <w:bottom w:val="nil"/>
            </w:tcBorders>
            <w:vAlign w:val="top"/>
          </w:tcPr>
          <w:p w14:paraId="7F9141A2">
            <w:pPr>
              <w:rPr>
                <w:rFonts w:ascii="Arial"/>
                <w:color w:val="auto"/>
                <w:sz w:val="21"/>
                <w:highlight w:val="none"/>
              </w:rPr>
            </w:pPr>
          </w:p>
        </w:tc>
        <w:tc>
          <w:tcPr>
            <w:tcW w:w="1166" w:type="dxa"/>
            <w:vMerge w:val="continue"/>
            <w:tcBorders>
              <w:top w:val="nil"/>
              <w:bottom w:val="nil"/>
            </w:tcBorders>
            <w:vAlign w:val="top"/>
          </w:tcPr>
          <w:p w14:paraId="2353F9F2">
            <w:pPr>
              <w:rPr>
                <w:rFonts w:ascii="Arial"/>
                <w:color w:val="auto"/>
                <w:sz w:val="21"/>
                <w:highlight w:val="none"/>
              </w:rPr>
            </w:pPr>
          </w:p>
        </w:tc>
        <w:tc>
          <w:tcPr>
            <w:tcW w:w="1797" w:type="dxa"/>
            <w:vMerge w:val="restart"/>
            <w:tcBorders>
              <w:bottom w:val="nil"/>
            </w:tcBorders>
            <w:vAlign w:val="top"/>
          </w:tcPr>
          <w:p w14:paraId="147469B3">
            <w:pPr>
              <w:spacing w:line="252" w:lineRule="auto"/>
              <w:rPr>
                <w:rFonts w:ascii="Arial"/>
                <w:color w:val="auto"/>
                <w:sz w:val="21"/>
                <w:highlight w:val="none"/>
              </w:rPr>
            </w:pPr>
          </w:p>
          <w:p w14:paraId="68C81FE7">
            <w:pPr>
              <w:spacing w:line="252" w:lineRule="auto"/>
              <w:rPr>
                <w:rFonts w:ascii="Arial"/>
                <w:color w:val="auto"/>
                <w:sz w:val="21"/>
                <w:highlight w:val="none"/>
              </w:rPr>
            </w:pPr>
          </w:p>
          <w:p w14:paraId="7B0C3334">
            <w:pPr>
              <w:spacing w:line="253" w:lineRule="auto"/>
              <w:rPr>
                <w:rFonts w:ascii="Arial"/>
                <w:color w:val="auto"/>
                <w:sz w:val="21"/>
                <w:highlight w:val="none"/>
              </w:rPr>
            </w:pPr>
          </w:p>
          <w:p w14:paraId="0AB89988">
            <w:pPr>
              <w:spacing w:line="253" w:lineRule="auto"/>
              <w:rPr>
                <w:rFonts w:ascii="Arial"/>
                <w:color w:val="auto"/>
                <w:sz w:val="21"/>
                <w:highlight w:val="none"/>
              </w:rPr>
            </w:pPr>
          </w:p>
          <w:p w14:paraId="29A6F6BC">
            <w:pPr>
              <w:spacing w:line="253" w:lineRule="auto"/>
              <w:rPr>
                <w:rFonts w:ascii="Arial"/>
                <w:color w:val="auto"/>
                <w:sz w:val="21"/>
                <w:highlight w:val="none"/>
              </w:rPr>
            </w:pPr>
          </w:p>
          <w:p w14:paraId="4F9A5E4A">
            <w:pPr>
              <w:spacing w:line="253" w:lineRule="auto"/>
              <w:rPr>
                <w:rFonts w:ascii="Arial"/>
                <w:color w:val="auto"/>
                <w:sz w:val="21"/>
                <w:highlight w:val="none"/>
              </w:rPr>
            </w:pPr>
          </w:p>
          <w:p w14:paraId="5CAC5EF7">
            <w:pPr>
              <w:spacing w:line="253" w:lineRule="auto"/>
              <w:rPr>
                <w:rFonts w:ascii="Arial"/>
                <w:color w:val="auto"/>
                <w:sz w:val="21"/>
                <w:highlight w:val="none"/>
              </w:rPr>
            </w:pPr>
          </w:p>
          <w:p w14:paraId="40100250">
            <w:pPr>
              <w:pStyle w:val="131"/>
              <w:spacing w:before="58" w:line="305" w:lineRule="auto"/>
              <w:ind w:left="16" w:right="12" w:firstLine="5"/>
              <w:rPr>
                <w:color w:val="auto"/>
                <w:sz w:val="18"/>
                <w:szCs w:val="18"/>
                <w:highlight w:val="none"/>
              </w:rPr>
            </w:pPr>
            <w:r>
              <w:rPr>
                <w:color w:val="auto"/>
                <w:spacing w:val="3"/>
                <w:sz w:val="18"/>
                <w:szCs w:val="18"/>
                <w:highlight w:val="none"/>
              </w:rPr>
              <w:t>★A0206180203</w:t>
            </w:r>
            <w:r>
              <w:rPr>
                <w:color w:val="auto"/>
                <w:spacing w:val="2"/>
                <w:sz w:val="18"/>
                <w:szCs w:val="18"/>
                <w:highlight w:val="none"/>
              </w:rPr>
              <w:t xml:space="preserve">  </w:t>
            </w:r>
            <w:r>
              <w:rPr>
                <w:color w:val="auto"/>
                <w:spacing w:val="3"/>
                <w:sz w:val="18"/>
                <w:szCs w:val="18"/>
                <w:highlight w:val="none"/>
              </w:rPr>
              <w:t>空调</w:t>
            </w:r>
            <w:r>
              <w:rPr>
                <w:color w:val="auto"/>
                <w:sz w:val="18"/>
                <w:szCs w:val="18"/>
                <w:highlight w:val="none"/>
              </w:rPr>
              <w:t>机</w:t>
            </w:r>
          </w:p>
        </w:tc>
        <w:tc>
          <w:tcPr>
            <w:tcW w:w="1914" w:type="dxa"/>
            <w:vAlign w:val="top"/>
          </w:tcPr>
          <w:p w14:paraId="7821AA59">
            <w:pPr>
              <w:spacing w:line="269" w:lineRule="auto"/>
              <w:rPr>
                <w:rFonts w:ascii="Arial"/>
                <w:color w:val="auto"/>
                <w:sz w:val="21"/>
                <w:highlight w:val="none"/>
              </w:rPr>
            </w:pPr>
          </w:p>
          <w:p w14:paraId="3695F7EC">
            <w:pPr>
              <w:spacing w:line="269" w:lineRule="auto"/>
              <w:rPr>
                <w:rFonts w:ascii="Arial"/>
                <w:color w:val="auto"/>
                <w:sz w:val="21"/>
                <w:highlight w:val="none"/>
              </w:rPr>
            </w:pPr>
          </w:p>
          <w:p w14:paraId="4E673AEF">
            <w:pPr>
              <w:spacing w:line="270" w:lineRule="auto"/>
              <w:rPr>
                <w:rFonts w:ascii="Arial"/>
                <w:color w:val="auto"/>
                <w:sz w:val="21"/>
                <w:highlight w:val="none"/>
              </w:rPr>
            </w:pPr>
          </w:p>
          <w:p w14:paraId="264C4878">
            <w:pPr>
              <w:pStyle w:val="131"/>
              <w:spacing w:before="58" w:line="220" w:lineRule="auto"/>
              <w:ind w:left="24"/>
              <w:rPr>
                <w:color w:val="auto"/>
                <w:sz w:val="18"/>
                <w:szCs w:val="18"/>
                <w:highlight w:val="none"/>
              </w:rPr>
            </w:pPr>
            <w:r>
              <w:rPr>
                <w:color w:val="auto"/>
                <w:spacing w:val="5"/>
                <w:sz w:val="18"/>
                <w:szCs w:val="18"/>
                <w:highlight w:val="none"/>
              </w:rPr>
              <w:t>房间空气调节器</w:t>
            </w:r>
          </w:p>
        </w:tc>
        <w:tc>
          <w:tcPr>
            <w:tcW w:w="2976" w:type="dxa"/>
            <w:vAlign w:val="top"/>
          </w:tcPr>
          <w:p w14:paraId="3BC572EF">
            <w:pPr>
              <w:pStyle w:val="131"/>
              <w:spacing w:before="97" w:line="293" w:lineRule="auto"/>
              <w:ind w:left="25" w:firstLine="5"/>
              <w:jc w:val="both"/>
              <w:rPr>
                <w:color w:val="auto"/>
                <w:sz w:val="18"/>
                <w:szCs w:val="18"/>
                <w:highlight w:val="none"/>
              </w:rPr>
            </w:pPr>
            <w:r>
              <w:rPr>
                <w:color w:val="auto"/>
                <w:spacing w:val="24"/>
                <w:sz w:val="18"/>
                <w:szCs w:val="18"/>
                <w:highlight w:val="none"/>
              </w:rPr>
              <w:t>《转速可控型房间空气调</w:t>
            </w:r>
            <w:r>
              <w:rPr>
                <w:color w:val="auto"/>
                <w:spacing w:val="-33"/>
                <w:sz w:val="18"/>
                <w:szCs w:val="18"/>
                <w:highlight w:val="none"/>
              </w:rPr>
              <w:t xml:space="preserve"> </w:t>
            </w:r>
            <w:r>
              <w:rPr>
                <w:color w:val="auto"/>
                <w:spacing w:val="24"/>
                <w:sz w:val="18"/>
                <w:szCs w:val="18"/>
                <w:highlight w:val="none"/>
              </w:rPr>
              <w:t>节器能</w:t>
            </w:r>
            <w:r>
              <w:rPr>
                <w:color w:val="auto"/>
                <w:spacing w:val="-12"/>
                <w:sz w:val="18"/>
                <w:szCs w:val="18"/>
                <w:highlight w:val="none"/>
              </w:rPr>
              <w:t>效</w:t>
            </w:r>
            <w:r>
              <w:rPr>
                <w:color w:val="auto"/>
                <w:spacing w:val="32"/>
                <w:sz w:val="18"/>
                <w:szCs w:val="18"/>
                <w:highlight w:val="none"/>
              </w:rPr>
              <w:t xml:space="preserve"> </w:t>
            </w:r>
            <w:r>
              <w:rPr>
                <w:color w:val="auto"/>
                <w:spacing w:val="-12"/>
                <w:sz w:val="18"/>
                <w:szCs w:val="18"/>
                <w:highlight w:val="none"/>
              </w:rPr>
              <w:t>限 定</w:t>
            </w:r>
            <w:r>
              <w:rPr>
                <w:color w:val="auto"/>
                <w:spacing w:val="-18"/>
                <w:sz w:val="18"/>
                <w:szCs w:val="18"/>
                <w:highlight w:val="none"/>
              </w:rPr>
              <w:t xml:space="preserve"> </w:t>
            </w:r>
            <w:r>
              <w:rPr>
                <w:color w:val="auto"/>
                <w:spacing w:val="-11"/>
                <w:sz w:val="18"/>
                <w:szCs w:val="18"/>
                <w:highlight w:val="none"/>
              </w:rPr>
              <w:t>值</w:t>
            </w:r>
            <w:r>
              <w:rPr>
                <w:color w:val="auto"/>
                <w:spacing w:val="-22"/>
                <w:sz w:val="18"/>
                <w:szCs w:val="18"/>
                <w:highlight w:val="none"/>
              </w:rPr>
              <w:t xml:space="preserve"> </w:t>
            </w:r>
            <w:r>
              <w:rPr>
                <w:color w:val="auto"/>
                <w:spacing w:val="-11"/>
                <w:sz w:val="18"/>
                <w:szCs w:val="18"/>
                <w:highlight w:val="none"/>
              </w:rPr>
              <w:t>及 能 效 等</w:t>
            </w:r>
            <w:r>
              <w:rPr>
                <w:color w:val="auto"/>
                <w:spacing w:val="-13"/>
                <w:sz w:val="18"/>
                <w:szCs w:val="18"/>
                <w:highlight w:val="none"/>
              </w:rPr>
              <w:t xml:space="preserve"> </w:t>
            </w:r>
            <w:r>
              <w:rPr>
                <w:color w:val="auto"/>
                <w:spacing w:val="-11"/>
                <w:sz w:val="18"/>
                <w:szCs w:val="18"/>
                <w:highlight w:val="none"/>
              </w:rPr>
              <w:t>级 》</w:t>
            </w:r>
            <w:r>
              <w:rPr>
                <w:color w:val="auto"/>
                <w:spacing w:val="-33"/>
                <w:sz w:val="18"/>
                <w:szCs w:val="18"/>
                <w:highlight w:val="none"/>
              </w:rPr>
              <w:t xml:space="preserve"> </w:t>
            </w:r>
            <w:r>
              <w:rPr>
                <w:color w:val="auto"/>
                <w:spacing w:val="-11"/>
                <w:sz w:val="18"/>
                <w:szCs w:val="18"/>
                <w:highlight w:val="none"/>
              </w:rPr>
              <w:t>（</w:t>
            </w:r>
            <w:r>
              <w:rPr>
                <w:color w:val="auto"/>
                <w:spacing w:val="46"/>
                <w:sz w:val="18"/>
                <w:szCs w:val="18"/>
                <w:highlight w:val="none"/>
              </w:rPr>
              <w:t xml:space="preserve"> </w:t>
            </w:r>
            <w:r>
              <w:rPr>
                <w:color w:val="auto"/>
                <w:spacing w:val="-11"/>
                <w:sz w:val="18"/>
                <w:szCs w:val="18"/>
                <w:highlight w:val="none"/>
              </w:rPr>
              <w:t>G</w:t>
            </w:r>
            <w:r>
              <w:rPr>
                <w:color w:val="auto"/>
                <w:spacing w:val="-7"/>
                <w:sz w:val="18"/>
                <w:szCs w:val="18"/>
                <w:highlight w:val="none"/>
              </w:rPr>
              <w:t>B</w:t>
            </w:r>
            <w:r>
              <w:rPr>
                <w:color w:val="auto"/>
                <w:sz w:val="18"/>
                <w:szCs w:val="18"/>
                <w:highlight w:val="none"/>
              </w:rPr>
              <w:t xml:space="preserve"> 21455-2013</w:t>
            </w:r>
            <w:r>
              <w:rPr>
                <w:color w:val="auto"/>
                <w:spacing w:val="5"/>
                <w:sz w:val="18"/>
                <w:szCs w:val="18"/>
                <w:highlight w:val="none"/>
              </w:rPr>
              <w:t>），</w:t>
            </w:r>
            <w:r>
              <w:rPr>
                <w:color w:val="auto"/>
                <w:spacing w:val="-1"/>
                <w:sz w:val="18"/>
                <w:szCs w:val="18"/>
                <w:highlight w:val="none"/>
              </w:rPr>
              <w:t xml:space="preserve"> </w:t>
            </w:r>
            <w:r>
              <w:rPr>
                <w:color w:val="auto"/>
                <w:sz w:val="18"/>
                <w:szCs w:val="18"/>
                <w:highlight w:val="none"/>
              </w:rPr>
              <w:t>待</w:t>
            </w:r>
            <w:r>
              <w:rPr>
                <w:color w:val="auto"/>
                <w:spacing w:val="85"/>
                <w:sz w:val="18"/>
                <w:szCs w:val="18"/>
                <w:highlight w:val="none"/>
              </w:rPr>
              <w:t xml:space="preserve"> </w:t>
            </w:r>
            <w:r>
              <w:rPr>
                <w:color w:val="auto"/>
                <w:sz w:val="18"/>
                <w:szCs w:val="18"/>
                <w:highlight w:val="none"/>
              </w:rPr>
              <w:t>2019</w:t>
            </w:r>
            <w:r>
              <w:rPr>
                <w:color w:val="auto"/>
                <w:spacing w:val="47"/>
                <w:sz w:val="18"/>
                <w:szCs w:val="18"/>
                <w:highlight w:val="none"/>
              </w:rPr>
              <w:t xml:space="preserve"> </w:t>
            </w:r>
            <w:r>
              <w:rPr>
                <w:color w:val="auto"/>
                <w:sz w:val="18"/>
                <w:szCs w:val="18"/>
                <w:highlight w:val="none"/>
              </w:rPr>
              <w:t>年修订发</w:t>
            </w:r>
            <w:r>
              <w:rPr>
                <w:color w:val="auto"/>
                <w:spacing w:val="9"/>
                <w:sz w:val="18"/>
                <w:szCs w:val="18"/>
                <w:highlight w:val="none"/>
              </w:rPr>
              <w:t>布后，</w:t>
            </w:r>
            <w:r>
              <w:rPr>
                <w:color w:val="auto"/>
                <w:spacing w:val="-37"/>
                <w:sz w:val="18"/>
                <w:szCs w:val="18"/>
                <w:highlight w:val="none"/>
              </w:rPr>
              <w:t xml:space="preserve"> </w:t>
            </w:r>
            <w:r>
              <w:rPr>
                <w:color w:val="auto"/>
                <w:spacing w:val="9"/>
                <w:sz w:val="18"/>
                <w:szCs w:val="18"/>
                <w:highlight w:val="none"/>
              </w:rPr>
              <w:t>按《房</w:t>
            </w:r>
            <w:r>
              <w:rPr>
                <w:color w:val="auto"/>
                <w:spacing w:val="-50"/>
                <w:sz w:val="18"/>
                <w:szCs w:val="18"/>
                <w:highlight w:val="none"/>
              </w:rPr>
              <w:t xml:space="preserve"> </w:t>
            </w:r>
            <w:r>
              <w:rPr>
                <w:color w:val="auto"/>
                <w:spacing w:val="9"/>
                <w:sz w:val="18"/>
                <w:szCs w:val="18"/>
                <w:highlight w:val="none"/>
              </w:rPr>
              <w:t>间空气调节器能效限</w:t>
            </w:r>
            <w:r>
              <w:rPr>
                <w:color w:val="auto"/>
                <w:spacing w:val="2"/>
                <w:sz w:val="18"/>
                <w:szCs w:val="18"/>
                <w:highlight w:val="none"/>
              </w:rPr>
              <w:t>定值及能效等级》（</w:t>
            </w:r>
            <w:r>
              <w:rPr>
                <w:color w:val="auto"/>
                <w:sz w:val="18"/>
                <w:szCs w:val="18"/>
                <w:highlight w:val="none"/>
              </w:rPr>
              <w:t>GB</w:t>
            </w:r>
            <w:r>
              <w:rPr>
                <w:color w:val="auto"/>
                <w:spacing w:val="2"/>
                <w:sz w:val="18"/>
                <w:szCs w:val="18"/>
                <w:highlight w:val="none"/>
              </w:rPr>
              <w:t>21455-2019）</w:t>
            </w:r>
            <w:r>
              <w:rPr>
                <w:color w:val="auto"/>
                <w:spacing w:val="-8"/>
                <w:sz w:val="18"/>
                <w:szCs w:val="18"/>
                <w:highlight w:val="none"/>
              </w:rPr>
              <w:t>实施。</w:t>
            </w:r>
          </w:p>
        </w:tc>
      </w:tr>
      <w:tr w14:paraId="45155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580" w:type="dxa"/>
            <w:vMerge w:val="continue"/>
            <w:tcBorders>
              <w:top w:val="nil"/>
              <w:bottom w:val="nil"/>
            </w:tcBorders>
            <w:vAlign w:val="top"/>
          </w:tcPr>
          <w:p w14:paraId="1275031F">
            <w:pPr>
              <w:rPr>
                <w:rFonts w:ascii="Arial"/>
                <w:color w:val="auto"/>
                <w:sz w:val="21"/>
                <w:highlight w:val="none"/>
              </w:rPr>
            </w:pPr>
          </w:p>
        </w:tc>
        <w:tc>
          <w:tcPr>
            <w:tcW w:w="1166" w:type="dxa"/>
            <w:vMerge w:val="continue"/>
            <w:tcBorders>
              <w:top w:val="nil"/>
              <w:bottom w:val="nil"/>
            </w:tcBorders>
            <w:vAlign w:val="top"/>
          </w:tcPr>
          <w:p w14:paraId="4242CBF8">
            <w:pPr>
              <w:rPr>
                <w:rFonts w:ascii="Arial"/>
                <w:color w:val="auto"/>
                <w:sz w:val="21"/>
                <w:highlight w:val="none"/>
              </w:rPr>
            </w:pPr>
          </w:p>
        </w:tc>
        <w:tc>
          <w:tcPr>
            <w:tcW w:w="1797" w:type="dxa"/>
            <w:vMerge w:val="continue"/>
            <w:tcBorders>
              <w:top w:val="nil"/>
              <w:bottom w:val="nil"/>
            </w:tcBorders>
            <w:vAlign w:val="top"/>
          </w:tcPr>
          <w:p w14:paraId="13EE37BD">
            <w:pPr>
              <w:rPr>
                <w:rFonts w:ascii="Arial"/>
                <w:color w:val="auto"/>
                <w:sz w:val="21"/>
                <w:highlight w:val="none"/>
              </w:rPr>
            </w:pPr>
          </w:p>
        </w:tc>
        <w:tc>
          <w:tcPr>
            <w:tcW w:w="1914" w:type="dxa"/>
            <w:vAlign w:val="top"/>
          </w:tcPr>
          <w:p w14:paraId="75A70E3D">
            <w:pPr>
              <w:pStyle w:val="131"/>
              <w:spacing w:before="102" w:line="286" w:lineRule="auto"/>
              <w:ind w:left="20" w:right="5" w:firstLine="18"/>
              <w:jc w:val="both"/>
              <w:rPr>
                <w:color w:val="auto"/>
                <w:sz w:val="18"/>
                <w:szCs w:val="18"/>
                <w:highlight w:val="none"/>
              </w:rPr>
            </w:pPr>
            <w:r>
              <w:rPr>
                <w:color w:val="auto"/>
                <w:spacing w:val="20"/>
                <w:sz w:val="18"/>
                <w:szCs w:val="18"/>
                <w:highlight w:val="none"/>
              </w:rPr>
              <w:t>多联式空调（热泵</w:t>
            </w:r>
            <w:r>
              <w:rPr>
                <w:color w:val="auto"/>
                <w:spacing w:val="-27"/>
                <w:sz w:val="18"/>
                <w:szCs w:val="18"/>
                <w:highlight w:val="none"/>
              </w:rPr>
              <w:t xml:space="preserve"> </w:t>
            </w:r>
            <w:r>
              <w:rPr>
                <w:color w:val="auto"/>
                <w:spacing w:val="20"/>
                <w:sz w:val="18"/>
                <w:szCs w:val="18"/>
                <w:highlight w:val="none"/>
              </w:rPr>
              <w:t>）</w:t>
            </w:r>
            <w:r>
              <w:rPr>
                <w:color w:val="auto"/>
                <w:spacing w:val="-11"/>
                <w:sz w:val="18"/>
                <w:szCs w:val="18"/>
                <w:highlight w:val="none"/>
              </w:rPr>
              <w:t>机</w:t>
            </w:r>
            <w:r>
              <w:rPr>
                <w:color w:val="auto"/>
                <w:spacing w:val="21"/>
                <w:sz w:val="18"/>
                <w:szCs w:val="18"/>
                <w:highlight w:val="none"/>
              </w:rPr>
              <w:t xml:space="preserve"> </w:t>
            </w:r>
            <w:r>
              <w:rPr>
                <w:color w:val="auto"/>
                <w:spacing w:val="-11"/>
                <w:sz w:val="18"/>
                <w:szCs w:val="18"/>
                <w:highlight w:val="none"/>
              </w:rPr>
              <w:t>组</w:t>
            </w:r>
            <w:r>
              <w:rPr>
                <w:color w:val="auto"/>
                <w:spacing w:val="9"/>
                <w:sz w:val="18"/>
                <w:szCs w:val="18"/>
                <w:highlight w:val="none"/>
              </w:rPr>
              <w:t xml:space="preserve"> </w:t>
            </w:r>
            <w:r>
              <w:rPr>
                <w:color w:val="auto"/>
                <w:spacing w:val="-11"/>
                <w:sz w:val="18"/>
                <w:szCs w:val="18"/>
                <w:highlight w:val="none"/>
              </w:rPr>
              <w:t>（  制</w:t>
            </w:r>
            <w:r>
              <w:rPr>
                <w:color w:val="auto"/>
                <w:spacing w:val="17"/>
                <w:sz w:val="18"/>
                <w:szCs w:val="18"/>
                <w:highlight w:val="none"/>
              </w:rPr>
              <w:t xml:space="preserve"> </w:t>
            </w:r>
            <w:r>
              <w:rPr>
                <w:color w:val="auto"/>
                <w:spacing w:val="-11"/>
                <w:sz w:val="18"/>
                <w:szCs w:val="18"/>
                <w:highlight w:val="none"/>
              </w:rPr>
              <w:t>冷</w:t>
            </w:r>
            <w:r>
              <w:rPr>
                <w:color w:val="auto"/>
                <w:spacing w:val="15"/>
                <w:sz w:val="18"/>
                <w:szCs w:val="18"/>
                <w:highlight w:val="none"/>
              </w:rPr>
              <w:t xml:space="preserve"> </w:t>
            </w:r>
            <w:r>
              <w:rPr>
                <w:color w:val="auto"/>
                <w:spacing w:val="-11"/>
                <w:sz w:val="18"/>
                <w:szCs w:val="18"/>
                <w:highlight w:val="none"/>
              </w:rPr>
              <w:t>量</w:t>
            </w:r>
            <w:r>
              <w:rPr>
                <w:color w:val="auto"/>
                <w:spacing w:val="28"/>
                <w:sz w:val="18"/>
                <w:szCs w:val="18"/>
                <w:highlight w:val="none"/>
              </w:rPr>
              <w:t xml:space="preserve"> </w:t>
            </w:r>
            <w:r>
              <w:rPr>
                <w:color w:val="auto"/>
                <w:spacing w:val="-11"/>
                <w:sz w:val="18"/>
                <w:szCs w:val="18"/>
                <w:highlight w:val="none"/>
              </w:rPr>
              <w:t>≤</w:t>
            </w:r>
            <w:r>
              <w:rPr>
                <w:color w:val="auto"/>
                <w:sz w:val="18"/>
                <w:szCs w:val="18"/>
                <w:highlight w:val="none"/>
              </w:rPr>
              <w:t xml:space="preserve"> </w:t>
            </w:r>
            <w:r>
              <w:rPr>
                <w:color w:val="auto"/>
                <w:spacing w:val="1"/>
                <w:sz w:val="18"/>
                <w:szCs w:val="18"/>
                <w:highlight w:val="none"/>
              </w:rPr>
              <w:t>14000W）</w:t>
            </w:r>
          </w:p>
        </w:tc>
        <w:tc>
          <w:tcPr>
            <w:tcW w:w="2976" w:type="dxa"/>
            <w:vAlign w:val="top"/>
          </w:tcPr>
          <w:p w14:paraId="178F6C55">
            <w:pPr>
              <w:pStyle w:val="131"/>
              <w:spacing w:before="255" w:line="305" w:lineRule="auto"/>
              <w:ind w:left="33" w:right="18" w:hanging="3"/>
              <w:rPr>
                <w:color w:val="auto"/>
                <w:sz w:val="18"/>
                <w:szCs w:val="18"/>
                <w:highlight w:val="none"/>
              </w:rPr>
            </w:pPr>
            <w:r>
              <w:rPr>
                <w:color w:val="auto"/>
                <w:spacing w:val="12"/>
                <w:sz w:val="18"/>
                <w:szCs w:val="18"/>
                <w:highlight w:val="none"/>
              </w:rPr>
              <w:t>《多联式空调（热泵）</w:t>
            </w:r>
            <w:r>
              <w:rPr>
                <w:color w:val="auto"/>
                <w:spacing w:val="-50"/>
                <w:sz w:val="18"/>
                <w:szCs w:val="18"/>
                <w:highlight w:val="none"/>
              </w:rPr>
              <w:t xml:space="preserve"> </w:t>
            </w:r>
            <w:r>
              <w:rPr>
                <w:color w:val="auto"/>
                <w:spacing w:val="12"/>
                <w:sz w:val="18"/>
                <w:szCs w:val="18"/>
                <w:highlight w:val="none"/>
              </w:rPr>
              <w:t>机组能效限</w:t>
            </w:r>
            <w:r>
              <w:rPr>
                <w:color w:val="auto"/>
                <w:spacing w:val="-6"/>
                <w:sz w:val="18"/>
                <w:szCs w:val="18"/>
                <w:highlight w:val="none"/>
              </w:rPr>
              <w:t>定值及能源效率等级》（GB 21454）</w:t>
            </w:r>
          </w:p>
        </w:tc>
      </w:tr>
      <w:tr w14:paraId="445A8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580" w:type="dxa"/>
            <w:vMerge w:val="continue"/>
            <w:tcBorders>
              <w:top w:val="nil"/>
              <w:bottom w:val="nil"/>
            </w:tcBorders>
            <w:vAlign w:val="top"/>
          </w:tcPr>
          <w:p w14:paraId="1123A131">
            <w:pPr>
              <w:rPr>
                <w:rFonts w:ascii="Arial"/>
                <w:color w:val="auto"/>
                <w:sz w:val="21"/>
                <w:highlight w:val="none"/>
              </w:rPr>
            </w:pPr>
          </w:p>
        </w:tc>
        <w:tc>
          <w:tcPr>
            <w:tcW w:w="1166" w:type="dxa"/>
            <w:vMerge w:val="continue"/>
            <w:tcBorders>
              <w:top w:val="nil"/>
              <w:bottom w:val="nil"/>
            </w:tcBorders>
            <w:vAlign w:val="top"/>
          </w:tcPr>
          <w:p w14:paraId="60012072">
            <w:pPr>
              <w:rPr>
                <w:rFonts w:ascii="Arial"/>
                <w:color w:val="auto"/>
                <w:sz w:val="21"/>
                <w:highlight w:val="none"/>
              </w:rPr>
            </w:pPr>
          </w:p>
        </w:tc>
        <w:tc>
          <w:tcPr>
            <w:tcW w:w="1797" w:type="dxa"/>
            <w:vMerge w:val="continue"/>
            <w:tcBorders>
              <w:top w:val="nil"/>
            </w:tcBorders>
            <w:vAlign w:val="top"/>
          </w:tcPr>
          <w:p w14:paraId="678C97D1">
            <w:pPr>
              <w:rPr>
                <w:rFonts w:ascii="Arial"/>
                <w:color w:val="auto"/>
                <w:sz w:val="21"/>
                <w:highlight w:val="none"/>
              </w:rPr>
            </w:pPr>
          </w:p>
        </w:tc>
        <w:tc>
          <w:tcPr>
            <w:tcW w:w="1914" w:type="dxa"/>
            <w:vAlign w:val="top"/>
          </w:tcPr>
          <w:p w14:paraId="62F332FF">
            <w:pPr>
              <w:spacing w:line="350" w:lineRule="auto"/>
              <w:rPr>
                <w:rFonts w:ascii="Arial"/>
                <w:color w:val="auto"/>
                <w:sz w:val="21"/>
                <w:highlight w:val="none"/>
              </w:rPr>
            </w:pPr>
          </w:p>
          <w:p w14:paraId="3016000E">
            <w:pPr>
              <w:pStyle w:val="131"/>
              <w:spacing w:before="58" w:line="308" w:lineRule="auto"/>
              <w:ind w:left="88" w:right="57" w:hanging="61"/>
              <w:rPr>
                <w:color w:val="auto"/>
                <w:sz w:val="18"/>
                <w:szCs w:val="18"/>
                <w:highlight w:val="none"/>
              </w:rPr>
            </w:pPr>
            <w:r>
              <w:rPr>
                <w:color w:val="auto"/>
                <w:spacing w:val="-9"/>
                <w:sz w:val="18"/>
                <w:szCs w:val="18"/>
                <w:highlight w:val="none"/>
              </w:rPr>
              <w:t>单</w:t>
            </w:r>
            <w:r>
              <w:rPr>
                <w:color w:val="auto"/>
                <w:spacing w:val="-26"/>
                <w:sz w:val="18"/>
                <w:szCs w:val="18"/>
                <w:highlight w:val="none"/>
              </w:rPr>
              <w:t xml:space="preserve"> </w:t>
            </w:r>
            <w:r>
              <w:rPr>
                <w:color w:val="auto"/>
                <w:spacing w:val="-9"/>
                <w:sz w:val="18"/>
                <w:szCs w:val="18"/>
                <w:highlight w:val="none"/>
              </w:rPr>
              <w:t>元</w:t>
            </w:r>
            <w:r>
              <w:rPr>
                <w:color w:val="auto"/>
                <w:spacing w:val="-22"/>
                <w:sz w:val="18"/>
                <w:szCs w:val="18"/>
                <w:highlight w:val="none"/>
              </w:rPr>
              <w:t xml:space="preserve"> </w:t>
            </w:r>
            <w:r>
              <w:rPr>
                <w:color w:val="auto"/>
                <w:spacing w:val="-9"/>
                <w:sz w:val="18"/>
                <w:szCs w:val="18"/>
                <w:highlight w:val="none"/>
              </w:rPr>
              <w:t>式</w:t>
            </w:r>
            <w:r>
              <w:rPr>
                <w:color w:val="auto"/>
                <w:spacing w:val="-22"/>
                <w:sz w:val="18"/>
                <w:szCs w:val="18"/>
                <w:highlight w:val="none"/>
              </w:rPr>
              <w:t xml:space="preserve"> </w:t>
            </w:r>
            <w:r>
              <w:rPr>
                <w:color w:val="auto"/>
                <w:spacing w:val="-9"/>
                <w:sz w:val="18"/>
                <w:szCs w:val="18"/>
                <w:highlight w:val="none"/>
              </w:rPr>
              <w:t>空</w:t>
            </w:r>
            <w:r>
              <w:rPr>
                <w:color w:val="auto"/>
                <w:spacing w:val="-25"/>
                <w:sz w:val="18"/>
                <w:szCs w:val="18"/>
                <w:highlight w:val="none"/>
              </w:rPr>
              <w:t xml:space="preserve"> </w:t>
            </w:r>
            <w:r>
              <w:rPr>
                <w:color w:val="auto"/>
                <w:spacing w:val="-9"/>
                <w:sz w:val="18"/>
                <w:szCs w:val="18"/>
                <w:highlight w:val="none"/>
              </w:rPr>
              <w:t>气</w:t>
            </w:r>
            <w:r>
              <w:rPr>
                <w:color w:val="auto"/>
                <w:spacing w:val="-26"/>
                <w:sz w:val="18"/>
                <w:szCs w:val="18"/>
                <w:highlight w:val="none"/>
              </w:rPr>
              <w:t xml:space="preserve"> </w:t>
            </w:r>
            <w:r>
              <w:rPr>
                <w:color w:val="auto"/>
                <w:spacing w:val="-9"/>
                <w:sz w:val="18"/>
                <w:szCs w:val="18"/>
                <w:highlight w:val="none"/>
              </w:rPr>
              <w:t>调</w:t>
            </w:r>
            <w:r>
              <w:rPr>
                <w:color w:val="auto"/>
                <w:spacing w:val="-26"/>
                <w:sz w:val="18"/>
                <w:szCs w:val="18"/>
                <w:highlight w:val="none"/>
              </w:rPr>
              <w:t xml:space="preserve"> </w:t>
            </w:r>
            <w:r>
              <w:rPr>
                <w:color w:val="auto"/>
                <w:spacing w:val="-9"/>
                <w:sz w:val="18"/>
                <w:szCs w:val="18"/>
                <w:highlight w:val="none"/>
              </w:rPr>
              <w:t>节</w:t>
            </w:r>
            <w:r>
              <w:rPr>
                <w:color w:val="auto"/>
                <w:spacing w:val="-28"/>
                <w:sz w:val="18"/>
                <w:szCs w:val="18"/>
                <w:highlight w:val="none"/>
              </w:rPr>
              <w:t xml:space="preserve"> </w:t>
            </w:r>
            <w:r>
              <w:rPr>
                <w:color w:val="auto"/>
                <w:spacing w:val="-9"/>
                <w:sz w:val="18"/>
                <w:szCs w:val="18"/>
                <w:highlight w:val="none"/>
              </w:rPr>
              <w:t>机</w:t>
            </w:r>
            <w:r>
              <w:rPr>
                <w:color w:val="auto"/>
                <w:spacing w:val="-1"/>
                <w:sz w:val="18"/>
                <w:szCs w:val="18"/>
                <w:highlight w:val="none"/>
              </w:rPr>
              <w:t>(制冷量≤14000W)</w:t>
            </w:r>
          </w:p>
        </w:tc>
        <w:tc>
          <w:tcPr>
            <w:tcW w:w="2976" w:type="dxa"/>
            <w:vAlign w:val="top"/>
          </w:tcPr>
          <w:p w14:paraId="4112B041">
            <w:pPr>
              <w:pStyle w:val="131"/>
              <w:spacing w:before="103" w:line="287" w:lineRule="auto"/>
              <w:ind w:left="24" w:right="20" w:firstLine="8"/>
              <w:jc w:val="both"/>
              <w:rPr>
                <w:color w:val="auto"/>
                <w:sz w:val="18"/>
                <w:szCs w:val="18"/>
                <w:highlight w:val="none"/>
              </w:rPr>
            </w:pPr>
            <w:r>
              <w:rPr>
                <w:color w:val="auto"/>
                <w:spacing w:val="23"/>
                <w:sz w:val="18"/>
                <w:szCs w:val="18"/>
                <w:highlight w:val="none"/>
              </w:rPr>
              <w:t>《</w:t>
            </w:r>
            <w:r>
              <w:rPr>
                <w:color w:val="auto"/>
                <w:spacing w:val="-30"/>
                <w:sz w:val="18"/>
                <w:szCs w:val="18"/>
                <w:highlight w:val="none"/>
              </w:rPr>
              <w:t xml:space="preserve"> </w:t>
            </w:r>
            <w:r>
              <w:rPr>
                <w:color w:val="auto"/>
                <w:spacing w:val="23"/>
                <w:sz w:val="18"/>
                <w:szCs w:val="18"/>
                <w:highlight w:val="none"/>
              </w:rPr>
              <w:t>单元式空气调节机能效限定值</w:t>
            </w:r>
            <w:r>
              <w:rPr>
                <w:color w:val="auto"/>
                <w:spacing w:val="-1"/>
                <w:sz w:val="18"/>
                <w:szCs w:val="18"/>
                <w:highlight w:val="none"/>
              </w:rPr>
              <w:t>及能源效率等级》（GB</w:t>
            </w:r>
            <w:r>
              <w:rPr>
                <w:color w:val="auto"/>
                <w:spacing w:val="63"/>
                <w:sz w:val="18"/>
                <w:szCs w:val="18"/>
                <w:highlight w:val="none"/>
              </w:rPr>
              <w:t xml:space="preserve"> </w:t>
            </w:r>
            <w:r>
              <w:rPr>
                <w:color w:val="auto"/>
                <w:spacing w:val="-1"/>
                <w:sz w:val="18"/>
                <w:szCs w:val="18"/>
                <w:highlight w:val="none"/>
              </w:rPr>
              <w:t>19576）《风</w:t>
            </w:r>
            <w:r>
              <w:rPr>
                <w:color w:val="auto"/>
                <w:spacing w:val="27"/>
                <w:sz w:val="18"/>
                <w:szCs w:val="18"/>
                <w:highlight w:val="none"/>
              </w:rPr>
              <w:t>管送风式空调机组能效限定值及</w:t>
            </w:r>
            <w:r>
              <w:rPr>
                <w:color w:val="auto"/>
                <w:spacing w:val="5"/>
                <w:sz w:val="18"/>
                <w:szCs w:val="18"/>
                <w:highlight w:val="none"/>
              </w:rPr>
              <w:t>能效等级》（</w:t>
            </w:r>
            <w:r>
              <w:rPr>
                <w:color w:val="auto"/>
                <w:sz w:val="18"/>
                <w:szCs w:val="18"/>
                <w:highlight w:val="none"/>
              </w:rPr>
              <w:t>GB</w:t>
            </w:r>
            <w:r>
              <w:rPr>
                <w:color w:val="auto"/>
                <w:spacing w:val="5"/>
                <w:sz w:val="18"/>
                <w:szCs w:val="18"/>
                <w:highlight w:val="none"/>
              </w:rPr>
              <w:t xml:space="preserve"> 37479）</w:t>
            </w:r>
          </w:p>
        </w:tc>
      </w:tr>
      <w:tr w14:paraId="6B6E7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580" w:type="dxa"/>
            <w:vMerge w:val="continue"/>
            <w:tcBorders>
              <w:top w:val="nil"/>
            </w:tcBorders>
            <w:vAlign w:val="top"/>
          </w:tcPr>
          <w:p w14:paraId="6D671187">
            <w:pPr>
              <w:rPr>
                <w:rFonts w:ascii="Arial"/>
                <w:color w:val="auto"/>
                <w:sz w:val="21"/>
                <w:highlight w:val="none"/>
              </w:rPr>
            </w:pPr>
          </w:p>
        </w:tc>
        <w:tc>
          <w:tcPr>
            <w:tcW w:w="1166" w:type="dxa"/>
            <w:vMerge w:val="continue"/>
            <w:tcBorders>
              <w:top w:val="nil"/>
            </w:tcBorders>
            <w:vAlign w:val="top"/>
          </w:tcPr>
          <w:p w14:paraId="24203B21">
            <w:pPr>
              <w:rPr>
                <w:rFonts w:ascii="Arial"/>
                <w:color w:val="auto"/>
                <w:sz w:val="21"/>
                <w:highlight w:val="none"/>
              </w:rPr>
            </w:pPr>
          </w:p>
        </w:tc>
        <w:tc>
          <w:tcPr>
            <w:tcW w:w="1797" w:type="dxa"/>
            <w:vAlign w:val="top"/>
          </w:tcPr>
          <w:p w14:paraId="170292A8">
            <w:pPr>
              <w:pStyle w:val="131"/>
              <w:spacing w:before="248" w:line="219" w:lineRule="auto"/>
              <w:ind w:left="7"/>
              <w:rPr>
                <w:color w:val="auto"/>
                <w:sz w:val="18"/>
                <w:szCs w:val="18"/>
                <w:highlight w:val="none"/>
              </w:rPr>
            </w:pPr>
            <w:r>
              <w:rPr>
                <w:color w:val="auto"/>
                <w:spacing w:val="3"/>
                <w:sz w:val="18"/>
                <w:szCs w:val="18"/>
                <w:highlight w:val="none"/>
              </w:rPr>
              <w:t>A0206180301</w:t>
            </w:r>
            <w:r>
              <w:rPr>
                <w:color w:val="auto"/>
                <w:spacing w:val="-11"/>
                <w:sz w:val="18"/>
                <w:szCs w:val="18"/>
                <w:highlight w:val="none"/>
              </w:rPr>
              <w:t xml:space="preserve"> </w:t>
            </w:r>
            <w:r>
              <w:rPr>
                <w:color w:val="auto"/>
                <w:spacing w:val="3"/>
                <w:sz w:val="18"/>
                <w:szCs w:val="18"/>
                <w:highlight w:val="none"/>
              </w:rPr>
              <w:t>洗衣机</w:t>
            </w:r>
          </w:p>
        </w:tc>
        <w:tc>
          <w:tcPr>
            <w:tcW w:w="1914" w:type="dxa"/>
            <w:vAlign w:val="top"/>
          </w:tcPr>
          <w:p w14:paraId="660CA071">
            <w:pPr>
              <w:rPr>
                <w:rFonts w:ascii="Arial"/>
                <w:color w:val="auto"/>
                <w:sz w:val="21"/>
                <w:highlight w:val="none"/>
              </w:rPr>
            </w:pPr>
          </w:p>
        </w:tc>
        <w:tc>
          <w:tcPr>
            <w:tcW w:w="2976" w:type="dxa"/>
            <w:vAlign w:val="top"/>
          </w:tcPr>
          <w:p w14:paraId="3EF611D0">
            <w:pPr>
              <w:pStyle w:val="131"/>
              <w:spacing w:before="105" w:line="275" w:lineRule="auto"/>
              <w:ind w:left="28" w:right="47" w:firstLine="1"/>
              <w:rPr>
                <w:color w:val="auto"/>
                <w:sz w:val="18"/>
                <w:szCs w:val="18"/>
                <w:highlight w:val="none"/>
              </w:rPr>
            </w:pPr>
            <w:r>
              <w:rPr>
                <w:color w:val="auto"/>
                <w:spacing w:val="21"/>
                <w:sz w:val="18"/>
                <w:szCs w:val="18"/>
                <w:highlight w:val="none"/>
              </w:rPr>
              <w:t>《</w:t>
            </w:r>
            <w:r>
              <w:rPr>
                <w:color w:val="auto"/>
                <w:spacing w:val="-12"/>
                <w:sz w:val="18"/>
                <w:szCs w:val="18"/>
                <w:highlight w:val="none"/>
              </w:rPr>
              <w:t xml:space="preserve"> </w:t>
            </w:r>
            <w:r>
              <w:rPr>
                <w:color w:val="auto"/>
                <w:spacing w:val="21"/>
                <w:sz w:val="18"/>
                <w:szCs w:val="18"/>
                <w:highlight w:val="none"/>
              </w:rPr>
              <w:t>电动洗衣机能效水效限定值及</w:t>
            </w:r>
            <w:r>
              <w:rPr>
                <w:color w:val="auto"/>
                <w:spacing w:val="1"/>
                <w:sz w:val="18"/>
                <w:szCs w:val="18"/>
                <w:highlight w:val="none"/>
              </w:rPr>
              <w:t>等级》（</w:t>
            </w:r>
            <w:r>
              <w:rPr>
                <w:color w:val="auto"/>
                <w:sz w:val="18"/>
                <w:szCs w:val="18"/>
                <w:highlight w:val="none"/>
              </w:rPr>
              <w:t>GB</w:t>
            </w:r>
            <w:r>
              <w:rPr>
                <w:color w:val="auto"/>
                <w:spacing w:val="51"/>
                <w:sz w:val="18"/>
                <w:szCs w:val="18"/>
                <w:highlight w:val="none"/>
              </w:rPr>
              <w:t xml:space="preserve"> </w:t>
            </w:r>
            <w:r>
              <w:rPr>
                <w:color w:val="auto"/>
                <w:spacing w:val="1"/>
                <w:sz w:val="18"/>
                <w:szCs w:val="18"/>
                <w:highlight w:val="none"/>
              </w:rPr>
              <w:t>12021.4）</w:t>
            </w:r>
          </w:p>
        </w:tc>
      </w:tr>
    </w:tbl>
    <w:p w14:paraId="320F1595">
      <w:pPr>
        <w:pStyle w:val="18"/>
        <w:rPr>
          <w:color w:val="auto"/>
          <w:highlight w:val="none"/>
        </w:rPr>
      </w:pPr>
    </w:p>
    <w:p w14:paraId="50FDF6DE">
      <w:pPr>
        <w:rPr>
          <w:color w:val="auto"/>
          <w:highlight w:val="none"/>
        </w:rPr>
        <w:sectPr>
          <w:headerReference r:id="rId8" w:type="default"/>
          <w:footerReference r:id="rId9" w:type="default"/>
          <w:pgSz w:w="11907" w:h="16839"/>
          <w:pgMar w:top="240" w:right="1661" w:bottom="160" w:left="1754" w:header="225" w:footer="0" w:gutter="0"/>
          <w:pgNumType w:fmt="decimal"/>
          <w:cols w:space="720" w:num="1"/>
        </w:sectPr>
      </w:pPr>
    </w:p>
    <w:p w14:paraId="591FA15D">
      <w:pPr>
        <w:spacing w:before="59"/>
        <w:rPr>
          <w:color w:val="auto"/>
          <w:highlight w:val="none"/>
        </w:rPr>
      </w:pPr>
    </w:p>
    <w:p w14:paraId="0A67BEDD">
      <w:pPr>
        <w:spacing w:before="59"/>
        <w:rPr>
          <w:color w:val="auto"/>
          <w:highlight w:val="none"/>
        </w:rPr>
      </w:pPr>
    </w:p>
    <w:p w14:paraId="36F32575">
      <w:pPr>
        <w:spacing w:before="58"/>
        <w:rPr>
          <w:color w:val="auto"/>
          <w:highlight w:val="none"/>
        </w:rPr>
      </w:pPr>
    </w:p>
    <w:p w14:paraId="1A641987">
      <w:pPr>
        <w:spacing w:before="58"/>
        <w:rPr>
          <w:color w:val="auto"/>
          <w:highlight w:val="none"/>
        </w:rPr>
      </w:pPr>
    </w:p>
    <w:tbl>
      <w:tblPr>
        <w:tblStyle w:val="114"/>
        <w:tblW w:w="8427"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0"/>
        <w:gridCol w:w="1166"/>
        <w:gridCol w:w="1797"/>
        <w:gridCol w:w="1914"/>
        <w:gridCol w:w="2970"/>
      </w:tblGrid>
      <w:tr w14:paraId="4A8C2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580" w:type="dxa"/>
            <w:vMerge w:val="restart"/>
            <w:tcBorders>
              <w:bottom w:val="nil"/>
            </w:tcBorders>
            <w:vAlign w:val="top"/>
          </w:tcPr>
          <w:p w14:paraId="4086CE81">
            <w:pPr>
              <w:rPr>
                <w:rFonts w:ascii="Arial"/>
                <w:color w:val="auto"/>
                <w:sz w:val="21"/>
                <w:highlight w:val="none"/>
              </w:rPr>
            </w:pPr>
          </w:p>
        </w:tc>
        <w:tc>
          <w:tcPr>
            <w:tcW w:w="1166" w:type="dxa"/>
            <w:vMerge w:val="restart"/>
            <w:tcBorders>
              <w:bottom w:val="nil"/>
            </w:tcBorders>
            <w:vAlign w:val="top"/>
          </w:tcPr>
          <w:p w14:paraId="11FE0EED">
            <w:pPr>
              <w:rPr>
                <w:rFonts w:ascii="Arial"/>
                <w:color w:val="auto"/>
                <w:sz w:val="21"/>
                <w:highlight w:val="none"/>
              </w:rPr>
            </w:pPr>
          </w:p>
        </w:tc>
        <w:tc>
          <w:tcPr>
            <w:tcW w:w="1797" w:type="dxa"/>
            <w:vMerge w:val="restart"/>
            <w:tcBorders>
              <w:bottom w:val="nil"/>
            </w:tcBorders>
            <w:vAlign w:val="top"/>
          </w:tcPr>
          <w:p w14:paraId="237116FC">
            <w:pPr>
              <w:spacing w:line="247" w:lineRule="auto"/>
              <w:rPr>
                <w:rFonts w:ascii="Arial"/>
                <w:color w:val="auto"/>
                <w:sz w:val="21"/>
                <w:highlight w:val="none"/>
              </w:rPr>
            </w:pPr>
          </w:p>
          <w:p w14:paraId="6C92F9A3">
            <w:pPr>
              <w:spacing w:line="247" w:lineRule="auto"/>
              <w:rPr>
                <w:rFonts w:ascii="Arial"/>
                <w:color w:val="auto"/>
                <w:sz w:val="21"/>
                <w:highlight w:val="none"/>
              </w:rPr>
            </w:pPr>
          </w:p>
          <w:p w14:paraId="65A11F1A">
            <w:pPr>
              <w:spacing w:line="248" w:lineRule="auto"/>
              <w:rPr>
                <w:rFonts w:ascii="Arial"/>
                <w:color w:val="auto"/>
                <w:sz w:val="21"/>
                <w:highlight w:val="none"/>
              </w:rPr>
            </w:pPr>
          </w:p>
          <w:p w14:paraId="3CAADC34">
            <w:pPr>
              <w:spacing w:line="248" w:lineRule="auto"/>
              <w:rPr>
                <w:rFonts w:ascii="Arial"/>
                <w:color w:val="auto"/>
                <w:sz w:val="21"/>
                <w:highlight w:val="none"/>
              </w:rPr>
            </w:pPr>
          </w:p>
          <w:p w14:paraId="194D5AB6">
            <w:pPr>
              <w:spacing w:line="248" w:lineRule="auto"/>
              <w:rPr>
                <w:rFonts w:ascii="Arial"/>
                <w:color w:val="auto"/>
                <w:sz w:val="21"/>
                <w:highlight w:val="none"/>
              </w:rPr>
            </w:pPr>
          </w:p>
          <w:p w14:paraId="158DDF03">
            <w:pPr>
              <w:spacing w:line="248" w:lineRule="auto"/>
              <w:rPr>
                <w:rFonts w:ascii="Arial"/>
                <w:color w:val="auto"/>
                <w:sz w:val="21"/>
                <w:highlight w:val="none"/>
              </w:rPr>
            </w:pPr>
          </w:p>
          <w:p w14:paraId="7E25E7DC">
            <w:pPr>
              <w:pStyle w:val="131"/>
              <w:spacing w:before="58" w:line="220" w:lineRule="auto"/>
              <w:ind w:left="7"/>
              <w:rPr>
                <w:color w:val="auto"/>
                <w:sz w:val="18"/>
                <w:szCs w:val="18"/>
                <w:highlight w:val="none"/>
              </w:rPr>
            </w:pPr>
            <w:r>
              <w:rPr>
                <w:color w:val="auto"/>
                <w:spacing w:val="3"/>
                <w:sz w:val="18"/>
                <w:szCs w:val="18"/>
                <w:highlight w:val="none"/>
              </w:rPr>
              <w:t>A02061808</w:t>
            </w:r>
            <w:r>
              <w:rPr>
                <w:color w:val="auto"/>
                <w:spacing w:val="-14"/>
                <w:sz w:val="18"/>
                <w:szCs w:val="18"/>
                <w:highlight w:val="none"/>
              </w:rPr>
              <w:t xml:space="preserve"> </w:t>
            </w:r>
            <w:r>
              <w:rPr>
                <w:color w:val="auto"/>
                <w:spacing w:val="3"/>
                <w:sz w:val="18"/>
                <w:szCs w:val="18"/>
                <w:highlight w:val="none"/>
              </w:rPr>
              <w:t>热水器</w:t>
            </w:r>
          </w:p>
        </w:tc>
        <w:tc>
          <w:tcPr>
            <w:tcW w:w="1914" w:type="dxa"/>
            <w:vAlign w:val="top"/>
          </w:tcPr>
          <w:p w14:paraId="01C845F8">
            <w:pPr>
              <w:pStyle w:val="131"/>
              <w:spacing w:before="291" w:line="220" w:lineRule="auto"/>
              <w:ind w:left="28"/>
              <w:rPr>
                <w:color w:val="auto"/>
                <w:sz w:val="18"/>
                <w:szCs w:val="18"/>
                <w:highlight w:val="none"/>
              </w:rPr>
            </w:pPr>
            <w:r>
              <w:rPr>
                <w:color w:val="auto"/>
                <w:spacing w:val="3"/>
                <w:sz w:val="18"/>
                <w:szCs w:val="18"/>
                <w:highlight w:val="none"/>
              </w:rPr>
              <w:t>★电热水器</w:t>
            </w:r>
          </w:p>
        </w:tc>
        <w:tc>
          <w:tcPr>
            <w:tcW w:w="2970" w:type="dxa"/>
            <w:vAlign w:val="top"/>
          </w:tcPr>
          <w:p w14:paraId="7EE49167">
            <w:pPr>
              <w:pStyle w:val="131"/>
              <w:spacing w:before="148" w:line="297" w:lineRule="auto"/>
              <w:ind w:left="39" w:right="38" w:hanging="6"/>
              <w:rPr>
                <w:color w:val="auto"/>
                <w:sz w:val="18"/>
                <w:szCs w:val="18"/>
                <w:highlight w:val="none"/>
              </w:rPr>
            </w:pPr>
            <w:r>
              <w:rPr>
                <w:color w:val="auto"/>
                <w:spacing w:val="22"/>
                <w:sz w:val="18"/>
                <w:szCs w:val="18"/>
                <w:highlight w:val="none"/>
              </w:rPr>
              <w:t>《</w:t>
            </w:r>
            <w:r>
              <w:rPr>
                <w:color w:val="auto"/>
                <w:spacing w:val="-26"/>
                <w:sz w:val="18"/>
                <w:szCs w:val="18"/>
                <w:highlight w:val="none"/>
              </w:rPr>
              <w:t xml:space="preserve"> </w:t>
            </w:r>
            <w:r>
              <w:rPr>
                <w:color w:val="auto"/>
                <w:spacing w:val="22"/>
                <w:sz w:val="18"/>
                <w:szCs w:val="18"/>
                <w:highlight w:val="none"/>
              </w:rPr>
              <w:t>储水式电热水器能效限定值及</w:t>
            </w:r>
            <w:r>
              <w:rPr>
                <w:color w:val="auto"/>
                <w:spacing w:val="4"/>
                <w:sz w:val="18"/>
                <w:szCs w:val="18"/>
                <w:highlight w:val="none"/>
              </w:rPr>
              <w:t>能效等级》（</w:t>
            </w:r>
            <w:r>
              <w:rPr>
                <w:color w:val="auto"/>
                <w:sz w:val="18"/>
                <w:szCs w:val="18"/>
                <w:highlight w:val="none"/>
              </w:rPr>
              <w:t>GB</w:t>
            </w:r>
            <w:r>
              <w:rPr>
                <w:color w:val="auto"/>
                <w:spacing w:val="4"/>
                <w:sz w:val="18"/>
                <w:szCs w:val="18"/>
                <w:highlight w:val="none"/>
              </w:rPr>
              <w:t xml:space="preserve">  21519）</w:t>
            </w:r>
          </w:p>
        </w:tc>
      </w:tr>
      <w:tr w14:paraId="241EB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580" w:type="dxa"/>
            <w:vMerge w:val="continue"/>
            <w:tcBorders>
              <w:top w:val="nil"/>
              <w:bottom w:val="nil"/>
            </w:tcBorders>
            <w:vAlign w:val="top"/>
          </w:tcPr>
          <w:p w14:paraId="7A3C9316">
            <w:pPr>
              <w:rPr>
                <w:rFonts w:ascii="Arial"/>
                <w:color w:val="auto"/>
                <w:sz w:val="21"/>
                <w:highlight w:val="none"/>
              </w:rPr>
            </w:pPr>
          </w:p>
        </w:tc>
        <w:tc>
          <w:tcPr>
            <w:tcW w:w="1166" w:type="dxa"/>
            <w:vMerge w:val="continue"/>
            <w:tcBorders>
              <w:top w:val="nil"/>
              <w:bottom w:val="nil"/>
            </w:tcBorders>
            <w:vAlign w:val="top"/>
          </w:tcPr>
          <w:p w14:paraId="1622142A">
            <w:pPr>
              <w:rPr>
                <w:rFonts w:ascii="Arial"/>
                <w:color w:val="auto"/>
                <w:sz w:val="21"/>
                <w:highlight w:val="none"/>
              </w:rPr>
            </w:pPr>
          </w:p>
        </w:tc>
        <w:tc>
          <w:tcPr>
            <w:tcW w:w="1797" w:type="dxa"/>
            <w:vMerge w:val="continue"/>
            <w:tcBorders>
              <w:top w:val="nil"/>
              <w:bottom w:val="nil"/>
            </w:tcBorders>
            <w:vAlign w:val="top"/>
          </w:tcPr>
          <w:p w14:paraId="6B6D76B0">
            <w:pPr>
              <w:rPr>
                <w:rFonts w:ascii="Arial"/>
                <w:color w:val="auto"/>
                <w:sz w:val="21"/>
                <w:highlight w:val="none"/>
              </w:rPr>
            </w:pPr>
          </w:p>
        </w:tc>
        <w:tc>
          <w:tcPr>
            <w:tcW w:w="1914" w:type="dxa"/>
            <w:vAlign w:val="top"/>
          </w:tcPr>
          <w:p w14:paraId="325A2AD9">
            <w:pPr>
              <w:spacing w:line="331" w:lineRule="auto"/>
              <w:rPr>
                <w:rFonts w:ascii="Arial"/>
                <w:color w:val="auto"/>
                <w:sz w:val="21"/>
                <w:highlight w:val="none"/>
              </w:rPr>
            </w:pPr>
          </w:p>
          <w:p w14:paraId="4D069E3B">
            <w:pPr>
              <w:pStyle w:val="131"/>
              <w:spacing w:before="59" w:line="220" w:lineRule="auto"/>
              <w:ind w:left="21"/>
              <w:rPr>
                <w:color w:val="auto"/>
                <w:sz w:val="18"/>
                <w:szCs w:val="18"/>
                <w:highlight w:val="none"/>
              </w:rPr>
            </w:pPr>
            <w:r>
              <w:rPr>
                <w:color w:val="auto"/>
                <w:spacing w:val="4"/>
                <w:sz w:val="18"/>
                <w:szCs w:val="18"/>
                <w:highlight w:val="none"/>
              </w:rPr>
              <w:t>燃气热水器</w:t>
            </w:r>
          </w:p>
        </w:tc>
        <w:tc>
          <w:tcPr>
            <w:tcW w:w="2970" w:type="dxa"/>
            <w:vAlign w:val="top"/>
          </w:tcPr>
          <w:p w14:paraId="5CE6E0C4">
            <w:pPr>
              <w:pStyle w:val="131"/>
              <w:spacing w:before="91" w:line="289" w:lineRule="auto"/>
              <w:ind w:left="37" w:right="11" w:hanging="4"/>
              <w:jc w:val="both"/>
              <w:rPr>
                <w:color w:val="auto"/>
                <w:sz w:val="18"/>
                <w:szCs w:val="18"/>
                <w:highlight w:val="none"/>
              </w:rPr>
            </w:pPr>
            <w:r>
              <w:rPr>
                <w:color w:val="auto"/>
                <w:spacing w:val="27"/>
                <w:sz w:val="18"/>
                <w:szCs w:val="18"/>
                <w:highlight w:val="none"/>
              </w:rPr>
              <w:t>《家用燃气快速热水器和燃气采</w:t>
            </w:r>
            <w:r>
              <w:rPr>
                <w:color w:val="auto"/>
                <w:spacing w:val="14"/>
                <w:sz w:val="18"/>
                <w:szCs w:val="18"/>
                <w:highlight w:val="none"/>
              </w:rPr>
              <w:t>暖热水炉能效限定值及能效等级》</w:t>
            </w:r>
            <w:r>
              <w:rPr>
                <w:color w:val="auto"/>
                <w:spacing w:val="5"/>
                <w:sz w:val="18"/>
                <w:szCs w:val="18"/>
                <w:highlight w:val="none"/>
              </w:rPr>
              <w:t xml:space="preserve"> </w:t>
            </w:r>
            <w:r>
              <w:rPr>
                <w:color w:val="auto"/>
                <w:spacing w:val="-2"/>
                <w:sz w:val="18"/>
                <w:szCs w:val="18"/>
                <w:highlight w:val="none"/>
              </w:rPr>
              <w:t>（GB</w:t>
            </w:r>
            <w:r>
              <w:rPr>
                <w:color w:val="auto"/>
                <w:spacing w:val="30"/>
                <w:sz w:val="18"/>
                <w:szCs w:val="18"/>
                <w:highlight w:val="none"/>
              </w:rPr>
              <w:t xml:space="preserve"> </w:t>
            </w:r>
            <w:r>
              <w:rPr>
                <w:color w:val="auto"/>
                <w:spacing w:val="-2"/>
                <w:sz w:val="18"/>
                <w:szCs w:val="18"/>
                <w:highlight w:val="none"/>
              </w:rPr>
              <w:t>20665）</w:t>
            </w:r>
          </w:p>
        </w:tc>
      </w:tr>
      <w:tr w14:paraId="243FF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80" w:type="dxa"/>
            <w:vMerge w:val="continue"/>
            <w:tcBorders>
              <w:top w:val="nil"/>
              <w:bottom w:val="nil"/>
            </w:tcBorders>
            <w:vAlign w:val="top"/>
          </w:tcPr>
          <w:p w14:paraId="4203D1AA">
            <w:pPr>
              <w:rPr>
                <w:rFonts w:ascii="Arial"/>
                <w:color w:val="auto"/>
                <w:sz w:val="21"/>
                <w:highlight w:val="none"/>
              </w:rPr>
            </w:pPr>
          </w:p>
        </w:tc>
        <w:tc>
          <w:tcPr>
            <w:tcW w:w="1166" w:type="dxa"/>
            <w:vMerge w:val="continue"/>
            <w:tcBorders>
              <w:top w:val="nil"/>
              <w:bottom w:val="nil"/>
            </w:tcBorders>
            <w:vAlign w:val="top"/>
          </w:tcPr>
          <w:p w14:paraId="2AC8A0A1">
            <w:pPr>
              <w:rPr>
                <w:rFonts w:ascii="Arial"/>
                <w:color w:val="auto"/>
                <w:sz w:val="21"/>
                <w:highlight w:val="none"/>
              </w:rPr>
            </w:pPr>
          </w:p>
        </w:tc>
        <w:tc>
          <w:tcPr>
            <w:tcW w:w="1797" w:type="dxa"/>
            <w:vMerge w:val="continue"/>
            <w:tcBorders>
              <w:top w:val="nil"/>
              <w:bottom w:val="nil"/>
            </w:tcBorders>
            <w:vAlign w:val="top"/>
          </w:tcPr>
          <w:p w14:paraId="3B62DD46">
            <w:pPr>
              <w:rPr>
                <w:rFonts w:ascii="Arial"/>
                <w:color w:val="auto"/>
                <w:sz w:val="21"/>
                <w:highlight w:val="none"/>
              </w:rPr>
            </w:pPr>
          </w:p>
        </w:tc>
        <w:tc>
          <w:tcPr>
            <w:tcW w:w="1914" w:type="dxa"/>
            <w:vAlign w:val="top"/>
          </w:tcPr>
          <w:p w14:paraId="234C5B90">
            <w:pPr>
              <w:spacing w:line="267" w:lineRule="auto"/>
              <w:rPr>
                <w:rFonts w:ascii="Arial"/>
                <w:color w:val="auto"/>
                <w:sz w:val="21"/>
                <w:highlight w:val="none"/>
              </w:rPr>
            </w:pPr>
          </w:p>
          <w:p w14:paraId="37925FB6">
            <w:pPr>
              <w:pStyle w:val="131"/>
              <w:spacing w:before="58" w:line="220" w:lineRule="auto"/>
              <w:ind w:left="29"/>
              <w:rPr>
                <w:color w:val="auto"/>
                <w:sz w:val="18"/>
                <w:szCs w:val="18"/>
                <w:highlight w:val="none"/>
              </w:rPr>
            </w:pPr>
            <w:r>
              <w:rPr>
                <w:color w:val="auto"/>
                <w:spacing w:val="3"/>
                <w:sz w:val="18"/>
                <w:szCs w:val="18"/>
                <w:highlight w:val="none"/>
              </w:rPr>
              <w:t>热泵热水器</w:t>
            </w:r>
          </w:p>
        </w:tc>
        <w:tc>
          <w:tcPr>
            <w:tcW w:w="2970" w:type="dxa"/>
            <w:vAlign w:val="top"/>
          </w:tcPr>
          <w:p w14:paraId="192FE4DF">
            <w:pPr>
              <w:pStyle w:val="131"/>
              <w:spacing w:before="183" w:line="305" w:lineRule="auto"/>
              <w:ind w:left="39" w:right="27" w:hanging="6"/>
              <w:rPr>
                <w:color w:val="auto"/>
                <w:sz w:val="18"/>
                <w:szCs w:val="18"/>
                <w:highlight w:val="none"/>
              </w:rPr>
            </w:pPr>
            <w:r>
              <w:rPr>
                <w:color w:val="auto"/>
                <w:spacing w:val="10"/>
                <w:sz w:val="18"/>
                <w:szCs w:val="18"/>
                <w:highlight w:val="none"/>
              </w:rPr>
              <w:t>《热泵热水机（器）</w:t>
            </w:r>
            <w:r>
              <w:rPr>
                <w:color w:val="auto"/>
                <w:spacing w:val="-37"/>
                <w:sz w:val="18"/>
                <w:szCs w:val="18"/>
                <w:highlight w:val="none"/>
              </w:rPr>
              <w:t xml:space="preserve"> </w:t>
            </w:r>
            <w:r>
              <w:rPr>
                <w:color w:val="auto"/>
                <w:spacing w:val="10"/>
                <w:sz w:val="18"/>
                <w:szCs w:val="18"/>
                <w:highlight w:val="none"/>
              </w:rPr>
              <w:t>能效限定值及</w:t>
            </w:r>
            <w:r>
              <w:rPr>
                <w:color w:val="auto"/>
                <w:spacing w:val="3"/>
                <w:sz w:val="18"/>
                <w:szCs w:val="18"/>
                <w:highlight w:val="none"/>
              </w:rPr>
              <w:t>能效等级》（</w:t>
            </w:r>
            <w:r>
              <w:rPr>
                <w:color w:val="auto"/>
                <w:sz w:val="18"/>
                <w:szCs w:val="18"/>
                <w:highlight w:val="none"/>
              </w:rPr>
              <w:t>GB</w:t>
            </w:r>
            <w:r>
              <w:rPr>
                <w:color w:val="auto"/>
                <w:spacing w:val="3"/>
                <w:sz w:val="18"/>
                <w:szCs w:val="18"/>
                <w:highlight w:val="none"/>
              </w:rPr>
              <w:t xml:space="preserve"> 29541）</w:t>
            </w:r>
          </w:p>
        </w:tc>
      </w:tr>
      <w:tr w14:paraId="3D95B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80" w:type="dxa"/>
            <w:vMerge w:val="continue"/>
            <w:tcBorders>
              <w:top w:val="nil"/>
            </w:tcBorders>
            <w:vAlign w:val="top"/>
          </w:tcPr>
          <w:p w14:paraId="16D188BC">
            <w:pPr>
              <w:rPr>
                <w:rFonts w:ascii="Arial"/>
                <w:color w:val="auto"/>
                <w:sz w:val="21"/>
                <w:highlight w:val="none"/>
              </w:rPr>
            </w:pPr>
          </w:p>
        </w:tc>
        <w:tc>
          <w:tcPr>
            <w:tcW w:w="1166" w:type="dxa"/>
            <w:vMerge w:val="continue"/>
            <w:tcBorders>
              <w:top w:val="nil"/>
            </w:tcBorders>
            <w:vAlign w:val="top"/>
          </w:tcPr>
          <w:p w14:paraId="4EEBC0DC">
            <w:pPr>
              <w:rPr>
                <w:rFonts w:ascii="Arial"/>
                <w:color w:val="auto"/>
                <w:sz w:val="21"/>
                <w:highlight w:val="none"/>
              </w:rPr>
            </w:pPr>
          </w:p>
        </w:tc>
        <w:tc>
          <w:tcPr>
            <w:tcW w:w="1797" w:type="dxa"/>
            <w:vMerge w:val="continue"/>
            <w:tcBorders>
              <w:top w:val="nil"/>
            </w:tcBorders>
            <w:vAlign w:val="top"/>
          </w:tcPr>
          <w:p w14:paraId="7603093C">
            <w:pPr>
              <w:rPr>
                <w:rFonts w:ascii="Arial"/>
                <w:color w:val="auto"/>
                <w:sz w:val="21"/>
                <w:highlight w:val="none"/>
              </w:rPr>
            </w:pPr>
          </w:p>
        </w:tc>
        <w:tc>
          <w:tcPr>
            <w:tcW w:w="1914" w:type="dxa"/>
            <w:vAlign w:val="top"/>
          </w:tcPr>
          <w:p w14:paraId="67659514">
            <w:pPr>
              <w:pStyle w:val="131"/>
              <w:spacing w:before="286" w:line="220" w:lineRule="auto"/>
              <w:ind w:left="23"/>
              <w:rPr>
                <w:color w:val="auto"/>
                <w:sz w:val="18"/>
                <w:szCs w:val="18"/>
                <w:highlight w:val="none"/>
              </w:rPr>
            </w:pPr>
            <w:r>
              <w:rPr>
                <w:color w:val="auto"/>
                <w:spacing w:val="5"/>
                <w:sz w:val="18"/>
                <w:szCs w:val="18"/>
                <w:highlight w:val="none"/>
              </w:rPr>
              <w:t>太阳能热水系统</w:t>
            </w:r>
          </w:p>
        </w:tc>
        <w:tc>
          <w:tcPr>
            <w:tcW w:w="2970" w:type="dxa"/>
            <w:vAlign w:val="top"/>
          </w:tcPr>
          <w:p w14:paraId="4E658A05">
            <w:pPr>
              <w:pStyle w:val="131"/>
              <w:spacing w:before="138" w:line="300" w:lineRule="auto"/>
              <w:ind w:left="25" w:right="43" w:firstLine="5"/>
              <w:rPr>
                <w:color w:val="auto"/>
                <w:sz w:val="18"/>
                <w:szCs w:val="18"/>
                <w:highlight w:val="none"/>
              </w:rPr>
            </w:pPr>
            <w:r>
              <w:rPr>
                <w:color w:val="auto"/>
                <w:spacing w:val="22"/>
                <w:sz w:val="18"/>
                <w:szCs w:val="18"/>
                <w:highlight w:val="none"/>
              </w:rPr>
              <w:t>《</w:t>
            </w:r>
            <w:r>
              <w:rPr>
                <w:color w:val="auto"/>
                <w:spacing w:val="-28"/>
                <w:sz w:val="18"/>
                <w:szCs w:val="18"/>
                <w:highlight w:val="none"/>
              </w:rPr>
              <w:t xml:space="preserve"> </w:t>
            </w:r>
            <w:r>
              <w:rPr>
                <w:color w:val="auto"/>
                <w:spacing w:val="22"/>
                <w:sz w:val="18"/>
                <w:szCs w:val="18"/>
                <w:highlight w:val="none"/>
              </w:rPr>
              <w:t>家用太阳能热水系统能效限定</w:t>
            </w:r>
            <w:r>
              <w:rPr>
                <w:color w:val="auto"/>
                <w:spacing w:val="5"/>
                <w:sz w:val="18"/>
                <w:szCs w:val="18"/>
                <w:highlight w:val="none"/>
              </w:rPr>
              <w:t>值及能效等级》（</w:t>
            </w:r>
            <w:r>
              <w:rPr>
                <w:color w:val="auto"/>
                <w:sz w:val="18"/>
                <w:szCs w:val="18"/>
                <w:highlight w:val="none"/>
              </w:rPr>
              <w:t>GB</w:t>
            </w:r>
            <w:r>
              <w:rPr>
                <w:color w:val="auto"/>
                <w:spacing w:val="5"/>
                <w:sz w:val="18"/>
                <w:szCs w:val="18"/>
                <w:highlight w:val="none"/>
              </w:rPr>
              <w:t xml:space="preserve"> 26969）</w:t>
            </w:r>
          </w:p>
        </w:tc>
      </w:tr>
      <w:tr w14:paraId="6C8B9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580" w:type="dxa"/>
            <w:vMerge w:val="restart"/>
            <w:tcBorders>
              <w:bottom w:val="nil"/>
            </w:tcBorders>
            <w:vAlign w:val="top"/>
          </w:tcPr>
          <w:p w14:paraId="46119A85">
            <w:pPr>
              <w:spacing w:line="276" w:lineRule="auto"/>
              <w:rPr>
                <w:rFonts w:ascii="Arial"/>
                <w:color w:val="auto"/>
                <w:sz w:val="21"/>
                <w:highlight w:val="none"/>
              </w:rPr>
            </w:pPr>
          </w:p>
          <w:p w14:paraId="509AC124">
            <w:pPr>
              <w:spacing w:line="276" w:lineRule="auto"/>
              <w:rPr>
                <w:rFonts w:ascii="Arial"/>
                <w:color w:val="auto"/>
                <w:sz w:val="21"/>
                <w:highlight w:val="none"/>
              </w:rPr>
            </w:pPr>
          </w:p>
          <w:p w14:paraId="26D5933C">
            <w:pPr>
              <w:spacing w:line="276" w:lineRule="auto"/>
              <w:rPr>
                <w:rFonts w:ascii="Arial"/>
                <w:color w:val="auto"/>
                <w:sz w:val="21"/>
                <w:highlight w:val="none"/>
              </w:rPr>
            </w:pPr>
          </w:p>
          <w:p w14:paraId="77ED6CBC">
            <w:pPr>
              <w:spacing w:line="277" w:lineRule="auto"/>
              <w:rPr>
                <w:rFonts w:ascii="Arial"/>
                <w:color w:val="auto"/>
                <w:sz w:val="21"/>
                <w:highlight w:val="none"/>
              </w:rPr>
            </w:pPr>
          </w:p>
          <w:p w14:paraId="510056DA">
            <w:pPr>
              <w:spacing w:line="277" w:lineRule="auto"/>
              <w:rPr>
                <w:rFonts w:ascii="Arial"/>
                <w:color w:val="auto"/>
                <w:sz w:val="21"/>
                <w:highlight w:val="none"/>
              </w:rPr>
            </w:pPr>
          </w:p>
          <w:p w14:paraId="24507E22">
            <w:pPr>
              <w:spacing w:line="277" w:lineRule="auto"/>
              <w:rPr>
                <w:rFonts w:ascii="Arial"/>
                <w:color w:val="auto"/>
                <w:sz w:val="21"/>
                <w:highlight w:val="none"/>
              </w:rPr>
            </w:pPr>
          </w:p>
          <w:p w14:paraId="6F901615">
            <w:pPr>
              <w:pStyle w:val="131"/>
              <w:spacing w:before="59" w:line="241" w:lineRule="auto"/>
              <w:ind w:left="228"/>
              <w:rPr>
                <w:color w:val="auto"/>
                <w:sz w:val="18"/>
                <w:szCs w:val="18"/>
                <w:highlight w:val="none"/>
              </w:rPr>
            </w:pPr>
            <w:r>
              <w:rPr>
                <w:color w:val="auto"/>
                <w:spacing w:val="-7"/>
                <w:sz w:val="18"/>
                <w:szCs w:val="18"/>
                <w:highlight w:val="none"/>
              </w:rPr>
              <w:t>11</w:t>
            </w:r>
          </w:p>
        </w:tc>
        <w:tc>
          <w:tcPr>
            <w:tcW w:w="1166" w:type="dxa"/>
            <w:vMerge w:val="restart"/>
            <w:tcBorders>
              <w:bottom w:val="nil"/>
            </w:tcBorders>
            <w:vAlign w:val="top"/>
          </w:tcPr>
          <w:p w14:paraId="5767E82F">
            <w:pPr>
              <w:spacing w:line="248" w:lineRule="auto"/>
              <w:rPr>
                <w:rFonts w:ascii="Arial"/>
                <w:color w:val="auto"/>
                <w:sz w:val="21"/>
                <w:highlight w:val="none"/>
              </w:rPr>
            </w:pPr>
          </w:p>
          <w:p w14:paraId="408ADA37">
            <w:pPr>
              <w:spacing w:line="248" w:lineRule="auto"/>
              <w:rPr>
                <w:rFonts w:ascii="Arial"/>
                <w:color w:val="auto"/>
                <w:sz w:val="21"/>
                <w:highlight w:val="none"/>
              </w:rPr>
            </w:pPr>
          </w:p>
          <w:p w14:paraId="6DBB51D4">
            <w:pPr>
              <w:spacing w:line="248" w:lineRule="auto"/>
              <w:rPr>
                <w:rFonts w:ascii="Arial"/>
                <w:color w:val="auto"/>
                <w:sz w:val="21"/>
                <w:highlight w:val="none"/>
              </w:rPr>
            </w:pPr>
          </w:p>
          <w:p w14:paraId="07232E53">
            <w:pPr>
              <w:spacing w:line="248" w:lineRule="auto"/>
              <w:rPr>
                <w:rFonts w:ascii="Arial"/>
                <w:color w:val="auto"/>
                <w:sz w:val="21"/>
                <w:highlight w:val="none"/>
              </w:rPr>
            </w:pPr>
          </w:p>
          <w:p w14:paraId="35E1E150">
            <w:pPr>
              <w:spacing w:line="248" w:lineRule="auto"/>
              <w:rPr>
                <w:rFonts w:ascii="Arial"/>
                <w:color w:val="auto"/>
                <w:sz w:val="21"/>
                <w:highlight w:val="none"/>
              </w:rPr>
            </w:pPr>
          </w:p>
          <w:p w14:paraId="090BEE1A">
            <w:pPr>
              <w:spacing w:line="248" w:lineRule="auto"/>
              <w:rPr>
                <w:rFonts w:ascii="Arial"/>
                <w:color w:val="auto"/>
                <w:sz w:val="21"/>
                <w:highlight w:val="none"/>
              </w:rPr>
            </w:pPr>
          </w:p>
          <w:p w14:paraId="1DC8B554">
            <w:pPr>
              <w:pStyle w:val="131"/>
              <w:spacing w:before="58" w:line="308" w:lineRule="auto"/>
              <w:ind w:left="24" w:right="10" w:hanging="15"/>
              <w:rPr>
                <w:color w:val="auto"/>
                <w:sz w:val="18"/>
                <w:szCs w:val="18"/>
                <w:highlight w:val="none"/>
              </w:rPr>
            </w:pPr>
            <w:r>
              <w:rPr>
                <w:color w:val="auto"/>
                <w:spacing w:val="4"/>
                <w:sz w:val="18"/>
                <w:szCs w:val="18"/>
                <w:highlight w:val="none"/>
              </w:rPr>
              <w:t>A020619</w:t>
            </w:r>
            <w:r>
              <w:rPr>
                <w:color w:val="auto"/>
                <w:spacing w:val="23"/>
                <w:w w:val="101"/>
                <w:sz w:val="18"/>
                <w:szCs w:val="18"/>
                <w:highlight w:val="none"/>
              </w:rPr>
              <w:t xml:space="preserve"> </w:t>
            </w:r>
            <w:r>
              <w:rPr>
                <w:color w:val="auto"/>
                <w:spacing w:val="4"/>
                <w:sz w:val="18"/>
                <w:szCs w:val="18"/>
                <w:highlight w:val="none"/>
              </w:rPr>
              <w:t>照明</w:t>
            </w:r>
            <w:r>
              <w:rPr>
                <w:color w:val="auto"/>
                <w:spacing w:val="-2"/>
                <w:sz w:val="18"/>
                <w:szCs w:val="18"/>
                <w:highlight w:val="none"/>
              </w:rPr>
              <w:t>设备</w:t>
            </w:r>
          </w:p>
        </w:tc>
        <w:tc>
          <w:tcPr>
            <w:tcW w:w="1797" w:type="dxa"/>
            <w:vAlign w:val="top"/>
          </w:tcPr>
          <w:p w14:paraId="531772C2">
            <w:pPr>
              <w:pStyle w:val="131"/>
              <w:spacing w:before="223" w:line="308" w:lineRule="auto"/>
              <w:ind w:left="26" w:right="33" w:hanging="4"/>
              <w:rPr>
                <w:color w:val="auto"/>
                <w:sz w:val="18"/>
                <w:szCs w:val="18"/>
                <w:highlight w:val="none"/>
              </w:rPr>
            </w:pPr>
            <w:r>
              <w:rPr>
                <w:color w:val="auto"/>
                <w:spacing w:val="11"/>
                <w:sz w:val="18"/>
                <w:szCs w:val="18"/>
                <w:highlight w:val="none"/>
              </w:rPr>
              <w:t>★</w:t>
            </w:r>
            <w:r>
              <w:rPr>
                <w:color w:val="auto"/>
                <w:spacing w:val="-11"/>
                <w:sz w:val="18"/>
                <w:szCs w:val="18"/>
                <w:highlight w:val="none"/>
              </w:rPr>
              <w:t xml:space="preserve"> </w:t>
            </w:r>
            <w:r>
              <w:rPr>
                <w:color w:val="auto"/>
                <w:spacing w:val="11"/>
                <w:sz w:val="18"/>
                <w:szCs w:val="18"/>
                <w:highlight w:val="none"/>
              </w:rPr>
              <w:t>普通照</w:t>
            </w:r>
            <w:r>
              <w:rPr>
                <w:color w:val="auto"/>
                <w:spacing w:val="37"/>
                <w:sz w:val="18"/>
                <w:szCs w:val="18"/>
                <w:highlight w:val="none"/>
              </w:rPr>
              <w:t xml:space="preserve"> </w:t>
            </w:r>
            <w:r>
              <w:rPr>
                <w:color w:val="auto"/>
                <w:spacing w:val="11"/>
                <w:sz w:val="18"/>
                <w:szCs w:val="18"/>
                <w:highlight w:val="none"/>
              </w:rPr>
              <w:t>明用双端</w:t>
            </w:r>
            <w:r>
              <w:rPr>
                <w:color w:val="auto"/>
                <w:spacing w:val="-1"/>
                <w:sz w:val="18"/>
                <w:szCs w:val="18"/>
                <w:highlight w:val="none"/>
              </w:rPr>
              <w:t>荧光灯</w:t>
            </w:r>
          </w:p>
        </w:tc>
        <w:tc>
          <w:tcPr>
            <w:tcW w:w="1914" w:type="dxa"/>
            <w:vAlign w:val="top"/>
          </w:tcPr>
          <w:p w14:paraId="245DD50B">
            <w:pPr>
              <w:rPr>
                <w:rFonts w:ascii="Arial"/>
                <w:color w:val="auto"/>
                <w:sz w:val="21"/>
                <w:highlight w:val="none"/>
              </w:rPr>
            </w:pPr>
          </w:p>
        </w:tc>
        <w:tc>
          <w:tcPr>
            <w:tcW w:w="2970" w:type="dxa"/>
            <w:vAlign w:val="top"/>
          </w:tcPr>
          <w:p w14:paraId="21C2B8AD">
            <w:pPr>
              <w:pStyle w:val="131"/>
              <w:spacing w:before="223" w:line="308" w:lineRule="auto"/>
              <w:ind w:left="33" w:right="41" w:hanging="3"/>
              <w:rPr>
                <w:color w:val="auto"/>
                <w:sz w:val="18"/>
                <w:szCs w:val="18"/>
                <w:highlight w:val="none"/>
              </w:rPr>
            </w:pPr>
            <w:r>
              <w:rPr>
                <w:color w:val="auto"/>
                <w:spacing w:val="22"/>
                <w:sz w:val="18"/>
                <w:szCs w:val="18"/>
                <w:highlight w:val="none"/>
              </w:rPr>
              <w:t>《</w:t>
            </w:r>
            <w:r>
              <w:rPr>
                <w:color w:val="auto"/>
                <w:spacing w:val="-26"/>
                <w:sz w:val="18"/>
                <w:szCs w:val="18"/>
                <w:highlight w:val="none"/>
              </w:rPr>
              <w:t xml:space="preserve"> </w:t>
            </w:r>
            <w:r>
              <w:rPr>
                <w:color w:val="auto"/>
                <w:spacing w:val="22"/>
                <w:sz w:val="18"/>
                <w:szCs w:val="18"/>
                <w:highlight w:val="none"/>
              </w:rPr>
              <w:t>普通照明用双端荧光灯能效限</w:t>
            </w:r>
            <w:r>
              <w:rPr>
                <w:color w:val="auto"/>
                <w:spacing w:val="2"/>
                <w:sz w:val="18"/>
                <w:szCs w:val="18"/>
                <w:highlight w:val="none"/>
              </w:rPr>
              <w:t>定值及能效等级》（</w:t>
            </w:r>
            <w:r>
              <w:rPr>
                <w:color w:val="auto"/>
                <w:sz w:val="18"/>
                <w:szCs w:val="18"/>
                <w:highlight w:val="none"/>
              </w:rPr>
              <w:t>GB</w:t>
            </w:r>
            <w:r>
              <w:rPr>
                <w:color w:val="auto"/>
                <w:spacing w:val="66"/>
                <w:sz w:val="18"/>
                <w:szCs w:val="18"/>
                <w:highlight w:val="none"/>
              </w:rPr>
              <w:t xml:space="preserve"> </w:t>
            </w:r>
            <w:r>
              <w:rPr>
                <w:color w:val="auto"/>
                <w:spacing w:val="2"/>
                <w:sz w:val="18"/>
                <w:szCs w:val="18"/>
                <w:highlight w:val="none"/>
              </w:rPr>
              <w:t>19043）</w:t>
            </w:r>
          </w:p>
        </w:tc>
      </w:tr>
      <w:tr w14:paraId="12E67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80" w:type="dxa"/>
            <w:vMerge w:val="continue"/>
            <w:tcBorders>
              <w:top w:val="nil"/>
              <w:bottom w:val="nil"/>
            </w:tcBorders>
            <w:vAlign w:val="top"/>
          </w:tcPr>
          <w:p w14:paraId="3F8041D8">
            <w:pPr>
              <w:rPr>
                <w:rFonts w:ascii="Arial"/>
                <w:color w:val="auto"/>
                <w:sz w:val="21"/>
                <w:highlight w:val="none"/>
              </w:rPr>
            </w:pPr>
          </w:p>
        </w:tc>
        <w:tc>
          <w:tcPr>
            <w:tcW w:w="1166" w:type="dxa"/>
            <w:vMerge w:val="continue"/>
            <w:tcBorders>
              <w:top w:val="nil"/>
              <w:bottom w:val="nil"/>
            </w:tcBorders>
            <w:vAlign w:val="top"/>
          </w:tcPr>
          <w:p w14:paraId="7A13C19B">
            <w:pPr>
              <w:rPr>
                <w:rFonts w:ascii="Arial"/>
                <w:color w:val="auto"/>
                <w:sz w:val="21"/>
                <w:highlight w:val="none"/>
              </w:rPr>
            </w:pPr>
          </w:p>
        </w:tc>
        <w:tc>
          <w:tcPr>
            <w:tcW w:w="1797" w:type="dxa"/>
            <w:vAlign w:val="top"/>
          </w:tcPr>
          <w:p w14:paraId="63762C6A">
            <w:pPr>
              <w:pStyle w:val="131"/>
              <w:spacing w:before="182" w:line="307" w:lineRule="auto"/>
              <w:ind w:left="16" w:right="26" w:hanging="3"/>
              <w:rPr>
                <w:color w:val="auto"/>
                <w:sz w:val="18"/>
                <w:szCs w:val="18"/>
                <w:highlight w:val="none"/>
              </w:rPr>
            </w:pPr>
            <w:r>
              <w:rPr>
                <w:color w:val="auto"/>
                <w:sz w:val="18"/>
                <w:szCs w:val="18"/>
                <w:highlight w:val="none"/>
              </w:rPr>
              <w:t>LED</w:t>
            </w:r>
            <w:r>
              <w:rPr>
                <w:color w:val="auto"/>
                <w:spacing w:val="88"/>
                <w:sz w:val="18"/>
                <w:szCs w:val="18"/>
                <w:highlight w:val="none"/>
              </w:rPr>
              <w:t xml:space="preserve"> </w:t>
            </w:r>
            <w:r>
              <w:rPr>
                <w:color w:val="auto"/>
                <w:spacing w:val="13"/>
                <w:sz w:val="18"/>
                <w:szCs w:val="18"/>
                <w:highlight w:val="none"/>
              </w:rPr>
              <w:t>道路/</w:t>
            </w:r>
            <w:r>
              <w:rPr>
                <w:color w:val="auto"/>
                <w:spacing w:val="-49"/>
                <w:sz w:val="18"/>
                <w:szCs w:val="18"/>
                <w:highlight w:val="none"/>
              </w:rPr>
              <w:t xml:space="preserve"> </w:t>
            </w:r>
            <w:r>
              <w:rPr>
                <w:color w:val="auto"/>
                <w:spacing w:val="13"/>
                <w:sz w:val="18"/>
                <w:szCs w:val="18"/>
                <w:highlight w:val="none"/>
              </w:rPr>
              <w:t>隧道照明</w:t>
            </w:r>
            <w:r>
              <w:rPr>
                <w:color w:val="auto"/>
                <w:spacing w:val="-1"/>
                <w:sz w:val="18"/>
                <w:szCs w:val="18"/>
                <w:highlight w:val="none"/>
              </w:rPr>
              <w:t>产品</w:t>
            </w:r>
          </w:p>
        </w:tc>
        <w:tc>
          <w:tcPr>
            <w:tcW w:w="1914" w:type="dxa"/>
            <w:vAlign w:val="top"/>
          </w:tcPr>
          <w:p w14:paraId="38C405E1">
            <w:pPr>
              <w:rPr>
                <w:rFonts w:ascii="Arial"/>
                <w:color w:val="auto"/>
                <w:sz w:val="21"/>
                <w:highlight w:val="none"/>
              </w:rPr>
            </w:pPr>
          </w:p>
        </w:tc>
        <w:tc>
          <w:tcPr>
            <w:tcW w:w="2970" w:type="dxa"/>
            <w:vAlign w:val="top"/>
          </w:tcPr>
          <w:p w14:paraId="371F411D">
            <w:pPr>
              <w:pStyle w:val="131"/>
              <w:spacing w:before="182" w:line="307" w:lineRule="auto"/>
              <w:ind w:left="33" w:right="3" w:hanging="3"/>
              <w:rPr>
                <w:color w:val="auto"/>
                <w:sz w:val="18"/>
                <w:szCs w:val="18"/>
                <w:highlight w:val="none"/>
              </w:rPr>
            </w:pPr>
            <w:r>
              <w:rPr>
                <w:color w:val="auto"/>
                <w:spacing w:val="9"/>
                <w:sz w:val="18"/>
                <w:szCs w:val="18"/>
                <w:highlight w:val="none"/>
              </w:rPr>
              <w:t>《</w:t>
            </w:r>
            <w:r>
              <w:rPr>
                <w:color w:val="auto"/>
                <w:spacing w:val="-37"/>
                <w:sz w:val="18"/>
                <w:szCs w:val="18"/>
                <w:highlight w:val="none"/>
              </w:rPr>
              <w:t xml:space="preserve"> </w:t>
            </w:r>
            <w:r>
              <w:rPr>
                <w:color w:val="auto"/>
                <w:spacing w:val="9"/>
                <w:sz w:val="18"/>
                <w:szCs w:val="18"/>
                <w:highlight w:val="none"/>
              </w:rPr>
              <w:t>道路和隧道照明用</w:t>
            </w:r>
            <w:r>
              <w:rPr>
                <w:color w:val="auto"/>
                <w:spacing w:val="88"/>
                <w:sz w:val="18"/>
                <w:szCs w:val="18"/>
                <w:highlight w:val="none"/>
              </w:rPr>
              <w:t xml:space="preserve"> </w:t>
            </w:r>
            <w:r>
              <w:rPr>
                <w:color w:val="auto"/>
                <w:sz w:val="18"/>
                <w:szCs w:val="18"/>
                <w:highlight w:val="none"/>
              </w:rPr>
              <w:t>LED</w:t>
            </w:r>
            <w:r>
              <w:rPr>
                <w:color w:val="auto"/>
                <w:spacing w:val="70"/>
                <w:sz w:val="18"/>
                <w:szCs w:val="18"/>
                <w:highlight w:val="none"/>
              </w:rPr>
              <w:t xml:space="preserve"> </w:t>
            </w:r>
            <w:r>
              <w:rPr>
                <w:color w:val="auto"/>
                <w:spacing w:val="9"/>
                <w:sz w:val="18"/>
                <w:szCs w:val="18"/>
                <w:highlight w:val="none"/>
              </w:rPr>
              <w:t>灯具能</w:t>
            </w:r>
            <w:r>
              <w:rPr>
                <w:color w:val="auto"/>
                <w:spacing w:val="-6"/>
                <w:sz w:val="18"/>
                <w:szCs w:val="18"/>
                <w:highlight w:val="none"/>
              </w:rPr>
              <w:t>效限定值及能效等级》（GB 37478）</w:t>
            </w:r>
          </w:p>
        </w:tc>
      </w:tr>
      <w:tr w14:paraId="451A5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80" w:type="dxa"/>
            <w:vMerge w:val="continue"/>
            <w:tcBorders>
              <w:top w:val="nil"/>
              <w:bottom w:val="nil"/>
            </w:tcBorders>
            <w:vAlign w:val="top"/>
          </w:tcPr>
          <w:p w14:paraId="1258FB42">
            <w:pPr>
              <w:rPr>
                <w:rFonts w:ascii="Arial"/>
                <w:color w:val="auto"/>
                <w:sz w:val="21"/>
                <w:highlight w:val="none"/>
              </w:rPr>
            </w:pPr>
          </w:p>
        </w:tc>
        <w:tc>
          <w:tcPr>
            <w:tcW w:w="1166" w:type="dxa"/>
            <w:vMerge w:val="continue"/>
            <w:tcBorders>
              <w:top w:val="nil"/>
              <w:bottom w:val="nil"/>
            </w:tcBorders>
            <w:vAlign w:val="top"/>
          </w:tcPr>
          <w:p w14:paraId="71E83D62">
            <w:pPr>
              <w:rPr>
                <w:rFonts w:ascii="Arial"/>
                <w:color w:val="auto"/>
                <w:sz w:val="21"/>
                <w:highlight w:val="none"/>
              </w:rPr>
            </w:pPr>
          </w:p>
        </w:tc>
        <w:tc>
          <w:tcPr>
            <w:tcW w:w="1797" w:type="dxa"/>
            <w:vAlign w:val="top"/>
          </w:tcPr>
          <w:p w14:paraId="3CA63492">
            <w:pPr>
              <w:spacing w:line="259" w:lineRule="auto"/>
              <w:rPr>
                <w:rFonts w:ascii="Arial"/>
                <w:color w:val="auto"/>
                <w:sz w:val="21"/>
                <w:highlight w:val="none"/>
              </w:rPr>
            </w:pPr>
          </w:p>
          <w:p w14:paraId="31785504">
            <w:pPr>
              <w:pStyle w:val="131"/>
              <w:spacing w:before="58" w:line="220" w:lineRule="auto"/>
              <w:ind w:left="13"/>
              <w:rPr>
                <w:color w:val="auto"/>
                <w:sz w:val="18"/>
                <w:szCs w:val="18"/>
                <w:highlight w:val="none"/>
              </w:rPr>
            </w:pPr>
            <w:r>
              <w:rPr>
                <w:color w:val="auto"/>
                <w:spacing w:val="-1"/>
                <w:sz w:val="18"/>
                <w:szCs w:val="18"/>
                <w:highlight w:val="none"/>
              </w:rPr>
              <w:t>LED</w:t>
            </w:r>
            <w:r>
              <w:rPr>
                <w:color w:val="auto"/>
                <w:spacing w:val="-21"/>
                <w:sz w:val="18"/>
                <w:szCs w:val="18"/>
                <w:highlight w:val="none"/>
              </w:rPr>
              <w:t xml:space="preserve"> </w:t>
            </w:r>
            <w:r>
              <w:rPr>
                <w:color w:val="auto"/>
                <w:spacing w:val="-1"/>
                <w:sz w:val="18"/>
                <w:szCs w:val="18"/>
                <w:highlight w:val="none"/>
              </w:rPr>
              <w:t>筒灯</w:t>
            </w:r>
          </w:p>
        </w:tc>
        <w:tc>
          <w:tcPr>
            <w:tcW w:w="1914" w:type="dxa"/>
            <w:vAlign w:val="top"/>
          </w:tcPr>
          <w:p w14:paraId="581E5932">
            <w:pPr>
              <w:rPr>
                <w:rFonts w:ascii="Arial"/>
                <w:color w:val="auto"/>
                <w:sz w:val="21"/>
                <w:highlight w:val="none"/>
              </w:rPr>
            </w:pPr>
          </w:p>
        </w:tc>
        <w:tc>
          <w:tcPr>
            <w:tcW w:w="2970" w:type="dxa"/>
            <w:vAlign w:val="top"/>
          </w:tcPr>
          <w:p w14:paraId="2EB6874D">
            <w:pPr>
              <w:pStyle w:val="131"/>
              <w:spacing w:before="175" w:line="305" w:lineRule="auto"/>
              <w:ind w:left="25" w:right="24" w:firstLine="5"/>
              <w:rPr>
                <w:color w:val="auto"/>
                <w:sz w:val="18"/>
                <w:szCs w:val="18"/>
                <w:highlight w:val="none"/>
              </w:rPr>
            </w:pPr>
            <w:r>
              <w:rPr>
                <w:color w:val="auto"/>
                <w:spacing w:val="9"/>
                <w:sz w:val="18"/>
                <w:szCs w:val="18"/>
                <w:highlight w:val="none"/>
              </w:rPr>
              <w:t xml:space="preserve">《室内照明用  </w:t>
            </w:r>
            <w:r>
              <w:rPr>
                <w:color w:val="auto"/>
                <w:sz w:val="18"/>
                <w:szCs w:val="18"/>
                <w:highlight w:val="none"/>
              </w:rPr>
              <w:t>LED</w:t>
            </w:r>
            <w:r>
              <w:rPr>
                <w:color w:val="auto"/>
                <w:spacing w:val="83"/>
                <w:sz w:val="18"/>
                <w:szCs w:val="18"/>
                <w:highlight w:val="none"/>
              </w:rPr>
              <w:t xml:space="preserve"> </w:t>
            </w:r>
            <w:r>
              <w:rPr>
                <w:color w:val="auto"/>
                <w:spacing w:val="9"/>
                <w:sz w:val="18"/>
                <w:szCs w:val="18"/>
                <w:highlight w:val="none"/>
              </w:rPr>
              <w:t>产品能效限定</w:t>
            </w:r>
            <w:r>
              <w:rPr>
                <w:color w:val="auto"/>
                <w:spacing w:val="5"/>
                <w:sz w:val="18"/>
                <w:szCs w:val="18"/>
                <w:highlight w:val="none"/>
              </w:rPr>
              <w:t>值及能效等级》（</w:t>
            </w:r>
            <w:r>
              <w:rPr>
                <w:color w:val="auto"/>
                <w:sz w:val="18"/>
                <w:szCs w:val="18"/>
                <w:highlight w:val="none"/>
              </w:rPr>
              <w:t>GB</w:t>
            </w:r>
            <w:r>
              <w:rPr>
                <w:color w:val="auto"/>
                <w:spacing w:val="5"/>
                <w:sz w:val="18"/>
                <w:szCs w:val="18"/>
                <w:highlight w:val="none"/>
              </w:rPr>
              <w:t xml:space="preserve"> 30255）</w:t>
            </w:r>
          </w:p>
        </w:tc>
      </w:tr>
      <w:tr w14:paraId="4A1A5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580" w:type="dxa"/>
            <w:vMerge w:val="continue"/>
            <w:tcBorders>
              <w:top w:val="nil"/>
            </w:tcBorders>
            <w:vAlign w:val="top"/>
          </w:tcPr>
          <w:p w14:paraId="3BD5B7B1">
            <w:pPr>
              <w:rPr>
                <w:rFonts w:ascii="Arial"/>
                <w:color w:val="auto"/>
                <w:sz w:val="21"/>
                <w:highlight w:val="none"/>
              </w:rPr>
            </w:pPr>
          </w:p>
        </w:tc>
        <w:tc>
          <w:tcPr>
            <w:tcW w:w="1166" w:type="dxa"/>
            <w:vMerge w:val="continue"/>
            <w:tcBorders>
              <w:top w:val="nil"/>
            </w:tcBorders>
            <w:vAlign w:val="top"/>
          </w:tcPr>
          <w:p w14:paraId="4421EA3A">
            <w:pPr>
              <w:rPr>
                <w:rFonts w:ascii="Arial"/>
                <w:color w:val="auto"/>
                <w:sz w:val="21"/>
                <w:highlight w:val="none"/>
              </w:rPr>
            </w:pPr>
          </w:p>
        </w:tc>
        <w:tc>
          <w:tcPr>
            <w:tcW w:w="1797" w:type="dxa"/>
            <w:vAlign w:val="top"/>
          </w:tcPr>
          <w:p w14:paraId="462352FE">
            <w:pPr>
              <w:pStyle w:val="131"/>
              <w:spacing w:before="291" w:line="307" w:lineRule="auto"/>
              <w:ind w:left="79" w:right="42" w:hanging="63"/>
              <w:rPr>
                <w:color w:val="auto"/>
                <w:sz w:val="18"/>
                <w:szCs w:val="18"/>
                <w:highlight w:val="none"/>
              </w:rPr>
            </w:pPr>
            <w:r>
              <w:rPr>
                <w:color w:val="auto"/>
                <w:spacing w:val="36"/>
                <w:sz w:val="18"/>
                <w:szCs w:val="18"/>
                <w:highlight w:val="none"/>
              </w:rPr>
              <w:t>普通照明用非定向</w:t>
            </w:r>
            <w:r>
              <w:rPr>
                <w:color w:val="auto"/>
                <w:spacing w:val="-7"/>
                <w:sz w:val="18"/>
                <w:szCs w:val="18"/>
                <w:highlight w:val="none"/>
              </w:rPr>
              <w:t>自镇流</w:t>
            </w:r>
            <w:r>
              <w:rPr>
                <w:color w:val="auto"/>
                <w:spacing w:val="-26"/>
                <w:sz w:val="18"/>
                <w:szCs w:val="18"/>
                <w:highlight w:val="none"/>
              </w:rPr>
              <w:t xml:space="preserve"> </w:t>
            </w:r>
            <w:r>
              <w:rPr>
                <w:color w:val="auto"/>
                <w:spacing w:val="-7"/>
                <w:sz w:val="18"/>
                <w:szCs w:val="18"/>
                <w:highlight w:val="none"/>
              </w:rPr>
              <w:t>LED</w:t>
            </w:r>
            <w:r>
              <w:rPr>
                <w:color w:val="auto"/>
                <w:spacing w:val="-30"/>
                <w:sz w:val="18"/>
                <w:szCs w:val="18"/>
                <w:highlight w:val="none"/>
              </w:rPr>
              <w:t xml:space="preserve"> </w:t>
            </w:r>
            <w:r>
              <w:rPr>
                <w:color w:val="auto"/>
                <w:spacing w:val="-7"/>
                <w:sz w:val="18"/>
                <w:szCs w:val="18"/>
                <w:highlight w:val="none"/>
              </w:rPr>
              <w:t>灯</w:t>
            </w:r>
          </w:p>
        </w:tc>
        <w:tc>
          <w:tcPr>
            <w:tcW w:w="1914" w:type="dxa"/>
            <w:vAlign w:val="top"/>
          </w:tcPr>
          <w:p w14:paraId="226B741F">
            <w:pPr>
              <w:rPr>
                <w:rFonts w:ascii="Arial"/>
                <w:color w:val="auto"/>
                <w:sz w:val="21"/>
                <w:highlight w:val="none"/>
              </w:rPr>
            </w:pPr>
          </w:p>
        </w:tc>
        <w:tc>
          <w:tcPr>
            <w:tcW w:w="2970" w:type="dxa"/>
            <w:vAlign w:val="top"/>
          </w:tcPr>
          <w:p w14:paraId="3EC5E655">
            <w:pPr>
              <w:pStyle w:val="131"/>
              <w:spacing w:before="291" w:line="307" w:lineRule="auto"/>
              <w:ind w:left="25" w:right="24" w:firstLine="5"/>
              <w:rPr>
                <w:color w:val="auto"/>
                <w:sz w:val="18"/>
                <w:szCs w:val="18"/>
                <w:highlight w:val="none"/>
              </w:rPr>
            </w:pPr>
            <w:r>
              <w:rPr>
                <w:color w:val="auto"/>
                <w:spacing w:val="9"/>
                <w:sz w:val="18"/>
                <w:szCs w:val="18"/>
                <w:highlight w:val="none"/>
              </w:rPr>
              <w:t xml:space="preserve">《室内照明用  </w:t>
            </w:r>
            <w:r>
              <w:rPr>
                <w:color w:val="auto"/>
                <w:sz w:val="18"/>
                <w:szCs w:val="18"/>
                <w:highlight w:val="none"/>
              </w:rPr>
              <w:t>LED</w:t>
            </w:r>
            <w:r>
              <w:rPr>
                <w:color w:val="auto"/>
                <w:spacing w:val="83"/>
                <w:sz w:val="18"/>
                <w:szCs w:val="18"/>
                <w:highlight w:val="none"/>
              </w:rPr>
              <w:t xml:space="preserve"> </w:t>
            </w:r>
            <w:r>
              <w:rPr>
                <w:color w:val="auto"/>
                <w:spacing w:val="9"/>
                <w:sz w:val="18"/>
                <w:szCs w:val="18"/>
                <w:highlight w:val="none"/>
              </w:rPr>
              <w:t>产品能效限定</w:t>
            </w:r>
            <w:r>
              <w:rPr>
                <w:color w:val="auto"/>
                <w:spacing w:val="5"/>
                <w:sz w:val="18"/>
                <w:szCs w:val="18"/>
                <w:highlight w:val="none"/>
              </w:rPr>
              <w:t>值及能效等级》（</w:t>
            </w:r>
            <w:r>
              <w:rPr>
                <w:color w:val="auto"/>
                <w:sz w:val="18"/>
                <w:szCs w:val="18"/>
                <w:highlight w:val="none"/>
              </w:rPr>
              <w:t>GB</w:t>
            </w:r>
            <w:r>
              <w:rPr>
                <w:color w:val="auto"/>
                <w:spacing w:val="5"/>
                <w:sz w:val="18"/>
                <w:szCs w:val="18"/>
                <w:highlight w:val="none"/>
              </w:rPr>
              <w:t xml:space="preserve"> 30255）</w:t>
            </w:r>
          </w:p>
        </w:tc>
      </w:tr>
      <w:tr w14:paraId="68C4C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580" w:type="dxa"/>
            <w:vAlign w:val="top"/>
          </w:tcPr>
          <w:p w14:paraId="4C36A4D2">
            <w:pPr>
              <w:spacing w:line="284" w:lineRule="auto"/>
              <w:rPr>
                <w:rFonts w:ascii="Arial"/>
                <w:color w:val="auto"/>
                <w:sz w:val="21"/>
                <w:highlight w:val="none"/>
              </w:rPr>
            </w:pPr>
          </w:p>
          <w:p w14:paraId="4F79617A">
            <w:pPr>
              <w:pStyle w:val="131"/>
              <w:spacing w:before="58" w:line="241" w:lineRule="auto"/>
              <w:ind w:left="228"/>
              <w:rPr>
                <w:color w:val="auto"/>
                <w:sz w:val="18"/>
                <w:szCs w:val="18"/>
                <w:highlight w:val="none"/>
              </w:rPr>
            </w:pPr>
            <w:r>
              <w:rPr>
                <w:color w:val="auto"/>
                <w:spacing w:val="-7"/>
                <w:sz w:val="18"/>
                <w:szCs w:val="18"/>
                <w:highlight w:val="none"/>
              </w:rPr>
              <w:t>12</w:t>
            </w:r>
          </w:p>
        </w:tc>
        <w:tc>
          <w:tcPr>
            <w:tcW w:w="1166" w:type="dxa"/>
            <w:vAlign w:val="top"/>
          </w:tcPr>
          <w:p w14:paraId="0AE96BD5">
            <w:pPr>
              <w:pStyle w:val="131"/>
              <w:spacing w:before="171" w:line="308" w:lineRule="auto"/>
              <w:ind w:left="18" w:right="8" w:firstLine="6"/>
              <w:rPr>
                <w:color w:val="auto"/>
                <w:sz w:val="18"/>
                <w:szCs w:val="18"/>
                <w:highlight w:val="none"/>
              </w:rPr>
            </w:pPr>
            <w:r>
              <w:rPr>
                <w:color w:val="auto"/>
                <w:spacing w:val="-4"/>
                <w:sz w:val="18"/>
                <w:szCs w:val="18"/>
                <w:highlight w:val="none"/>
              </w:rPr>
              <w:t>★A020910</w:t>
            </w:r>
            <w:r>
              <w:rPr>
                <w:color w:val="auto"/>
                <w:spacing w:val="82"/>
                <w:sz w:val="18"/>
                <w:szCs w:val="18"/>
                <w:highlight w:val="none"/>
              </w:rPr>
              <w:t xml:space="preserve"> </w:t>
            </w:r>
            <w:r>
              <w:rPr>
                <w:color w:val="auto"/>
                <w:spacing w:val="-4"/>
                <w:sz w:val="18"/>
                <w:szCs w:val="18"/>
                <w:highlight w:val="none"/>
              </w:rPr>
              <w:t>电</w:t>
            </w:r>
            <w:r>
              <w:rPr>
                <w:color w:val="auto"/>
                <w:spacing w:val="2"/>
                <w:sz w:val="18"/>
                <w:szCs w:val="18"/>
                <w:highlight w:val="none"/>
              </w:rPr>
              <w:t>视设备</w:t>
            </w:r>
          </w:p>
        </w:tc>
        <w:tc>
          <w:tcPr>
            <w:tcW w:w="1797" w:type="dxa"/>
            <w:vAlign w:val="top"/>
          </w:tcPr>
          <w:p w14:paraId="4F290ACD">
            <w:pPr>
              <w:pStyle w:val="131"/>
              <w:spacing w:before="172" w:line="307" w:lineRule="auto"/>
              <w:ind w:left="22" w:right="12" w:hanging="15"/>
              <w:rPr>
                <w:color w:val="auto"/>
                <w:sz w:val="18"/>
                <w:szCs w:val="18"/>
                <w:highlight w:val="none"/>
              </w:rPr>
            </w:pPr>
            <w:r>
              <w:rPr>
                <w:color w:val="auto"/>
                <w:spacing w:val="6"/>
                <w:sz w:val="18"/>
                <w:szCs w:val="18"/>
                <w:highlight w:val="none"/>
              </w:rPr>
              <w:t>A02091001</w:t>
            </w:r>
            <w:r>
              <w:rPr>
                <w:color w:val="auto"/>
                <w:spacing w:val="73"/>
                <w:sz w:val="18"/>
                <w:szCs w:val="18"/>
                <w:highlight w:val="none"/>
              </w:rPr>
              <w:t xml:space="preserve"> </w:t>
            </w:r>
            <w:r>
              <w:rPr>
                <w:color w:val="auto"/>
                <w:spacing w:val="6"/>
                <w:sz w:val="18"/>
                <w:szCs w:val="18"/>
                <w:highlight w:val="none"/>
              </w:rPr>
              <w:t>普通电视</w:t>
            </w:r>
            <w:r>
              <w:rPr>
                <w:color w:val="auto"/>
                <w:spacing w:val="2"/>
                <w:sz w:val="18"/>
                <w:szCs w:val="18"/>
                <w:highlight w:val="none"/>
              </w:rPr>
              <w:t>设备（电视机）</w:t>
            </w:r>
          </w:p>
        </w:tc>
        <w:tc>
          <w:tcPr>
            <w:tcW w:w="1914" w:type="dxa"/>
            <w:vAlign w:val="top"/>
          </w:tcPr>
          <w:p w14:paraId="3F277047">
            <w:pPr>
              <w:rPr>
                <w:rFonts w:ascii="Arial"/>
                <w:color w:val="auto"/>
                <w:sz w:val="21"/>
                <w:highlight w:val="none"/>
              </w:rPr>
            </w:pPr>
          </w:p>
        </w:tc>
        <w:tc>
          <w:tcPr>
            <w:tcW w:w="2970" w:type="dxa"/>
            <w:vAlign w:val="top"/>
          </w:tcPr>
          <w:p w14:paraId="35B5ACEE">
            <w:pPr>
              <w:pStyle w:val="131"/>
              <w:spacing w:before="174" w:line="306" w:lineRule="auto"/>
              <w:ind w:left="32" w:right="37"/>
              <w:rPr>
                <w:color w:val="auto"/>
                <w:sz w:val="18"/>
                <w:szCs w:val="18"/>
                <w:highlight w:val="none"/>
              </w:rPr>
            </w:pPr>
            <w:r>
              <w:rPr>
                <w:color w:val="auto"/>
                <w:spacing w:val="22"/>
                <w:sz w:val="18"/>
                <w:szCs w:val="18"/>
                <w:highlight w:val="none"/>
              </w:rPr>
              <w:t>《</w:t>
            </w:r>
            <w:r>
              <w:rPr>
                <w:color w:val="auto"/>
                <w:spacing w:val="-25"/>
                <w:sz w:val="18"/>
                <w:szCs w:val="18"/>
                <w:highlight w:val="none"/>
              </w:rPr>
              <w:t xml:space="preserve"> </w:t>
            </w:r>
            <w:r>
              <w:rPr>
                <w:color w:val="auto"/>
                <w:spacing w:val="22"/>
                <w:sz w:val="18"/>
                <w:szCs w:val="18"/>
                <w:highlight w:val="none"/>
              </w:rPr>
              <w:t>平板电视能效限定值及能效等</w:t>
            </w:r>
            <w:r>
              <w:rPr>
                <w:color w:val="auto"/>
                <w:spacing w:val="1"/>
                <w:sz w:val="18"/>
                <w:szCs w:val="18"/>
                <w:highlight w:val="none"/>
              </w:rPr>
              <w:t>级》（</w:t>
            </w:r>
            <w:r>
              <w:rPr>
                <w:color w:val="auto"/>
                <w:sz w:val="18"/>
                <w:szCs w:val="18"/>
                <w:highlight w:val="none"/>
              </w:rPr>
              <w:t>GB</w:t>
            </w:r>
            <w:r>
              <w:rPr>
                <w:color w:val="auto"/>
                <w:spacing w:val="30"/>
                <w:w w:val="101"/>
                <w:sz w:val="18"/>
                <w:szCs w:val="18"/>
                <w:highlight w:val="none"/>
              </w:rPr>
              <w:t xml:space="preserve"> </w:t>
            </w:r>
            <w:r>
              <w:rPr>
                <w:color w:val="auto"/>
                <w:spacing w:val="1"/>
                <w:sz w:val="18"/>
                <w:szCs w:val="18"/>
                <w:highlight w:val="none"/>
              </w:rPr>
              <w:t>24850）</w:t>
            </w:r>
          </w:p>
        </w:tc>
      </w:tr>
      <w:tr w14:paraId="71189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3" w:hRule="atLeast"/>
        </w:trPr>
        <w:tc>
          <w:tcPr>
            <w:tcW w:w="580" w:type="dxa"/>
            <w:vAlign w:val="top"/>
          </w:tcPr>
          <w:p w14:paraId="2BB8333C">
            <w:pPr>
              <w:spacing w:line="283" w:lineRule="auto"/>
              <w:rPr>
                <w:rFonts w:ascii="Arial"/>
                <w:color w:val="auto"/>
                <w:sz w:val="21"/>
                <w:highlight w:val="none"/>
              </w:rPr>
            </w:pPr>
          </w:p>
          <w:p w14:paraId="1E7687D1">
            <w:pPr>
              <w:spacing w:line="283" w:lineRule="auto"/>
              <w:rPr>
                <w:rFonts w:ascii="Arial"/>
                <w:color w:val="auto"/>
                <w:sz w:val="21"/>
                <w:highlight w:val="none"/>
              </w:rPr>
            </w:pPr>
          </w:p>
          <w:p w14:paraId="1602628C">
            <w:pPr>
              <w:spacing w:line="283" w:lineRule="auto"/>
              <w:rPr>
                <w:rFonts w:ascii="Arial"/>
                <w:color w:val="auto"/>
                <w:sz w:val="21"/>
                <w:highlight w:val="none"/>
              </w:rPr>
            </w:pPr>
          </w:p>
          <w:p w14:paraId="48403B92">
            <w:pPr>
              <w:pStyle w:val="131"/>
              <w:spacing w:before="58"/>
              <w:ind w:left="228"/>
              <w:rPr>
                <w:color w:val="auto"/>
                <w:sz w:val="18"/>
                <w:szCs w:val="18"/>
                <w:highlight w:val="none"/>
              </w:rPr>
            </w:pPr>
            <w:r>
              <w:rPr>
                <w:color w:val="auto"/>
                <w:spacing w:val="-7"/>
                <w:sz w:val="18"/>
                <w:szCs w:val="18"/>
                <w:highlight w:val="none"/>
              </w:rPr>
              <w:t>13</w:t>
            </w:r>
          </w:p>
        </w:tc>
        <w:tc>
          <w:tcPr>
            <w:tcW w:w="1166" w:type="dxa"/>
            <w:vAlign w:val="top"/>
          </w:tcPr>
          <w:p w14:paraId="47050F97">
            <w:pPr>
              <w:spacing w:line="340" w:lineRule="auto"/>
              <w:rPr>
                <w:rFonts w:ascii="Arial"/>
                <w:color w:val="auto"/>
                <w:sz w:val="21"/>
                <w:highlight w:val="none"/>
              </w:rPr>
            </w:pPr>
          </w:p>
          <w:p w14:paraId="4CD675E6">
            <w:pPr>
              <w:spacing w:line="341" w:lineRule="auto"/>
              <w:rPr>
                <w:rFonts w:ascii="Arial"/>
                <w:color w:val="auto"/>
                <w:sz w:val="21"/>
                <w:highlight w:val="none"/>
              </w:rPr>
            </w:pPr>
          </w:p>
          <w:p w14:paraId="5D262BBE">
            <w:pPr>
              <w:pStyle w:val="131"/>
              <w:spacing w:before="59" w:line="306" w:lineRule="auto"/>
              <w:ind w:left="22" w:right="10" w:firstLine="4"/>
              <w:rPr>
                <w:color w:val="auto"/>
                <w:sz w:val="18"/>
                <w:szCs w:val="18"/>
                <w:highlight w:val="none"/>
              </w:rPr>
            </w:pPr>
            <w:r>
              <w:rPr>
                <w:color w:val="auto"/>
                <w:spacing w:val="1"/>
                <w:sz w:val="18"/>
                <w:szCs w:val="18"/>
                <w:highlight w:val="none"/>
              </w:rPr>
              <w:t>★A020911</w:t>
            </w:r>
            <w:r>
              <w:rPr>
                <w:color w:val="auto"/>
                <w:spacing w:val="32"/>
                <w:sz w:val="18"/>
                <w:szCs w:val="18"/>
                <w:highlight w:val="none"/>
              </w:rPr>
              <w:t xml:space="preserve"> </w:t>
            </w:r>
            <w:r>
              <w:rPr>
                <w:color w:val="auto"/>
                <w:spacing w:val="1"/>
                <w:sz w:val="18"/>
                <w:szCs w:val="18"/>
                <w:highlight w:val="none"/>
              </w:rPr>
              <w:t>视</w:t>
            </w:r>
            <w:r>
              <w:rPr>
                <w:color w:val="auto"/>
                <w:spacing w:val="2"/>
                <w:sz w:val="18"/>
                <w:szCs w:val="18"/>
                <w:highlight w:val="none"/>
              </w:rPr>
              <w:t>频设备</w:t>
            </w:r>
          </w:p>
        </w:tc>
        <w:tc>
          <w:tcPr>
            <w:tcW w:w="1797" w:type="dxa"/>
            <w:vAlign w:val="top"/>
          </w:tcPr>
          <w:p w14:paraId="6E955B83">
            <w:pPr>
              <w:spacing w:line="340" w:lineRule="auto"/>
              <w:rPr>
                <w:rFonts w:ascii="Arial"/>
                <w:color w:val="auto"/>
                <w:sz w:val="21"/>
                <w:highlight w:val="none"/>
              </w:rPr>
            </w:pPr>
          </w:p>
          <w:p w14:paraId="469504FA">
            <w:pPr>
              <w:spacing w:line="341" w:lineRule="auto"/>
              <w:rPr>
                <w:rFonts w:ascii="Arial"/>
                <w:color w:val="auto"/>
                <w:sz w:val="21"/>
                <w:highlight w:val="none"/>
              </w:rPr>
            </w:pPr>
          </w:p>
          <w:p w14:paraId="2B36EC98">
            <w:pPr>
              <w:pStyle w:val="131"/>
              <w:spacing w:before="59" w:line="306" w:lineRule="auto"/>
              <w:ind w:left="22" w:right="12" w:hanging="15"/>
              <w:rPr>
                <w:color w:val="auto"/>
                <w:sz w:val="18"/>
                <w:szCs w:val="18"/>
                <w:highlight w:val="none"/>
              </w:rPr>
            </w:pPr>
            <w:r>
              <w:rPr>
                <w:color w:val="auto"/>
                <w:spacing w:val="6"/>
                <w:sz w:val="18"/>
                <w:szCs w:val="18"/>
                <w:highlight w:val="none"/>
              </w:rPr>
              <w:t>A02091107</w:t>
            </w:r>
            <w:r>
              <w:rPr>
                <w:color w:val="auto"/>
                <w:spacing w:val="73"/>
                <w:sz w:val="18"/>
                <w:szCs w:val="18"/>
                <w:highlight w:val="none"/>
              </w:rPr>
              <w:t xml:space="preserve"> </w:t>
            </w:r>
            <w:r>
              <w:rPr>
                <w:color w:val="auto"/>
                <w:spacing w:val="6"/>
                <w:sz w:val="18"/>
                <w:szCs w:val="18"/>
                <w:highlight w:val="none"/>
              </w:rPr>
              <w:t>视频监控</w:t>
            </w:r>
            <w:r>
              <w:rPr>
                <w:color w:val="auto"/>
                <w:spacing w:val="-2"/>
                <w:sz w:val="18"/>
                <w:szCs w:val="18"/>
                <w:highlight w:val="none"/>
              </w:rPr>
              <w:t>设备</w:t>
            </w:r>
          </w:p>
        </w:tc>
        <w:tc>
          <w:tcPr>
            <w:tcW w:w="1914" w:type="dxa"/>
            <w:vAlign w:val="top"/>
          </w:tcPr>
          <w:p w14:paraId="45786F8E">
            <w:pPr>
              <w:spacing w:line="276" w:lineRule="auto"/>
              <w:rPr>
                <w:rFonts w:ascii="Arial"/>
                <w:color w:val="auto"/>
                <w:sz w:val="21"/>
                <w:highlight w:val="none"/>
              </w:rPr>
            </w:pPr>
          </w:p>
          <w:p w14:paraId="74B53340">
            <w:pPr>
              <w:spacing w:line="276" w:lineRule="auto"/>
              <w:rPr>
                <w:rFonts w:ascii="Arial"/>
                <w:color w:val="auto"/>
                <w:sz w:val="21"/>
                <w:highlight w:val="none"/>
              </w:rPr>
            </w:pPr>
          </w:p>
          <w:p w14:paraId="48366341">
            <w:pPr>
              <w:spacing w:line="276" w:lineRule="auto"/>
              <w:rPr>
                <w:rFonts w:ascii="Arial"/>
                <w:color w:val="auto"/>
                <w:sz w:val="21"/>
                <w:highlight w:val="none"/>
              </w:rPr>
            </w:pPr>
          </w:p>
          <w:p w14:paraId="46FC6281">
            <w:pPr>
              <w:pStyle w:val="131"/>
              <w:spacing w:before="58" w:line="220" w:lineRule="auto"/>
              <w:ind w:left="24"/>
              <w:rPr>
                <w:color w:val="auto"/>
                <w:sz w:val="18"/>
                <w:szCs w:val="18"/>
                <w:highlight w:val="none"/>
              </w:rPr>
            </w:pPr>
            <w:r>
              <w:rPr>
                <w:color w:val="auto"/>
                <w:spacing w:val="2"/>
                <w:sz w:val="18"/>
                <w:szCs w:val="18"/>
                <w:highlight w:val="none"/>
              </w:rPr>
              <w:t>监视器</w:t>
            </w:r>
          </w:p>
        </w:tc>
        <w:tc>
          <w:tcPr>
            <w:tcW w:w="2970" w:type="dxa"/>
            <w:vAlign w:val="top"/>
          </w:tcPr>
          <w:p w14:paraId="322DC738">
            <w:pPr>
              <w:pStyle w:val="131"/>
              <w:spacing w:before="121" w:line="302" w:lineRule="auto"/>
              <w:ind w:left="24" w:right="14" w:firstLine="45"/>
              <w:jc w:val="both"/>
              <w:rPr>
                <w:color w:val="auto"/>
                <w:sz w:val="18"/>
                <w:szCs w:val="18"/>
                <w:highlight w:val="none"/>
              </w:rPr>
            </w:pPr>
            <w:r>
              <w:rPr>
                <w:color w:val="auto"/>
                <w:spacing w:val="22"/>
                <w:sz w:val="18"/>
                <w:szCs w:val="18"/>
                <w:highlight w:val="none"/>
              </w:rPr>
              <w:t>以射频信号为主要信号输入的</w:t>
            </w:r>
            <w:r>
              <w:rPr>
                <w:color w:val="auto"/>
                <w:spacing w:val="-50"/>
                <w:sz w:val="18"/>
                <w:szCs w:val="18"/>
                <w:highlight w:val="none"/>
              </w:rPr>
              <w:t xml:space="preserve"> </w:t>
            </w:r>
            <w:r>
              <w:rPr>
                <w:color w:val="auto"/>
                <w:spacing w:val="22"/>
                <w:sz w:val="18"/>
                <w:szCs w:val="18"/>
                <w:highlight w:val="none"/>
              </w:rPr>
              <w:t>监</w:t>
            </w:r>
            <w:r>
              <w:rPr>
                <w:color w:val="auto"/>
                <w:spacing w:val="15"/>
                <w:sz w:val="18"/>
                <w:szCs w:val="18"/>
                <w:highlight w:val="none"/>
              </w:rPr>
              <w:t>视器应符合《平板电视能效限定值</w:t>
            </w:r>
            <w:r>
              <w:rPr>
                <w:color w:val="auto"/>
                <w:spacing w:val="7"/>
                <w:sz w:val="18"/>
                <w:szCs w:val="18"/>
                <w:highlight w:val="none"/>
              </w:rPr>
              <w:t>及能效等级》（</w:t>
            </w:r>
            <w:r>
              <w:rPr>
                <w:color w:val="auto"/>
                <w:sz w:val="18"/>
                <w:szCs w:val="18"/>
                <w:highlight w:val="none"/>
              </w:rPr>
              <w:t>GB</w:t>
            </w:r>
            <w:r>
              <w:rPr>
                <w:color w:val="auto"/>
                <w:spacing w:val="7"/>
                <w:sz w:val="18"/>
                <w:szCs w:val="18"/>
                <w:highlight w:val="none"/>
              </w:rPr>
              <w:t xml:space="preserve"> 24850</w:t>
            </w:r>
            <w:r>
              <w:rPr>
                <w:color w:val="auto"/>
                <w:spacing w:val="-8"/>
                <w:sz w:val="18"/>
                <w:szCs w:val="18"/>
                <w:highlight w:val="none"/>
              </w:rPr>
              <w:t>），</w:t>
            </w:r>
          </w:p>
          <w:p w14:paraId="4743D2DF">
            <w:pPr>
              <w:pStyle w:val="131"/>
              <w:spacing w:before="1" w:line="290" w:lineRule="auto"/>
              <w:ind w:left="24" w:right="14" w:firstLine="45"/>
              <w:jc w:val="both"/>
              <w:rPr>
                <w:color w:val="auto"/>
                <w:sz w:val="18"/>
                <w:szCs w:val="18"/>
                <w:highlight w:val="none"/>
              </w:rPr>
            </w:pPr>
            <w:r>
              <w:rPr>
                <w:color w:val="auto"/>
                <w:spacing w:val="22"/>
                <w:sz w:val="18"/>
                <w:szCs w:val="18"/>
                <w:highlight w:val="none"/>
              </w:rPr>
              <w:t>以数字信号为主要信号输入的</w:t>
            </w:r>
            <w:r>
              <w:rPr>
                <w:color w:val="auto"/>
                <w:spacing w:val="-50"/>
                <w:sz w:val="18"/>
                <w:szCs w:val="18"/>
                <w:highlight w:val="none"/>
              </w:rPr>
              <w:t xml:space="preserve"> </w:t>
            </w:r>
            <w:r>
              <w:rPr>
                <w:color w:val="auto"/>
                <w:spacing w:val="22"/>
                <w:sz w:val="18"/>
                <w:szCs w:val="18"/>
                <w:highlight w:val="none"/>
              </w:rPr>
              <w:t>监</w:t>
            </w:r>
            <w:r>
              <w:rPr>
                <w:color w:val="auto"/>
                <w:spacing w:val="15"/>
                <w:sz w:val="18"/>
                <w:szCs w:val="18"/>
                <w:highlight w:val="none"/>
              </w:rPr>
              <w:t>视器应符合《计算机显示器能效限</w:t>
            </w:r>
            <w:r>
              <w:rPr>
                <w:color w:val="auto"/>
                <w:spacing w:val="5"/>
                <w:sz w:val="18"/>
                <w:szCs w:val="18"/>
                <w:highlight w:val="none"/>
              </w:rPr>
              <w:t>定值及能效等级》（</w:t>
            </w:r>
            <w:r>
              <w:rPr>
                <w:color w:val="auto"/>
                <w:sz w:val="18"/>
                <w:szCs w:val="18"/>
                <w:highlight w:val="none"/>
              </w:rPr>
              <w:t>GB</w:t>
            </w:r>
            <w:r>
              <w:rPr>
                <w:color w:val="auto"/>
                <w:spacing w:val="5"/>
                <w:sz w:val="18"/>
                <w:szCs w:val="18"/>
                <w:highlight w:val="none"/>
              </w:rPr>
              <w:t xml:space="preserve"> 21520）</w:t>
            </w:r>
          </w:p>
        </w:tc>
      </w:tr>
      <w:tr w14:paraId="69DF9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80" w:type="dxa"/>
            <w:vAlign w:val="top"/>
          </w:tcPr>
          <w:p w14:paraId="431F12CD">
            <w:pPr>
              <w:spacing w:line="283" w:lineRule="auto"/>
              <w:rPr>
                <w:rFonts w:ascii="Arial"/>
                <w:color w:val="auto"/>
                <w:sz w:val="21"/>
                <w:highlight w:val="none"/>
              </w:rPr>
            </w:pPr>
          </w:p>
          <w:p w14:paraId="4C90AB72">
            <w:pPr>
              <w:pStyle w:val="131"/>
              <w:spacing w:before="58" w:line="241" w:lineRule="auto"/>
              <w:ind w:left="228"/>
              <w:rPr>
                <w:color w:val="auto"/>
                <w:sz w:val="18"/>
                <w:szCs w:val="18"/>
                <w:highlight w:val="none"/>
              </w:rPr>
            </w:pPr>
            <w:r>
              <w:rPr>
                <w:color w:val="auto"/>
                <w:spacing w:val="-7"/>
                <w:sz w:val="18"/>
                <w:szCs w:val="18"/>
                <w:highlight w:val="none"/>
              </w:rPr>
              <w:t>14</w:t>
            </w:r>
          </w:p>
        </w:tc>
        <w:tc>
          <w:tcPr>
            <w:tcW w:w="1166" w:type="dxa"/>
            <w:vAlign w:val="top"/>
          </w:tcPr>
          <w:p w14:paraId="4318DA94">
            <w:pPr>
              <w:pStyle w:val="131"/>
              <w:spacing w:before="170" w:line="307" w:lineRule="auto"/>
              <w:ind w:left="22" w:right="10" w:hanging="13"/>
              <w:rPr>
                <w:color w:val="auto"/>
                <w:sz w:val="18"/>
                <w:szCs w:val="18"/>
                <w:highlight w:val="none"/>
              </w:rPr>
            </w:pPr>
            <w:r>
              <w:rPr>
                <w:color w:val="auto"/>
                <w:spacing w:val="6"/>
                <w:sz w:val="18"/>
                <w:szCs w:val="18"/>
                <w:highlight w:val="none"/>
              </w:rPr>
              <w:t>A031210 饮食</w:t>
            </w:r>
            <w:r>
              <w:rPr>
                <w:color w:val="auto"/>
                <w:spacing w:val="2"/>
                <w:sz w:val="18"/>
                <w:szCs w:val="18"/>
                <w:highlight w:val="none"/>
              </w:rPr>
              <w:t>炊事机械</w:t>
            </w:r>
          </w:p>
        </w:tc>
        <w:tc>
          <w:tcPr>
            <w:tcW w:w="1797" w:type="dxa"/>
            <w:vAlign w:val="top"/>
          </w:tcPr>
          <w:p w14:paraId="0F1E4D72">
            <w:pPr>
              <w:spacing w:line="257" w:lineRule="auto"/>
              <w:rPr>
                <w:rFonts w:ascii="Arial"/>
                <w:color w:val="auto"/>
                <w:sz w:val="21"/>
                <w:highlight w:val="none"/>
              </w:rPr>
            </w:pPr>
          </w:p>
          <w:p w14:paraId="1703B0BB">
            <w:pPr>
              <w:pStyle w:val="131"/>
              <w:spacing w:before="58" w:line="220" w:lineRule="auto"/>
              <w:ind w:left="25"/>
              <w:rPr>
                <w:color w:val="auto"/>
                <w:sz w:val="18"/>
                <w:szCs w:val="18"/>
                <w:highlight w:val="none"/>
              </w:rPr>
            </w:pPr>
            <w:r>
              <w:rPr>
                <w:color w:val="auto"/>
                <w:spacing w:val="4"/>
                <w:sz w:val="18"/>
                <w:szCs w:val="18"/>
                <w:highlight w:val="none"/>
              </w:rPr>
              <w:t>商用燃气灶具</w:t>
            </w:r>
          </w:p>
        </w:tc>
        <w:tc>
          <w:tcPr>
            <w:tcW w:w="1914" w:type="dxa"/>
            <w:vAlign w:val="top"/>
          </w:tcPr>
          <w:p w14:paraId="3774B1E4">
            <w:pPr>
              <w:rPr>
                <w:rFonts w:ascii="Arial"/>
                <w:color w:val="auto"/>
                <w:sz w:val="21"/>
                <w:highlight w:val="none"/>
              </w:rPr>
            </w:pPr>
          </w:p>
        </w:tc>
        <w:tc>
          <w:tcPr>
            <w:tcW w:w="2970" w:type="dxa"/>
            <w:vAlign w:val="top"/>
          </w:tcPr>
          <w:p w14:paraId="67EC2445">
            <w:pPr>
              <w:pStyle w:val="131"/>
              <w:spacing w:before="171" w:line="307" w:lineRule="auto"/>
              <w:ind w:left="33" w:right="40" w:hanging="3"/>
              <w:rPr>
                <w:color w:val="auto"/>
                <w:sz w:val="18"/>
                <w:szCs w:val="18"/>
                <w:highlight w:val="none"/>
              </w:rPr>
            </w:pPr>
            <w:r>
              <w:rPr>
                <w:color w:val="auto"/>
                <w:spacing w:val="22"/>
                <w:sz w:val="18"/>
                <w:szCs w:val="18"/>
                <w:highlight w:val="none"/>
              </w:rPr>
              <w:t>《</w:t>
            </w:r>
            <w:r>
              <w:rPr>
                <w:color w:val="auto"/>
                <w:spacing w:val="-26"/>
                <w:sz w:val="18"/>
                <w:szCs w:val="18"/>
                <w:highlight w:val="none"/>
              </w:rPr>
              <w:t xml:space="preserve"> </w:t>
            </w:r>
            <w:r>
              <w:rPr>
                <w:color w:val="auto"/>
                <w:spacing w:val="22"/>
                <w:sz w:val="18"/>
                <w:szCs w:val="18"/>
                <w:highlight w:val="none"/>
              </w:rPr>
              <w:t>商用燃气灶具能效限定值及能</w:t>
            </w:r>
            <w:r>
              <w:rPr>
                <w:color w:val="auto"/>
                <w:spacing w:val="4"/>
                <w:sz w:val="18"/>
                <w:szCs w:val="18"/>
                <w:highlight w:val="none"/>
              </w:rPr>
              <w:t>效等级》（</w:t>
            </w:r>
            <w:r>
              <w:rPr>
                <w:color w:val="auto"/>
                <w:sz w:val="18"/>
                <w:szCs w:val="18"/>
                <w:highlight w:val="none"/>
              </w:rPr>
              <w:t>GB</w:t>
            </w:r>
            <w:r>
              <w:rPr>
                <w:color w:val="auto"/>
                <w:spacing w:val="4"/>
                <w:sz w:val="18"/>
                <w:szCs w:val="18"/>
                <w:highlight w:val="none"/>
              </w:rPr>
              <w:t xml:space="preserve"> 30531）</w:t>
            </w:r>
          </w:p>
        </w:tc>
      </w:tr>
      <w:tr w14:paraId="11805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580" w:type="dxa"/>
            <w:vMerge w:val="restart"/>
            <w:tcBorders>
              <w:bottom w:val="nil"/>
            </w:tcBorders>
            <w:vAlign w:val="top"/>
          </w:tcPr>
          <w:p w14:paraId="3C542FFD">
            <w:pPr>
              <w:spacing w:line="241" w:lineRule="auto"/>
              <w:rPr>
                <w:rFonts w:ascii="Arial"/>
                <w:color w:val="auto"/>
                <w:sz w:val="21"/>
                <w:highlight w:val="none"/>
              </w:rPr>
            </w:pPr>
          </w:p>
          <w:p w14:paraId="10748F3E">
            <w:pPr>
              <w:spacing w:line="242" w:lineRule="auto"/>
              <w:rPr>
                <w:rFonts w:ascii="Arial"/>
                <w:color w:val="auto"/>
                <w:sz w:val="21"/>
                <w:highlight w:val="none"/>
              </w:rPr>
            </w:pPr>
          </w:p>
          <w:p w14:paraId="6B9D686B">
            <w:pPr>
              <w:spacing w:line="242" w:lineRule="auto"/>
              <w:rPr>
                <w:rFonts w:ascii="Arial"/>
                <w:color w:val="auto"/>
                <w:sz w:val="21"/>
                <w:highlight w:val="none"/>
              </w:rPr>
            </w:pPr>
          </w:p>
          <w:p w14:paraId="0D274C00">
            <w:pPr>
              <w:spacing w:line="242" w:lineRule="auto"/>
              <w:rPr>
                <w:rFonts w:ascii="Arial"/>
                <w:color w:val="auto"/>
                <w:sz w:val="21"/>
                <w:highlight w:val="none"/>
              </w:rPr>
            </w:pPr>
          </w:p>
          <w:p w14:paraId="4073F7F9">
            <w:pPr>
              <w:spacing w:line="242" w:lineRule="auto"/>
              <w:rPr>
                <w:rFonts w:ascii="Arial"/>
                <w:color w:val="auto"/>
                <w:sz w:val="21"/>
                <w:highlight w:val="none"/>
              </w:rPr>
            </w:pPr>
          </w:p>
          <w:p w14:paraId="500CA88B">
            <w:pPr>
              <w:pStyle w:val="131"/>
              <w:spacing w:before="58"/>
              <w:ind w:left="228"/>
              <w:rPr>
                <w:color w:val="auto"/>
                <w:sz w:val="18"/>
                <w:szCs w:val="18"/>
                <w:highlight w:val="none"/>
              </w:rPr>
            </w:pPr>
            <w:r>
              <w:rPr>
                <w:color w:val="auto"/>
                <w:spacing w:val="-7"/>
                <w:sz w:val="18"/>
                <w:szCs w:val="18"/>
                <w:highlight w:val="none"/>
              </w:rPr>
              <w:t>15</w:t>
            </w:r>
          </w:p>
        </w:tc>
        <w:tc>
          <w:tcPr>
            <w:tcW w:w="1166" w:type="dxa"/>
            <w:vMerge w:val="restart"/>
            <w:tcBorders>
              <w:bottom w:val="nil"/>
            </w:tcBorders>
            <w:vAlign w:val="top"/>
          </w:tcPr>
          <w:p w14:paraId="68C82E13">
            <w:pPr>
              <w:spacing w:line="262" w:lineRule="auto"/>
              <w:rPr>
                <w:rFonts w:ascii="Arial"/>
                <w:color w:val="auto"/>
                <w:sz w:val="21"/>
                <w:highlight w:val="none"/>
              </w:rPr>
            </w:pPr>
          </w:p>
          <w:p w14:paraId="76A0315C">
            <w:pPr>
              <w:spacing w:line="262" w:lineRule="auto"/>
              <w:rPr>
                <w:rFonts w:ascii="Arial"/>
                <w:color w:val="auto"/>
                <w:sz w:val="21"/>
                <w:highlight w:val="none"/>
              </w:rPr>
            </w:pPr>
          </w:p>
          <w:p w14:paraId="40DB4139">
            <w:pPr>
              <w:spacing w:line="263" w:lineRule="auto"/>
              <w:rPr>
                <w:rFonts w:ascii="Arial"/>
                <w:color w:val="auto"/>
                <w:sz w:val="21"/>
                <w:highlight w:val="none"/>
              </w:rPr>
            </w:pPr>
          </w:p>
          <w:p w14:paraId="53F1B20A">
            <w:pPr>
              <w:pStyle w:val="131"/>
              <w:spacing w:before="59" w:line="312" w:lineRule="auto"/>
              <w:ind w:left="19" w:right="10" w:firstLine="5"/>
              <w:rPr>
                <w:color w:val="auto"/>
                <w:sz w:val="18"/>
                <w:szCs w:val="18"/>
                <w:highlight w:val="none"/>
              </w:rPr>
            </w:pPr>
            <w:r>
              <w:rPr>
                <w:color w:val="auto"/>
                <w:sz w:val="18"/>
                <w:szCs w:val="18"/>
                <w:highlight w:val="none"/>
              </w:rPr>
              <w:t>★A060805</w:t>
            </w:r>
            <w:r>
              <w:rPr>
                <w:color w:val="auto"/>
                <w:spacing w:val="44"/>
                <w:sz w:val="18"/>
                <w:szCs w:val="18"/>
                <w:highlight w:val="none"/>
              </w:rPr>
              <w:t xml:space="preserve"> </w:t>
            </w:r>
            <w:r>
              <w:rPr>
                <w:color w:val="auto"/>
                <w:sz w:val="18"/>
                <w:szCs w:val="18"/>
                <w:highlight w:val="none"/>
              </w:rPr>
              <w:t>便器</w:t>
            </w:r>
          </w:p>
        </w:tc>
        <w:tc>
          <w:tcPr>
            <w:tcW w:w="1797" w:type="dxa"/>
            <w:vAlign w:val="top"/>
          </w:tcPr>
          <w:p w14:paraId="5D4A618B">
            <w:pPr>
              <w:spacing w:line="304" w:lineRule="auto"/>
              <w:rPr>
                <w:rFonts w:ascii="Arial"/>
                <w:color w:val="auto"/>
                <w:sz w:val="21"/>
                <w:highlight w:val="none"/>
              </w:rPr>
            </w:pPr>
          </w:p>
          <w:p w14:paraId="50A09CD0">
            <w:pPr>
              <w:pStyle w:val="131"/>
              <w:spacing w:before="58" w:line="220" w:lineRule="auto"/>
              <w:ind w:left="20"/>
              <w:rPr>
                <w:color w:val="auto"/>
                <w:sz w:val="18"/>
                <w:szCs w:val="18"/>
                <w:highlight w:val="none"/>
              </w:rPr>
            </w:pPr>
            <w:r>
              <w:rPr>
                <w:color w:val="auto"/>
                <w:spacing w:val="2"/>
                <w:sz w:val="18"/>
                <w:szCs w:val="18"/>
                <w:highlight w:val="none"/>
              </w:rPr>
              <w:t>坐便器</w:t>
            </w:r>
          </w:p>
        </w:tc>
        <w:tc>
          <w:tcPr>
            <w:tcW w:w="1914" w:type="dxa"/>
            <w:vAlign w:val="top"/>
          </w:tcPr>
          <w:p w14:paraId="1A0C20A2">
            <w:pPr>
              <w:rPr>
                <w:rFonts w:ascii="Arial"/>
                <w:color w:val="auto"/>
                <w:sz w:val="21"/>
                <w:highlight w:val="none"/>
              </w:rPr>
            </w:pPr>
          </w:p>
        </w:tc>
        <w:tc>
          <w:tcPr>
            <w:tcW w:w="2970" w:type="dxa"/>
            <w:vAlign w:val="top"/>
          </w:tcPr>
          <w:p w14:paraId="46087DE7">
            <w:pPr>
              <w:pStyle w:val="131"/>
              <w:spacing w:before="218" w:line="319" w:lineRule="auto"/>
              <w:ind w:left="39" w:right="11" w:hanging="6"/>
              <w:rPr>
                <w:color w:val="auto"/>
                <w:sz w:val="18"/>
                <w:szCs w:val="18"/>
                <w:highlight w:val="none"/>
              </w:rPr>
            </w:pPr>
            <w:r>
              <w:rPr>
                <w:color w:val="auto"/>
                <w:spacing w:val="14"/>
                <w:sz w:val="18"/>
                <w:szCs w:val="18"/>
                <w:highlight w:val="none"/>
              </w:rPr>
              <w:t>《坐便器水效限定值及水效等级》</w:t>
            </w:r>
            <w:r>
              <w:rPr>
                <w:color w:val="auto"/>
                <w:spacing w:val="9"/>
                <w:sz w:val="18"/>
                <w:szCs w:val="18"/>
                <w:highlight w:val="none"/>
              </w:rPr>
              <w:t xml:space="preserve"> </w:t>
            </w:r>
            <w:r>
              <w:rPr>
                <w:color w:val="auto"/>
                <w:spacing w:val="-2"/>
                <w:sz w:val="18"/>
                <w:szCs w:val="18"/>
                <w:highlight w:val="none"/>
              </w:rPr>
              <w:t>（GB</w:t>
            </w:r>
            <w:r>
              <w:rPr>
                <w:color w:val="auto"/>
                <w:spacing w:val="27"/>
                <w:w w:val="101"/>
                <w:sz w:val="18"/>
                <w:szCs w:val="18"/>
                <w:highlight w:val="none"/>
              </w:rPr>
              <w:t xml:space="preserve"> </w:t>
            </w:r>
            <w:r>
              <w:rPr>
                <w:color w:val="auto"/>
                <w:spacing w:val="-2"/>
                <w:sz w:val="18"/>
                <w:szCs w:val="18"/>
                <w:highlight w:val="none"/>
              </w:rPr>
              <w:t>25502）</w:t>
            </w:r>
          </w:p>
        </w:tc>
      </w:tr>
      <w:tr w14:paraId="4861C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80" w:type="dxa"/>
            <w:vMerge w:val="continue"/>
            <w:tcBorders>
              <w:top w:val="nil"/>
              <w:bottom w:val="nil"/>
            </w:tcBorders>
            <w:vAlign w:val="top"/>
          </w:tcPr>
          <w:p w14:paraId="67DFDD3E">
            <w:pPr>
              <w:rPr>
                <w:rFonts w:ascii="Arial"/>
                <w:color w:val="auto"/>
                <w:sz w:val="21"/>
                <w:highlight w:val="none"/>
              </w:rPr>
            </w:pPr>
          </w:p>
        </w:tc>
        <w:tc>
          <w:tcPr>
            <w:tcW w:w="1166" w:type="dxa"/>
            <w:vMerge w:val="continue"/>
            <w:tcBorders>
              <w:top w:val="nil"/>
              <w:bottom w:val="nil"/>
            </w:tcBorders>
            <w:vAlign w:val="top"/>
          </w:tcPr>
          <w:p w14:paraId="349D17AC">
            <w:pPr>
              <w:rPr>
                <w:rFonts w:ascii="Arial"/>
                <w:color w:val="auto"/>
                <w:sz w:val="21"/>
                <w:highlight w:val="none"/>
              </w:rPr>
            </w:pPr>
          </w:p>
        </w:tc>
        <w:tc>
          <w:tcPr>
            <w:tcW w:w="1797" w:type="dxa"/>
            <w:vAlign w:val="top"/>
          </w:tcPr>
          <w:p w14:paraId="7820CBF0">
            <w:pPr>
              <w:spacing w:line="304" w:lineRule="auto"/>
              <w:rPr>
                <w:rFonts w:ascii="Arial"/>
                <w:color w:val="auto"/>
                <w:sz w:val="21"/>
                <w:highlight w:val="none"/>
              </w:rPr>
            </w:pPr>
          </w:p>
          <w:p w14:paraId="00716EF0">
            <w:pPr>
              <w:pStyle w:val="131"/>
              <w:spacing w:before="59" w:line="220" w:lineRule="auto"/>
              <w:ind w:left="16"/>
              <w:rPr>
                <w:color w:val="auto"/>
                <w:sz w:val="18"/>
                <w:szCs w:val="18"/>
                <w:highlight w:val="none"/>
              </w:rPr>
            </w:pPr>
            <w:r>
              <w:rPr>
                <w:color w:val="auto"/>
                <w:spacing w:val="2"/>
                <w:sz w:val="18"/>
                <w:szCs w:val="18"/>
                <w:highlight w:val="none"/>
              </w:rPr>
              <w:t>蹲便器</w:t>
            </w:r>
          </w:p>
        </w:tc>
        <w:tc>
          <w:tcPr>
            <w:tcW w:w="1914" w:type="dxa"/>
            <w:vAlign w:val="top"/>
          </w:tcPr>
          <w:p w14:paraId="242E29F8">
            <w:pPr>
              <w:rPr>
                <w:rFonts w:ascii="Arial"/>
                <w:color w:val="auto"/>
                <w:sz w:val="21"/>
                <w:highlight w:val="none"/>
              </w:rPr>
            </w:pPr>
          </w:p>
        </w:tc>
        <w:tc>
          <w:tcPr>
            <w:tcW w:w="2970" w:type="dxa"/>
            <w:vAlign w:val="top"/>
          </w:tcPr>
          <w:p w14:paraId="5DFB1FC2">
            <w:pPr>
              <w:pStyle w:val="131"/>
              <w:spacing w:before="221" w:line="305" w:lineRule="auto"/>
              <w:ind w:left="33" w:right="39" w:hanging="3"/>
              <w:rPr>
                <w:color w:val="auto"/>
                <w:sz w:val="18"/>
                <w:szCs w:val="18"/>
                <w:highlight w:val="none"/>
              </w:rPr>
            </w:pPr>
            <w:r>
              <w:rPr>
                <w:color w:val="auto"/>
                <w:spacing w:val="22"/>
                <w:sz w:val="18"/>
                <w:szCs w:val="18"/>
                <w:highlight w:val="none"/>
              </w:rPr>
              <w:t>《</w:t>
            </w:r>
            <w:r>
              <w:rPr>
                <w:color w:val="auto"/>
                <w:spacing w:val="-25"/>
                <w:sz w:val="18"/>
                <w:szCs w:val="18"/>
                <w:highlight w:val="none"/>
              </w:rPr>
              <w:t xml:space="preserve"> </w:t>
            </w:r>
            <w:r>
              <w:rPr>
                <w:color w:val="auto"/>
                <w:spacing w:val="22"/>
                <w:sz w:val="18"/>
                <w:szCs w:val="18"/>
                <w:highlight w:val="none"/>
              </w:rPr>
              <w:t>蹲便器用水效率限定值及用水</w:t>
            </w:r>
            <w:r>
              <w:rPr>
                <w:color w:val="auto"/>
                <w:spacing w:val="4"/>
                <w:sz w:val="18"/>
                <w:szCs w:val="18"/>
                <w:highlight w:val="none"/>
              </w:rPr>
              <w:t>效率等级》（</w:t>
            </w:r>
            <w:r>
              <w:rPr>
                <w:color w:val="auto"/>
                <w:sz w:val="18"/>
                <w:szCs w:val="18"/>
                <w:highlight w:val="none"/>
              </w:rPr>
              <w:t>GB</w:t>
            </w:r>
            <w:r>
              <w:rPr>
                <w:color w:val="auto"/>
                <w:spacing w:val="4"/>
                <w:sz w:val="18"/>
                <w:szCs w:val="18"/>
                <w:highlight w:val="none"/>
              </w:rPr>
              <w:t xml:space="preserve"> 30717）</w:t>
            </w:r>
          </w:p>
        </w:tc>
      </w:tr>
      <w:tr w14:paraId="53B71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580" w:type="dxa"/>
            <w:vMerge w:val="continue"/>
            <w:tcBorders>
              <w:top w:val="nil"/>
            </w:tcBorders>
            <w:vAlign w:val="top"/>
          </w:tcPr>
          <w:p w14:paraId="0000C1AF">
            <w:pPr>
              <w:rPr>
                <w:rFonts w:ascii="Arial"/>
                <w:color w:val="auto"/>
                <w:sz w:val="21"/>
                <w:highlight w:val="none"/>
              </w:rPr>
            </w:pPr>
          </w:p>
        </w:tc>
        <w:tc>
          <w:tcPr>
            <w:tcW w:w="1166" w:type="dxa"/>
            <w:vMerge w:val="continue"/>
            <w:tcBorders>
              <w:top w:val="nil"/>
            </w:tcBorders>
            <w:vAlign w:val="top"/>
          </w:tcPr>
          <w:p w14:paraId="31A88EAA">
            <w:pPr>
              <w:rPr>
                <w:rFonts w:ascii="Arial"/>
                <w:color w:val="auto"/>
                <w:sz w:val="21"/>
                <w:highlight w:val="none"/>
              </w:rPr>
            </w:pPr>
          </w:p>
        </w:tc>
        <w:tc>
          <w:tcPr>
            <w:tcW w:w="1797" w:type="dxa"/>
            <w:vAlign w:val="top"/>
          </w:tcPr>
          <w:p w14:paraId="0DF8F12C">
            <w:pPr>
              <w:spacing w:line="305" w:lineRule="auto"/>
              <w:rPr>
                <w:rFonts w:ascii="Arial"/>
                <w:color w:val="auto"/>
                <w:sz w:val="21"/>
                <w:highlight w:val="none"/>
              </w:rPr>
            </w:pPr>
          </w:p>
          <w:p w14:paraId="3EDFFCB8">
            <w:pPr>
              <w:pStyle w:val="131"/>
              <w:spacing w:before="58" w:line="220" w:lineRule="auto"/>
              <w:ind w:left="27"/>
              <w:rPr>
                <w:color w:val="auto"/>
                <w:sz w:val="18"/>
                <w:szCs w:val="18"/>
                <w:highlight w:val="none"/>
              </w:rPr>
            </w:pPr>
            <w:r>
              <w:rPr>
                <w:color w:val="auto"/>
                <w:spacing w:val="-1"/>
                <w:sz w:val="18"/>
                <w:szCs w:val="18"/>
                <w:highlight w:val="none"/>
              </w:rPr>
              <w:t>小便器</w:t>
            </w:r>
          </w:p>
        </w:tc>
        <w:tc>
          <w:tcPr>
            <w:tcW w:w="1914" w:type="dxa"/>
            <w:vAlign w:val="top"/>
          </w:tcPr>
          <w:p w14:paraId="1AE55EB4">
            <w:pPr>
              <w:rPr>
                <w:rFonts w:ascii="Arial"/>
                <w:color w:val="auto"/>
                <w:sz w:val="21"/>
                <w:highlight w:val="none"/>
              </w:rPr>
            </w:pPr>
          </w:p>
        </w:tc>
        <w:tc>
          <w:tcPr>
            <w:tcW w:w="2970" w:type="dxa"/>
            <w:vAlign w:val="top"/>
          </w:tcPr>
          <w:p w14:paraId="7A107484">
            <w:pPr>
              <w:pStyle w:val="131"/>
              <w:spacing w:before="221" w:line="305" w:lineRule="auto"/>
              <w:ind w:left="33" w:right="39" w:hanging="3"/>
              <w:rPr>
                <w:color w:val="auto"/>
                <w:sz w:val="18"/>
                <w:szCs w:val="18"/>
                <w:highlight w:val="none"/>
              </w:rPr>
            </w:pPr>
            <w:r>
              <w:rPr>
                <w:color w:val="auto"/>
                <w:spacing w:val="22"/>
                <w:sz w:val="18"/>
                <w:szCs w:val="18"/>
                <w:highlight w:val="none"/>
              </w:rPr>
              <w:t>《</w:t>
            </w:r>
            <w:r>
              <w:rPr>
                <w:color w:val="auto"/>
                <w:spacing w:val="-25"/>
                <w:sz w:val="18"/>
                <w:szCs w:val="18"/>
                <w:highlight w:val="none"/>
              </w:rPr>
              <w:t xml:space="preserve"> </w:t>
            </w:r>
            <w:r>
              <w:rPr>
                <w:color w:val="auto"/>
                <w:spacing w:val="22"/>
                <w:sz w:val="18"/>
                <w:szCs w:val="18"/>
                <w:highlight w:val="none"/>
              </w:rPr>
              <w:t>小便器用水效率限定值及用水</w:t>
            </w:r>
            <w:r>
              <w:rPr>
                <w:color w:val="auto"/>
                <w:spacing w:val="4"/>
                <w:sz w:val="18"/>
                <w:szCs w:val="18"/>
                <w:highlight w:val="none"/>
              </w:rPr>
              <w:t>效率等级》（</w:t>
            </w:r>
            <w:r>
              <w:rPr>
                <w:color w:val="auto"/>
                <w:sz w:val="18"/>
                <w:szCs w:val="18"/>
                <w:highlight w:val="none"/>
              </w:rPr>
              <w:t>GB</w:t>
            </w:r>
            <w:r>
              <w:rPr>
                <w:color w:val="auto"/>
                <w:spacing w:val="4"/>
                <w:sz w:val="18"/>
                <w:szCs w:val="18"/>
                <w:highlight w:val="none"/>
              </w:rPr>
              <w:t xml:space="preserve"> 28377）</w:t>
            </w:r>
          </w:p>
        </w:tc>
      </w:tr>
    </w:tbl>
    <w:p w14:paraId="086CBF3E">
      <w:pPr>
        <w:spacing w:line="167" w:lineRule="exact"/>
        <w:rPr>
          <w:color w:val="auto"/>
          <w:highlight w:val="none"/>
        </w:rPr>
      </w:pPr>
    </w:p>
    <w:tbl>
      <w:tblPr>
        <w:tblStyle w:val="114"/>
        <w:tblW w:w="8800"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0"/>
        <w:gridCol w:w="1166"/>
        <w:gridCol w:w="1797"/>
        <w:gridCol w:w="1914"/>
        <w:gridCol w:w="3343"/>
      </w:tblGrid>
      <w:tr w14:paraId="7E6A6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580" w:type="dxa"/>
            <w:vAlign w:val="top"/>
          </w:tcPr>
          <w:p w14:paraId="1EBEA8A8">
            <w:pPr>
              <w:spacing w:line="358" w:lineRule="auto"/>
              <w:rPr>
                <w:rFonts w:ascii="Arial"/>
                <w:color w:val="auto"/>
                <w:sz w:val="21"/>
                <w:highlight w:val="none"/>
              </w:rPr>
            </w:pPr>
          </w:p>
          <w:p w14:paraId="44FC63C1">
            <w:pPr>
              <w:pStyle w:val="131"/>
              <w:spacing w:before="58"/>
              <w:ind w:left="228"/>
              <w:rPr>
                <w:color w:val="auto"/>
                <w:sz w:val="18"/>
                <w:szCs w:val="18"/>
                <w:highlight w:val="none"/>
              </w:rPr>
            </w:pPr>
            <w:r>
              <w:rPr>
                <w:color w:val="auto"/>
                <w:spacing w:val="-7"/>
                <w:sz w:val="18"/>
                <w:szCs w:val="18"/>
                <w:highlight w:val="none"/>
              </w:rPr>
              <w:t>16</w:t>
            </w:r>
          </w:p>
        </w:tc>
        <w:tc>
          <w:tcPr>
            <w:tcW w:w="1166" w:type="dxa"/>
            <w:vAlign w:val="top"/>
          </w:tcPr>
          <w:p w14:paraId="392F429C">
            <w:pPr>
              <w:pStyle w:val="131"/>
              <w:spacing w:before="248" w:line="305" w:lineRule="auto"/>
              <w:ind w:left="33" w:right="8" w:hanging="6"/>
              <w:rPr>
                <w:color w:val="auto"/>
                <w:sz w:val="18"/>
                <w:szCs w:val="18"/>
                <w:highlight w:val="none"/>
              </w:rPr>
            </w:pPr>
            <w:r>
              <w:rPr>
                <w:color w:val="auto"/>
                <w:sz w:val="18"/>
                <w:szCs w:val="18"/>
                <w:highlight w:val="none"/>
              </w:rPr>
              <w:t>★A060806</w:t>
            </w:r>
            <w:r>
              <w:rPr>
                <w:color w:val="auto"/>
                <w:spacing w:val="44"/>
                <w:sz w:val="18"/>
                <w:szCs w:val="18"/>
                <w:highlight w:val="none"/>
              </w:rPr>
              <w:t xml:space="preserve"> </w:t>
            </w:r>
            <w:r>
              <w:rPr>
                <w:color w:val="auto"/>
                <w:sz w:val="18"/>
                <w:szCs w:val="18"/>
                <w:highlight w:val="none"/>
              </w:rPr>
              <w:t>水嘴</w:t>
            </w:r>
          </w:p>
        </w:tc>
        <w:tc>
          <w:tcPr>
            <w:tcW w:w="1797" w:type="dxa"/>
            <w:vAlign w:val="top"/>
          </w:tcPr>
          <w:p w14:paraId="0A6448D2">
            <w:pPr>
              <w:rPr>
                <w:rFonts w:ascii="Arial"/>
                <w:color w:val="auto"/>
                <w:sz w:val="21"/>
                <w:highlight w:val="none"/>
              </w:rPr>
            </w:pPr>
          </w:p>
        </w:tc>
        <w:tc>
          <w:tcPr>
            <w:tcW w:w="1914" w:type="dxa"/>
            <w:vAlign w:val="top"/>
          </w:tcPr>
          <w:p w14:paraId="4DF199E3">
            <w:pPr>
              <w:rPr>
                <w:rFonts w:ascii="Arial"/>
                <w:color w:val="auto"/>
                <w:sz w:val="21"/>
                <w:highlight w:val="none"/>
              </w:rPr>
            </w:pPr>
          </w:p>
        </w:tc>
        <w:tc>
          <w:tcPr>
            <w:tcW w:w="3343" w:type="dxa"/>
            <w:vAlign w:val="top"/>
          </w:tcPr>
          <w:p w14:paraId="450226A0">
            <w:pPr>
              <w:pStyle w:val="131"/>
              <w:spacing w:before="248" w:line="305" w:lineRule="auto"/>
              <w:ind w:left="28" w:right="39" w:firstLine="1"/>
              <w:rPr>
                <w:color w:val="auto"/>
                <w:sz w:val="18"/>
                <w:szCs w:val="18"/>
                <w:highlight w:val="none"/>
              </w:rPr>
            </w:pPr>
            <w:r>
              <w:rPr>
                <w:color w:val="auto"/>
                <w:spacing w:val="22"/>
                <w:sz w:val="18"/>
                <w:szCs w:val="18"/>
                <w:highlight w:val="none"/>
              </w:rPr>
              <w:t>《</w:t>
            </w:r>
            <w:r>
              <w:rPr>
                <w:color w:val="auto"/>
                <w:spacing w:val="-24"/>
                <w:sz w:val="18"/>
                <w:szCs w:val="18"/>
                <w:highlight w:val="none"/>
              </w:rPr>
              <w:t xml:space="preserve"> </w:t>
            </w:r>
            <w:r>
              <w:rPr>
                <w:color w:val="auto"/>
                <w:spacing w:val="22"/>
                <w:sz w:val="18"/>
                <w:szCs w:val="18"/>
                <w:highlight w:val="none"/>
              </w:rPr>
              <w:t>水嘴用水效率限定值及用水效</w:t>
            </w:r>
            <w:r>
              <w:rPr>
                <w:color w:val="auto"/>
                <w:spacing w:val="4"/>
                <w:sz w:val="18"/>
                <w:szCs w:val="18"/>
                <w:highlight w:val="none"/>
              </w:rPr>
              <w:t>率等级》（</w:t>
            </w:r>
            <w:r>
              <w:rPr>
                <w:color w:val="auto"/>
                <w:sz w:val="18"/>
                <w:szCs w:val="18"/>
                <w:highlight w:val="none"/>
              </w:rPr>
              <w:t>GB</w:t>
            </w:r>
            <w:r>
              <w:rPr>
                <w:color w:val="auto"/>
                <w:spacing w:val="4"/>
                <w:sz w:val="18"/>
                <w:szCs w:val="18"/>
                <w:highlight w:val="none"/>
              </w:rPr>
              <w:t xml:space="preserve"> 25501）</w:t>
            </w:r>
          </w:p>
        </w:tc>
      </w:tr>
      <w:tr w14:paraId="607C4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80" w:type="dxa"/>
            <w:vAlign w:val="top"/>
          </w:tcPr>
          <w:p w14:paraId="7F952D7F">
            <w:pPr>
              <w:spacing w:line="313" w:lineRule="auto"/>
              <w:rPr>
                <w:rFonts w:ascii="Arial"/>
                <w:color w:val="auto"/>
                <w:sz w:val="21"/>
                <w:highlight w:val="none"/>
              </w:rPr>
            </w:pPr>
          </w:p>
          <w:p w14:paraId="7AFA9494">
            <w:pPr>
              <w:pStyle w:val="131"/>
              <w:spacing w:before="59"/>
              <w:ind w:left="228"/>
              <w:rPr>
                <w:color w:val="auto"/>
                <w:sz w:val="18"/>
                <w:szCs w:val="18"/>
                <w:highlight w:val="none"/>
              </w:rPr>
            </w:pPr>
            <w:r>
              <w:rPr>
                <w:color w:val="auto"/>
                <w:spacing w:val="-7"/>
                <w:sz w:val="18"/>
                <w:szCs w:val="18"/>
                <w:highlight w:val="none"/>
              </w:rPr>
              <w:t>17</w:t>
            </w:r>
          </w:p>
        </w:tc>
        <w:tc>
          <w:tcPr>
            <w:tcW w:w="1166" w:type="dxa"/>
            <w:vAlign w:val="top"/>
          </w:tcPr>
          <w:p w14:paraId="1A81F014">
            <w:pPr>
              <w:pStyle w:val="131"/>
              <w:spacing w:before="204" w:line="308" w:lineRule="auto"/>
              <w:ind w:left="20" w:right="10" w:hanging="11"/>
              <w:rPr>
                <w:color w:val="auto"/>
                <w:sz w:val="18"/>
                <w:szCs w:val="18"/>
                <w:highlight w:val="none"/>
              </w:rPr>
            </w:pPr>
            <w:r>
              <w:rPr>
                <w:color w:val="auto"/>
                <w:spacing w:val="6"/>
                <w:sz w:val="18"/>
                <w:szCs w:val="18"/>
                <w:highlight w:val="none"/>
              </w:rPr>
              <w:t>A060807 便器</w:t>
            </w:r>
            <w:r>
              <w:rPr>
                <w:color w:val="auto"/>
                <w:spacing w:val="2"/>
                <w:sz w:val="18"/>
                <w:szCs w:val="18"/>
                <w:highlight w:val="none"/>
              </w:rPr>
              <w:t>冲洗阀</w:t>
            </w:r>
          </w:p>
        </w:tc>
        <w:tc>
          <w:tcPr>
            <w:tcW w:w="1797" w:type="dxa"/>
            <w:vAlign w:val="top"/>
          </w:tcPr>
          <w:p w14:paraId="7A7C0FD8">
            <w:pPr>
              <w:rPr>
                <w:rFonts w:ascii="Arial"/>
                <w:color w:val="auto"/>
                <w:sz w:val="21"/>
                <w:highlight w:val="none"/>
              </w:rPr>
            </w:pPr>
          </w:p>
        </w:tc>
        <w:tc>
          <w:tcPr>
            <w:tcW w:w="1914" w:type="dxa"/>
            <w:vAlign w:val="top"/>
          </w:tcPr>
          <w:p w14:paraId="76E80E91">
            <w:pPr>
              <w:rPr>
                <w:rFonts w:ascii="Arial"/>
                <w:color w:val="auto"/>
                <w:sz w:val="21"/>
                <w:highlight w:val="none"/>
              </w:rPr>
            </w:pPr>
          </w:p>
        </w:tc>
        <w:tc>
          <w:tcPr>
            <w:tcW w:w="3343" w:type="dxa"/>
            <w:vAlign w:val="top"/>
          </w:tcPr>
          <w:p w14:paraId="4FBE7DC6">
            <w:pPr>
              <w:pStyle w:val="131"/>
              <w:spacing w:before="206" w:line="305" w:lineRule="auto"/>
              <w:ind w:left="28" w:right="41" w:firstLine="1"/>
              <w:rPr>
                <w:color w:val="auto"/>
                <w:sz w:val="18"/>
                <w:szCs w:val="18"/>
                <w:highlight w:val="none"/>
              </w:rPr>
            </w:pPr>
            <w:r>
              <w:rPr>
                <w:color w:val="auto"/>
                <w:spacing w:val="22"/>
                <w:sz w:val="18"/>
                <w:szCs w:val="18"/>
                <w:highlight w:val="none"/>
              </w:rPr>
              <w:t>《</w:t>
            </w:r>
            <w:r>
              <w:rPr>
                <w:color w:val="auto"/>
                <w:spacing w:val="-26"/>
                <w:sz w:val="18"/>
                <w:szCs w:val="18"/>
                <w:highlight w:val="none"/>
              </w:rPr>
              <w:t xml:space="preserve"> </w:t>
            </w:r>
            <w:r>
              <w:rPr>
                <w:color w:val="auto"/>
                <w:spacing w:val="22"/>
                <w:sz w:val="18"/>
                <w:szCs w:val="18"/>
                <w:highlight w:val="none"/>
              </w:rPr>
              <w:t>便器冲洗阀用水效率限定值及</w:t>
            </w:r>
            <w:r>
              <w:rPr>
                <w:color w:val="auto"/>
                <w:spacing w:val="5"/>
                <w:sz w:val="18"/>
                <w:szCs w:val="18"/>
                <w:highlight w:val="none"/>
              </w:rPr>
              <w:t>用水效率等级》（</w:t>
            </w:r>
            <w:r>
              <w:rPr>
                <w:color w:val="auto"/>
                <w:sz w:val="18"/>
                <w:szCs w:val="18"/>
                <w:highlight w:val="none"/>
              </w:rPr>
              <w:t>GB</w:t>
            </w:r>
            <w:r>
              <w:rPr>
                <w:color w:val="auto"/>
                <w:spacing w:val="5"/>
                <w:sz w:val="18"/>
                <w:szCs w:val="18"/>
                <w:highlight w:val="none"/>
              </w:rPr>
              <w:t xml:space="preserve"> 28379）</w:t>
            </w:r>
          </w:p>
        </w:tc>
      </w:tr>
      <w:tr w14:paraId="0B422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580" w:type="dxa"/>
            <w:vAlign w:val="top"/>
          </w:tcPr>
          <w:p w14:paraId="65226475">
            <w:pPr>
              <w:spacing w:line="334" w:lineRule="auto"/>
              <w:rPr>
                <w:rFonts w:ascii="Arial"/>
                <w:color w:val="auto"/>
                <w:sz w:val="21"/>
                <w:highlight w:val="none"/>
              </w:rPr>
            </w:pPr>
          </w:p>
          <w:p w14:paraId="5605A0A5">
            <w:pPr>
              <w:pStyle w:val="131"/>
              <w:spacing w:before="59"/>
              <w:ind w:left="228"/>
              <w:rPr>
                <w:color w:val="auto"/>
                <w:sz w:val="18"/>
                <w:szCs w:val="18"/>
                <w:highlight w:val="none"/>
              </w:rPr>
            </w:pPr>
            <w:r>
              <w:rPr>
                <w:color w:val="auto"/>
                <w:spacing w:val="-7"/>
                <w:sz w:val="18"/>
                <w:szCs w:val="18"/>
                <w:highlight w:val="none"/>
              </w:rPr>
              <w:t>18</w:t>
            </w:r>
          </w:p>
        </w:tc>
        <w:tc>
          <w:tcPr>
            <w:tcW w:w="1166" w:type="dxa"/>
            <w:vAlign w:val="top"/>
          </w:tcPr>
          <w:p w14:paraId="328A00E5">
            <w:pPr>
              <w:pStyle w:val="131"/>
              <w:spacing w:before="224" w:line="310" w:lineRule="auto"/>
              <w:ind w:left="19" w:right="10" w:hanging="10"/>
              <w:rPr>
                <w:color w:val="auto"/>
                <w:sz w:val="18"/>
                <w:szCs w:val="18"/>
                <w:highlight w:val="none"/>
              </w:rPr>
            </w:pPr>
            <w:r>
              <w:rPr>
                <w:color w:val="auto"/>
                <w:spacing w:val="4"/>
                <w:sz w:val="18"/>
                <w:szCs w:val="18"/>
                <w:highlight w:val="none"/>
              </w:rPr>
              <w:t>A060810</w:t>
            </w:r>
            <w:r>
              <w:rPr>
                <w:color w:val="auto"/>
                <w:spacing w:val="24"/>
                <w:sz w:val="18"/>
                <w:szCs w:val="18"/>
                <w:highlight w:val="none"/>
              </w:rPr>
              <w:t xml:space="preserve"> </w:t>
            </w:r>
            <w:r>
              <w:rPr>
                <w:color w:val="auto"/>
                <w:spacing w:val="4"/>
                <w:sz w:val="18"/>
                <w:szCs w:val="18"/>
                <w:highlight w:val="none"/>
              </w:rPr>
              <w:t>淋浴</w:t>
            </w:r>
            <w:r>
              <w:rPr>
                <w:color w:val="auto"/>
                <w:sz w:val="18"/>
                <w:szCs w:val="18"/>
                <w:highlight w:val="none"/>
              </w:rPr>
              <w:t>器</w:t>
            </w:r>
          </w:p>
        </w:tc>
        <w:tc>
          <w:tcPr>
            <w:tcW w:w="1797" w:type="dxa"/>
            <w:vAlign w:val="top"/>
          </w:tcPr>
          <w:p w14:paraId="693A3ECC">
            <w:pPr>
              <w:rPr>
                <w:rFonts w:ascii="Arial"/>
                <w:color w:val="auto"/>
                <w:sz w:val="21"/>
                <w:highlight w:val="none"/>
              </w:rPr>
            </w:pPr>
          </w:p>
        </w:tc>
        <w:tc>
          <w:tcPr>
            <w:tcW w:w="1914" w:type="dxa"/>
            <w:vAlign w:val="top"/>
          </w:tcPr>
          <w:p w14:paraId="1EB46A2F">
            <w:pPr>
              <w:rPr>
                <w:rFonts w:ascii="Arial"/>
                <w:color w:val="auto"/>
                <w:sz w:val="21"/>
                <w:highlight w:val="none"/>
              </w:rPr>
            </w:pPr>
          </w:p>
        </w:tc>
        <w:tc>
          <w:tcPr>
            <w:tcW w:w="3343" w:type="dxa"/>
            <w:vAlign w:val="top"/>
          </w:tcPr>
          <w:p w14:paraId="338D1E39">
            <w:pPr>
              <w:pStyle w:val="131"/>
              <w:spacing w:before="224" w:line="305" w:lineRule="auto"/>
              <w:ind w:left="33" w:right="39" w:hanging="3"/>
              <w:rPr>
                <w:color w:val="auto"/>
                <w:sz w:val="18"/>
                <w:szCs w:val="18"/>
                <w:highlight w:val="none"/>
              </w:rPr>
            </w:pPr>
            <w:r>
              <w:rPr>
                <w:color w:val="auto"/>
                <w:spacing w:val="22"/>
                <w:sz w:val="18"/>
                <w:szCs w:val="18"/>
                <w:highlight w:val="none"/>
              </w:rPr>
              <w:t>《</w:t>
            </w:r>
            <w:r>
              <w:rPr>
                <w:color w:val="auto"/>
                <w:spacing w:val="-25"/>
                <w:sz w:val="18"/>
                <w:szCs w:val="18"/>
                <w:highlight w:val="none"/>
              </w:rPr>
              <w:t xml:space="preserve"> </w:t>
            </w:r>
            <w:r>
              <w:rPr>
                <w:color w:val="auto"/>
                <w:spacing w:val="22"/>
                <w:sz w:val="18"/>
                <w:szCs w:val="18"/>
                <w:highlight w:val="none"/>
              </w:rPr>
              <w:t>淋浴器用水效率限定值及用水</w:t>
            </w:r>
            <w:r>
              <w:rPr>
                <w:color w:val="auto"/>
                <w:spacing w:val="4"/>
                <w:sz w:val="18"/>
                <w:szCs w:val="18"/>
                <w:highlight w:val="none"/>
              </w:rPr>
              <w:t>效率等级》（</w:t>
            </w:r>
            <w:r>
              <w:rPr>
                <w:color w:val="auto"/>
                <w:sz w:val="18"/>
                <w:szCs w:val="18"/>
                <w:highlight w:val="none"/>
              </w:rPr>
              <w:t>GB</w:t>
            </w:r>
            <w:r>
              <w:rPr>
                <w:color w:val="auto"/>
                <w:spacing w:val="4"/>
                <w:sz w:val="18"/>
                <w:szCs w:val="18"/>
                <w:highlight w:val="none"/>
              </w:rPr>
              <w:t xml:space="preserve"> 28378）</w:t>
            </w:r>
          </w:p>
        </w:tc>
      </w:tr>
    </w:tbl>
    <w:p w14:paraId="65DF3F10">
      <w:pPr>
        <w:spacing w:before="0" w:line="400" w:lineRule="exact"/>
        <w:ind w:left="0"/>
        <w:rPr>
          <w:rFonts w:ascii="宋体" w:hAnsi="宋体" w:eastAsia="宋体" w:cs="宋体"/>
          <w:color w:val="auto"/>
          <w:spacing w:val="-3"/>
          <w:sz w:val="21"/>
          <w:szCs w:val="21"/>
          <w:highlight w:val="none"/>
        </w:rPr>
      </w:pPr>
      <w:r>
        <w:rPr>
          <w:rFonts w:ascii="宋体" w:hAnsi="宋体" w:eastAsia="宋体" w:cs="宋体"/>
          <w:color w:val="auto"/>
          <w:spacing w:val="-3"/>
          <w:sz w:val="21"/>
          <w:szCs w:val="21"/>
          <w:highlight w:val="none"/>
        </w:rPr>
        <w:t>注：1.节能产品认证应依据相关国家标准的最新版本。</w:t>
      </w:r>
    </w:p>
    <w:p w14:paraId="59462848">
      <w:pPr>
        <w:spacing w:before="0" w:line="400" w:lineRule="exact"/>
        <w:ind w:left="0"/>
        <w:rPr>
          <w:rFonts w:hint="default" w:ascii="宋体" w:hAnsi="宋体" w:eastAsia="宋体" w:cs="宋体"/>
          <w:color w:val="auto"/>
          <w:spacing w:val="-3"/>
          <w:sz w:val="21"/>
          <w:szCs w:val="21"/>
          <w:highlight w:val="none"/>
          <w:lang w:val="en-US" w:eastAsia="zh-CN"/>
        </w:rPr>
      </w:pPr>
      <w:r>
        <w:rPr>
          <w:rFonts w:ascii="宋体" w:hAnsi="宋体" w:eastAsia="宋体" w:cs="宋体"/>
          <w:color w:val="auto"/>
          <w:spacing w:val="-3"/>
          <w:sz w:val="21"/>
          <w:szCs w:val="21"/>
          <w:highlight w:val="none"/>
        </w:rPr>
        <w:t>2.以“★”标注的为政府强制采购产品。</w:t>
      </w:r>
      <w:r>
        <w:rPr>
          <w:rFonts w:ascii="宋体" w:hAnsi="宋体" w:eastAsia="宋体" w:cs="宋体"/>
          <w:color w:val="auto"/>
          <w:spacing w:val="-3"/>
          <w:sz w:val="21"/>
          <w:szCs w:val="21"/>
          <w:highlight w:val="none"/>
        </w:rPr>
        <w:br w:type="textWrapping"/>
      </w:r>
      <w:r>
        <w:rPr>
          <w:rFonts w:hint="default" w:ascii="宋体" w:hAnsi="宋体" w:eastAsia="宋体" w:cs="宋体"/>
          <w:color w:val="auto"/>
          <w:spacing w:val="-3"/>
          <w:sz w:val="21"/>
          <w:szCs w:val="21"/>
          <w:highlight w:val="none"/>
          <w:lang w:val="en-US" w:eastAsia="zh-CN"/>
        </w:rPr>
        <w:t>3.鉴于《政府采购品目分类目录》已于2022年修订，表中所列代码及品目名称可能与《财政部关于印发〈政府采购品目分类目录〉的通知》（财库〔2022〕31号）现行目录不完全一致，但不影响节能产品政府采购政策的执行。</w:t>
      </w:r>
    </w:p>
    <w:p w14:paraId="109EAB5A">
      <w:pPr>
        <w:shd w:val="clear"/>
        <w:spacing w:before="29" w:beforeLines="-2147483648" w:afterLines="-2147483648" w:line="220" w:lineRule="auto"/>
        <w:ind w:left="37"/>
        <w:outlineLvl w:val="9"/>
        <w:rPr>
          <w:rFonts w:hint="eastAsia" w:ascii="仿宋" w:hAnsi="仿宋" w:eastAsia="仿宋" w:cs="仿宋"/>
          <w:color w:val="auto"/>
          <w:sz w:val="40"/>
          <w:szCs w:val="40"/>
          <w:highlight w:val="none"/>
        </w:rPr>
      </w:pPr>
      <w:r>
        <w:rPr>
          <w:rFonts w:ascii="宋体" w:hAnsi="宋体" w:eastAsia="宋体" w:cs="宋体"/>
          <w:color w:val="auto"/>
          <w:spacing w:val="-3"/>
          <w:sz w:val="21"/>
          <w:szCs w:val="21"/>
          <w:highlight w:val="none"/>
        </w:rPr>
        <w:br w:type="page"/>
      </w:r>
      <w:r>
        <w:rPr>
          <w:rFonts w:hint="eastAsia" w:ascii="宋体" w:hAnsi="宋体" w:eastAsia="宋体" w:cs="宋体"/>
          <w:b/>
          <w:color w:val="auto"/>
          <w:sz w:val="21"/>
          <w:szCs w:val="21"/>
          <w:highlight w:val="none"/>
          <w:lang w:val="en-US" w:eastAsia="zh-CN"/>
        </w:rPr>
        <w:t>附件</w:t>
      </w:r>
      <w:r>
        <w:rPr>
          <w:rFonts w:hint="eastAsia" w:ascii="宋体" w:hAnsi="宋体" w:cs="宋体"/>
          <w:b/>
          <w:color w:val="auto"/>
          <w:sz w:val="21"/>
          <w:szCs w:val="21"/>
          <w:highlight w:val="none"/>
          <w:lang w:val="en-US" w:eastAsia="zh-CN"/>
        </w:rPr>
        <w:t>2</w:t>
      </w:r>
      <w:r>
        <w:rPr>
          <w:rFonts w:hint="eastAsia" w:ascii="宋体" w:hAnsi="宋体" w:eastAsia="宋体" w:cs="宋体"/>
          <w:b/>
          <w:color w:val="auto"/>
          <w:sz w:val="21"/>
          <w:szCs w:val="21"/>
          <w:highlight w:val="none"/>
          <w:lang w:val="en-US" w:eastAsia="zh-CN"/>
        </w:rPr>
        <w:t>：中小微企业划型标准</w:t>
      </w:r>
    </w:p>
    <w:tbl>
      <w:tblPr>
        <w:tblStyle w:val="48"/>
        <w:tblW w:w="5273" w:type="pct"/>
        <w:tblInd w:w="-2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05"/>
        <w:gridCol w:w="1677"/>
        <w:gridCol w:w="1160"/>
        <w:gridCol w:w="2127"/>
        <w:gridCol w:w="1737"/>
        <w:gridCol w:w="1227"/>
      </w:tblGrid>
      <w:tr w14:paraId="7CC14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16D03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行业名称</w:t>
            </w:r>
          </w:p>
        </w:tc>
        <w:tc>
          <w:tcPr>
            <w:tcW w:w="898" w:type="pct"/>
            <w:tcBorders>
              <w:top w:val="single" w:color="auto" w:sz="4" w:space="0"/>
              <w:left w:val="nil"/>
              <w:bottom w:val="single" w:color="auto" w:sz="4" w:space="0"/>
              <w:right w:val="single" w:color="auto" w:sz="4" w:space="0"/>
              <w:tl2br w:val="nil"/>
              <w:tr2bl w:val="nil"/>
            </w:tcBorders>
            <w:noWrap w:val="0"/>
            <w:vAlign w:val="center"/>
          </w:tcPr>
          <w:p w14:paraId="48535416">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指标名称</w:t>
            </w:r>
          </w:p>
        </w:tc>
        <w:tc>
          <w:tcPr>
            <w:tcW w:w="621" w:type="pct"/>
            <w:tcBorders>
              <w:top w:val="single" w:color="auto" w:sz="4" w:space="0"/>
              <w:left w:val="nil"/>
              <w:bottom w:val="single" w:color="auto" w:sz="4" w:space="0"/>
              <w:right w:val="single" w:color="auto" w:sz="4" w:space="0"/>
              <w:tl2br w:val="nil"/>
              <w:tr2bl w:val="nil"/>
            </w:tcBorders>
            <w:noWrap w:val="0"/>
            <w:vAlign w:val="center"/>
          </w:tcPr>
          <w:p w14:paraId="5BB6A78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计量单位</w:t>
            </w:r>
          </w:p>
        </w:tc>
        <w:tc>
          <w:tcPr>
            <w:tcW w:w="1139" w:type="pct"/>
            <w:tcBorders>
              <w:top w:val="single" w:color="auto" w:sz="4" w:space="0"/>
              <w:left w:val="nil"/>
              <w:bottom w:val="single" w:color="auto" w:sz="4" w:space="0"/>
              <w:right w:val="single" w:color="auto" w:sz="4" w:space="0"/>
              <w:tl2br w:val="nil"/>
              <w:tr2bl w:val="nil"/>
            </w:tcBorders>
            <w:noWrap w:val="0"/>
            <w:vAlign w:val="center"/>
          </w:tcPr>
          <w:p w14:paraId="17835A5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中型</w:t>
            </w:r>
          </w:p>
        </w:tc>
        <w:tc>
          <w:tcPr>
            <w:tcW w:w="930" w:type="pct"/>
            <w:tcBorders>
              <w:top w:val="single" w:color="auto" w:sz="4" w:space="0"/>
              <w:left w:val="nil"/>
              <w:bottom w:val="single" w:color="auto" w:sz="4" w:space="0"/>
              <w:right w:val="single" w:color="auto" w:sz="4" w:space="0"/>
              <w:tl2br w:val="nil"/>
              <w:tr2bl w:val="nil"/>
            </w:tcBorders>
            <w:noWrap w:val="0"/>
            <w:vAlign w:val="center"/>
          </w:tcPr>
          <w:p w14:paraId="164A5B19">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小型</w:t>
            </w:r>
          </w:p>
        </w:tc>
        <w:tc>
          <w:tcPr>
            <w:tcW w:w="657" w:type="pct"/>
            <w:tcBorders>
              <w:top w:val="single" w:color="auto" w:sz="4" w:space="0"/>
              <w:left w:val="nil"/>
              <w:bottom w:val="single" w:color="auto" w:sz="4" w:space="0"/>
              <w:right w:val="single" w:color="auto" w:sz="4" w:space="0"/>
              <w:tl2br w:val="nil"/>
              <w:tr2bl w:val="nil"/>
            </w:tcBorders>
            <w:noWrap w:val="0"/>
            <w:vAlign w:val="center"/>
          </w:tcPr>
          <w:p w14:paraId="62B9FC3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微型</w:t>
            </w:r>
          </w:p>
        </w:tc>
      </w:tr>
      <w:tr w14:paraId="216B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tcBorders>
              <w:top w:val="nil"/>
              <w:left w:val="single" w:color="auto" w:sz="4" w:space="0"/>
              <w:bottom w:val="single" w:color="auto" w:sz="4" w:space="0"/>
              <w:right w:val="single" w:color="auto" w:sz="4" w:space="0"/>
              <w:tl2br w:val="nil"/>
              <w:tr2bl w:val="nil"/>
            </w:tcBorders>
            <w:noWrap w:val="0"/>
            <w:vAlign w:val="center"/>
          </w:tcPr>
          <w:p w14:paraId="74C8436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农、林、牧、渔</w:t>
            </w:r>
          </w:p>
        </w:tc>
        <w:tc>
          <w:tcPr>
            <w:tcW w:w="898" w:type="pct"/>
            <w:tcBorders>
              <w:top w:val="nil"/>
              <w:left w:val="nil"/>
              <w:bottom w:val="single" w:color="auto" w:sz="4" w:space="0"/>
              <w:right w:val="single" w:color="auto" w:sz="4" w:space="0"/>
              <w:tl2br w:val="nil"/>
              <w:tr2bl w:val="nil"/>
            </w:tcBorders>
            <w:noWrap w:val="0"/>
            <w:vAlign w:val="center"/>
          </w:tcPr>
          <w:p w14:paraId="3D759DE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3CFD0BC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3335064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930" w:type="pct"/>
            <w:tcBorders>
              <w:top w:val="nil"/>
              <w:left w:val="nil"/>
              <w:bottom w:val="single" w:color="auto" w:sz="4" w:space="0"/>
              <w:right w:val="single" w:color="auto" w:sz="4" w:space="0"/>
              <w:tl2br w:val="nil"/>
              <w:tr2bl w:val="nil"/>
            </w:tcBorders>
            <w:noWrap w:val="0"/>
            <w:vAlign w:val="center"/>
          </w:tcPr>
          <w:p w14:paraId="5395C89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50≤Y＜500</w:t>
            </w:r>
          </w:p>
        </w:tc>
        <w:tc>
          <w:tcPr>
            <w:tcW w:w="657" w:type="pct"/>
            <w:tcBorders>
              <w:top w:val="nil"/>
              <w:left w:val="nil"/>
              <w:bottom w:val="single" w:color="auto" w:sz="4" w:space="0"/>
              <w:right w:val="single" w:color="auto" w:sz="4" w:space="0"/>
              <w:tl2br w:val="nil"/>
              <w:tr2bl w:val="nil"/>
            </w:tcBorders>
            <w:noWrap w:val="0"/>
            <w:vAlign w:val="center"/>
          </w:tcPr>
          <w:p w14:paraId="06FE56E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50FB3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3F07AF8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工业</w:t>
            </w:r>
          </w:p>
        </w:tc>
        <w:tc>
          <w:tcPr>
            <w:tcW w:w="898" w:type="pct"/>
            <w:tcBorders>
              <w:top w:val="nil"/>
              <w:left w:val="nil"/>
              <w:bottom w:val="single" w:color="auto" w:sz="4" w:space="0"/>
              <w:right w:val="single" w:color="auto" w:sz="4" w:space="0"/>
              <w:tl2br w:val="nil"/>
              <w:tr2bl w:val="nil"/>
            </w:tcBorders>
            <w:noWrap w:val="0"/>
            <w:vAlign w:val="center"/>
          </w:tcPr>
          <w:p w14:paraId="21D144C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5002DF7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15BE586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930" w:type="pct"/>
            <w:tcBorders>
              <w:top w:val="nil"/>
              <w:left w:val="nil"/>
              <w:bottom w:val="single" w:color="auto" w:sz="4" w:space="0"/>
              <w:right w:val="single" w:color="auto" w:sz="4" w:space="0"/>
              <w:tl2br w:val="nil"/>
              <w:tr2bl w:val="nil"/>
            </w:tcBorders>
            <w:noWrap w:val="0"/>
            <w:vAlign w:val="center"/>
          </w:tcPr>
          <w:p w14:paraId="5E77848F">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657" w:type="pct"/>
            <w:tcBorders>
              <w:top w:val="nil"/>
              <w:left w:val="nil"/>
              <w:bottom w:val="single" w:color="auto" w:sz="4" w:space="0"/>
              <w:right w:val="single" w:color="auto" w:sz="4" w:space="0"/>
              <w:tl2br w:val="nil"/>
              <w:tr2bl w:val="nil"/>
            </w:tcBorders>
            <w:noWrap w:val="0"/>
            <w:vAlign w:val="center"/>
          </w:tcPr>
          <w:p w14:paraId="05DA02D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28CB3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26E8EAB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208ADB89">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0B76B47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49AFF3B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930" w:type="pct"/>
            <w:tcBorders>
              <w:top w:val="nil"/>
              <w:left w:val="nil"/>
              <w:bottom w:val="single" w:color="auto" w:sz="4" w:space="0"/>
              <w:right w:val="single" w:color="auto" w:sz="4" w:space="0"/>
              <w:tl2br w:val="nil"/>
              <w:tr2bl w:val="nil"/>
            </w:tcBorders>
            <w:noWrap w:val="0"/>
            <w:vAlign w:val="center"/>
          </w:tcPr>
          <w:p w14:paraId="7B62B4E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300≤Y＜2000</w:t>
            </w:r>
          </w:p>
        </w:tc>
        <w:tc>
          <w:tcPr>
            <w:tcW w:w="657" w:type="pct"/>
            <w:tcBorders>
              <w:top w:val="nil"/>
              <w:left w:val="nil"/>
              <w:bottom w:val="single" w:color="auto" w:sz="4" w:space="0"/>
              <w:right w:val="single" w:color="auto" w:sz="4" w:space="0"/>
              <w:tl2br w:val="nil"/>
              <w:tr2bl w:val="nil"/>
            </w:tcBorders>
            <w:noWrap w:val="0"/>
            <w:vAlign w:val="center"/>
          </w:tcPr>
          <w:p w14:paraId="522BF6D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6F581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70A1E26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建筑业</w:t>
            </w:r>
          </w:p>
        </w:tc>
        <w:tc>
          <w:tcPr>
            <w:tcW w:w="898" w:type="pct"/>
            <w:tcBorders>
              <w:top w:val="nil"/>
              <w:left w:val="nil"/>
              <w:bottom w:val="single" w:color="auto" w:sz="4" w:space="0"/>
              <w:right w:val="single" w:color="auto" w:sz="4" w:space="0"/>
              <w:tl2br w:val="nil"/>
              <w:tr2bl w:val="nil"/>
            </w:tcBorders>
            <w:noWrap w:val="0"/>
            <w:vAlign w:val="center"/>
          </w:tcPr>
          <w:p w14:paraId="74357306">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18E63C5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7F78926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930" w:type="pct"/>
            <w:tcBorders>
              <w:top w:val="nil"/>
              <w:left w:val="nil"/>
              <w:bottom w:val="single" w:color="auto" w:sz="4" w:space="0"/>
              <w:right w:val="single" w:color="auto" w:sz="4" w:space="0"/>
              <w:tl2br w:val="nil"/>
              <w:tr2bl w:val="nil"/>
            </w:tcBorders>
            <w:noWrap w:val="0"/>
            <w:vAlign w:val="center"/>
          </w:tcPr>
          <w:p w14:paraId="7BBC2A2C">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300≤Y＜6000</w:t>
            </w:r>
          </w:p>
        </w:tc>
        <w:tc>
          <w:tcPr>
            <w:tcW w:w="657" w:type="pct"/>
            <w:tcBorders>
              <w:top w:val="nil"/>
              <w:left w:val="nil"/>
              <w:bottom w:val="single" w:color="auto" w:sz="4" w:space="0"/>
              <w:right w:val="single" w:color="auto" w:sz="4" w:space="0"/>
              <w:tl2br w:val="nil"/>
              <w:tr2bl w:val="nil"/>
            </w:tcBorders>
            <w:noWrap w:val="0"/>
            <w:vAlign w:val="center"/>
          </w:tcPr>
          <w:p w14:paraId="0F26523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2CC9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1E3072A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080D00A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621" w:type="pct"/>
            <w:tcBorders>
              <w:top w:val="nil"/>
              <w:left w:val="nil"/>
              <w:bottom w:val="single" w:color="auto" w:sz="4" w:space="0"/>
              <w:right w:val="single" w:color="auto" w:sz="4" w:space="0"/>
              <w:tl2br w:val="nil"/>
              <w:tr2bl w:val="nil"/>
            </w:tcBorders>
            <w:noWrap w:val="0"/>
            <w:vAlign w:val="center"/>
          </w:tcPr>
          <w:p w14:paraId="38CC451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0564D34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930" w:type="pct"/>
            <w:tcBorders>
              <w:top w:val="nil"/>
              <w:left w:val="nil"/>
              <w:bottom w:val="single" w:color="auto" w:sz="4" w:space="0"/>
              <w:right w:val="single" w:color="auto" w:sz="4" w:space="0"/>
              <w:tl2br w:val="nil"/>
              <w:tr2bl w:val="nil"/>
            </w:tcBorders>
            <w:noWrap w:val="0"/>
            <w:vAlign w:val="center"/>
          </w:tcPr>
          <w:p w14:paraId="62EDCB7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300≤Z＜5000</w:t>
            </w:r>
          </w:p>
        </w:tc>
        <w:tc>
          <w:tcPr>
            <w:tcW w:w="657" w:type="pct"/>
            <w:tcBorders>
              <w:top w:val="nil"/>
              <w:left w:val="nil"/>
              <w:bottom w:val="single" w:color="auto" w:sz="4" w:space="0"/>
              <w:right w:val="single" w:color="auto" w:sz="4" w:space="0"/>
              <w:tl2br w:val="nil"/>
              <w:tr2bl w:val="nil"/>
            </w:tcBorders>
            <w:noWrap w:val="0"/>
            <w:vAlign w:val="center"/>
          </w:tcPr>
          <w:p w14:paraId="470607C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14:paraId="21263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12525F15">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批发业</w:t>
            </w:r>
          </w:p>
        </w:tc>
        <w:tc>
          <w:tcPr>
            <w:tcW w:w="898" w:type="pct"/>
            <w:tcBorders>
              <w:top w:val="nil"/>
              <w:left w:val="nil"/>
              <w:bottom w:val="single" w:color="auto" w:sz="4" w:space="0"/>
              <w:right w:val="single" w:color="auto" w:sz="4" w:space="0"/>
              <w:tl2br w:val="nil"/>
              <w:tr2bl w:val="nil"/>
            </w:tcBorders>
            <w:noWrap w:val="0"/>
            <w:vAlign w:val="center"/>
          </w:tcPr>
          <w:p w14:paraId="6436CC6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65CAEDD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16B11AF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930" w:type="pct"/>
            <w:tcBorders>
              <w:top w:val="nil"/>
              <w:left w:val="nil"/>
              <w:bottom w:val="single" w:color="auto" w:sz="4" w:space="0"/>
              <w:right w:val="single" w:color="auto" w:sz="4" w:space="0"/>
              <w:tl2br w:val="nil"/>
              <w:tr2bl w:val="nil"/>
            </w:tcBorders>
            <w:noWrap w:val="0"/>
            <w:vAlign w:val="center"/>
          </w:tcPr>
          <w:p w14:paraId="38277519">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5≤X＜20</w:t>
            </w:r>
          </w:p>
        </w:tc>
        <w:tc>
          <w:tcPr>
            <w:tcW w:w="657" w:type="pct"/>
            <w:tcBorders>
              <w:top w:val="nil"/>
              <w:left w:val="nil"/>
              <w:bottom w:val="single" w:color="auto" w:sz="4" w:space="0"/>
              <w:right w:val="single" w:color="auto" w:sz="4" w:space="0"/>
              <w:tl2br w:val="nil"/>
              <w:tr2bl w:val="nil"/>
            </w:tcBorders>
            <w:noWrap w:val="0"/>
            <w:vAlign w:val="center"/>
          </w:tcPr>
          <w:p w14:paraId="056FC2D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14:paraId="2AA59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1D7DC93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23C9AC3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777C9AB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49ACD4B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930" w:type="pct"/>
            <w:tcBorders>
              <w:top w:val="nil"/>
              <w:left w:val="nil"/>
              <w:bottom w:val="single" w:color="auto" w:sz="4" w:space="0"/>
              <w:right w:val="single" w:color="auto" w:sz="4" w:space="0"/>
              <w:tl2br w:val="nil"/>
              <w:tr2bl w:val="nil"/>
            </w:tcBorders>
            <w:noWrap w:val="0"/>
            <w:vAlign w:val="center"/>
          </w:tcPr>
          <w:p w14:paraId="1528AF3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657" w:type="pct"/>
            <w:tcBorders>
              <w:top w:val="nil"/>
              <w:left w:val="nil"/>
              <w:bottom w:val="single" w:color="auto" w:sz="4" w:space="0"/>
              <w:right w:val="single" w:color="auto" w:sz="4" w:space="0"/>
              <w:tl2br w:val="nil"/>
              <w:tr2bl w:val="nil"/>
            </w:tcBorders>
            <w:noWrap w:val="0"/>
            <w:vAlign w:val="center"/>
          </w:tcPr>
          <w:p w14:paraId="74EE8026">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14:paraId="2252C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3F59F28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零售业</w:t>
            </w:r>
          </w:p>
        </w:tc>
        <w:tc>
          <w:tcPr>
            <w:tcW w:w="898" w:type="pct"/>
            <w:tcBorders>
              <w:top w:val="nil"/>
              <w:left w:val="nil"/>
              <w:bottom w:val="single" w:color="auto" w:sz="4" w:space="0"/>
              <w:right w:val="single" w:color="auto" w:sz="4" w:space="0"/>
              <w:tl2br w:val="nil"/>
              <w:tr2bl w:val="nil"/>
            </w:tcBorders>
            <w:noWrap w:val="0"/>
            <w:vAlign w:val="center"/>
          </w:tcPr>
          <w:p w14:paraId="5AD589B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33E8B8B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3943DEF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930" w:type="pct"/>
            <w:tcBorders>
              <w:top w:val="nil"/>
              <w:left w:val="nil"/>
              <w:bottom w:val="single" w:color="auto" w:sz="4" w:space="0"/>
              <w:right w:val="single" w:color="auto" w:sz="4" w:space="0"/>
              <w:tl2br w:val="nil"/>
              <w:tr2bl w:val="nil"/>
            </w:tcBorders>
            <w:noWrap w:val="0"/>
            <w:vAlign w:val="center"/>
          </w:tcPr>
          <w:p w14:paraId="0DC393A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10≤X＜50</w:t>
            </w:r>
          </w:p>
        </w:tc>
        <w:tc>
          <w:tcPr>
            <w:tcW w:w="657" w:type="pct"/>
            <w:tcBorders>
              <w:top w:val="nil"/>
              <w:left w:val="nil"/>
              <w:bottom w:val="single" w:color="auto" w:sz="4" w:space="0"/>
              <w:right w:val="single" w:color="auto" w:sz="4" w:space="0"/>
              <w:tl2br w:val="nil"/>
              <w:tr2bl w:val="nil"/>
            </w:tcBorders>
            <w:noWrap w:val="0"/>
            <w:vAlign w:val="center"/>
          </w:tcPr>
          <w:p w14:paraId="2650B4A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5685D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7BCBDFDC">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260ADC09">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72842AD9">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1E663F4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930" w:type="pct"/>
            <w:tcBorders>
              <w:top w:val="nil"/>
              <w:left w:val="nil"/>
              <w:bottom w:val="single" w:color="auto" w:sz="4" w:space="0"/>
              <w:right w:val="single" w:color="auto" w:sz="4" w:space="0"/>
              <w:tl2br w:val="nil"/>
              <w:tr2bl w:val="nil"/>
            </w:tcBorders>
            <w:noWrap w:val="0"/>
            <w:vAlign w:val="center"/>
          </w:tcPr>
          <w:p w14:paraId="48762E8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100≤Y＜500</w:t>
            </w:r>
          </w:p>
        </w:tc>
        <w:tc>
          <w:tcPr>
            <w:tcW w:w="657" w:type="pct"/>
            <w:tcBorders>
              <w:top w:val="nil"/>
              <w:left w:val="nil"/>
              <w:bottom w:val="single" w:color="auto" w:sz="4" w:space="0"/>
              <w:right w:val="single" w:color="auto" w:sz="4" w:space="0"/>
              <w:tl2br w:val="nil"/>
              <w:tr2bl w:val="nil"/>
            </w:tcBorders>
            <w:noWrap w:val="0"/>
            <w:vAlign w:val="center"/>
          </w:tcPr>
          <w:p w14:paraId="63B485A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0D15D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5B70EBA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交通运输业</w:t>
            </w:r>
          </w:p>
        </w:tc>
        <w:tc>
          <w:tcPr>
            <w:tcW w:w="898" w:type="pct"/>
            <w:tcBorders>
              <w:top w:val="nil"/>
              <w:left w:val="nil"/>
              <w:bottom w:val="single" w:color="auto" w:sz="4" w:space="0"/>
              <w:right w:val="single" w:color="auto" w:sz="4" w:space="0"/>
              <w:tl2br w:val="nil"/>
              <w:tr2bl w:val="nil"/>
            </w:tcBorders>
            <w:noWrap w:val="0"/>
            <w:vAlign w:val="center"/>
          </w:tcPr>
          <w:p w14:paraId="68236B2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79DDB66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1E2FE63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930" w:type="pct"/>
            <w:tcBorders>
              <w:top w:val="nil"/>
              <w:left w:val="nil"/>
              <w:bottom w:val="single" w:color="auto" w:sz="4" w:space="0"/>
              <w:right w:val="single" w:color="auto" w:sz="4" w:space="0"/>
              <w:tl2br w:val="nil"/>
              <w:tr2bl w:val="nil"/>
            </w:tcBorders>
            <w:noWrap w:val="0"/>
            <w:vAlign w:val="center"/>
          </w:tcPr>
          <w:p w14:paraId="1CA8940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657" w:type="pct"/>
            <w:tcBorders>
              <w:top w:val="nil"/>
              <w:left w:val="nil"/>
              <w:bottom w:val="single" w:color="auto" w:sz="4" w:space="0"/>
              <w:right w:val="single" w:color="auto" w:sz="4" w:space="0"/>
              <w:tl2br w:val="nil"/>
              <w:tr2bl w:val="nil"/>
            </w:tcBorders>
            <w:noWrap w:val="0"/>
            <w:vAlign w:val="center"/>
          </w:tcPr>
          <w:p w14:paraId="1F25350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0FD6B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0634220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35059C86">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6429E48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777F028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930" w:type="pct"/>
            <w:tcBorders>
              <w:top w:val="nil"/>
              <w:left w:val="nil"/>
              <w:bottom w:val="single" w:color="auto" w:sz="4" w:space="0"/>
              <w:right w:val="single" w:color="auto" w:sz="4" w:space="0"/>
              <w:tl2br w:val="nil"/>
              <w:tr2bl w:val="nil"/>
            </w:tcBorders>
            <w:noWrap w:val="0"/>
            <w:vAlign w:val="center"/>
          </w:tcPr>
          <w:p w14:paraId="7C950EB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657" w:type="pct"/>
            <w:tcBorders>
              <w:top w:val="nil"/>
              <w:left w:val="nil"/>
              <w:bottom w:val="single" w:color="auto" w:sz="4" w:space="0"/>
              <w:right w:val="single" w:color="auto" w:sz="4" w:space="0"/>
              <w:tl2br w:val="nil"/>
              <w:tr2bl w:val="nil"/>
            </w:tcBorders>
            <w:noWrap w:val="0"/>
            <w:vAlign w:val="center"/>
          </w:tcPr>
          <w:p w14:paraId="426669B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14:paraId="38AF6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5FD95B05">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仓储业</w:t>
            </w:r>
          </w:p>
        </w:tc>
        <w:tc>
          <w:tcPr>
            <w:tcW w:w="898" w:type="pct"/>
            <w:tcBorders>
              <w:top w:val="nil"/>
              <w:left w:val="nil"/>
              <w:bottom w:val="single" w:color="auto" w:sz="4" w:space="0"/>
              <w:right w:val="single" w:color="auto" w:sz="4" w:space="0"/>
              <w:tl2br w:val="nil"/>
              <w:tr2bl w:val="nil"/>
            </w:tcBorders>
            <w:noWrap w:val="0"/>
            <w:vAlign w:val="center"/>
          </w:tcPr>
          <w:p w14:paraId="69DDEE0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69C78EF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1A751FF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930" w:type="pct"/>
            <w:tcBorders>
              <w:top w:val="nil"/>
              <w:left w:val="nil"/>
              <w:bottom w:val="single" w:color="auto" w:sz="4" w:space="0"/>
              <w:right w:val="single" w:color="auto" w:sz="4" w:space="0"/>
              <w:tl2br w:val="nil"/>
              <w:tr2bl w:val="nil"/>
            </w:tcBorders>
            <w:noWrap w:val="0"/>
            <w:vAlign w:val="center"/>
          </w:tcPr>
          <w:p w14:paraId="7A80089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20≤X＜100</w:t>
            </w:r>
          </w:p>
        </w:tc>
        <w:tc>
          <w:tcPr>
            <w:tcW w:w="657" w:type="pct"/>
            <w:tcBorders>
              <w:top w:val="nil"/>
              <w:left w:val="nil"/>
              <w:bottom w:val="single" w:color="auto" w:sz="4" w:space="0"/>
              <w:right w:val="single" w:color="auto" w:sz="4" w:space="0"/>
              <w:tl2br w:val="nil"/>
              <w:tr2bl w:val="nil"/>
            </w:tcBorders>
            <w:noWrap w:val="0"/>
            <w:vAlign w:val="center"/>
          </w:tcPr>
          <w:p w14:paraId="1B2B0AFF">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670D2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03FBFFD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37DAE90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5F0679C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3DBB9069">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930" w:type="pct"/>
            <w:tcBorders>
              <w:top w:val="nil"/>
              <w:left w:val="nil"/>
              <w:bottom w:val="single" w:color="auto" w:sz="4" w:space="0"/>
              <w:right w:val="single" w:color="auto" w:sz="4" w:space="0"/>
              <w:tl2br w:val="nil"/>
              <w:tr2bl w:val="nil"/>
            </w:tcBorders>
            <w:noWrap w:val="0"/>
            <w:vAlign w:val="center"/>
          </w:tcPr>
          <w:p w14:paraId="7240D84C">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657" w:type="pct"/>
            <w:tcBorders>
              <w:top w:val="nil"/>
              <w:left w:val="nil"/>
              <w:bottom w:val="single" w:color="auto" w:sz="4" w:space="0"/>
              <w:right w:val="single" w:color="auto" w:sz="4" w:space="0"/>
              <w:tl2br w:val="nil"/>
              <w:tr2bl w:val="nil"/>
            </w:tcBorders>
            <w:noWrap w:val="0"/>
            <w:vAlign w:val="center"/>
          </w:tcPr>
          <w:p w14:paraId="5F04BD95">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3D3E2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60C9440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邮政业</w:t>
            </w:r>
          </w:p>
        </w:tc>
        <w:tc>
          <w:tcPr>
            <w:tcW w:w="898" w:type="pct"/>
            <w:tcBorders>
              <w:top w:val="nil"/>
              <w:left w:val="nil"/>
              <w:bottom w:val="single" w:color="auto" w:sz="4" w:space="0"/>
              <w:right w:val="single" w:color="auto" w:sz="4" w:space="0"/>
              <w:tl2br w:val="nil"/>
              <w:tr2bl w:val="nil"/>
            </w:tcBorders>
            <w:noWrap w:val="0"/>
            <w:vAlign w:val="center"/>
          </w:tcPr>
          <w:p w14:paraId="2E5F21C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7024011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6E2FD0A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930" w:type="pct"/>
            <w:tcBorders>
              <w:top w:val="nil"/>
              <w:left w:val="nil"/>
              <w:bottom w:val="single" w:color="auto" w:sz="4" w:space="0"/>
              <w:right w:val="single" w:color="auto" w:sz="4" w:space="0"/>
              <w:tl2br w:val="nil"/>
              <w:tr2bl w:val="nil"/>
            </w:tcBorders>
            <w:noWrap w:val="0"/>
            <w:vAlign w:val="center"/>
          </w:tcPr>
          <w:p w14:paraId="264FEAF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657" w:type="pct"/>
            <w:tcBorders>
              <w:top w:val="nil"/>
              <w:left w:val="nil"/>
              <w:bottom w:val="single" w:color="auto" w:sz="4" w:space="0"/>
              <w:right w:val="single" w:color="auto" w:sz="4" w:space="0"/>
              <w:tl2br w:val="nil"/>
              <w:tr2bl w:val="nil"/>
            </w:tcBorders>
            <w:noWrap w:val="0"/>
            <w:vAlign w:val="center"/>
          </w:tcPr>
          <w:p w14:paraId="75149026">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3A243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743231D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0BA05B0F">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0EA8967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285E402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930" w:type="pct"/>
            <w:tcBorders>
              <w:top w:val="nil"/>
              <w:left w:val="nil"/>
              <w:bottom w:val="single" w:color="auto" w:sz="4" w:space="0"/>
              <w:right w:val="single" w:color="auto" w:sz="4" w:space="0"/>
              <w:tl2br w:val="nil"/>
              <w:tr2bl w:val="nil"/>
            </w:tcBorders>
            <w:noWrap w:val="0"/>
            <w:vAlign w:val="center"/>
          </w:tcPr>
          <w:p w14:paraId="6BE93A7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657" w:type="pct"/>
            <w:tcBorders>
              <w:top w:val="nil"/>
              <w:left w:val="nil"/>
              <w:bottom w:val="single" w:color="auto" w:sz="4" w:space="0"/>
              <w:right w:val="single" w:color="auto" w:sz="4" w:space="0"/>
              <w:tl2br w:val="nil"/>
              <w:tr2bl w:val="nil"/>
            </w:tcBorders>
            <w:noWrap w:val="0"/>
            <w:vAlign w:val="center"/>
          </w:tcPr>
          <w:p w14:paraId="140E84D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03FD5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6A5AF306">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住宿业</w:t>
            </w:r>
          </w:p>
        </w:tc>
        <w:tc>
          <w:tcPr>
            <w:tcW w:w="898" w:type="pct"/>
            <w:tcBorders>
              <w:top w:val="nil"/>
              <w:left w:val="nil"/>
              <w:bottom w:val="single" w:color="auto" w:sz="4" w:space="0"/>
              <w:right w:val="single" w:color="auto" w:sz="4" w:space="0"/>
              <w:tl2br w:val="nil"/>
              <w:tr2bl w:val="nil"/>
            </w:tcBorders>
            <w:noWrap w:val="0"/>
            <w:vAlign w:val="center"/>
          </w:tcPr>
          <w:p w14:paraId="37B2EDB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28F1219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31C3F92C">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30" w:type="pct"/>
            <w:tcBorders>
              <w:top w:val="nil"/>
              <w:left w:val="nil"/>
              <w:bottom w:val="single" w:color="auto" w:sz="4" w:space="0"/>
              <w:right w:val="single" w:color="auto" w:sz="4" w:space="0"/>
              <w:tl2br w:val="nil"/>
              <w:tr2bl w:val="nil"/>
            </w:tcBorders>
            <w:noWrap w:val="0"/>
            <w:vAlign w:val="center"/>
          </w:tcPr>
          <w:p w14:paraId="39022065">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657" w:type="pct"/>
            <w:tcBorders>
              <w:top w:val="nil"/>
              <w:left w:val="nil"/>
              <w:bottom w:val="single" w:color="auto" w:sz="4" w:space="0"/>
              <w:right w:val="single" w:color="auto" w:sz="4" w:space="0"/>
              <w:tl2br w:val="nil"/>
              <w:tr2bl w:val="nil"/>
            </w:tcBorders>
            <w:noWrap w:val="0"/>
            <w:vAlign w:val="center"/>
          </w:tcPr>
          <w:p w14:paraId="2E3B60C5">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02926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4F193AE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30231145">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56294FF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06A4511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930" w:type="pct"/>
            <w:tcBorders>
              <w:top w:val="nil"/>
              <w:left w:val="nil"/>
              <w:bottom w:val="single" w:color="auto" w:sz="4" w:space="0"/>
              <w:right w:val="single" w:color="auto" w:sz="4" w:space="0"/>
              <w:tl2br w:val="nil"/>
              <w:tr2bl w:val="nil"/>
            </w:tcBorders>
            <w:noWrap w:val="0"/>
            <w:vAlign w:val="center"/>
          </w:tcPr>
          <w:p w14:paraId="1C14DED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657" w:type="pct"/>
            <w:tcBorders>
              <w:top w:val="nil"/>
              <w:left w:val="nil"/>
              <w:bottom w:val="single" w:color="auto" w:sz="4" w:space="0"/>
              <w:right w:val="single" w:color="auto" w:sz="4" w:space="0"/>
              <w:tl2br w:val="nil"/>
              <w:tr2bl w:val="nil"/>
            </w:tcBorders>
            <w:noWrap w:val="0"/>
            <w:vAlign w:val="center"/>
          </w:tcPr>
          <w:p w14:paraId="02BDC3E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5C5C6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3E0B94B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餐饮业</w:t>
            </w:r>
          </w:p>
        </w:tc>
        <w:tc>
          <w:tcPr>
            <w:tcW w:w="898" w:type="pct"/>
            <w:tcBorders>
              <w:top w:val="nil"/>
              <w:left w:val="nil"/>
              <w:bottom w:val="single" w:color="auto" w:sz="4" w:space="0"/>
              <w:right w:val="single" w:color="auto" w:sz="4" w:space="0"/>
              <w:tl2br w:val="nil"/>
              <w:tr2bl w:val="nil"/>
            </w:tcBorders>
            <w:noWrap w:val="0"/>
            <w:vAlign w:val="center"/>
          </w:tcPr>
          <w:p w14:paraId="2B953EF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0DAE020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4E9B21D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30" w:type="pct"/>
            <w:tcBorders>
              <w:top w:val="nil"/>
              <w:left w:val="nil"/>
              <w:bottom w:val="single" w:color="auto" w:sz="4" w:space="0"/>
              <w:right w:val="single" w:color="auto" w:sz="4" w:space="0"/>
              <w:tl2br w:val="nil"/>
              <w:tr2bl w:val="nil"/>
            </w:tcBorders>
            <w:noWrap w:val="0"/>
            <w:vAlign w:val="center"/>
          </w:tcPr>
          <w:p w14:paraId="42B8CFB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657" w:type="pct"/>
            <w:tcBorders>
              <w:top w:val="nil"/>
              <w:left w:val="nil"/>
              <w:bottom w:val="single" w:color="auto" w:sz="4" w:space="0"/>
              <w:right w:val="single" w:color="auto" w:sz="4" w:space="0"/>
              <w:tl2br w:val="nil"/>
              <w:tr2bl w:val="nil"/>
            </w:tcBorders>
            <w:noWrap w:val="0"/>
            <w:vAlign w:val="center"/>
          </w:tcPr>
          <w:p w14:paraId="3AD41D6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7328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61ED31E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41E2533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2E869726">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5474A97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930" w:type="pct"/>
            <w:tcBorders>
              <w:top w:val="nil"/>
              <w:left w:val="nil"/>
              <w:bottom w:val="single" w:color="auto" w:sz="4" w:space="0"/>
              <w:right w:val="single" w:color="auto" w:sz="4" w:space="0"/>
              <w:tl2br w:val="nil"/>
              <w:tr2bl w:val="nil"/>
            </w:tcBorders>
            <w:noWrap w:val="0"/>
            <w:vAlign w:val="center"/>
          </w:tcPr>
          <w:p w14:paraId="14AFEB4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657" w:type="pct"/>
            <w:tcBorders>
              <w:top w:val="nil"/>
              <w:left w:val="nil"/>
              <w:bottom w:val="single" w:color="auto" w:sz="4" w:space="0"/>
              <w:right w:val="single" w:color="auto" w:sz="4" w:space="0"/>
              <w:tl2br w:val="nil"/>
              <w:tr2bl w:val="nil"/>
            </w:tcBorders>
            <w:noWrap w:val="0"/>
            <w:vAlign w:val="center"/>
          </w:tcPr>
          <w:p w14:paraId="40C467B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5A05B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5BD14CA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信息传输业</w:t>
            </w:r>
          </w:p>
        </w:tc>
        <w:tc>
          <w:tcPr>
            <w:tcW w:w="898" w:type="pct"/>
            <w:tcBorders>
              <w:top w:val="nil"/>
              <w:left w:val="nil"/>
              <w:bottom w:val="single" w:color="auto" w:sz="4" w:space="0"/>
              <w:right w:val="single" w:color="auto" w:sz="4" w:space="0"/>
              <w:tl2br w:val="nil"/>
              <w:tr2bl w:val="nil"/>
            </w:tcBorders>
            <w:noWrap w:val="0"/>
            <w:vAlign w:val="center"/>
          </w:tcPr>
          <w:p w14:paraId="7B3E786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67106A4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2FE931B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930" w:type="pct"/>
            <w:tcBorders>
              <w:top w:val="nil"/>
              <w:left w:val="nil"/>
              <w:bottom w:val="single" w:color="auto" w:sz="4" w:space="0"/>
              <w:right w:val="single" w:color="auto" w:sz="4" w:space="0"/>
              <w:tl2br w:val="nil"/>
              <w:tr2bl w:val="nil"/>
            </w:tcBorders>
            <w:noWrap w:val="0"/>
            <w:vAlign w:val="center"/>
          </w:tcPr>
          <w:p w14:paraId="2312549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657" w:type="pct"/>
            <w:tcBorders>
              <w:top w:val="nil"/>
              <w:left w:val="nil"/>
              <w:bottom w:val="single" w:color="auto" w:sz="4" w:space="0"/>
              <w:right w:val="single" w:color="auto" w:sz="4" w:space="0"/>
              <w:tl2br w:val="nil"/>
              <w:tr2bl w:val="nil"/>
            </w:tcBorders>
            <w:noWrap w:val="0"/>
            <w:vAlign w:val="center"/>
          </w:tcPr>
          <w:p w14:paraId="1568139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B6FC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62F38EC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7FCB609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4A8766A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6CE93E3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1000≤Y＜100000</w:t>
            </w:r>
          </w:p>
        </w:tc>
        <w:tc>
          <w:tcPr>
            <w:tcW w:w="930" w:type="pct"/>
            <w:tcBorders>
              <w:top w:val="nil"/>
              <w:left w:val="nil"/>
              <w:bottom w:val="single" w:color="auto" w:sz="4" w:space="0"/>
              <w:right w:val="single" w:color="auto" w:sz="4" w:space="0"/>
              <w:tl2br w:val="nil"/>
              <w:tr2bl w:val="nil"/>
            </w:tcBorders>
            <w:noWrap w:val="0"/>
            <w:vAlign w:val="center"/>
          </w:tcPr>
          <w:p w14:paraId="5720912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657" w:type="pct"/>
            <w:tcBorders>
              <w:top w:val="nil"/>
              <w:left w:val="nil"/>
              <w:bottom w:val="single" w:color="auto" w:sz="4" w:space="0"/>
              <w:right w:val="single" w:color="auto" w:sz="4" w:space="0"/>
              <w:tl2br w:val="nil"/>
              <w:tr2bl w:val="nil"/>
            </w:tcBorders>
            <w:noWrap w:val="0"/>
            <w:vAlign w:val="center"/>
          </w:tcPr>
          <w:p w14:paraId="29A2144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58FB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096F020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软件和信息技术服务业</w:t>
            </w:r>
          </w:p>
        </w:tc>
        <w:tc>
          <w:tcPr>
            <w:tcW w:w="898" w:type="pct"/>
            <w:tcBorders>
              <w:top w:val="nil"/>
              <w:left w:val="nil"/>
              <w:bottom w:val="single" w:color="auto" w:sz="4" w:space="0"/>
              <w:right w:val="single" w:color="auto" w:sz="4" w:space="0"/>
              <w:tl2br w:val="nil"/>
              <w:tr2bl w:val="nil"/>
            </w:tcBorders>
            <w:noWrap w:val="0"/>
            <w:vAlign w:val="center"/>
          </w:tcPr>
          <w:p w14:paraId="21DC4F7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1C197E1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52E96E0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30" w:type="pct"/>
            <w:tcBorders>
              <w:top w:val="nil"/>
              <w:left w:val="nil"/>
              <w:bottom w:val="single" w:color="auto" w:sz="4" w:space="0"/>
              <w:right w:val="single" w:color="auto" w:sz="4" w:space="0"/>
              <w:tl2br w:val="nil"/>
              <w:tr2bl w:val="nil"/>
            </w:tcBorders>
            <w:noWrap w:val="0"/>
            <w:vAlign w:val="center"/>
          </w:tcPr>
          <w:p w14:paraId="009B07A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657" w:type="pct"/>
            <w:tcBorders>
              <w:top w:val="nil"/>
              <w:left w:val="nil"/>
              <w:bottom w:val="single" w:color="auto" w:sz="4" w:space="0"/>
              <w:right w:val="single" w:color="auto" w:sz="4" w:space="0"/>
              <w:tl2br w:val="nil"/>
              <w:tr2bl w:val="nil"/>
            </w:tcBorders>
            <w:noWrap w:val="0"/>
            <w:vAlign w:val="center"/>
          </w:tcPr>
          <w:p w14:paraId="6BB6D45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386F8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3613B78C">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6F0D8CA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0F5595C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056C16D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930" w:type="pct"/>
            <w:tcBorders>
              <w:top w:val="nil"/>
              <w:left w:val="nil"/>
              <w:bottom w:val="single" w:color="auto" w:sz="4" w:space="0"/>
              <w:right w:val="single" w:color="auto" w:sz="4" w:space="0"/>
              <w:tl2br w:val="nil"/>
              <w:tr2bl w:val="nil"/>
            </w:tcBorders>
            <w:noWrap w:val="0"/>
            <w:vAlign w:val="center"/>
          </w:tcPr>
          <w:p w14:paraId="06E1574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50≤Y＜1000</w:t>
            </w:r>
          </w:p>
        </w:tc>
        <w:tc>
          <w:tcPr>
            <w:tcW w:w="657" w:type="pct"/>
            <w:tcBorders>
              <w:top w:val="nil"/>
              <w:left w:val="nil"/>
              <w:bottom w:val="single" w:color="auto" w:sz="4" w:space="0"/>
              <w:right w:val="single" w:color="auto" w:sz="4" w:space="0"/>
              <w:tl2br w:val="nil"/>
              <w:tr2bl w:val="nil"/>
            </w:tcBorders>
            <w:noWrap w:val="0"/>
            <w:vAlign w:val="center"/>
          </w:tcPr>
          <w:p w14:paraId="089F0C2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0A389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52D6858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房地产开发经营</w:t>
            </w:r>
          </w:p>
        </w:tc>
        <w:tc>
          <w:tcPr>
            <w:tcW w:w="898" w:type="pct"/>
            <w:tcBorders>
              <w:top w:val="nil"/>
              <w:left w:val="nil"/>
              <w:bottom w:val="single" w:color="auto" w:sz="4" w:space="0"/>
              <w:right w:val="single" w:color="auto" w:sz="4" w:space="0"/>
              <w:tl2br w:val="nil"/>
              <w:tr2bl w:val="nil"/>
            </w:tcBorders>
            <w:noWrap w:val="0"/>
            <w:vAlign w:val="center"/>
          </w:tcPr>
          <w:p w14:paraId="02CF9C1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5B41A95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2B2BCB2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1000≤Y＜200000</w:t>
            </w:r>
          </w:p>
        </w:tc>
        <w:tc>
          <w:tcPr>
            <w:tcW w:w="930" w:type="pct"/>
            <w:tcBorders>
              <w:top w:val="nil"/>
              <w:left w:val="nil"/>
              <w:bottom w:val="single" w:color="auto" w:sz="4" w:space="0"/>
              <w:right w:val="single" w:color="auto" w:sz="4" w:space="0"/>
              <w:tl2br w:val="nil"/>
              <w:tr2bl w:val="nil"/>
            </w:tcBorders>
            <w:noWrap w:val="0"/>
            <w:vAlign w:val="center"/>
          </w:tcPr>
          <w:p w14:paraId="7BFDDA45">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100≤X＜1000</w:t>
            </w:r>
          </w:p>
        </w:tc>
        <w:tc>
          <w:tcPr>
            <w:tcW w:w="657" w:type="pct"/>
            <w:tcBorders>
              <w:top w:val="nil"/>
              <w:left w:val="nil"/>
              <w:bottom w:val="single" w:color="auto" w:sz="4" w:space="0"/>
              <w:right w:val="single" w:color="auto" w:sz="4" w:space="0"/>
              <w:tl2br w:val="nil"/>
              <w:tr2bl w:val="nil"/>
            </w:tcBorders>
            <w:noWrap w:val="0"/>
            <w:vAlign w:val="center"/>
          </w:tcPr>
          <w:p w14:paraId="31C52F8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65107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6AC0FC2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35868099">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621" w:type="pct"/>
            <w:tcBorders>
              <w:top w:val="nil"/>
              <w:left w:val="nil"/>
              <w:bottom w:val="single" w:color="auto" w:sz="4" w:space="0"/>
              <w:right w:val="single" w:color="auto" w:sz="4" w:space="0"/>
              <w:tl2br w:val="nil"/>
              <w:tr2bl w:val="nil"/>
            </w:tcBorders>
            <w:noWrap w:val="0"/>
            <w:vAlign w:val="center"/>
          </w:tcPr>
          <w:p w14:paraId="08B6EAD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04AD57E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930" w:type="pct"/>
            <w:tcBorders>
              <w:top w:val="nil"/>
              <w:left w:val="nil"/>
              <w:bottom w:val="single" w:color="auto" w:sz="4" w:space="0"/>
              <w:right w:val="single" w:color="auto" w:sz="4" w:space="0"/>
              <w:tl2br w:val="nil"/>
              <w:tr2bl w:val="nil"/>
            </w:tcBorders>
            <w:noWrap w:val="0"/>
            <w:vAlign w:val="center"/>
          </w:tcPr>
          <w:p w14:paraId="35F19D2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2000≤Y＜5000</w:t>
            </w:r>
          </w:p>
        </w:tc>
        <w:tc>
          <w:tcPr>
            <w:tcW w:w="657" w:type="pct"/>
            <w:tcBorders>
              <w:top w:val="nil"/>
              <w:left w:val="nil"/>
              <w:bottom w:val="single" w:color="auto" w:sz="4" w:space="0"/>
              <w:right w:val="single" w:color="auto" w:sz="4" w:space="0"/>
              <w:tl2br w:val="nil"/>
              <w:tr2bl w:val="nil"/>
            </w:tcBorders>
            <w:noWrap w:val="0"/>
            <w:vAlign w:val="center"/>
          </w:tcPr>
          <w:p w14:paraId="0423F30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w:t>
            </w:r>
          </w:p>
        </w:tc>
      </w:tr>
      <w:tr w14:paraId="4C4AC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5FE394F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物业管理</w:t>
            </w:r>
          </w:p>
        </w:tc>
        <w:tc>
          <w:tcPr>
            <w:tcW w:w="898" w:type="pct"/>
            <w:tcBorders>
              <w:top w:val="nil"/>
              <w:left w:val="nil"/>
              <w:bottom w:val="single" w:color="auto" w:sz="4" w:space="0"/>
              <w:right w:val="single" w:color="auto" w:sz="4" w:space="0"/>
              <w:tl2br w:val="nil"/>
              <w:tr2bl w:val="nil"/>
            </w:tcBorders>
            <w:noWrap w:val="0"/>
            <w:vAlign w:val="center"/>
          </w:tcPr>
          <w:p w14:paraId="18C36717">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2E24995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1DFFD8BF">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930" w:type="pct"/>
            <w:tcBorders>
              <w:top w:val="nil"/>
              <w:left w:val="nil"/>
              <w:bottom w:val="single" w:color="auto" w:sz="4" w:space="0"/>
              <w:right w:val="single" w:color="auto" w:sz="4" w:space="0"/>
              <w:tl2br w:val="nil"/>
              <w:tr2bl w:val="nil"/>
            </w:tcBorders>
            <w:noWrap w:val="0"/>
            <w:vAlign w:val="center"/>
          </w:tcPr>
          <w:p w14:paraId="0E7749E4">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657" w:type="pct"/>
            <w:tcBorders>
              <w:top w:val="nil"/>
              <w:left w:val="nil"/>
              <w:bottom w:val="single" w:color="auto" w:sz="4" w:space="0"/>
              <w:right w:val="single" w:color="auto" w:sz="4" w:space="0"/>
              <w:tl2br w:val="nil"/>
              <w:tr2bl w:val="nil"/>
            </w:tcBorders>
            <w:noWrap w:val="0"/>
            <w:vAlign w:val="center"/>
          </w:tcPr>
          <w:p w14:paraId="31B6B6E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7DF6C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7CA6259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43F6CCFC">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21" w:type="pct"/>
            <w:tcBorders>
              <w:top w:val="nil"/>
              <w:left w:val="nil"/>
              <w:bottom w:val="single" w:color="auto" w:sz="4" w:space="0"/>
              <w:right w:val="single" w:color="auto" w:sz="4" w:space="0"/>
              <w:tl2br w:val="nil"/>
              <w:tr2bl w:val="nil"/>
            </w:tcBorders>
            <w:noWrap w:val="0"/>
            <w:vAlign w:val="center"/>
          </w:tcPr>
          <w:p w14:paraId="4B7264D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6A43F103">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930" w:type="pct"/>
            <w:tcBorders>
              <w:top w:val="nil"/>
              <w:left w:val="nil"/>
              <w:bottom w:val="single" w:color="auto" w:sz="4" w:space="0"/>
              <w:right w:val="single" w:color="auto" w:sz="4" w:space="0"/>
              <w:tl2br w:val="nil"/>
              <w:tr2bl w:val="nil"/>
            </w:tcBorders>
            <w:noWrap w:val="0"/>
            <w:vAlign w:val="center"/>
          </w:tcPr>
          <w:p w14:paraId="67D6A50F">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500≤Y＜1000</w:t>
            </w:r>
          </w:p>
        </w:tc>
        <w:tc>
          <w:tcPr>
            <w:tcW w:w="657" w:type="pct"/>
            <w:tcBorders>
              <w:top w:val="nil"/>
              <w:left w:val="nil"/>
              <w:bottom w:val="single" w:color="auto" w:sz="4" w:space="0"/>
              <w:right w:val="single" w:color="auto" w:sz="4" w:space="0"/>
              <w:tl2br w:val="nil"/>
              <w:tr2bl w:val="nil"/>
            </w:tcBorders>
            <w:noWrap w:val="0"/>
            <w:vAlign w:val="center"/>
          </w:tcPr>
          <w:p w14:paraId="0986B27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14:paraId="5A822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restart"/>
            <w:tcBorders>
              <w:top w:val="nil"/>
              <w:left w:val="single" w:color="auto" w:sz="4" w:space="0"/>
              <w:bottom w:val="single" w:color="auto" w:sz="4" w:space="0"/>
              <w:right w:val="single" w:color="auto" w:sz="4" w:space="0"/>
              <w:tl2br w:val="nil"/>
              <w:tr2bl w:val="nil"/>
            </w:tcBorders>
            <w:noWrap w:val="0"/>
            <w:vAlign w:val="center"/>
          </w:tcPr>
          <w:p w14:paraId="0C0A9741">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租赁和商务服务业</w:t>
            </w:r>
          </w:p>
        </w:tc>
        <w:tc>
          <w:tcPr>
            <w:tcW w:w="898" w:type="pct"/>
            <w:tcBorders>
              <w:top w:val="nil"/>
              <w:left w:val="nil"/>
              <w:bottom w:val="single" w:color="auto" w:sz="4" w:space="0"/>
              <w:right w:val="single" w:color="auto" w:sz="4" w:space="0"/>
              <w:tl2br w:val="nil"/>
              <w:tr2bl w:val="nil"/>
            </w:tcBorders>
            <w:noWrap w:val="0"/>
            <w:vAlign w:val="center"/>
          </w:tcPr>
          <w:p w14:paraId="306632F5">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5BCDA460">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082A7AC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30" w:type="pct"/>
            <w:tcBorders>
              <w:top w:val="nil"/>
              <w:left w:val="nil"/>
              <w:bottom w:val="single" w:color="auto" w:sz="4" w:space="0"/>
              <w:right w:val="single" w:color="auto" w:sz="4" w:space="0"/>
              <w:tl2br w:val="nil"/>
              <w:tr2bl w:val="nil"/>
            </w:tcBorders>
            <w:noWrap w:val="0"/>
            <w:vAlign w:val="center"/>
          </w:tcPr>
          <w:p w14:paraId="6C3F9CF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657" w:type="pct"/>
            <w:tcBorders>
              <w:top w:val="nil"/>
              <w:left w:val="nil"/>
              <w:bottom w:val="single" w:color="auto" w:sz="4" w:space="0"/>
              <w:right w:val="single" w:color="auto" w:sz="4" w:space="0"/>
              <w:tl2br w:val="nil"/>
              <w:tr2bl w:val="nil"/>
            </w:tcBorders>
            <w:noWrap w:val="0"/>
            <w:vAlign w:val="center"/>
          </w:tcPr>
          <w:p w14:paraId="5AAEEC4D">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299AF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vMerge w:val="continue"/>
            <w:tcBorders>
              <w:top w:val="nil"/>
              <w:left w:val="single" w:color="auto" w:sz="4" w:space="0"/>
              <w:bottom w:val="single" w:color="auto" w:sz="4" w:space="0"/>
              <w:right w:val="single" w:color="auto" w:sz="4" w:space="0"/>
              <w:tl2br w:val="nil"/>
              <w:tr2bl w:val="nil"/>
            </w:tcBorders>
            <w:noWrap w:val="0"/>
            <w:vAlign w:val="center"/>
          </w:tcPr>
          <w:p w14:paraId="7119F54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p>
        </w:tc>
        <w:tc>
          <w:tcPr>
            <w:tcW w:w="898" w:type="pct"/>
            <w:tcBorders>
              <w:top w:val="nil"/>
              <w:left w:val="nil"/>
              <w:bottom w:val="single" w:color="auto" w:sz="4" w:space="0"/>
              <w:right w:val="single" w:color="auto" w:sz="4" w:space="0"/>
              <w:tl2br w:val="nil"/>
              <w:tr2bl w:val="nil"/>
            </w:tcBorders>
            <w:noWrap w:val="0"/>
            <w:vAlign w:val="center"/>
          </w:tcPr>
          <w:p w14:paraId="1A88E18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621" w:type="pct"/>
            <w:tcBorders>
              <w:top w:val="nil"/>
              <w:left w:val="nil"/>
              <w:bottom w:val="single" w:color="auto" w:sz="4" w:space="0"/>
              <w:right w:val="single" w:color="auto" w:sz="4" w:space="0"/>
              <w:tl2br w:val="nil"/>
              <w:tr2bl w:val="nil"/>
            </w:tcBorders>
            <w:noWrap w:val="0"/>
            <w:vAlign w:val="center"/>
          </w:tcPr>
          <w:p w14:paraId="20A6B555">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39" w:type="pct"/>
            <w:tcBorders>
              <w:top w:val="nil"/>
              <w:left w:val="nil"/>
              <w:bottom w:val="single" w:color="auto" w:sz="4" w:space="0"/>
              <w:right w:val="single" w:color="auto" w:sz="4" w:space="0"/>
              <w:tl2br w:val="nil"/>
              <w:tr2bl w:val="nil"/>
            </w:tcBorders>
            <w:noWrap w:val="0"/>
            <w:vAlign w:val="center"/>
          </w:tcPr>
          <w:p w14:paraId="3E79218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930" w:type="pct"/>
            <w:tcBorders>
              <w:top w:val="nil"/>
              <w:left w:val="nil"/>
              <w:bottom w:val="single" w:color="auto" w:sz="4" w:space="0"/>
              <w:right w:val="single" w:color="auto" w:sz="4" w:space="0"/>
              <w:tl2br w:val="nil"/>
              <w:tr2bl w:val="nil"/>
            </w:tcBorders>
            <w:noWrap w:val="0"/>
            <w:vAlign w:val="center"/>
          </w:tcPr>
          <w:p w14:paraId="234FA6AB">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657" w:type="pct"/>
            <w:tcBorders>
              <w:top w:val="nil"/>
              <w:left w:val="nil"/>
              <w:bottom w:val="single" w:color="auto" w:sz="4" w:space="0"/>
              <w:right w:val="single" w:color="auto" w:sz="4" w:space="0"/>
              <w:tl2br w:val="nil"/>
              <w:tr2bl w:val="nil"/>
            </w:tcBorders>
            <w:noWrap w:val="0"/>
            <w:vAlign w:val="center"/>
          </w:tcPr>
          <w:p w14:paraId="68AA6F1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6E7D8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3" w:type="pct"/>
            <w:tcBorders>
              <w:top w:val="nil"/>
              <w:left w:val="single" w:color="auto" w:sz="4" w:space="0"/>
              <w:bottom w:val="single" w:color="auto" w:sz="4" w:space="0"/>
              <w:right w:val="single" w:color="auto" w:sz="4" w:space="0"/>
              <w:tl2br w:val="nil"/>
              <w:tr2bl w:val="nil"/>
            </w:tcBorders>
            <w:noWrap w:val="0"/>
            <w:vAlign w:val="center"/>
          </w:tcPr>
          <w:p w14:paraId="1D6EBEF8">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其他未列明行业</w:t>
            </w:r>
          </w:p>
        </w:tc>
        <w:tc>
          <w:tcPr>
            <w:tcW w:w="898" w:type="pct"/>
            <w:tcBorders>
              <w:top w:val="nil"/>
              <w:left w:val="nil"/>
              <w:bottom w:val="single" w:color="auto" w:sz="4" w:space="0"/>
              <w:right w:val="single" w:color="auto" w:sz="4" w:space="0"/>
              <w:tl2br w:val="nil"/>
              <w:tr2bl w:val="nil"/>
            </w:tcBorders>
            <w:noWrap w:val="0"/>
            <w:vAlign w:val="center"/>
          </w:tcPr>
          <w:p w14:paraId="06876C26">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21" w:type="pct"/>
            <w:tcBorders>
              <w:top w:val="nil"/>
              <w:left w:val="nil"/>
              <w:bottom w:val="single" w:color="auto" w:sz="4" w:space="0"/>
              <w:right w:val="single" w:color="auto" w:sz="4" w:space="0"/>
              <w:tl2br w:val="nil"/>
              <w:tr2bl w:val="nil"/>
            </w:tcBorders>
            <w:noWrap w:val="0"/>
            <w:vAlign w:val="center"/>
          </w:tcPr>
          <w:p w14:paraId="0CD37C72">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39" w:type="pct"/>
            <w:tcBorders>
              <w:top w:val="nil"/>
              <w:left w:val="nil"/>
              <w:bottom w:val="single" w:color="auto" w:sz="4" w:space="0"/>
              <w:right w:val="single" w:color="auto" w:sz="4" w:space="0"/>
              <w:tl2br w:val="nil"/>
              <w:tr2bl w:val="nil"/>
            </w:tcBorders>
            <w:noWrap w:val="0"/>
            <w:vAlign w:val="center"/>
          </w:tcPr>
          <w:p w14:paraId="6E39643E">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30" w:type="pct"/>
            <w:tcBorders>
              <w:top w:val="nil"/>
              <w:left w:val="nil"/>
              <w:bottom w:val="single" w:color="auto" w:sz="4" w:space="0"/>
              <w:right w:val="single" w:color="auto" w:sz="4" w:space="0"/>
              <w:tl2br w:val="nil"/>
              <w:tr2bl w:val="nil"/>
            </w:tcBorders>
            <w:noWrap w:val="0"/>
            <w:vAlign w:val="center"/>
          </w:tcPr>
          <w:p w14:paraId="078CF269">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657" w:type="pct"/>
            <w:tcBorders>
              <w:top w:val="nil"/>
              <w:left w:val="nil"/>
              <w:bottom w:val="single" w:color="auto" w:sz="4" w:space="0"/>
              <w:right w:val="single" w:color="auto" w:sz="4" w:space="0"/>
              <w:tl2br w:val="nil"/>
              <w:tr2bl w:val="nil"/>
            </w:tcBorders>
            <w:noWrap w:val="0"/>
            <w:vAlign w:val="center"/>
          </w:tcPr>
          <w:p w14:paraId="61CB838A">
            <w:pPr>
              <w:keepNext w:val="0"/>
              <w:keepLines w:val="0"/>
              <w:pageBreakBefore w:val="0"/>
              <w:widowControl/>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14:paraId="64B8DD30">
      <w:pPr>
        <w:pStyle w:val="4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说明：上述标准参照《关于印发中小企业划型标准规定的通知》（工信部联企业</w:t>
      </w:r>
      <w:r>
        <w:rPr>
          <w:rFonts w:hint="eastAsia" w:ascii="宋体" w:hAnsi="宋体" w:eastAsia="宋体" w:cs="宋体"/>
          <w:color w:val="auto"/>
          <w:sz w:val="21"/>
          <w:szCs w:val="21"/>
          <w:highlight w:val="none"/>
          <w:lang w:eastAsia="zh-CN"/>
        </w:rPr>
        <w:t>〔2011〕300号</w:t>
      </w:r>
      <w:r>
        <w:rPr>
          <w:rFonts w:hint="eastAsia" w:ascii="宋体" w:hAnsi="宋体" w:eastAsia="宋体" w:cs="宋体"/>
          <w:color w:val="auto"/>
          <w:sz w:val="21"/>
          <w:szCs w:val="21"/>
          <w:highlight w:val="none"/>
        </w:rPr>
        <w:t>），大型、中型和小型企业须同时满足所列指标的下限，否则下划一档；微型企业只须满足所列指标中的一项即可。</w:t>
      </w:r>
    </w:p>
    <w:p w14:paraId="53AADCF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D01D771">
      <w:pPr>
        <w:pStyle w:val="2"/>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方正小标宋_GBK" w:hAnsi="方正小标宋_GBK" w:eastAsia="方正小标宋_GBK" w:cs="方正小标宋_GBK"/>
          <w:color w:val="auto"/>
          <w:sz w:val="28"/>
          <w:szCs w:val="28"/>
          <w:highlight w:val="none"/>
        </w:rPr>
      </w:pPr>
      <w:bookmarkStart w:id="121" w:name="_Toc15391"/>
      <w:bookmarkStart w:id="122" w:name="_Toc11351"/>
      <w:bookmarkStart w:id="123" w:name="_Toc30500"/>
      <w:r>
        <w:rPr>
          <w:rFonts w:hint="eastAsia" w:ascii="方正小标宋_GBK" w:hAnsi="方正小标宋_GBK" w:eastAsia="方正小标宋_GBK" w:cs="方正小标宋_GBK"/>
          <w:color w:val="auto"/>
          <w:sz w:val="28"/>
          <w:szCs w:val="28"/>
          <w:highlight w:val="none"/>
        </w:rPr>
        <w:t>第三章  投标人须知</w:t>
      </w:r>
      <w:bookmarkEnd w:id="94"/>
      <w:bookmarkEnd w:id="121"/>
      <w:bookmarkEnd w:id="122"/>
      <w:bookmarkEnd w:id="123"/>
    </w:p>
    <w:p w14:paraId="1B37740D">
      <w:pPr>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1"/>
        <w:rPr>
          <w:rFonts w:hint="eastAsia" w:ascii="宋体" w:hAnsi="宋体" w:eastAsia="宋体" w:cs="宋体"/>
          <w:b/>
          <w:bCs/>
          <w:color w:val="auto"/>
          <w:sz w:val="21"/>
          <w:szCs w:val="21"/>
          <w:highlight w:val="none"/>
        </w:rPr>
      </w:pPr>
      <w:bookmarkStart w:id="124" w:name="_Toc254970667"/>
      <w:bookmarkStart w:id="125" w:name="_Toc23218"/>
      <w:bookmarkStart w:id="126" w:name="_Toc21423"/>
      <w:bookmarkStart w:id="127" w:name="_Toc254970526"/>
      <w:bookmarkStart w:id="128" w:name="_Toc7338"/>
      <w:r>
        <w:rPr>
          <w:rFonts w:hint="eastAsia" w:ascii="宋体" w:hAnsi="宋体" w:eastAsia="宋体" w:cs="宋体"/>
          <w:b/>
          <w:bCs/>
          <w:color w:val="auto"/>
          <w:sz w:val="21"/>
          <w:szCs w:val="21"/>
          <w:highlight w:val="none"/>
        </w:rPr>
        <w:t>投标人须知前附表</w:t>
      </w:r>
      <w:bookmarkEnd w:id="124"/>
      <w:bookmarkEnd w:id="125"/>
      <w:bookmarkEnd w:id="126"/>
      <w:bookmarkEnd w:id="127"/>
      <w:bookmarkEnd w:id="128"/>
    </w:p>
    <w:tbl>
      <w:tblPr>
        <w:tblStyle w:val="48"/>
        <w:tblW w:w="91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5"/>
        <w:gridCol w:w="8250"/>
      </w:tblGrid>
      <w:tr w14:paraId="6D544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0EFD7FF8">
            <w:pPr>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8250" w:type="dxa"/>
            <w:tcBorders>
              <w:top w:val="single" w:color="auto" w:sz="4" w:space="0"/>
              <w:left w:val="single" w:color="auto" w:sz="4" w:space="0"/>
              <w:bottom w:val="single" w:color="auto" w:sz="4" w:space="0"/>
              <w:right w:val="single" w:color="auto" w:sz="4" w:space="0"/>
            </w:tcBorders>
            <w:vAlign w:val="center"/>
          </w:tcPr>
          <w:p w14:paraId="1182317E">
            <w:pPr>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编列内容</w:t>
            </w:r>
          </w:p>
        </w:tc>
      </w:tr>
      <w:tr w14:paraId="30EF5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486E94B2">
            <w:pPr>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250" w:type="dxa"/>
            <w:tcBorders>
              <w:top w:val="single" w:color="auto" w:sz="4" w:space="0"/>
              <w:left w:val="single" w:color="auto" w:sz="4" w:space="0"/>
              <w:bottom w:val="single" w:color="auto" w:sz="4" w:space="0"/>
              <w:right w:val="single" w:color="auto" w:sz="4" w:space="0"/>
            </w:tcBorders>
            <w:vAlign w:val="center"/>
          </w:tcPr>
          <w:p w14:paraId="29D3C3A8">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投标人的资格要求：详见招标公告。</w:t>
            </w:r>
          </w:p>
          <w:p w14:paraId="1A0B9167">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投标人出现下列情形之一的，不得参加政府采购活动：</w:t>
            </w:r>
          </w:p>
          <w:p w14:paraId="7DB8EBF2">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92E4976">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727C87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52E17CC1">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29" w:name="_9.2"/>
            <w:bookmarkEnd w:id="129"/>
            <w:bookmarkStart w:id="130" w:name="_8.1"/>
            <w:bookmarkEnd w:id="130"/>
            <w:bookmarkStart w:id="131" w:name="_5"/>
            <w:bookmarkEnd w:id="131"/>
            <w:r>
              <w:rPr>
                <w:rFonts w:hint="eastAsia" w:ascii="宋体" w:hAnsi="宋体" w:eastAsia="宋体" w:cs="宋体"/>
                <w:color w:val="auto"/>
                <w:sz w:val="21"/>
                <w:szCs w:val="21"/>
                <w:highlight w:val="none"/>
              </w:rPr>
              <w:t>6.1</w:t>
            </w:r>
          </w:p>
        </w:tc>
        <w:tc>
          <w:tcPr>
            <w:tcW w:w="8250" w:type="dxa"/>
            <w:tcBorders>
              <w:top w:val="single" w:color="auto" w:sz="4" w:space="0"/>
              <w:left w:val="single" w:color="auto" w:sz="4" w:space="0"/>
              <w:bottom w:val="single" w:color="auto" w:sz="4" w:space="0"/>
              <w:right w:val="single" w:color="auto" w:sz="4" w:space="0"/>
            </w:tcBorders>
            <w:vAlign w:val="center"/>
          </w:tcPr>
          <w:p w14:paraId="70B5AB34">
            <w:pPr>
              <w:pStyle w:val="16"/>
              <w:pageBreakBefore w:val="0"/>
              <w:widowControl w:val="0"/>
              <w:kinsoku/>
              <w:wordWrap/>
              <w:overflowPunct/>
              <w:topLinePunct w:val="0"/>
              <w:bidi w:val="0"/>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本项目是否接受联合体投标：详见招标公告。</w:t>
            </w:r>
          </w:p>
        </w:tc>
      </w:tr>
      <w:tr w14:paraId="73C2FE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208791DD">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8250" w:type="dxa"/>
            <w:tcBorders>
              <w:top w:val="single" w:color="auto" w:sz="4" w:space="0"/>
              <w:left w:val="single" w:color="auto" w:sz="4" w:space="0"/>
              <w:bottom w:val="single" w:color="auto" w:sz="4" w:space="0"/>
              <w:right w:val="single" w:color="auto" w:sz="4" w:space="0"/>
            </w:tcBorders>
            <w:vAlign w:val="center"/>
          </w:tcPr>
          <w:p w14:paraId="17D9C8EF">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color w:val="auto"/>
                <w:sz w:val="21"/>
                <w:szCs w:val="21"/>
                <w:highlight w:val="none"/>
              </w:rPr>
            </w:pPr>
            <w:bookmarkStart w:id="132" w:name="_Hlk54105293"/>
            <w:r>
              <w:rPr>
                <w:rFonts w:hint="eastAsia" w:ascii="宋体" w:hAnsi="宋体" w:eastAsia="宋体" w:cs="宋体"/>
                <w:color w:val="auto"/>
                <w:sz w:val="21"/>
                <w:szCs w:val="21"/>
                <w:highlight w:val="none"/>
              </w:rPr>
              <w:t>如接受联合体投标，</w:t>
            </w:r>
            <w:bookmarkEnd w:id="132"/>
            <w:r>
              <w:rPr>
                <w:rFonts w:hint="eastAsia" w:ascii="宋体" w:hAnsi="宋体" w:eastAsia="宋体" w:cs="宋体"/>
                <w:color w:val="auto"/>
                <w:sz w:val="21"/>
                <w:szCs w:val="21"/>
                <w:highlight w:val="none"/>
              </w:rPr>
              <w:t>联合体投标要求如下：</w:t>
            </w:r>
          </w:p>
          <w:p w14:paraId="01CA1B02">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两个以上投标人可以组成一个投标联合体，以一个投标人的身份共同参加投标，联合体投标人的名称应统一按“XXX公司与XXX公司的联合体”的规则填写。</w:t>
            </w:r>
          </w:p>
          <w:p w14:paraId="5E0CD0F4">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3、本项目的特定资格要求”的要求。</w:t>
            </w:r>
          </w:p>
          <w:p w14:paraId="066003DA">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14:paraId="7A4C881B">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以联合体形式参加政府采购活动的，联合体各方不得再单独参加或者与其他投标人另外组成联合体参加同一合同项下的政府采购活动，否则与之相关的投标文件作废。</w:t>
            </w:r>
          </w:p>
          <w:p w14:paraId="6309ECCF">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联合体中有同类资质的投标人按照联合体分工承担相同工作的，应当按照资质等级较低的投标人确定资质等级。</w:t>
            </w:r>
          </w:p>
          <w:p w14:paraId="2FCC70EF">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联合体投标业绩、履约能力按照联合体各方其中较高的一方认定并计算（招标文件另有规定的除外）。</w:t>
            </w:r>
          </w:p>
          <w:p w14:paraId="55ED2E3D">
            <w:pPr>
              <w:pStyle w:val="16"/>
              <w:keepNext w:val="0"/>
              <w:keepLines w:val="0"/>
              <w:pageBreakBefore w:val="0"/>
              <w:widowControl w:val="0"/>
              <w:kinsoku/>
              <w:wordWrap/>
              <w:overflowPunct/>
              <w:topLinePunct w:val="0"/>
              <w:bidi w:val="0"/>
              <w:adjustRightInd/>
              <w:spacing w:line="400" w:lineRule="exact"/>
              <w:ind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投标人为联合体的，可以由联合体中的一方或者多方共同交纳投标保证金，其交纳的保证金对联合体各方均具有约束力。</w:t>
            </w:r>
          </w:p>
          <w:p w14:paraId="03E33DDB">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联合体各方均应按照招标文件的规定提交资格证明文件。</w:t>
            </w:r>
          </w:p>
        </w:tc>
      </w:tr>
      <w:tr w14:paraId="6C3E4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45BD3B14">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8250" w:type="dxa"/>
            <w:tcBorders>
              <w:top w:val="single" w:color="auto" w:sz="4" w:space="0"/>
              <w:left w:val="single" w:color="auto" w:sz="4" w:space="0"/>
              <w:bottom w:val="single" w:color="auto" w:sz="4" w:space="0"/>
              <w:right w:val="single" w:color="auto" w:sz="4" w:space="0"/>
            </w:tcBorders>
            <w:vAlign w:val="center"/>
          </w:tcPr>
          <w:p w14:paraId="0FF6FB1E">
            <w:pPr>
              <w:pStyle w:val="16"/>
              <w:pageBreakBefore w:val="0"/>
              <w:widowControl w:val="0"/>
              <w:kinsoku/>
              <w:wordWrap/>
              <w:overflowPunct/>
              <w:topLinePunct w:val="0"/>
              <w:bidi w:val="0"/>
              <w:spacing w:line="400" w:lineRule="exact"/>
              <w:ind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本项目不允许分包。</w:t>
            </w:r>
          </w:p>
        </w:tc>
      </w:tr>
      <w:tr w14:paraId="33F7D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6"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14:paraId="6EBBE5A8">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w:t>
            </w:r>
          </w:p>
        </w:tc>
        <w:tc>
          <w:tcPr>
            <w:tcW w:w="8250" w:type="dxa"/>
            <w:tcBorders>
              <w:top w:val="single" w:color="auto" w:sz="4" w:space="0"/>
              <w:left w:val="single" w:color="auto" w:sz="4" w:space="0"/>
              <w:bottom w:val="single" w:color="auto" w:sz="4" w:space="0"/>
              <w:right w:val="single" w:color="auto" w:sz="4" w:space="0"/>
            </w:tcBorders>
            <w:vAlign w:val="center"/>
          </w:tcPr>
          <w:p w14:paraId="78061DFC">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用综合评分法的采购项目，提供相同品牌产品（单一产品或核心产品品牌相同）的不同投标人评审得分相同时，按照下列方式确定一个投标人获得中标人推荐资格：评审得分相同的，由采购人或者采购人委托评标委员会采取随机抽取方式确定一个投标人获得中标供应商推荐资格。</w:t>
            </w:r>
          </w:p>
        </w:tc>
      </w:tr>
      <w:tr w14:paraId="0EE49F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6"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14:paraId="6CF71E03">
            <w:pPr>
              <w:pageBreakBefore w:val="0"/>
              <w:widowControl w:val="0"/>
              <w:kinsoku/>
              <w:wordWrap/>
              <w:overflowPunct/>
              <w:topLinePunct w:val="0"/>
              <w:bidi w:val="0"/>
              <w:spacing w:line="400" w:lineRule="exact"/>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8.2.2</w:t>
            </w:r>
          </w:p>
        </w:tc>
        <w:tc>
          <w:tcPr>
            <w:tcW w:w="8250" w:type="dxa"/>
            <w:tcBorders>
              <w:top w:val="single" w:color="auto" w:sz="4" w:space="0"/>
              <w:left w:val="single" w:color="auto" w:sz="4" w:space="0"/>
              <w:bottom w:val="single" w:color="auto" w:sz="4" w:space="0"/>
              <w:right w:val="single" w:color="auto" w:sz="4" w:space="0"/>
            </w:tcBorders>
            <w:vAlign w:val="center"/>
          </w:tcPr>
          <w:p w14:paraId="26D84944">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是否适用对本国产品的支持政策</w:t>
            </w:r>
          </w:p>
          <w:p w14:paraId="35032F84">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E6BE9BB">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□不适用</w:t>
            </w:r>
          </w:p>
        </w:tc>
      </w:tr>
      <w:tr w14:paraId="264617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55" w:type="dxa"/>
            <w:vMerge w:val="restart"/>
            <w:tcBorders>
              <w:top w:val="single" w:color="auto" w:sz="4" w:space="0"/>
              <w:left w:val="single" w:color="auto" w:sz="4" w:space="0"/>
              <w:right w:val="single" w:color="auto" w:sz="4" w:space="0"/>
            </w:tcBorders>
            <w:vAlign w:val="center"/>
          </w:tcPr>
          <w:p w14:paraId="40A6348B">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8250" w:type="dxa"/>
            <w:tcBorders>
              <w:top w:val="single" w:color="auto" w:sz="4" w:space="0"/>
              <w:left w:val="single" w:color="auto" w:sz="4" w:space="0"/>
              <w:bottom w:val="single" w:color="auto" w:sz="4" w:space="0"/>
              <w:right w:val="single" w:color="auto" w:sz="4" w:space="0"/>
            </w:tcBorders>
            <w:vAlign w:val="center"/>
          </w:tcPr>
          <w:p w14:paraId="0D0A3255">
            <w:pPr>
              <w:pageBreakBefore w:val="0"/>
              <w:widowControl w:val="0"/>
              <w:kinsoku/>
              <w:wordWrap/>
              <w:overflowPunct/>
              <w:topLinePunct w:val="0"/>
              <w:bidi w:val="0"/>
              <w:snapToGrid w:val="0"/>
              <w:spacing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本项目不组织现场考察。</w:t>
            </w:r>
          </w:p>
        </w:tc>
      </w:tr>
      <w:tr w14:paraId="7B187B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855" w:type="dxa"/>
            <w:vMerge w:val="continue"/>
            <w:tcBorders>
              <w:left w:val="single" w:color="auto" w:sz="4" w:space="0"/>
              <w:bottom w:val="single" w:color="auto" w:sz="4" w:space="0"/>
              <w:right w:val="single" w:color="auto" w:sz="4" w:space="0"/>
            </w:tcBorders>
            <w:vAlign w:val="center"/>
          </w:tcPr>
          <w:p w14:paraId="3A99B618">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p>
        </w:tc>
        <w:tc>
          <w:tcPr>
            <w:tcW w:w="8250" w:type="dxa"/>
            <w:tcBorders>
              <w:top w:val="single" w:color="auto" w:sz="4" w:space="0"/>
              <w:left w:val="single" w:color="auto" w:sz="4" w:space="0"/>
              <w:bottom w:val="single" w:color="auto" w:sz="4" w:space="0"/>
              <w:right w:val="single" w:color="auto" w:sz="4" w:space="0"/>
            </w:tcBorders>
            <w:vAlign w:val="center"/>
          </w:tcPr>
          <w:p w14:paraId="774CAA8C">
            <w:pPr>
              <w:pageBreakBefore w:val="0"/>
              <w:widowControl w:val="0"/>
              <w:kinsoku/>
              <w:wordWrap/>
              <w:overflowPunct/>
              <w:topLinePunct w:val="0"/>
              <w:bidi w:val="0"/>
              <w:snapToGrid w:val="0"/>
              <w:spacing w:line="400" w:lineRule="exac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本项目不组织召开开标前答疑会</w:t>
            </w:r>
            <w:r>
              <w:rPr>
                <w:rFonts w:hint="eastAsia" w:ascii="宋体" w:hAnsi="宋体" w:eastAsia="宋体" w:cs="宋体"/>
                <w:color w:val="auto"/>
                <w:sz w:val="21"/>
                <w:szCs w:val="21"/>
                <w:highlight w:val="none"/>
                <w:lang w:eastAsia="zh-CN"/>
              </w:rPr>
              <w:t>。</w:t>
            </w:r>
          </w:p>
        </w:tc>
      </w:tr>
      <w:tr w14:paraId="7C9A87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vMerge w:val="restart"/>
            <w:tcBorders>
              <w:top w:val="single" w:color="auto" w:sz="4" w:space="0"/>
              <w:left w:val="single" w:color="auto" w:sz="4" w:space="0"/>
              <w:right w:val="single" w:color="auto" w:sz="4" w:space="0"/>
            </w:tcBorders>
            <w:vAlign w:val="center"/>
          </w:tcPr>
          <w:p w14:paraId="251E1C13">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33" w:name="_13.1"/>
            <w:bookmarkEnd w:id="133"/>
            <w:r>
              <w:rPr>
                <w:rFonts w:hint="eastAsia" w:ascii="宋体" w:hAnsi="宋体" w:eastAsia="宋体" w:cs="宋体"/>
                <w:color w:val="auto"/>
                <w:sz w:val="21"/>
                <w:szCs w:val="21"/>
                <w:highlight w:val="none"/>
              </w:rPr>
              <w:t>13.</w:t>
            </w:r>
            <w:bookmarkStart w:id="134" w:name="_Hlt19632543"/>
            <w:r>
              <w:rPr>
                <w:rFonts w:hint="eastAsia" w:ascii="宋体" w:hAnsi="宋体" w:eastAsia="宋体" w:cs="宋体"/>
                <w:color w:val="auto"/>
                <w:sz w:val="21"/>
                <w:szCs w:val="21"/>
                <w:highlight w:val="none"/>
              </w:rPr>
              <w:t>1</w:t>
            </w:r>
            <w:bookmarkEnd w:id="134"/>
          </w:p>
        </w:tc>
        <w:tc>
          <w:tcPr>
            <w:tcW w:w="8250" w:type="dxa"/>
            <w:tcBorders>
              <w:top w:val="single" w:color="auto" w:sz="4" w:space="0"/>
              <w:left w:val="single" w:color="auto" w:sz="4" w:space="0"/>
              <w:bottom w:val="single" w:color="auto" w:sz="4" w:space="0"/>
              <w:right w:val="single" w:color="auto" w:sz="4" w:space="0"/>
            </w:tcBorders>
            <w:vAlign w:val="center"/>
          </w:tcPr>
          <w:p w14:paraId="5EB4A9C1">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报价文件</w:t>
            </w:r>
            <w:r>
              <w:rPr>
                <w:rFonts w:hint="eastAsia" w:ascii="宋体" w:hAnsi="宋体" w:eastAsia="宋体" w:cs="宋体"/>
                <w:b/>
                <w:color w:val="auto"/>
                <w:sz w:val="21"/>
                <w:szCs w:val="21"/>
                <w:highlight w:val="none"/>
                <w:lang w:eastAsia="zh-CN"/>
              </w:rPr>
              <w:t>：</w:t>
            </w:r>
          </w:p>
          <w:p w14:paraId="18DD9038">
            <w:pPr>
              <w:keepNext w:val="0"/>
              <w:keepLines w:val="0"/>
              <w:pageBreakBefore w:val="0"/>
              <w:widowControl w:val="0"/>
              <w:tabs>
                <w:tab w:val="left" w:pos="459"/>
              </w:tabs>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投标函（格式后附）；</w:t>
            </w:r>
            <w:r>
              <w:rPr>
                <w:rFonts w:hint="eastAsia" w:ascii="宋体" w:hAnsi="宋体" w:eastAsia="宋体" w:cs="宋体"/>
                <w:b/>
                <w:color w:val="auto"/>
                <w:sz w:val="21"/>
                <w:szCs w:val="21"/>
                <w:highlight w:val="none"/>
              </w:rPr>
              <w:t>（必须提供，否则按无效投标处理）</w:t>
            </w:r>
          </w:p>
          <w:p w14:paraId="7E91A0D7">
            <w:pPr>
              <w:keepNext w:val="0"/>
              <w:keepLines w:val="0"/>
              <w:pageBreakBefore w:val="0"/>
              <w:widowControl w:val="0"/>
              <w:tabs>
                <w:tab w:val="left" w:pos="459"/>
              </w:tabs>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bookmarkStart w:id="135" w:name="_Hlk71299233"/>
            <w:r>
              <w:rPr>
                <w:rFonts w:hint="eastAsia" w:ascii="宋体" w:hAnsi="宋体" w:eastAsia="宋体" w:cs="宋体"/>
                <w:color w:val="auto"/>
                <w:sz w:val="21"/>
                <w:szCs w:val="21"/>
                <w:highlight w:val="none"/>
              </w:rPr>
              <w:t>2</w:t>
            </w:r>
            <w:bookmarkEnd w:id="135"/>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开标一览表</w:t>
            </w:r>
            <w:r>
              <w:rPr>
                <w:rFonts w:hint="eastAsia" w:ascii="宋体" w:hAnsi="宋体" w:eastAsia="宋体" w:cs="宋体"/>
                <w:color w:val="auto"/>
                <w:sz w:val="21"/>
                <w:szCs w:val="21"/>
                <w:highlight w:val="none"/>
              </w:rPr>
              <w:t>（格式后附）；（</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3.供应商享受中小企业扶持政策的材料</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分标1、3的供应商必须</w:t>
            </w:r>
            <w:r>
              <w:rPr>
                <w:rFonts w:hint="eastAsia" w:ascii="宋体" w:hAnsi="宋体" w:eastAsia="宋体" w:cs="宋体"/>
                <w:b/>
                <w:bCs/>
                <w:color w:val="auto"/>
                <w:sz w:val="21"/>
                <w:szCs w:val="21"/>
                <w:highlight w:val="none"/>
              </w:rPr>
              <w:t>提供以下任意一项材料以证明自身可享受中小企业扶持政策</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分标2、4、5、6的</w:t>
            </w:r>
            <w:r>
              <w:rPr>
                <w:rFonts w:hint="eastAsia" w:ascii="宋体" w:hAnsi="宋体" w:eastAsia="宋体" w:cs="宋体"/>
                <w:b/>
                <w:bCs/>
                <w:color w:val="auto"/>
                <w:sz w:val="21"/>
                <w:szCs w:val="21"/>
                <w:highlight w:val="none"/>
              </w:rPr>
              <w:t>供应商根据自身响应情况，提供以下任意一项材料以证明自身可享受中小企业扶持政策）：</w:t>
            </w:r>
          </w:p>
          <w:p w14:paraId="54C410B0">
            <w:pPr>
              <w:keepNext w:val="0"/>
              <w:keepLines w:val="0"/>
              <w:pageBreakBefore w:val="0"/>
              <w:widowControl w:val="0"/>
              <w:tabs>
                <w:tab w:val="left" w:pos="459"/>
              </w:tabs>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（1）《中小企业声明函》（格式后附）；</w:t>
            </w:r>
          </w:p>
          <w:p w14:paraId="0E47ECE2">
            <w:pPr>
              <w:keepNext w:val="0"/>
              <w:keepLines w:val="0"/>
              <w:pageBreakBefore w:val="0"/>
              <w:widowControl w:val="0"/>
              <w:tabs>
                <w:tab w:val="left" w:pos="459"/>
              </w:tabs>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（2）《残疾人福利性单位声明函》（格式后附）；</w:t>
            </w:r>
          </w:p>
          <w:p w14:paraId="692DB6D7">
            <w:pPr>
              <w:keepNext w:val="0"/>
              <w:keepLines w:val="0"/>
              <w:pageBreakBefore w:val="0"/>
              <w:widowControl w:val="0"/>
              <w:tabs>
                <w:tab w:val="left" w:pos="459"/>
              </w:tabs>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（3）省级以上监狱管理局、戒毒管理局(含新疆生产建设兵团)出具的属于监狱企业的证明文件；</w:t>
            </w:r>
          </w:p>
          <w:p w14:paraId="105851FA">
            <w:pPr>
              <w:keepNext w:val="0"/>
              <w:keepLines w:val="0"/>
              <w:pageBreakBefore w:val="0"/>
              <w:widowControl w:val="0"/>
              <w:tabs>
                <w:tab w:val="left" w:pos="459"/>
              </w:tabs>
              <w:kinsoku/>
              <w:wordWrap/>
              <w:overflowPunct/>
              <w:topLinePunct w:val="0"/>
              <w:autoSpaceDE/>
              <w:autoSpaceDN/>
              <w:bidi w:val="0"/>
              <w:adjustRightInd/>
              <w:snapToGrid w:val="0"/>
              <w:spacing w:line="400" w:lineRule="exact"/>
              <w:ind w:firstLine="0" w:firstLine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4.《关于符合本国产品标准的声明函》（格式后附）或者财政部会同有关部门规定的有关证明文件；（供应商根据自身响应情况出具）</w:t>
            </w:r>
            <w:r>
              <w:rPr>
                <w:rFonts w:hint="eastAsia" w:ascii="宋体" w:hAnsi="宋体" w:eastAsia="宋体" w:cs="宋体"/>
                <w:color w:val="auto"/>
                <w:sz w:val="21"/>
                <w:szCs w:val="21"/>
                <w:highlight w:val="none"/>
              </w:rPr>
              <w:br w:type="textWrapping"/>
            </w:r>
            <w:r>
              <w:rPr>
                <w:rFonts w:hint="eastAsia" w:ascii="宋体" w:hAnsi="宋体" w:cs="宋体"/>
                <w:color w:val="auto"/>
                <w:sz w:val="21"/>
                <w:szCs w:val="21"/>
                <w:highlight w:val="none"/>
                <w:lang w:val="en-US" w:eastAsia="zh-CN"/>
              </w:rPr>
              <w:t>5.</w:t>
            </w:r>
            <w:r>
              <w:rPr>
                <w:rFonts w:ascii="宋体" w:hAnsi="宋体" w:eastAsia="宋体" w:cs="宋体"/>
                <w:color w:val="auto"/>
                <w:spacing w:val="2"/>
                <w:sz w:val="21"/>
                <w:szCs w:val="21"/>
                <w:highlight w:val="none"/>
              </w:rPr>
              <w:t>关于符合本国产品标准的成本占比承诺函</w:t>
            </w:r>
            <w:r>
              <w:rPr>
                <w:rFonts w:hint="eastAsia" w:ascii="宋体" w:hAnsi="宋体" w:eastAsia="宋体" w:cs="宋体"/>
                <w:color w:val="auto"/>
                <w:sz w:val="21"/>
                <w:szCs w:val="21"/>
                <w:highlight w:val="none"/>
              </w:rPr>
              <w:t>（格式后附）；（供应商根据自身响应情况出具）</w:t>
            </w:r>
          </w:p>
          <w:p w14:paraId="707EFD56">
            <w:pPr>
              <w:keepNext w:val="0"/>
              <w:keepLines w:val="0"/>
              <w:pageBreakBefore w:val="0"/>
              <w:widowControl w:val="0"/>
              <w:tabs>
                <w:tab w:val="left" w:pos="459"/>
              </w:tabs>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.投标人针对报价需要说明的其他文件和说明（格式自拟）。</w:t>
            </w:r>
          </w:p>
          <w:p w14:paraId="30DE8677">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bCs/>
                <w:color w:val="auto"/>
                <w:sz w:val="21"/>
                <w:szCs w:val="21"/>
                <w:highlight w:val="none"/>
                <w:lang w:val="en-US" w:eastAsia="zh-CN"/>
              </w:rPr>
              <w:t>必须</w:t>
            </w:r>
            <w:r>
              <w:rPr>
                <w:rFonts w:hint="eastAsia" w:ascii="宋体" w:hAnsi="宋体" w:eastAsia="宋体" w:cs="宋体"/>
                <w:b/>
                <w:bCs/>
                <w:color w:val="auto"/>
                <w:sz w:val="21"/>
                <w:szCs w:val="21"/>
                <w:highlight w:val="none"/>
              </w:rPr>
              <w:t>加盖投标人电子签章，格式中有要求法定代表人或者委托代理人签字的，必须按要求签字</w:t>
            </w:r>
            <w:r>
              <w:rPr>
                <w:rFonts w:hint="eastAsia" w:ascii="宋体" w:hAnsi="宋体" w:eastAsia="宋体" w:cs="宋体"/>
                <w:b/>
                <w:bCs/>
                <w:color w:val="auto"/>
                <w:sz w:val="21"/>
                <w:szCs w:val="21"/>
                <w:highlight w:val="none"/>
                <w:lang w:eastAsia="zh-CN"/>
              </w:rPr>
              <w:t>（或电子签名）</w:t>
            </w:r>
            <w:r>
              <w:rPr>
                <w:rFonts w:hint="eastAsia" w:ascii="宋体" w:hAnsi="宋体" w:eastAsia="宋体" w:cs="宋体"/>
                <w:b/>
                <w:bCs/>
                <w:color w:val="auto"/>
                <w:sz w:val="21"/>
                <w:szCs w:val="21"/>
                <w:highlight w:val="none"/>
              </w:rPr>
              <w:t>并加盖投标人电子签章，否则按无效投标处理。</w:t>
            </w:r>
          </w:p>
        </w:tc>
      </w:tr>
      <w:tr w14:paraId="53233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vMerge w:val="continue"/>
            <w:tcBorders>
              <w:left w:val="single" w:color="auto" w:sz="4" w:space="0"/>
              <w:right w:val="single" w:color="auto" w:sz="4" w:space="0"/>
            </w:tcBorders>
            <w:vAlign w:val="center"/>
          </w:tcPr>
          <w:p w14:paraId="4216D0A3">
            <w:pPr>
              <w:pageBreakBefore w:val="0"/>
              <w:widowControl w:val="0"/>
              <w:kinsoku/>
              <w:wordWrap/>
              <w:overflowPunct/>
              <w:topLinePunct w:val="0"/>
              <w:bidi w:val="0"/>
              <w:spacing w:line="400" w:lineRule="exact"/>
              <w:ind w:firstLine="0" w:firstLineChars="0"/>
              <w:rPr>
                <w:rFonts w:hint="eastAsia" w:ascii="宋体" w:hAnsi="宋体" w:eastAsia="宋体" w:cs="宋体"/>
                <w:color w:val="auto"/>
                <w:sz w:val="21"/>
                <w:szCs w:val="21"/>
                <w:highlight w:val="none"/>
              </w:rPr>
            </w:pPr>
            <w:bookmarkStart w:id="136" w:name="_13.2"/>
            <w:bookmarkEnd w:id="136"/>
          </w:p>
        </w:tc>
        <w:tc>
          <w:tcPr>
            <w:tcW w:w="8250" w:type="dxa"/>
            <w:tcBorders>
              <w:top w:val="single" w:color="auto" w:sz="4" w:space="0"/>
              <w:left w:val="single" w:color="auto" w:sz="4" w:space="0"/>
              <w:bottom w:val="single" w:color="auto" w:sz="4" w:space="0"/>
              <w:right w:val="single" w:color="auto" w:sz="4" w:space="0"/>
            </w:tcBorders>
            <w:vAlign w:val="center"/>
          </w:tcPr>
          <w:p w14:paraId="2203DC36">
            <w:pPr>
              <w:pageBreakBefore w:val="0"/>
              <w:widowControl w:val="0"/>
              <w:kinsoku/>
              <w:wordWrap/>
              <w:overflowPunct/>
              <w:topLinePunct w:val="0"/>
              <w:bidi w:val="0"/>
              <w:snapToGrid w:val="0"/>
              <w:spacing w:line="400" w:lineRule="exact"/>
              <w:ind w:firstLine="0" w:firstLineChars="0"/>
              <w:jc w:val="lef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资格证明文件</w:t>
            </w:r>
            <w:r>
              <w:rPr>
                <w:rFonts w:hint="eastAsia" w:ascii="宋体" w:hAnsi="宋体" w:eastAsia="宋体" w:cs="宋体"/>
                <w:b/>
                <w:color w:val="auto"/>
                <w:sz w:val="21"/>
                <w:szCs w:val="21"/>
                <w:highlight w:val="none"/>
                <w:lang w:eastAsia="zh-CN"/>
              </w:rPr>
              <w:t>：</w:t>
            </w:r>
          </w:p>
          <w:p w14:paraId="22183F7C">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供应商为法人或者其他组织的，证明文件为其营业执照复印件（如营业执照或者事业单位法人证书或者执业许可证等）；供应商为自然人的，证明文件为其身份证复印件；</w:t>
            </w:r>
            <w:r>
              <w:rPr>
                <w:rFonts w:hint="eastAsia" w:ascii="宋体" w:hAnsi="宋体" w:eastAsia="宋体" w:cs="宋体"/>
                <w:b/>
                <w:color w:val="auto"/>
                <w:sz w:val="21"/>
                <w:szCs w:val="21"/>
                <w:highlight w:val="none"/>
              </w:rPr>
              <w:t>（必须提供，否则按无效投标处理）</w:t>
            </w:r>
          </w:p>
          <w:p w14:paraId="195A797C">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投标人依法缴纳税收的相关材料（20</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月至</w:t>
            </w:r>
            <w:r>
              <w:rPr>
                <w:rFonts w:hint="eastAsia" w:ascii="宋体" w:hAnsi="宋体" w:eastAsia="宋体" w:cs="宋体"/>
                <w:color w:val="auto"/>
                <w:sz w:val="21"/>
                <w:szCs w:val="21"/>
                <w:highlight w:val="none"/>
                <w:lang w:eastAsia="zh-CN"/>
              </w:rPr>
              <w:t>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期间</w:t>
            </w:r>
            <w:r>
              <w:rPr>
                <w:rFonts w:hint="eastAsia" w:ascii="宋体" w:hAnsi="宋体" w:eastAsia="宋体" w:cs="宋体"/>
                <w:color w:val="auto"/>
                <w:sz w:val="21"/>
                <w:szCs w:val="21"/>
                <w:highlight w:val="none"/>
              </w:rPr>
              <w:t>任意</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个月的依法缴纳税收的凭据复印件；依法免税的供应商，必须提供相应文件证明其依法免税。从成立之日起到投标文件提交截止时间止不足要求月数的，只需提供从成立之日起的依法缴纳税收相应证明文件）；</w:t>
            </w:r>
            <w:r>
              <w:rPr>
                <w:rFonts w:hint="eastAsia" w:ascii="宋体" w:hAnsi="宋体" w:eastAsia="宋体" w:cs="宋体"/>
                <w:b/>
                <w:color w:val="auto"/>
                <w:sz w:val="21"/>
                <w:szCs w:val="21"/>
                <w:highlight w:val="none"/>
              </w:rPr>
              <w:t>（必须提供，否则按无效投标处理）</w:t>
            </w:r>
          </w:p>
          <w:p w14:paraId="57154C37">
            <w:pPr>
              <w:keepNext w:val="0"/>
              <w:keepLines w:val="0"/>
              <w:pageBreakBefore w:val="0"/>
              <w:widowControl w:val="0"/>
              <w:kinsoku/>
              <w:wordWrap/>
              <w:overflowPunct/>
              <w:topLinePunct w:val="0"/>
              <w:bidi w:val="0"/>
              <w:adjustRightInd/>
              <w:snapToGrid w:val="0"/>
              <w:spacing w:line="400" w:lineRule="exact"/>
              <w:ind w:firstLine="0" w:firstLineChars="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投标人依法缴纳社会保障资金的相关材料20</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月至</w:t>
            </w:r>
            <w:r>
              <w:rPr>
                <w:rFonts w:hint="eastAsia" w:ascii="宋体" w:hAnsi="宋体" w:eastAsia="宋体" w:cs="宋体"/>
                <w:color w:val="auto"/>
                <w:sz w:val="21"/>
                <w:szCs w:val="21"/>
                <w:highlight w:val="none"/>
                <w:lang w:eastAsia="zh-CN"/>
              </w:rPr>
              <w:t>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期间</w:t>
            </w:r>
            <w:r>
              <w:rPr>
                <w:rFonts w:hint="eastAsia" w:ascii="宋体" w:hAnsi="宋体" w:eastAsia="宋体" w:cs="宋体"/>
                <w:color w:val="auto"/>
                <w:sz w:val="21"/>
                <w:szCs w:val="21"/>
                <w:highlight w:val="none"/>
              </w:rPr>
              <w:t>任意</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月的依法缴纳社会保障资金的缴费证明材料（如：专用收据、社会保险缴纳清单或者社保部门的证明）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宋体" w:hAnsi="宋体" w:eastAsia="宋体" w:cs="宋体"/>
                <w:b/>
                <w:color w:val="auto"/>
                <w:sz w:val="21"/>
                <w:szCs w:val="21"/>
                <w:highlight w:val="none"/>
              </w:rPr>
              <w:t>（必须提供，否则按无效投标处理）</w:t>
            </w:r>
          </w:p>
          <w:p w14:paraId="69D81843">
            <w:pPr>
              <w:keepNext w:val="0"/>
              <w:keepLines w:val="0"/>
              <w:pageBreakBefore w:val="0"/>
              <w:widowControl w:val="0"/>
              <w:kinsoku/>
              <w:wordWrap/>
              <w:overflowPunct/>
              <w:topLinePunct w:val="0"/>
              <w:bidi w:val="0"/>
              <w:adjustRightInd/>
              <w:snapToGrid w:val="0"/>
              <w:spacing w:line="400" w:lineRule="exact"/>
              <w:ind w:firstLine="0" w:firstLineChars="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投标人财务状况报告[20</w:t>
            </w:r>
            <w:r>
              <w:rPr>
                <w:rFonts w:hint="eastAsia" w:ascii="宋体" w:hAnsi="宋体" w:cs="宋体"/>
                <w:color w:val="auto"/>
                <w:sz w:val="21"/>
                <w:szCs w:val="21"/>
                <w:highlight w:val="none"/>
                <w:lang w:val="en-US" w:eastAsia="zh-CN"/>
              </w:rPr>
              <w:t>24</w:t>
            </w:r>
            <w:r>
              <w:rPr>
                <w:rFonts w:hint="eastAsia" w:ascii="宋体" w:hAnsi="宋体" w:eastAsia="宋体" w:cs="宋体"/>
                <w:color w:val="auto"/>
                <w:sz w:val="21"/>
                <w:szCs w:val="21"/>
                <w:highlight w:val="none"/>
              </w:rPr>
              <w:t>年度</w:t>
            </w:r>
            <w:r>
              <w:rPr>
                <w:rFonts w:hint="eastAsia" w:ascii="宋体" w:hAnsi="宋体" w:eastAsia="宋体" w:cs="宋体"/>
                <w:color w:val="auto"/>
                <w:sz w:val="21"/>
                <w:szCs w:val="21"/>
                <w:highlight w:val="none"/>
                <w:lang w:val="en-US" w:eastAsia="zh-CN"/>
              </w:rPr>
              <w:t>或20</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en-US" w:eastAsia="zh-CN"/>
              </w:rPr>
              <w:t>年度</w:t>
            </w:r>
            <w:r>
              <w:rPr>
                <w:rFonts w:hint="eastAsia" w:ascii="宋体" w:hAnsi="宋体" w:eastAsia="宋体" w:cs="宋体"/>
                <w:color w:val="auto"/>
                <w:sz w:val="21"/>
                <w:szCs w:val="21"/>
                <w:highlight w:val="none"/>
              </w:rPr>
              <w:t>财务报表复印件，或者银行出具的资信证明，或者中国人民银行征信中心出具的信用报告（企业投标的提供企业信用报告，自然人投标的提供个人信用报告，投标人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宋体" w:hAnsi="宋体" w:eastAsia="宋体" w:cs="宋体"/>
                <w:b/>
                <w:color w:val="auto"/>
                <w:sz w:val="21"/>
                <w:szCs w:val="21"/>
                <w:highlight w:val="none"/>
              </w:rPr>
              <w:t>（除自然人外必须提供，否则按无效投标处理）</w:t>
            </w:r>
          </w:p>
          <w:p w14:paraId="44CAD37A">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投标人直接控股、管理关系信息表（格式后附）；</w:t>
            </w:r>
            <w:r>
              <w:rPr>
                <w:rFonts w:hint="eastAsia" w:ascii="宋体" w:hAnsi="宋体" w:eastAsia="宋体" w:cs="宋体"/>
                <w:b/>
                <w:color w:val="auto"/>
                <w:sz w:val="21"/>
                <w:szCs w:val="21"/>
                <w:highlight w:val="none"/>
              </w:rPr>
              <w:t>（必须提供，否则按无效投标处理）</w:t>
            </w:r>
          </w:p>
          <w:p w14:paraId="7F65FCB2">
            <w:pPr>
              <w:keepNext w:val="0"/>
              <w:keepLines w:val="0"/>
              <w:pageBreakBefore w:val="0"/>
              <w:widowControl w:val="0"/>
              <w:tabs>
                <w:tab w:val="left" w:pos="459"/>
              </w:tabs>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投标声明（格式后附）；</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b/>
                <w:color w:val="auto"/>
                <w:sz w:val="21"/>
                <w:szCs w:val="21"/>
                <w:highlight w:val="none"/>
              </w:rPr>
              <w:br w:type="textWrapping"/>
            </w:r>
            <w:r>
              <w:rPr>
                <w:rFonts w:hint="eastAsia" w:ascii="宋体" w:hAnsi="宋体" w:cs="宋体"/>
                <w:b/>
                <w:color w:val="auto"/>
                <w:sz w:val="21"/>
                <w:szCs w:val="21"/>
                <w:highlight w:val="none"/>
                <w:lang w:val="en-US" w:eastAsia="zh-CN"/>
              </w:rPr>
              <w:t>7.</w:t>
            </w:r>
            <w:r>
              <w:rPr>
                <w:rFonts w:hint="eastAsia" w:ascii="宋体" w:hAnsi="宋体"/>
                <w:color w:val="auto"/>
                <w:szCs w:val="21"/>
                <w:highlight w:val="none"/>
              </w:rPr>
              <w:t>本项目落实政府采购政策需满足的资格要求</w:t>
            </w:r>
            <w:r>
              <w:rPr>
                <w:rFonts w:hint="eastAsia" w:ascii="宋体" w:hAnsi="宋体"/>
                <w:color w:val="auto"/>
                <w:szCs w:val="21"/>
                <w:highlight w:val="none"/>
                <w:lang w:eastAsia="zh-CN"/>
              </w:rPr>
              <w:t>，</w:t>
            </w:r>
            <w:r>
              <w:rPr>
                <w:rFonts w:hint="eastAsia" w:ascii="宋体" w:hAnsi="宋体" w:cs="宋体"/>
                <w:b/>
                <w:bCs/>
                <w:color w:val="auto"/>
                <w:sz w:val="21"/>
                <w:szCs w:val="21"/>
                <w:highlight w:val="none"/>
                <w:lang w:val="en-US" w:eastAsia="zh-CN"/>
              </w:rPr>
              <w:t>分标1、3的供应商必须</w:t>
            </w:r>
            <w:r>
              <w:rPr>
                <w:rFonts w:hint="eastAsia" w:ascii="宋体" w:hAnsi="宋体" w:eastAsia="宋体" w:cs="宋体"/>
                <w:b/>
                <w:bCs/>
                <w:color w:val="auto"/>
                <w:sz w:val="21"/>
                <w:szCs w:val="21"/>
                <w:highlight w:val="none"/>
              </w:rPr>
              <w:t>提供以下任意一项材料</w:t>
            </w:r>
            <w:r>
              <w:rPr>
                <w:rFonts w:hint="eastAsia" w:ascii="宋体" w:hAnsi="宋体" w:eastAsia="宋体" w:cs="宋体"/>
                <w:b/>
                <w:bCs/>
                <w:color w:val="auto"/>
                <w:sz w:val="21"/>
                <w:szCs w:val="21"/>
                <w:highlight w:val="none"/>
                <w:lang w:eastAsia="zh-CN"/>
              </w:rPr>
              <w:t>，</w:t>
            </w:r>
            <w:r>
              <w:rPr>
                <w:rFonts w:hint="eastAsia" w:ascii="宋体" w:hAnsi="宋体" w:eastAsia="宋体" w:cs="宋体"/>
                <w:b/>
                <w:color w:val="auto"/>
                <w:sz w:val="21"/>
                <w:szCs w:val="21"/>
                <w:highlight w:val="none"/>
              </w:rPr>
              <w:t>否则按无效投标处理</w:t>
            </w:r>
            <w:r>
              <w:rPr>
                <w:rFonts w:hint="eastAsia" w:ascii="宋体" w:hAnsi="宋体" w:eastAsia="宋体" w:cs="宋体"/>
                <w:b/>
                <w:bCs/>
                <w:color w:val="auto"/>
                <w:sz w:val="21"/>
                <w:szCs w:val="21"/>
                <w:highlight w:val="none"/>
              </w:rPr>
              <w:t>：</w:t>
            </w:r>
          </w:p>
          <w:p w14:paraId="724EE4A6">
            <w:pPr>
              <w:keepNext w:val="0"/>
              <w:keepLines w:val="0"/>
              <w:pageBreakBefore w:val="0"/>
              <w:widowControl w:val="0"/>
              <w:tabs>
                <w:tab w:val="left" w:pos="459"/>
              </w:tabs>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（1）《中小企业声明函》（格式后附）；</w:t>
            </w:r>
          </w:p>
          <w:p w14:paraId="012315AF">
            <w:pPr>
              <w:keepNext w:val="0"/>
              <w:keepLines w:val="0"/>
              <w:pageBreakBefore w:val="0"/>
              <w:widowControl w:val="0"/>
              <w:tabs>
                <w:tab w:val="left" w:pos="459"/>
              </w:tabs>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（2）《残疾人福利性单位声明函》（格式后附）；</w:t>
            </w:r>
          </w:p>
          <w:p w14:paraId="0AADB390">
            <w:pPr>
              <w:keepNext w:val="0"/>
              <w:keepLines w:val="0"/>
              <w:pageBreakBefore w:val="0"/>
              <w:widowControl w:val="0"/>
              <w:tabs>
                <w:tab w:val="left" w:pos="459"/>
              </w:tabs>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rPr>
              <w:t>（3）省级以上监狱管理局、戒毒管理局(含新疆生产建设兵团)出具的属于监狱企业的证明文件；</w:t>
            </w:r>
          </w:p>
          <w:p w14:paraId="55DE8DE7">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b/>
                <w:color w:val="auto"/>
                <w:sz w:val="21"/>
                <w:szCs w:val="21"/>
                <w:highlight w:val="none"/>
                <w:lang w:val="en-US"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根据公开招标公告对应的特定资格要求设置供应商提供的资格证明材料</w:t>
            </w:r>
            <w:r>
              <w:rPr>
                <w:rFonts w:hint="eastAsia" w:ascii="宋体" w:hAnsi="宋体" w:eastAsia="宋体" w:cs="宋体"/>
                <w:color w:val="auto"/>
                <w:sz w:val="21"/>
                <w:szCs w:val="21"/>
                <w:highlight w:val="none"/>
                <w:lang w:eastAsia="zh-CN"/>
              </w:rPr>
              <w:t>；</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val="en-US" w:eastAsia="zh-CN"/>
              </w:rPr>
              <w:t>如</w:t>
            </w:r>
            <w:r>
              <w:rPr>
                <w:rFonts w:hint="eastAsia" w:ascii="宋体" w:hAnsi="宋体" w:eastAsia="宋体" w:cs="宋体"/>
                <w:b/>
                <w:color w:val="auto"/>
                <w:sz w:val="21"/>
                <w:szCs w:val="21"/>
                <w:highlight w:val="none"/>
              </w:rPr>
              <w:t>有要求时必须提供，否则按无效投标处理）</w:t>
            </w:r>
          </w:p>
          <w:p w14:paraId="31C98586">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both"/>
              <w:textAlignment w:val="bottom"/>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除招标文件规定必须提供以外，投标人认为需要提供的其他证明材料。</w:t>
            </w:r>
          </w:p>
          <w:p w14:paraId="55FB83C4">
            <w:pPr>
              <w:keepNext w:val="0"/>
              <w:keepLines w:val="0"/>
              <w:pageBreakBefore w:val="0"/>
              <w:widowControl w:val="0"/>
              <w:kinsoku/>
              <w:wordWrap/>
              <w:overflowPunct/>
              <w:topLinePunct w:val="0"/>
              <w:bidi w:val="0"/>
              <w:adjustRightInd/>
              <w:snapToGrid w:val="0"/>
              <w:spacing w:line="400" w:lineRule="exact"/>
              <w:ind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14:paraId="594A6B19">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（1）</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bCs/>
                <w:color w:val="auto"/>
                <w:sz w:val="21"/>
                <w:szCs w:val="21"/>
                <w:highlight w:val="none"/>
                <w:lang w:val="en-US" w:eastAsia="zh-CN"/>
              </w:rPr>
              <w:t>必须</w:t>
            </w:r>
            <w:r>
              <w:rPr>
                <w:rFonts w:hint="eastAsia" w:ascii="宋体" w:hAnsi="宋体" w:eastAsia="宋体" w:cs="宋体"/>
                <w:b/>
                <w:bCs/>
                <w:color w:val="auto"/>
                <w:sz w:val="21"/>
                <w:szCs w:val="21"/>
                <w:highlight w:val="none"/>
              </w:rPr>
              <w:t>加盖投标人电子签章，格式中有要求法定代表人或者委托代理人签字的，必须按要求签字</w:t>
            </w:r>
            <w:r>
              <w:rPr>
                <w:rFonts w:hint="eastAsia" w:ascii="宋体" w:hAnsi="宋体" w:eastAsia="宋体" w:cs="宋体"/>
                <w:b/>
                <w:bCs/>
                <w:color w:val="auto"/>
                <w:sz w:val="21"/>
                <w:szCs w:val="21"/>
                <w:highlight w:val="none"/>
                <w:lang w:eastAsia="zh-CN"/>
              </w:rPr>
              <w:t>（或电子签名）</w:t>
            </w:r>
            <w:r>
              <w:rPr>
                <w:rFonts w:hint="eastAsia" w:ascii="宋体" w:hAnsi="宋体" w:eastAsia="宋体" w:cs="宋体"/>
                <w:b/>
                <w:bCs/>
                <w:color w:val="auto"/>
                <w:sz w:val="21"/>
                <w:szCs w:val="21"/>
                <w:highlight w:val="none"/>
              </w:rPr>
              <w:t>并加盖投标人电子签章，否则按无效投标处理。</w:t>
            </w:r>
          </w:p>
          <w:p w14:paraId="1B517DD6">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（2）</w:t>
            </w:r>
            <w:r>
              <w:rPr>
                <w:rFonts w:hint="eastAsia" w:ascii="宋体" w:hAnsi="宋体" w:eastAsia="宋体" w:cs="宋体"/>
                <w:b/>
                <w:color w:val="auto"/>
                <w:sz w:val="21"/>
                <w:szCs w:val="21"/>
                <w:highlight w:val="none"/>
              </w:rPr>
              <w:t>投标人所提供的材料不完整，或模糊不清以致关键信息无法辨认的，责任自负</w:t>
            </w:r>
            <w:r>
              <w:rPr>
                <w:rFonts w:hint="eastAsia" w:ascii="宋体" w:hAnsi="宋体" w:eastAsia="宋体" w:cs="宋体"/>
                <w:b/>
                <w:color w:val="auto"/>
                <w:sz w:val="21"/>
                <w:szCs w:val="21"/>
                <w:highlight w:val="none"/>
                <w:lang w:eastAsia="zh-CN"/>
              </w:rPr>
              <w:t>。</w:t>
            </w:r>
          </w:p>
          <w:p w14:paraId="678B2246">
            <w:pPr>
              <w:keepNext w:val="0"/>
              <w:keepLines w:val="0"/>
              <w:pageBreakBefore w:val="0"/>
              <w:widowControl w:val="0"/>
              <w:kinsoku/>
              <w:wordWrap/>
              <w:overflowPunct/>
              <w:topLinePunct w:val="0"/>
              <w:bidi w:val="0"/>
              <w:adjustRightInd/>
              <w:snapToGrid w:val="0"/>
              <w:spacing w:line="400" w:lineRule="exact"/>
              <w:ind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bCs/>
                <w:color w:val="auto"/>
                <w:sz w:val="21"/>
                <w:szCs w:val="21"/>
                <w:highlight w:val="none"/>
              </w:rPr>
              <w:t>联合体投标时，第1-5项资格证明文件联合体各方均必须分别提供，联合体各方分别盖章和签字，否则按无效投标</w:t>
            </w:r>
            <w:r>
              <w:rPr>
                <w:rFonts w:hint="eastAsia" w:ascii="宋体" w:hAnsi="宋体" w:eastAsia="宋体" w:cs="宋体"/>
                <w:b/>
                <w:color w:val="auto"/>
                <w:sz w:val="21"/>
                <w:szCs w:val="21"/>
                <w:highlight w:val="none"/>
              </w:rPr>
              <w:t>处理</w:t>
            </w:r>
            <w:r>
              <w:rPr>
                <w:rFonts w:hint="eastAsia" w:ascii="宋体" w:hAnsi="宋体" w:eastAsia="宋体" w:cs="宋体"/>
                <w:b/>
                <w:bCs/>
                <w:color w:val="auto"/>
                <w:sz w:val="21"/>
                <w:szCs w:val="21"/>
                <w:highlight w:val="none"/>
              </w:rPr>
              <w:t>。</w:t>
            </w:r>
          </w:p>
        </w:tc>
      </w:tr>
      <w:tr w14:paraId="036D7C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0" w:hRule="atLeast"/>
          <w:jc w:val="center"/>
        </w:trPr>
        <w:tc>
          <w:tcPr>
            <w:tcW w:w="855" w:type="dxa"/>
            <w:vMerge w:val="continue"/>
            <w:tcBorders>
              <w:left w:val="single" w:color="auto" w:sz="4" w:space="0"/>
              <w:right w:val="single" w:color="auto" w:sz="4" w:space="0"/>
            </w:tcBorders>
            <w:vAlign w:val="center"/>
          </w:tcPr>
          <w:p w14:paraId="70EA817F">
            <w:pPr>
              <w:pageBreakBefore w:val="0"/>
              <w:widowControl w:val="0"/>
              <w:kinsoku/>
              <w:wordWrap/>
              <w:overflowPunct/>
              <w:topLinePunct w:val="0"/>
              <w:bidi w:val="0"/>
              <w:spacing w:line="400" w:lineRule="exact"/>
              <w:ind w:firstLine="0" w:firstLineChars="0"/>
              <w:rPr>
                <w:rFonts w:hint="eastAsia" w:ascii="宋体" w:hAnsi="宋体" w:eastAsia="宋体" w:cs="宋体"/>
                <w:color w:val="auto"/>
                <w:sz w:val="21"/>
                <w:szCs w:val="21"/>
                <w:highlight w:val="none"/>
              </w:rPr>
            </w:pPr>
            <w:bookmarkStart w:id="137" w:name="_13.3"/>
            <w:bookmarkEnd w:id="137"/>
          </w:p>
        </w:tc>
        <w:tc>
          <w:tcPr>
            <w:tcW w:w="8250" w:type="dxa"/>
            <w:tcBorders>
              <w:top w:val="single" w:color="auto" w:sz="4" w:space="0"/>
              <w:left w:val="single" w:color="auto" w:sz="4" w:space="0"/>
              <w:bottom w:val="single" w:color="auto" w:sz="4" w:space="0"/>
              <w:right w:val="single" w:color="auto" w:sz="4" w:space="0"/>
            </w:tcBorders>
            <w:vAlign w:val="center"/>
          </w:tcPr>
          <w:p w14:paraId="7DD278B3">
            <w:pPr>
              <w:pageBreakBefore w:val="0"/>
              <w:widowControl w:val="0"/>
              <w:kinsoku/>
              <w:wordWrap/>
              <w:overflowPunct/>
              <w:topLinePunct w:val="0"/>
              <w:bidi w:val="0"/>
              <w:snapToGrid w:val="0"/>
              <w:spacing w:line="400" w:lineRule="exact"/>
              <w:ind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w:t>
            </w:r>
            <w:r>
              <w:rPr>
                <w:rFonts w:hint="eastAsia" w:ascii="宋体" w:hAnsi="宋体" w:eastAsia="宋体" w:cs="宋体"/>
                <w:b/>
                <w:color w:val="auto"/>
                <w:sz w:val="21"/>
                <w:szCs w:val="21"/>
                <w:highlight w:val="none"/>
                <w:lang w:val="en-US" w:eastAsia="zh-CN"/>
              </w:rPr>
              <w:t>及技术</w:t>
            </w:r>
            <w:r>
              <w:rPr>
                <w:rFonts w:hint="eastAsia" w:ascii="宋体" w:hAnsi="宋体" w:eastAsia="宋体" w:cs="宋体"/>
                <w:b/>
                <w:color w:val="auto"/>
                <w:sz w:val="21"/>
                <w:szCs w:val="21"/>
                <w:highlight w:val="none"/>
              </w:rPr>
              <w:t>文件：</w:t>
            </w:r>
          </w:p>
          <w:p w14:paraId="5A602014">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投标人参加本项目无串通投标行为</w:t>
            </w:r>
            <w:r>
              <w:rPr>
                <w:rFonts w:hint="eastAsia" w:ascii="宋体" w:hAnsi="宋体" w:eastAsia="宋体" w:cs="宋体"/>
                <w:color w:val="auto"/>
                <w:sz w:val="21"/>
                <w:szCs w:val="21"/>
                <w:highlight w:val="none"/>
              </w:rPr>
              <w:t>的承诺函（格式见第六章）；（</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1C31BC21">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投标保证金提交凭证；</w:t>
            </w:r>
            <w:r>
              <w:rPr>
                <w:rFonts w:hint="eastAsia" w:ascii="宋体" w:hAnsi="宋体" w:eastAsia="宋体" w:cs="宋体"/>
                <w:b/>
                <w:bCs/>
                <w:color w:val="auto"/>
                <w:sz w:val="21"/>
                <w:szCs w:val="21"/>
                <w:highlight w:val="none"/>
              </w:rPr>
              <w:t>（必须提供，否则按无效投标处理）</w:t>
            </w:r>
          </w:p>
          <w:p w14:paraId="45F30F8B">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法定代表人身份证明及法定代表人有效身份证正反面复印件（格式见第六章）；（</w:t>
            </w:r>
            <w:r>
              <w:rPr>
                <w:rFonts w:hint="eastAsia" w:ascii="宋体" w:hAnsi="宋体" w:eastAsia="宋体" w:cs="宋体"/>
                <w:b/>
                <w:bCs/>
                <w:color w:val="auto"/>
                <w:sz w:val="21"/>
                <w:szCs w:val="21"/>
                <w:highlight w:val="none"/>
              </w:rPr>
              <w:t>除自然人投标外</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4F825200">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授权委托书及委托代理人有效身份证正反面复印件（格式见第六章）；（</w:t>
            </w:r>
            <w:r>
              <w:rPr>
                <w:rFonts w:hint="eastAsia" w:ascii="宋体" w:hAnsi="宋体" w:eastAsia="宋体" w:cs="宋体"/>
                <w:b/>
                <w:color w:val="auto"/>
                <w:sz w:val="21"/>
                <w:szCs w:val="21"/>
                <w:highlight w:val="none"/>
              </w:rPr>
              <w:t>委托时必须提供，否则按无效投标处理</w:t>
            </w:r>
            <w:r>
              <w:rPr>
                <w:rFonts w:hint="eastAsia" w:ascii="宋体" w:hAnsi="宋体" w:eastAsia="宋体" w:cs="宋体"/>
                <w:color w:val="auto"/>
                <w:sz w:val="21"/>
                <w:szCs w:val="21"/>
                <w:highlight w:val="none"/>
              </w:rPr>
              <w:t>）</w:t>
            </w:r>
          </w:p>
          <w:p w14:paraId="1668CA2C">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商务要求偏离表（格式见第六章）；</w:t>
            </w:r>
            <w:r>
              <w:rPr>
                <w:rFonts w:hint="eastAsia" w:ascii="宋体" w:hAnsi="宋体" w:eastAsia="宋体" w:cs="宋体"/>
                <w:b/>
                <w:bCs/>
                <w:color w:val="auto"/>
                <w:sz w:val="21"/>
                <w:szCs w:val="21"/>
                <w:highlight w:val="none"/>
              </w:rPr>
              <w:t>（必</w:t>
            </w:r>
            <w:r>
              <w:rPr>
                <w:rFonts w:hint="eastAsia" w:ascii="宋体" w:hAnsi="宋体" w:eastAsia="宋体" w:cs="宋体"/>
                <w:b/>
                <w:color w:val="auto"/>
                <w:sz w:val="21"/>
                <w:szCs w:val="21"/>
                <w:highlight w:val="none"/>
              </w:rPr>
              <w:t>须提供，否则按无效投标处理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br w:type="textWrapping"/>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质保期承诺书</w:t>
            </w:r>
            <w:r>
              <w:rPr>
                <w:rFonts w:hint="eastAsia" w:ascii="宋体" w:hAnsi="宋体" w:cs="宋体"/>
                <w:color w:val="auto"/>
                <w:sz w:val="21"/>
                <w:szCs w:val="21"/>
                <w:highlight w:val="none"/>
                <w:lang w:val="en-US" w:eastAsia="zh-CN"/>
              </w:rPr>
              <w:t>；</w:t>
            </w:r>
            <w:r>
              <w:rPr>
                <w:rFonts w:hint="eastAsia" w:ascii="宋体" w:hAnsi="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lang w:val="en-US" w:eastAsia="zh-CN"/>
              </w:rPr>
              <w:t>根据</w:t>
            </w:r>
            <w:r>
              <w:rPr>
                <w:rFonts w:hint="eastAsia" w:ascii="宋体" w:hAnsi="宋体" w:eastAsia="宋体" w:cs="宋体"/>
                <w:b/>
                <w:bCs/>
                <w:color w:val="auto"/>
                <w:sz w:val="21"/>
                <w:szCs w:val="21"/>
                <w:highlight w:val="none"/>
              </w:rPr>
              <w:t>“第</w:t>
            </w:r>
            <w:r>
              <w:rPr>
                <w:rFonts w:hint="eastAsia" w:ascii="宋体" w:hAnsi="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 xml:space="preserve">章 </w:t>
            </w:r>
            <w:r>
              <w:rPr>
                <w:rFonts w:hint="eastAsia" w:ascii="宋体" w:hAnsi="宋体" w:cs="宋体"/>
                <w:b/>
                <w:bCs/>
                <w:color w:val="auto"/>
                <w:sz w:val="21"/>
                <w:szCs w:val="21"/>
                <w:highlight w:val="none"/>
                <w:lang w:val="en-US" w:eastAsia="zh-CN"/>
              </w:rPr>
              <w:t>采购需求</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的商务要求中对应分标的“质保期”要求</w:t>
            </w:r>
            <w:r>
              <w:rPr>
                <w:rFonts w:hint="eastAsia" w:ascii="宋体" w:hAnsi="宋体" w:eastAsia="宋体" w:cs="宋体"/>
                <w:b/>
                <w:bCs/>
                <w:color w:val="auto"/>
                <w:sz w:val="21"/>
                <w:szCs w:val="21"/>
                <w:highlight w:val="none"/>
                <w:lang w:val="en-US" w:eastAsia="zh-CN"/>
              </w:rPr>
              <w:t>编制</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必须提供，否则按无效投标处理</w:t>
            </w:r>
            <w:r>
              <w:rPr>
                <w:rFonts w:hint="eastAsia" w:ascii="宋体" w:hAnsi="宋体" w:cs="宋体"/>
                <w:b/>
                <w:bCs/>
                <w:color w:val="auto"/>
                <w:sz w:val="21"/>
                <w:szCs w:val="21"/>
                <w:highlight w:val="none"/>
                <w:lang w:val="en-US" w:eastAsia="zh-CN"/>
              </w:rPr>
              <w:t>）</w:t>
            </w:r>
          </w:p>
          <w:p w14:paraId="6F8DE8C1">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投标人业绩证明材料；</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lang w:val="en-US" w:eastAsia="zh-CN"/>
              </w:rPr>
              <w:t>可根据</w:t>
            </w:r>
            <w:r>
              <w:rPr>
                <w:rFonts w:hint="eastAsia" w:ascii="宋体" w:hAnsi="宋体" w:eastAsia="宋体" w:cs="宋体"/>
                <w:b w:val="0"/>
                <w:bCs w:val="0"/>
                <w:color w:val="auto"/>
                <w:sz w:val="21"/>
                <w:szCs w:val="21"/>
                <w:highlight w:val="none"/>
              </w:rPr>
              <w:t>“第四章 评标方法及评标标准”</w:t>
            </w:r>
            <w:r>
              <w:rPr>
                <w:rFonts w:hint="eastAsia" w:ascii="宋体" w:hAnsi="宋体" w:eastAsia="宋体" w:cs="宋体"/>
                <w:b w:val="0"/>
                <w:bCs w:val="0"/>
                <w:color w:val="auto"/>
                <w:sz w:val="21"/>
                <w:szCs w:val="21"/>
                <w:highlight w:val="none"/>
                <w:lang w:val="en-US" w:eastAsia="zh-CN"/>
              </w:rPr>
              <w:t>要求编制，</w:t>
            </w:r>
            <w:r>
              <w:rPr>
                <w:rFonts w:hint="eastAsia" w:ascii="宋体" w:hAnsi="宋体" w:eastAsia="宋体" w:cs="宋体"/>
                <w:b w:val="0"/>
                <w:bCs w:val="0"/>
                <w:color w:val="auto"/>
                <w:sz w:val="21"/>
                <w:szCs w:val="21"/>
                <w:highlight w:val="none"/>
              </w:rPr>
              <w:t>如有</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请提供</w:t>
            </w:r>
            <w:r>
              <w:rPr>
                <w:rFonts w:hint="eastAsia" w:ascii="宋体" w:hAnsi="宋体" w:eastAsia="宋体" w:cs="宋体"/>
                <w:color w:val="auto"/>
                <w:sz w:val="21"/>
                <w:szCs w:val="21"/>
                <w:highlight w:val="none"/>
              </w:rPr>
              <w:t>）</w:t>
            </w:r>
          </w:p>
          <w:p w14:paraId="2EADCB88">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b/>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投标人情况介绍（格式自拟）；（如有，请提供）</w:t>
            </w:r>
          </w:p>
          <w:p w14:paraId="1D4AF557">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b/>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技术要求偏离表（格式见第六章）；</w:t>
            </w:r>
            <w:r>
              <w:rPr>
                <w:rFonts w:hint="eastAsia" w:ascii="宋体" w:hAnsi="宋体" w:eastAsia="宋体" w:cs="宋体"/>
                <w:b/>
                <w:color w:val="auto"/>
                <w:sz w:val="21"/>
                <w:szCs w:val="21"/>
                <w:highlight w:val="none"/>
              </w:rPr>
              <w:t>（必须提供，否则按无效投标处理）</w:t>
            </w:r>
          </w:p>
          <w:p w14:paraId="7CE59BAD">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设备配置清单</w:t>
            </w:r>
            <w:r>
              <w:rPr>
                <w:rFonts w:hint="eastAsia" w:ascii="宋体" w:hAnsi="宋体" w:eastAsia="宋体" w:cs="宋体"/>
                <w:color w:val="auto"/>
                <w:sz w:val="21"/>
                <w:szCs w:val="21"/>
                <w:highlight w:val="none"/>
              </w:rPr>
              <w:t>（格式见第六章）；</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如有，请提供</w:t>
            </w:r>
            <w:r>
              <w:rPr>
                <w:rFonts w:hint="eastAsia" w:ascii="宋体" w:hAnsi="宋体" w:eastAsia="宋体" w:cs="宋体"/>
                <w:b/>
                <w:color w:val="auto"/>
                <w:sz w:val="21"/>
                <w:szCs w:val="21"/>
                <w:highlight w:val="none"/>
              </w:rPr>
              <w:t>）</w:t>
            </w:r>
          </w:p>
          <w:p w14:paraId="2E557EDE">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对本项目总体要求的理解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包括功能说明、性能指标及设备选型说明（质量、性能、价格、外观、体积等方面进行比较和选择的理由及过程，格式自拟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请提供</w:t>
            </w:r>
            <w:r>
              <w:rPr>
                <w:rFonts w:hint="eastAsia" w:ascii="宋体" w:hAnsi="宋体" w:eastAsia="宋体" w:cs="宋体"/>
                <w:color w:val="auto"/>
                <w:sz w:val="21"/>
                <w:szCs w:val="21"/>
                <w:highlight w:val="none"/>
              </w:rPr>
              <w:t>）；</w:t>
            </w:r>
          </w:p>
          <w:p w14:paraId="3402D269">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项目实施方案（格式自拟）；</w:t>
            </w:r>
            <w:r>
              <w:rPr>
                <w:rFonts w:hint="eastAsia" w:ascii="宋体" w:hAnsi="宋体" w:eastAsia="宋体" w:cs="宋体"/>
                <w:b w:val="0"/>
                <w:bCs/>
                <w:color w:val="auto"/>
                <w:sz w:val="21"/>
                <w:szCs w:val="21"/>
                <w:highlight w:val="none"/>
                <w:lang w:eastAsia="zh-CN"/>
              </w:rPr>
              <w:t>（</w:t>
            </w:r>
            <w:r>
              <w:rPr>
                <w:rFonts w:hint="eastAsia" w:ascii="宋体" w:hAnsi="宋体" w:eastAsia="宋体" w:cs="宋体"/>
                <w:color w:val="auto"/>
                <w:sz w:val="21"/>
                <w:szCs w:val="21"/>
                <w:highlight w:val="none"/>
              </w:rPr>
              <w:t>格式自拟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可根据</w:t>
            </w:r>
            <w:r>
              <w:rPr>
                <w:rFonts w:hint="eastAsia" w:ascii="宋体" w:hAnsi="宋体" w:eastAsia="宋体" w:cs="宋体"/>
                <w:color w:val="auto"/>
                <w:sz w:val="21"/>
                <w:szCs w:val="21"/>
                <w:highlight w:val="none"/>
              </w:rPr>
              <w:t>“第四章 评标方法及评标标准”</w:t>
            </w:r>
            <w:r>
              <w:rPr>
                <w:rFonts w:hint="eastAsia" w:ascii="宋体" w:hAnsi="宋体" w:eastAsia="宋体" w:cs="宋体"/>
                <w:color w:val="auto"/>
                <w:sz w:val="21"/>
                <w:szCs w:val="21"/>
                <w:highlight w:val="none"/>
                <w:lang w:val="en-US" w:eastAsia="zh-CN"/>
              </w:rPr>
              <w:t>要求编制，</w:t>
            </w:r>
            <w:r>
              <w:rPr>
                <w:rFonts w:hint="eastAsia" w:ascii="宋体" w:hAnsi="宋体" w:eastAsia="宋体" w:cs="宋体"/>
                <w:color w:val="auto"/>
                <w:sz w:val="21"/>
                <w:szCs w:val="21"/>
                <w:highlight w:val="none"/>
              </w:rPr>
              <w:t>如有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请提供</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br w:type="textWrapping"/>
            </w:r>
            <w:r>
              <w:rPr>
                <w:rFonts w:hint="eastAsia" w:ascii="宋体" w:hAnsi="宋体" w:cs="宋体"/>
                <w:color w:val="auto"/>
                <w:sz w:val="21"/>
                <w:szCs w:val="21"/>
                <w:highlight w:val="none"/>
                <w:lang w:val="en-US" w:eastAsia="zh-CN"/>
              </w:rPr>
              <w:t>13.质量保障方案</w:t>
            </w:r>
            <w:r>
              <w:rPr>
                <w:rFonts w:hint="eastAsia" w:ascii="宋体" w:hAnsi="宋体" w:eastAsia="宋体" w:cs="宋体"/>
                <w:color w:val="auto"/>
                <w:sz w:val="21"/>
                <w:szCs w:val="21"/>
                <w:highlight w:val="none"/>
              </w:rPr>
              <w:t>（格式自拟）；</w:t>
            </w:r>
            <w:r>
              <w:rPr>
                <w:rFonts w:hint="eastAsia" w:ascii="宋体" w:hAnsi="宋体" w:eastAsia="宋体" w:cs="宋体"/>
                <w:b w:val="0"/>
                <w:bCs/>
                <w:color w:val="auto"/>
                <w:sz w:val="21"/>
                <w:szCs w:val="21"/>
                <w:highlight w:val="none"/>
                <w:lang w:eastAsia="zh-CN"/>
              </w:rPr>
              <w:t>（</w:t>
            </w:r>
            <w:r>
              <w:rPr>
                <w:rFonts w:hint="eastAsia" w:ascii="宋体" w:hAnsi="宋体" w:eastAsia="宋体" w:cs="宋体"/>
                <w:color w:val="auto"/>
                <w:sz w:val="21"/>
                <w:szCs w:val="21"/>
                <w:highlight w:val="none"/>
              </w:rPr>
              <w:t>格式自拟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可根据</w:t>
            </w:r>
            <w:r>
              <w:rPr>
                <w:rFonts w:hint="eastAsia" w:ascii="宋体" w:hAnsi="宋体" w:eastAsia="宋体" w:cs="宋体"/>
                <w:color w:val="auto"/>
                <w:sz w:val="21"/>
                <w:szCs w:val="21"/>
                <w:highlight w:val="none"/>
              </w:rPr>
              <w:t>“第四章 评标方法及评标标准”</w:t>
            </w:r>
            <w:r>
              <w:rPr>
                <w:rFonts w:hint="eastAsia" w:ascii="宋体" w:hAnsi="宋体" w:eastAsia="宋体" w:cs="宋体"/>
                <w:color w:val="auto"/>
                <w:sz w:val="21"/>
                <w:szCs w:val="21"/>
                <w:highlight w:val="none"/>
                <w:lang w:val="en-US" w:eastAsia="zh-CN"/>
              </w:rPr>
              <w:t>要求编制，</w:t>
            </w:r>
            <w:r>
              <w:rPr>
                <w:rFonts w:hint="eastAsia" w:ascii="宋体" w:hAnsi="宋体" w:eastAsia="宋体" w:cs="宋体"/>
                <w:color w:val="auto"/>
                <w:sz w:val="21"/>
                <w:szCs w:val="21"/>
                <w:highlight w:val="none"/>
              </w:rPr>
              <w:t>如有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请提供</w:t>
            </w:r>
            <w:r>
              <w:rPr>
                <w:rFonts w:hint="eastAsia" w:ascii="宋体" w:hAnsi="宋体" w:eastAsia="宋体" w:cs="宋体"/>
                <w:color w:val="auto"/>
                <w:sz w:val="21"/>
                <w:szCs w:val="21"/>
                <w:highlight w:val="none"/>
              </w:rPr>
              <w:t>）</w:t>
            </w:r>
          </w:p>
          <w:p w14:paraId="555349FF">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（格式自拟）；</w:t>
            </w:r>
            <w:r>
              <w:rPr>
                <w:rFonts w:hint="eastAsia" w:ascii="宋体" w:hAnsi="宋体" w:eastAsia="宋体" w:cs="宋体"/>
                <w:b/>
                <w:bCs/>
                <w:color w:val="auto"/>
                <w:sz w:val="21"/>
                <w:szCs w:val="21"/>
                <w:highlight w:val="none"/>
              </w:rPr>
              <w:t>（必须提</w:t>
            </w:r>
            <w:r>
              <w:rPr>
                <w:rFonts w:hint="eastAsia" w:ascii="宋体" w:hAnsi="宋体" w:eastAsia="宋体" w:cs="宋体"/>
                <w:b/>
                <w:color w:val="auto"/>
                <w:sz w:val="21"/>
                <w:szCs w:val="21"/>
                <w:highlight w:val="none"/>
              </w:rPr>
              <w:t>供，否则按无效投标处理</w:t>
            </w:r>
            <w:r>
              <w:rPr>
                <w:rFonts w:hint="eastAsia" w:ascii="宋体" w:hAnsi="宋体" w:eastAsia="宋体" w:cs="宋体"/>
                <w:b/>
                <w:bCs/>
                <w:color w:val="auto"/>
                <w:sz w:val="21"/>
                <w:szCs w:val="21"/>
                <w:highlight w:val="none"/>
              </w:rPr>
              <w:t>）</w:t>
            </w:r>
          </w:p>
          <w:p w14:paraId="3F63EC6B">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质量保证期过后的优惠条件：供应商承诺给予采购人的各种优惠条件，包括货物或产品</w:t>
            </w:r>
            <w:r>
              <w:rPr>
                <w:rFonts w:hint="eastAsia" w:ascii="宋体" w:hAnsi="宋体" w:eastAsia="宋体" w:cs="宋体"/>
                <w:b w:val="0"/>
                <w:bCs w:val="0"/>
                <w:color w:val="auto"/>
                <w:sz w:val="21"/>
                <w:szCs w:val="21"/>
                <w:highlight w:val="none"/>
                <w:lang w:val="en-US" w:eastAsia="zh-CN"/>
              </w:rPr>
              <w:t>的售后服务、备品备件、专用耗材等方面的优惠条件</w:t>
            </w:r>
            <w:r>
              <w:rPr>
                <w:rFonts w:hint="eastAsia" w:ascii="宋体" w:hAnsi="宋体" w:eastAsia="宋体" w:cs="宋体"/>
                <w:b w:val="0"/>
                <w:bCs w:val="0"/>
                <w:color w:val="auto"/>
                <w:sz w:val="21"/>
                <w:szCs w:val="21"/>
                <w:highlight w:val="none"/>
              </w:rPr>
              <w:t>（格式见第六章）；</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如有，请提供）</w:t>
            </w:r>
          </w:p>
          <w:p w14:paraId="006A7952">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rPr>
              <w:t>产品出厂标准、质量检</w:t>
            </w:r>
            <w:r>
              <w:rPr>
                <w:rFonts w:hint="eastAsia" w:ascii="宋体" w:hAnsi="宋体" w:eastAsia="宋体" w:cs="宋体"/>
                <w:b w:val="0"/>
                <w:bCs w:val="0"/>
                <w:color w:val="auto"/>
                <w:sz w:val="21"/>
                <w:szCs w:val="21"/>
                <w:highlight w:val="none"/>
              </w:rPr>
              <w:t>测报告</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如有，请</w:t>
            </w:r>
            <w:r>
              <w:rPr>
                <w:rFonts w:hint="eastAsia" w:ascii="宋体" w:hAnsi="宋体" w:eastAsia="宋体" w:cs="宋体"/>
                <w:color w:val="auto"/>
                <w:sz w:val="21"/>
                <w:szCs w:val="21"/>
                <w:highlight w:val="none"/>
              </w:rPr>
              <w:t>提供）</w:t>
            </w:r>
          </w:p>
          <w:p w14:paraId="7AF7E356">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w:t>
            </w:r>
            <w:r>
              <w:rPr>
                <w:rFonts w:hint="eastAsia" w:ascii="宋体" w:hAnsi="宋体" w:eastAsia="宋体" w:cs="宋体"/>
                <w:color w:val="auto"/>
                <w:sz w:val="21"/>
                <w:szCs w:val="21"/>
                <w:highlight w:val="none"/>
                <w:lang w:val="en-US" w:eastAsia="zh-CN"/>
              </w:rPr>
              <w:t>符合政府采购政策加分条件证明材料；（如有，须提供）</w:t>
            </w:r>
          </w:p>
          <w:p w14:paraId="44956EAA">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rPr>
              <w:t>根据“第二章 采购需求”及“第四章 评标方法及评标标准”提供有关证明材料；</w:t>
            </w:r>
          </w:p>
          <w:p w14:paraId="57851785">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rPr>
              <w:t>除招标文件规定必须提供以外，投标人认为需要提供的其他证明材料（格式自拟）。</w:t>
            </w:r>
          </w:p>
          <w:p w14:paraId="26977EB7">
            <w:pPr>
              <w:pageBreakBefore w:val="0"/>
              <w:widowControl w:val="0"/>
              <w:kinsoku/>
              <w:wordWrap/>
              <w:overflowPunct/>
              <w:topLinePunct w:val="0"/>
              <w:bidi w:val="0"/>
              <w:snapToGrid w:val="0"/>
              <w:spacing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bCs/>
                <w:color w:val="auto"/>
                <w:sz w:val="21"/>
                <w:szCs w:val="21"/>
                <w:highlight w:val="none"/>
                <w:lang w:val="en-US" w:eastAsia="zh-CN"/>
              </w:rPr>
              <w:t>必须</w:t>
            </w:r>
            <w:r>
              <w:rPr>
                <w:rFonts w:hint="eastAsia" w:ascii="宋体" w:hAnsi="宋体" w:eastAsia="宋体" w:cs="宋体"/>
                <w:b/>
                <w:bCs/>
                <w:color w:val="auto"/>
                <w:sz w:val="21"/>
                <w:szCs w:val="21"/>
                <w:highlight w:val="none"/>
              </w:rPr>
              <w:t>加盖投标人电子签章，格式中有要求法定代表人或者委托代理人签字的，必须按要求签字</w:t>
            </w:r>
            <w:r>
              <w:rPr>
                <w:rFonts w:hint="eastAsia" w:ascii="宋体" w:hAnsi="宋体" w:eastAsia="宋体" w:cs="宋体"/>
                <w:b/>
                <w:bCs/>
                <w:color w:val="auto"/>
                <w:sz w:val="21"/>
                <w:szCs w:val="21"/>
                <w:highlight w:val="none"/>
                <w:lang w:eastAsia="zh-CN"/>
              </w:rPr>
              <w:t>（或电子签名）</w:t>
            </w:r>
            <w:r>
              <w:rPr>
                <w:rFonts w:hint="eastAsia" w:ascii="宋体" w:hAnsi="宋体" w:eastAsia="宋体" w:cs="宋体"/>
                <w:b/>
                <w:bCs/>
                <w:color w:val="auto"/>
                <w:sz w:val="21"/>
                <w:szCs w:val="21"/>
                <w:highlight w:val="none"/>
              </w:rPr>
              <w:t>并加盖投标人电子签章，否则按无效投标处理。</w:t>
            </w:r>
          </w:p>
        </w:tc>
      </w:tr>
      <w:tr w14:paraId="0E8131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6C7A0438">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38" w:name="_13.5"/>
            <w:bookmarkEnd w:id="138"/>
            <w:bookmarkStart w:id="139" w:name="_13.4"/>
            <w:bookmarkEnd w:id="139"/>
            <w:bookmarkStart w:id="140" w:name="_16.2"/>
            <w:bookmarkEnd w:id="140"/>
            <w:r>
              <w:rPr>
                <w:rFonts w:hint="eastAsia" w:ascii="宋体" w:hAnsi="宋体" w:eastAsia="宋体" w:cs="宋体"/>
                <w:color w:val="auto"/>
                <w:sz w:val="21"/>
                <w:szCs w:val="21"/>
                <w:highlight w:val="none"/>
              </w:rPr>
              <w:t>16</w:t>
            </w:r>
            <w:bookmarkStart w:id="141" w:name="_Hlt19693758"/>
            <w:bookmarkStart w:id="142" w:name="_Hlt19194066"/>
            <w:bookmarkStart w:id="143" w:name="_Hlt19194067"/>
            <w:bookmarkStart w:id="144" w:name="_Hlt19693759"/>
            <w:r>
              <w:rPr>
                <w:rFonts w:hint="eastAsia" w:ascii="宋体" w:hAnsi="宋体" w:eastAsia="宋体" w:cs="宋体"/>
                <w:color w:val="auto"/>
                <w:sz w:val="21"/>
                <w:szCs w:val="21"/>
                <w:highlight w:val="none"/>
              </w:rPr>
              <w:t>.</w:t>
            </w:r>
            <w:bookmarkEnd w:id="141"/>
            <w:bookmarkEnd w:id="142"/>
            <w:bookmarkEnd w:id="143"/>
            <w:bookmarkEnd w:id="144"/>
            <w:r>
              <w:rPr>
                <w:rFonts w:hint="eastAsia" w:ascii="宋体" w:hAnsi="宋体" w:eastAsia="宋体" w:cs="宋体"/>
                <w:color w:val="auto"/>
                <w:sz w:val="21"/>
                <w:szCs w:val="21"/>
                <w:highlight w:val="none"/>
              </w:rPr>
              <w:t>2</w:t>
            </w:r>
          </w:p>
        </w:tc>
        <w:tc>
          <w:tcPr>
            <w:tcW w:w="8250" w:type="dxa"/>
            <w:tcBorders>
              <w:top w:val="single" w:color="auto" w:sz="4" w:space="0"/>
              <w:left w:val="single" w:color="auto" w:sz="4" w:space="0"/>
              <w:bottom w:val="single" w:color="auto" w:sz="4" w:space="0"/>
              <w:right w:val="single" w:color="auto" w:sz="4" w:space="0"/>
            </w:tcBorders>
            <w:vAlign w:val="center"/>
          </w:tcPr>
          <w:p w14:paraId="7D00BA5E">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次报价须为人民币报价，包含产品价、运输费（含装卸费）、保险费、安装调试费（仪器安装所需要水电改造及实验室改造费用）、税费、培训费、产品检测费、产品质保期内维护费等费用。对于本文件中明确列明必须报价的货物或服务，投标人应分别报价。对于本文件中未列明，而投标人认为必需的费用也需列入总报价。在合同实施时，采购人将不予支付中标人没有列入的项目费用，并认为此项目的费用已包括在投标总报价中。</w:t>
            </w:r>
          </w:p>
        </w:tc>
      </w:tr>
      <w:tr w14:paraId="569426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55D65EB9">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45" w:name="_17.1"/>
            <w:bookmarkEnd w:id="145"/>
            <w:r>
              <w:rPr>
                <w:rFonts w:hint="eastAsia" w:ascii="宋体" w:hAnsi="宋体" w:eastAsia="宋体" w:cs="宋体"/>
                <w:color w:val="auto"/>
                <w:sz w:val="21"/>
                <w:szCs w:val="21"/>
                <w:highlight w:val="none"/>
              </w:rPr>
              <w:t>17.2</w:t>
            </w:r>
          </w:p>
        </w:tc>
        <w:tc>
          <w:tcPr>
            <w:tcW w:w="8250" w:type="dxa"/>
            <w:tcBorders>
              <w:top w:val="single" w:color="auto" w:sz="4" w:space="0"/>
              <w:left w:val="single" w:color="auto" w:sz="4" w:space="0"/>
              <w:bottom w:val="single" w:color="auto" w:sz="4" w:space="0"/>
              <w:right w:val="single" w:color="auto" w:sz="4" w:space="0"/>
            </w:tcBorders>
            <w:vAlign w:val="center"/>
          </w:tcPr>
          <w:p w14:paraId="41149000">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投标有效期：投标截止之日起</w:t>
            </w:r>
            <w:r>
              <w:rPr>
                <w:rFonts w:hint="eastAsia" w:ascii="宋体" w:hAnsi="宋体" w:eastAsia="宋体" w:cs="宋体"/>
                <w:color w:val="auto"/>
                <w:sz w:val="21"/>
                <w:szCs w:val="21"/>
                <w:highlight w:val="none"/>
                <w:lang w:val="en-US" w:eastAsia="zh-CN"/>
              </w:rPr>
              <w:t>120</w:t>
            </w:r>
            <w:r>
              <w:rPr>
                <w:rFonts w:hint="eastAsia" w:ascii="宋体" w:hAnsi="宋体" w:eastAsia="宋体" w:cs="宋体"/>
                <w:color w:val="auto"/>
                <w:sz w:val="21"/>
                <w:szCs w:val="21"/>
                <w:highlight w:val="none"/>
              </w:rPr>
              <w:t>天内。</w:t>
            </w:r>
          </w:p>
        </w:tc>
      </w:tr>
      <w:tr w14:paraId="283792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2FB56B9C">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46" w:name="_18"/>
            <w:bookmarkEnd w:id="146"/>
            <w:r>
              <w:rPr>
                <w:rFonts w:hint="eastAsia" w:ascii="宋体" w:hAnsi="宋体" w:eastAsia="宋体" w:cs="宋体"/>
                <w:color w:val="auto"/>
                <w:sz w:val="21"/>
                <w:szCs w:val="21"/>
                <w:highlight w:val="none"/>
              </w:rPr>
              <w:t>18.1</w:t>
            </w:r>
          </w:p>
        </w:tc>
        <w:tc>
          <w:tcPr>
            <w:tcW w:w="8250" w:type="dxa"/>
            <w:tcBorders>
              <w:top w:val="single" w:color="auto" w:sz="4" w:space="0"/>
              <w:left w:val="single" w:color="auto" w:sz="4" w:space="0"/>
              <w:bottom w:val="single" w:color="auto" w:sz="4" w:space="0"/>
              <w:right w:val="single" w:color="auto" w:sz="4" w:space="0"/>
            </w:tcBorders>
            <w:vAlign w:val="center"/>
          </w:tcPr>
          <w:p w14:paraId="4EC26AD8">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本项目收取投标保证金，具体规定如下：</w:t>
            </w:r>
          </w:p>
          <w:p w14:paraId="30F97C99">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保证金金额：</w:t>
            </w:r>
          </w:p>
          <w:p w14:paraId="134D8670">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分包1：人民币贰万伍仟元整（¥25,000.00）；</w:t>
            </w:r>
          </w:p>
          <w:p w14:paraId="17960F9E">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分包2：人民币柒万元整（¥70,000.00）</w:t>
            </w:r>
            <w:r>
              <w:rPr>
                <w:rFonts w:hint="eastAsia" w:ascii="宋体" w:hAnsi="宋体" w:eastAsia="宋体" w:cs="宋体"/>
                <w:color w:val="auto"/>
                <w:kern w:val="0"/>
                <w:sz w:val="21"/>
                <w:szCs w:val="21"/>
                <w:highlight w:val="none"/>
              </w:rPr>
              <w:t>；</w:t>
            </w:r>
          </w:p>
          <w:p w14:paraId="49B5BF3B">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分包3：人民币</w:t>
            </w:r>
            <w:r>
              <w:rPr>
                <w:rFonts w:hint="eastAsia" w:ascii="宋体" w:hAnsi="宋体" w:cs="宋体"/>
                <w:color w:val="auto"/>
                <w:sz w:val="21"/>
                <w:szCs w:val="21"/>
                <w:highlight w:val="none"/>
                <w:lang w:val="en-US" w:eastAsia="zh-CN"/>
              </w:rPr>
              <w:t>叁</w:t>
            </w:r>
            <w:r>
              <w:rPr>
                <w:rFonts w:hint="eastAsia" w:ascii="宋体" w:hAnsi="宋体" w:eastAsia="宋体" w:cs="宋体"/>
                <w:color w:val="auto"/>
                <w:sz w:val="21"/>
                <w:szCs w:val="21"/>
                <w:highlight w:val="none"/>
                <w:lang w:val="en-US" w:eastAsia="zh-CN"/>
              </w:rPr>
              <w:t>万元整（¥</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0,000.00）</w:t>
            </w:r>
            <w:r>
              <w:rPr>
                <w:rFonts w:hint="eastAsia" w:ascii="宋体" w:hAnsi="宋体" w:eastAsia="宋体" w:cs="宋体"/>
                <w:color w:val="auto"/>
                <w:kern w:val="0"/>
                <w:sz w:val="21"/>
                <w:szCs w:val="21"/>
                <w:highlight w:val="none"/>
              </w:rPr>
              <w:t>；</w:t>
            </w:r>
          </w:p>
          <w:p w14:paraId="20ED344A">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lang w:val="en-US" w:eastAsia="zh-CN"/>
              </w:rPr>
              <w:t>分包4：人民币壹万元整（¥10,000.00）</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分包5：人民币贰万元整（¥20,000.00）</w:t>
            </w:r>
            <w:r>
              <w:rPr>
                <w:rFonts w:hint="eastAsia" w:ascii="宋体" w:hAnsi="宋体" w:cs="宋体"/>
                <w:color w:val="auto"/>
                <w:sz w:val="21"/>
                <w:szCs w:val="21"/>
                <w:highlight w:val="none"/>
                <w:lang w:val="en-US" w:eastAsia="zh-CN"/>
              </w:rPr>
              <w:t>。</w:t>
            </w:r>
          </w:p>
          <w:p w14:paraId="41578F57">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lang w:val="en-US" w:eastAsia="zh-CN"/>
              </w:rPr>
              <w:t>分包6：人民币壹万伍仟元整（¥15,000.00）</w:t>
            </w:r>
            <w:r>
              <w:rPr>
                <w:rFonts w:hint="eastAsia" w:ascii="宋体" w:hAnsi="宋体" w:cs="宋体"/>
                <w:color w:val="auto"/>
                <w:sz w:val="21"/>
                <w:szCs w:val="21"/>
                <w:highlight w:val="none"/>
                <w:lang w:val="en-US" w:eastAsia="zh-CN"/>
              </w:rPr>
              <w:t>。</w:t>
            </w:r>
          </w:p>
          <w:p w14:paraId="3BF984F8">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投标保证金的交纳方式：银行转账、支票、汇票、本票或者金融、担保机构出具的保函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含电子保函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，禁止采用现钞方式。采用银行转账方式的，在投标截止时间前交至指定账户并且到账</w:t>
            </w:r>
            <w:r>
              <w:rPr>
                <w:rFonts w:hint="eastAsia" w:ascii="宋体" w:hAnsi="宋体" w:eastAsia="宋体" w:cs="宋体"/>
                <w:b/>
                <w:bCs/>
                <w:color w:val="auto"/>
                <w:kern w:val="0"/>
                <w:sz w:val="21"/>
                <w:szCs w:val="21"/>
                <w:highlight w:val="none"/>
              </w:rPr>
              <w:t>（保证金账号：20023301040009412</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户名</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广西润德工程技术咨询有限公司</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开户行：中国农业银行股份有限公司南宁青年国际支行或者国贸支行）</w:t>
            </w:r>
            <w:r>
              <w:rPr>
                <w:rFonts w:hint="eastAsia" w:ascii="宋体" w:hAnsi="宋体" w:eastAsia="宋体" w:cs="宋体"/>
                <w:color w:val="auto"/>
                <w:kern w:val="0"/>
                <w:sz w:val="21"/>
                <w:szCs w:val="21"/>
                <w:highlight w:val="none"/>
              </w:rPr>
              <w:t>；采用支票、汇票、本票或者保函等方式的，在投标截止时间前，投标人必须递交支票、汇票、本票或者保函原件。否则视为无效投标保证金。</w:t>
            </w:r>
          </w:p>
          <w:p w14:paraId="24373920">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相关要求：</w:t>
            </w:r>
          </w:p>
          <w:p w14:paraId="4949239F">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投标保证金采用银行转账交纳方式的，在投标截止时间前交至指定账户并且到账，投标人应将银行转账底单的复印件作为投标保证金提交凭证，放置于商务文件中，否则投标无效。</w:t>
            </w:r>
          </w:p>
          <w:p w14:paraId="7341A0FD">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投标保证金采用支票、汇票、本票或者金融、担保机构出具的保函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含电子保函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交纳方式的，投标人应将支票、汇票、本票或者金融、担保机构出具的保函的复印件作为投标保证金提交凭证，放置于商务</w:t>
            </w:r>
            <w:r>
              <w:rPr>
                <w:rFonts w:hint="eastAsia" w:ascii="宋体" w:hAnsi="宋体" w:eastAsia="宋体" w:cs="宋体"/>
                <w:color w:val="auto"/>
                <w:kern w:val="0"/>
                <w:sz w:val="21"/>
                <w:szCs w:val="21"/>
                <w:highlight w:val="none"/>
                <w:lang w:val="en-US" w:eastAsia="zh-CN"/>
              </w:rPr>
              <w:t>及技术</w:t>
            </w:r>
            <w:r>
              <w:rPr>
                <w:rFonts w:hint="eastAsia" w:ascii="宋体" w:hAnsi="宋体" w:eastAsia="宋体" w:cs="宋体"/>
                <w:color w:val="auto"/>
                <w:kern w:val="0"/>
                <w:sz w:val="21"/>
                <w:szCs w:val="21"/>
                <w:highlight w:val="none"/>
              </w:rPr>
              <w:t>文件中，否则投标无效。投标人必须在投标截止时间前采用现场或邮寄方式（现场提交地址：广西壮族自治区公共资源交易中心（南宁市青秀区</w:t>
            </w:r>
            <w:r>
              <w:rPr>
                <w:rFonts w:hint="eastAsia" w:ascii="宋体" w:hAnsi="宋体" w:eastAsia="宋体" w:cs="宋体"/>
                <w:color w:val="auto"/>
                <w:kern w:val="0"/>
                <w:sz w:val="21"/>
                <w:szCs w:val="21"/>
                <w:highlight w:val="none"/>
                <w:lang w:val="en-US" w:eastAsia="zh-CN"/>
              </w:rPr>
              <w:t>星湖路22号，</w:t>
            </w:r>
            <w:r>
              <w:rPr>
                <w:rFonts w:hint="eastAsia" w:ascii="宋体" w:hAnsi="宋体" w:eastAsia="宋体" w:cs="宋体"/>
                <w:color w:val="auto"/>
                <w:kern w:val="0"/>
                <w:sz w:val="21"/>
                <w:szCs w:val="21"/>
                <w:highlight w:val="none"/>
              </w:rPr>
              <w:t>具体根据开标当日电子屏幕显示的安排）；邮寄地址：</w:t>
            </w:r>
            <w:r>
              <w:rPr>
                <w:rFonts w:hint="eastAsia" w:ascii="宋体" w:hAnsi="宋体" w:eastAsia="宋体" w:cs="宋体"/>
                <w:color w:val="auto"/>
                <w:kern w:val="0"/>
                <w:sz w:val="21"/>
                <w:szCs w:val="21"/>
                <w:highlight w:val="none"/>
                <w:lang w:val="en-US" w:eastAsia="zh-CN"/>
              </w:rPr>
              <w:t>南宁市青秀区东葛路165号绿地中央广场C2栋1118室</w:t>
            </w:r>
            <w:r>
              <w:rPr>
                <w:rFonts w:hint="eastAsia" w:ascii="宋体" w:hAnsi="宋体" w:eastAsia="宋体" w:cs="宋体"/>
                <w:color w:val="auto"/>
                <w:kern w:val="0"/>
                <w:sz w:val="21"/>
                <w:szCs w:val="21"/>
                <w:highlight w:val="none"/>
              </w:rPr>
              <w:t>，收件人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黄秋玉</w:t>
            </w:r>
            <w:r>
              <w:rPr>
                <w:rFonts w:hint="eastAsia" w:ascii="宋体" w:hAnsi="宋体" w:eastAsia="宋体" w:cs="宋体"/>
                <w:color w:val="auto"/>
                <w:kern w:val="0"/>
                <w:sz w:val="21"/>
                <w:szCs w:val="21"/>
                <w:highlight w:val="none"/>
              </w:rPr>
              <w:t>，联系方式：0771-</w:t>
            </w:r>
            <w:r>
              <w:rPr>
                <w:rFonts w:hint="eastAsia" w:ascii="宋体" w:hAnsi="宋体" w:eastAsia="宋体" w:cs="宋体"/>
                <w:color w:val="auto"/>
                <w:kern w:val="0"/>
                <w:sz w:val="21"/>
                <w:szCs w:val="21"/>
                <w:highlight w:val="none"/>
                <w:lang w:val="en-US" w:eastAsia="zh-CN"/>
              </w:rPr>
              <w:t>5703815</w:t>
            </w:r>
            <w:r>
              <w:rPr>
                <w:rFonts w:hint="eastAsia" w:ascii="宋体" w:hAnsi="宋体" w:eastAsia="宋体" w:cs="宋体"/>
                <w:color w:val="auto"/>
                <w:kern w:val="0"/>
                <w:sz w:val="21"/>
                <w:szCs w:val="21"/>
                <w:highlight w:val="none"/>
              </w:rPr>
              <w:t>）将单独密封的支票、汇票、本票或者银行、保险机构出具的保函原件提交给采购人或者采购代理机构，由采购人或者采购代理机构向投标人出具回执（邮寄方式的除外），并妥善保管。</w:t>
            </w:r>
            <w:r>
              <w:rPr>
                <w:rFonts w:hint="eastAsia" w:ascii="宋体" w:hAnsi="宋体" w:eastAsia="宋体" w:cs="宋体"/>
                <w:color w:val="auto"/>
                <w:kern w:val="0"/>
                <w:sz w:val="21"/>
                <w:szCs w:val="21"/>
                <w:highlight w:val="none"/>
                <w:lang w:val="en-US" w:eastAsia="zh-CN"/>
              </w:rPr>
              <w:t>如为电子保函，无须将</w:t>
            </w:r>
            <w:r>
              <w:rPr>
                <w:rFonts w:hint="eastAsia" w:ascii="宋体" w:hAnsi="宋体" w:eastAsia="宋体" w:cs="宋体"/>
                <w:color w:val="auto"/>
                <w:kern w:val="0"/>
                <w:sz w:val="21"/>
                <w:szCs w:val="21"/>
                <w:highlight w:val="none"/>
              </w:rPr>
              <w:t>保函原件提交给采购代理机构</w:t>
            </w:r>
            <w:r>
              <w:rPr>
                <w:rFonts w:hint="eastAsia" w:ascii="宋体" w:hAnsi="宋体" w:eastAsia="宋体" w:cs="宋体"/>
                <w:color w:val="auto"/>
                <w:kern w:val="0"/>
                <w:sz w:val="21"/>
                <w:szCs w:val="21"/>
                <w:highlight w:val="none"/>
                <w:lang w:eastAsia="zh-CN"/>
              </w:rPr>
              <w:t>。</w:t>
            </w:r>
          </w:p>
          <w:p w14:paraId="725FBC4E">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投标保证金采用电子保函交纳方式的，具体详见《广西壮族自治区财政厅关于在政府采购活动中推广使用电子保函的通知》（桂财采</w:t>
            </w:r>
            <w:r>
              <w:rPr>
                <w:rFonts w:hint="eastAsia" w:ascii="宋体" w:hAnsi="宋体" w:cs="宋体"/>
                <w:color w:val="auto"/>
                <w:kern w:val="0"/>
                <w:sz w:val="21"/>
                <w:szCs w:val="21"/>
                <w:highlight w:val="none"/>
                <w:lang w:val="en-US" w:eastAsia="zh-CN"/>
              </w:rPr>
              <w:t>〔2023〕92号</w:t>
            </w:r>
            <w:r>
              <w:rPr>
                <w:rFonts w:hint="eastAsia" w:ascii="宋体" w:hAnsi="宋体" w:eastAsia="宋体" w:cs="宋体"/>
                <w:color w:val="auto"/>
                <w:kern w:val="0"/>
                <w:sz w:val="21"/>
                <w:szCs w:val="21"/>
                <w:highlight w:val="none"/>
                <w:lang w:val="en-US" w:eastAsia="zh-CN"/>
              </w:rPr>
              <w:t>）。电子保函有关业务操作流程和手册可从“广西政府采购金融服务平台”查阅下载，供应商在电子保函的申请、使用、查看应用过程中遇到问题可咨询技术支撑方</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400-903-9583。</w:t>
            </w:r>
          </w:p>
          <w:p w14:paraId="2543EDE6">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投标人为联合体的，可以由联合体中的一方或者多方共同交纳投标保证金，其交纳的保证金对联合体各方均具有约束力。</w:t>
            </w:r>
          </w:p>
          <w:p w14:paraId="48BBAED5">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备注： </w:t>
            </w:r>
          </w:p>
          <w:p w14:paraId="089A6600">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投标保证金在投标截止时间后提交的，或者不按规定交纳方式交纳的，或者未足额交纳的（包含保函额度不足的），视为无效投标保证金。</w:t>
            </w:r>
          </w:p>
          <w:p w14:paraId="5718DD26">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投标人采用现钞方式或者从个人账户（自然人投标除外）转出的投标保证金，视为无效投标保证金。</w:t>
            </w:r>
          </w:p>
          <w:p w14:paraId="5175BB8E">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保函有效期低于投标有效期的，视为无效投标保证金。</w:t>
            </w:r>
          </w:p>
          <w:p w14:paraId="0425C5EE">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采用金融、担保机构出具保函的，必须为无条件保函，否则视为无效投标保证金。</w:t>
            </w:r>
          </w:p>
        </w:tc>
      </w:tr>
      <w:tr w14:paraId="6DEAE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71898C20">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47" w:name="_19.2"/>
            <w:bookmarkEnd w:id="147"/>
            <w:r>
              <w:rPr>
                <w:rFonts w:hint="eastAsia" w:ascii="宋体" w:hAnsi="宋体" w:eastAsia="宋体" w:cs="宋体"/>
                <w:color w:val="auto"/>
                <w:sz w:val="21"/>
                <w:szCs w:val="21"/>
                <w:highlight w:val="none"/>
              </w:rPr>
              <w:t>19.2</w:t>
            </w:r>
          </w:p>
        </w:tc>
        <w:tc>
          <w:tcPr>
            <w:tcW w:w="8250" w:type="dxa"/>
            <w:tcBorders>
              <w:top w:val="single" w:color="auto" w:sz="4" w:space="0"/>
              <w:left w:val="single" w:color="auto" w:sz="4" w:space="0"/>
              <w:bottom w:val="single" w:color="auto" w:sz="4" w:space="0"/>
              <w:right w:val="single" w:color="auto" w:sz="4" w:space="0"/>
            </w:tcBorders>
            <w:vAlign w:val="center"/>
          </w:tcPr>
          <w:p w14:paraId="1576A74C">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投标文件应按报价文件、资格证明文件、商务</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技术文件分别编制，并按</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的要求编制、加密、上传。</w:t>
            </w:r>
          </w:p>
        </w:tc>
      </w:tr>
      <w:tr w14:paraId="3BEEBF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236434C8">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w:t>
            </w:r>
          </w:p>
        </w:tc>
        <w:tc>
          <w:tcPr>
            <w:tcW w:w="8250" w:type="dxa"/>
            <w:tcBorders>
              <w:top w:val="single" w:color="auto" w:sz="4" w:space="0"/>
              <w:left w:val="single" w:color="auto" w:sz="4" w:space="0"/>
              <w:bottom w:val="single" w:color="auto" w:sz="4" w:space="0"/>
              <w:right w:val="single" w:color="auto" w:sz="4" w:space="0"/>
            </w:tcBorders>
            <w:vAlign w:val="center"/>
          </w:tcPr>
          <w:p w14:paraId="4DAFE346">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电子投标文件应在制作完成后，投标人应按</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的要求进行加密，并在规定时间内解密，否则，由此产生的后果由投标人自行负责。</w:t>
            </w:r>
          </w:p>
        </w:tc>
      </w:tr>
      <w:tr w14:paraId="34DE2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14:paraId="7B2CC2AE">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48" w:name="_21.1"/>
            <w:bookmarkEnd w:id="148"/>
            <w:r>
              <w:rPr>
                <w:rFonts w:hint="eastAsia" w:ascii="宋体" w:hAnsi="宋体" w:eastAsia="宋体" w:cs="宋体"/>
                <w:color w:val="auto"/>
                <w:sz w:val="21"/>
                <w:szCs w:val="21"/>
                <w:highlight w:val="none"/>
              </w:rPr>
              <w:t>21.1</w:t>
            </w:r>
          </w:p>
        </w:tc>
        <w:tc>
          <w:tcPr>
            <w:tcW w:w="8250" w:type="dxa"/>
            <w:tcBorders>
              <w:top w:val="single" w:color="auto" w:sz="4" w:space="0"/>
              <w:left w:val="single" w:color="auto" w:sz="4" w:space="0"/>
              <w:bottom w:val="single" w:color="auto" w:sz="4" w:space="0"/>
              <w:right w:val="single" w:color="auto" w:sz="4" w:space="0"/>
            </w:tcBorders>
            <w:vAlign w:val="center"/>
          </w:tcPr>
          <w:p w14:paraId="57179B45">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投标截止时间：详见招标公告</w:t>
            </w:r>
          </w:p>
          <w:p w14:paraId="3DB7304F">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投标地点：详见招标公告</w:t>
            </w:r>
          </w:p>
        </w:tc>
      </w:tr>
      <w:tr w14:paraId="0EF53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08BD7A8A">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49" w:name="_23"/>
            <w:bookmarkEnd w:id="149"/>
            <w:r>
              <w:rPr>
                <w:rFonts w:hint="eastAsia" w:ascii="宋体" w:hAnsi="宋体" w:eastAsia="宋体" w:cs="宋体"/>
                <w:color w:val="auto"/>
                <w:sz w:val="21"/>
                <w:szCs w:val="21"/>
                <w:highlight w:val="none"/>
              </w:rPr>
              <w:t>23</w:t>
            </w:r>
          </w:p>
        </w:tc>
        <w:tc>
          <w:tcPr>
            <w:tcW w:w="8250" w:type="dxa"/>
            <w:tcBorders>
              <w:top w:val="single" w:color="auto" w:sz="4" w:space="0"/>
              <w:left w:val="single" w:color="auto" w:sz="4" w:space="0"/>
              <w:bottom w:val="single" w:color="auto" w:sz="4" w:space="0"/>
              <w:right w:val="single" w:color="auto" w:sz="4" w:space="0"/>
            </w:tcBorders>
            <w:vAlign w:val="center"/>
          </w:tcPr>
          <w:p w14:paraId="05557574">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开标时间：详见招标公告</w:t>
            </w:r>
          </w:p>
          <w:p w14:paraId="1C6A8655">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开标地点：详见招标公告</w:t>
            </w:r>
          </w:p>
        </w:tc>
      </w:tr>
      <w:tr w14:paraId="15C9D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3E2BF1A4">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24.2</w:t>
            </w:r>
          </w:p>
        </w:tc>
        <w:tc>
          <w:tcPr>
            <w:tcW w:w="8250" w:type="dxa"/>
            <w:tcBorders>
              <w:top w:val="single" w:color="auto" w:sz="4" w:space="0"/>
              <w:left w:val="single" w:color="auto" w:sz="4" w:space="0"/>
              <w:bottom w:val="single" w:color="auto" w:sz="4" w:space="0"/>
              <w:right w:val="single" w:color="auto" w:sz="4" w:space="0"/>
            </w:tcBorders>
            <w:vAlign w:val="center"/>
          </w:tcPr>
          <w:p w14:paraId="76D8B6DB">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24.2</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）广西政府采购云平台</w:t>
            </w:r>
            <w:r>
              <w:rPr>
                <w:rFonts w:hint="eastAsia" w:ascii="宋体" w:hAnsi="宋体" w:eastAsia="宋体" w:cs="宋体"/>
                <w:b w:val="0"/>
                <w:bCs/>
                <w:color w:val="auto"/>
                <w:sz w:val="21"/>
                <w:szCs w:val="21"/>
                <w:highlight w:val="none"/>
              </w:rPr>
              <w:t>按开标时间自动提取所有投标文件。采购代理机构依托</w:t>
            </w:r>
            <w:r>
              <w:rPr>
                <w:rFonts w:hint="eastAsia" w:ascii="宋体" w:hAnsi="宋体" w:eastAsia="宋体" w:cs="宋体"/>
                <w:b w:val="0"/>
                <w:bCs/>
                <w:color w:val="auto"/>
                <w:sz w:val="21"/>
                <w:szCs w:val="21"/>
                <w:highlight w:val="none"/>
                <w:lang w:eastAsia="zh-CN"/>
              </w:rPr>
              <w:t>广西政府采购云平台</w:t>
            </w:r>
            <w:r>
              <w:rPr>
                <w:rFonts w:hint="eastAsia" w:ascii="宋体" w:hAnsi="宋体" w:eastAsia="宋体" w:cs="宋体"/>
                <w:b w:val="0"/>
                <w:bCs/>
                <w:color w:val="auto"/>
                <w:sz w:val="21"/>
                <w:szCs w:val="21"/>
                <w:highlight w:val="none"/>
              </w:rPr>
              <w:t>向各投标人发出电子加密投标文件【开始解密】通知，由投标人进行投标文件解密。投标人的法定代表人或其委托代理人须携带加密时所用的CA锁准时登录到</w:t>
            </w:r>
            <w:r>
              <w:rPr>
                <w:rFonts w:hint="eastAsia" w:ascii="宋体" w:hAnsi="宋体" w:eastAsia="宋体" w:cs="宋体"/>
                <w:b w:val="0"/>
                <w:bCs/>
                <w:color w:val="auto"/>
                <w:sz w:val="21"/>
                <w:szCs w:val="21"/>
                <w:highlight w:val="none"/>
                <w:lang w:eastAsia="zh-CN"/>
              </w:rPr>
              <w:t>广西政府采购云平台</w:t>
            </w:r>
            <w:r>
              <w:rPr>
                <w:rFonts w:hint="eastAsia" w:ascii="宋体" w:hAnsi="宋体" w:eastAsia="宋体" w:cs="宋体"/>
                <w:b w:val="0"/>
                <w:bCs/>
                <w:color w:val="auto"/>
                <w:sz w:val="21"/>
                <w:szCs w:val="21"/>
                <w:highlight w:val="none"/>
              </w:rPr>
              <w:t>电子开标大厅签到并在发起解密通知之时起30分钟内完成对电子投标文件解密。投标文件未按时解密的，视为无效投标。</w:t>
            </w:r>
          </w:p>
          <w:p w14:paraId="6AA07C32">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24.2（2）唱标</w:t>
            </w:r>
            <w:r>
              <w:rPr>
                <w:rFonts w:hint="eastAsia" w:ascii="宋体" w:hAnsi="宋体" w:eastAsia="宋体" w:cs="宋体"/>
                <w:b w:val="0"/>
                <w:bCs/>
                <w:color w:val="auto"/>
                <w:sz w:val="21"/>
                <w:szCs w:val="21"/>
                <w:highlight w:val="none"/>
              </w:rPr>
              <w:t>宣布的内容：投标人名称、投标价格。</w:t>
            </w:r>
          </w:p>
        </w:tc>
      </w:tr>
      <w:tr w14:paraId="1E8119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62298EFB">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50" w:name="_25.3"/>
            <w:bookmarkEnd w:id="150"/>
            <w:r>
              <w:rPr>
                <w:rFonts w:hint="eastAsia" w:ascii="宋体" w:hAnsi="宋体" w:eastAsia="宋体" w:cs="宋体"/>
                <w:color w:val="auto"/>
                <w:sz w:val="21"/>
                <w:szCs w:val="21"/>
                <w:highlight w:val="none"/>
              </w:rPr>
              <w:t>25.3（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p>
        </w:tc>
        <w:tc>
          <w:tcPr>
            <w:tcW w:w="8250" w:type="dxa"/>
            <w:tcBorders>
              <w:top w:val="single" w:color="auto" w:sz="4" w:space="0"/>
              <w:left w:val="single" w:color="auto" w:sz="4" w:space="0"/>
              <w:bottom w:val="single" w:color="auto" w:sz="4" w:space="0"/>
              <w:right w:val="single" w:color="auto" w:sz="4" w:space="0"/>
            </w:tcBorders>
            <w:vAlign w:val="center"/>
          </w:tcPr>
          <w:p w14:paraId="5055198A">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采购人或者采购代理机构在资格审查结束前，对投标人进行信用查询。</w:t>
            </w:r>
          </w:p>
          <w:p w14:paraId="0B35E087">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查询渠道：“信用中国”网站（www.creditchina.gov.cn）、中国政府采购网（</w:t>
            </w:r>
            <w:r>
              <w:rPr>
                <w:rFonts w:hint="eastAsia" w:ascii="宋体" w:hAnsi="宋体" w:eastAsia="宋体" w:cs="宋体"/>
                <w:color w:val="auto"/>
                <w:sz w:val="21"/>
                <w:szCs w:val="21"/>
                <w:highlight w:val="none"/>
                <w:u w:val="none"/>
              </w:rPr>
              <w:t>www.ccgp.gov.cn</w:t>
            </w:r>
            <w:r>
              <w:rPr>
                <w:rFonts w:hint="eastAsia" w:ascii="宋体" w:hAnsi="宋体" w:eastAsia="宋体" w:cs="宋体"/>
                <w:color w:val="auto"/>
                <w:sz w:val="21"/>
                <w:szCs w:val="21"/>
                <w:highlight w:val="none"/>
              </w:rPr>
              <w:t>）。</w:t>
            </w:r>
          </w:p>
          <w:p w14:paraId="75EAE6FB">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信用查询截止时点：资格审查结束前。</w:t>
            </w:r>
          </w:p>
          <w:p w14:paraId="59181447">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查询记录和证据留存方式：将查询网站中的查询记录截图并作为评审资料保存。</w:t>
            </w:r>
          </w:p>
          <w:p w14:paraId="1C6C25B9">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信用信息使用规则：根据财政部《关于在政府采购活动中查询及使用信用记录有关问题的通知》（财库〔2016〕125号）的规定，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676B2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433D8883">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51" w:name="_26"/>
            <w:bookmarkEnd w:id="151"/>
            <w:r>
              <w:rPr>
                <w:rFonts w:hint="eastAsia" w:ascii="宋体" w:hAnsi="宋体" w:eastAsia="宋体" w:cs="宋体"/>
                <w:color w:val="auto"/>
                <w:sz w:val="21"/>
                <w:szCs w:val="21"/>
                <w:highlight w:val="none"/>
              </w:rPr>
              <w:t>26</w:t>
            </w:r>
          </w:p>
        </w:tc>
        <w:tc>
          <w:tcPr>
            <w:tcW w:w="8250" w:type="dxa"/>
            <w:tcBorders>
              <w:top w:val="single" w:color="auto" w:sz="4" w:space="0"/>
              <w:left w:val="single" w:color="auto" w:sz="4" w:space="0"/>
              <w:bottom w:val="single" w:color="auto" w:sz="4" w:space="0"/>
              <w:right w:val="single" w:color="auto" w:sz="4" w:space="0"/>
            </w:tcBorders>
            <w:vAlign w:val="center"/>
          </w:tcPr>
          <w:p w14:paraId="4625D5A9">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评标委员会的人数：</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人。（采购项目符合下列情形之一的，评标委员会成员人数应当为7人以上单数：1.采购预算金额在1000万元以上；2.技术复杂；3.社会影响较大。）</w:t>
            </w:r>
          </w:p>
        </w:tc>
      </w:tr>
      <w:tr w14:paraId="67B921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7132F239">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52" w:name="_28.3"/>
            <w:bookmarkEnd w:id="152"/>
            <w:r>
              <w:rPr>
                <w:rFonts w:hint="eastAsia" w:ascii="宋体" w:hAnsi="宋体" w:eastAsia="宋体" w:cs="宋体"/>
                <w:color w:val="auto"/>
                <w:sz w:val="21"/>
                <w:szCs w:val="21"/>
                <w:highlight w:val="none"/>
              </w:rPr>
              <w:t>29.1</w:t>
            </w:r>
          </w:p>
        </w:tc>
        <w:tc>
          <w:tcPr>
            <w:tcW w:w="8250" w:type="dxa"/>
            <w:tcBorders>
              <w:top w:val="single" w:color="auto" w:sz="4" w:space="0"/>
              <w:left w:val="single" w:color="auto" w:sz="4" w:space="0"/>
              <w:bottom w:val="single" w:color="auto" w:sz="4" w:space="0"/>
              <w:right w:val="single" w:color="auto" w:sz="4" w:space="0"/>
            </w:tcBorders>
            <w:vAlign w:val="center"/>
          </w:tcPr>
          <w:p w14:paraId="1C377367">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p w14:paraId="18A9AD46">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综合评分法</w:t>
            </w:r>
            <w:r>
              <w:rPr>
                <w:rFonts w:hint="eastAsia" w:ascii="宋体" w:hAnsi="宋体" w:eastAsia="宋体" w:cs="宋体"/>
                <w:color w:val="auto"/>
                <w:sz w:val="21"/>
                <w:szCs w:val="21"/>
                <w:highlight w:val="none"/>
                <w:lang w:eastAsia="zh-CN"/>
              </w:rPr>
              <w:t>。</w:t>
            </w:r>
          </w:p>
          <w:p w14:paraId="25043DDA">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最低评标价法</w:t>
            </w:r>
            <w:r>
              <w:rPr>
                <w:rFonts w:hint="eastAsia" w:ascii="宋体" w:hAnsi="宋体" w:eastAsia="宋体" w:cs="宋体"/>
                <w:color w:val="auto"/>
                <w:sz w:val="21"/>
                <w:szCs w:val="21"/>
                <w:highlight w:val="none"/>
                <w:lang w:eastAsia="zh-CN"/>
              </w:rPr>
              <w:t>。</w:t>
            </w:r>
          </w:p>
        </w:tc>
      </w:tr>
      <w:tr w14:paraId="0750BF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3360F977">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w:t>
            </w:r>
          </w:p>
        </w:tc>
        <w:tc>
          <w:tcPr>
            <w:tcW w:w="8250" w:type="dxa"/>
            <w:tcBorders>
              <w:top w:val="single" w:color="auto" w:sz="4" w:space="0"/>
              <w:left w:val="single" w:color="auto" w:sz="4" w:space="0"/>
              <w:bottom w:val="single" w:color="auto" w:sz="4" w:space="0"/>
              <w:right w:val="single" w:color="auto" w:sz="4" w:space="0"/>
            </w:tcBorders>
            <w:vAlign w:val="center"/>
          </w:tcPr>
          <w:p w14:paraId="3F1E5888">
            <w:pPr>
              <w:pageBreakBefore w:val="0"/>
              <w:widowControl w:val="0"/>
              <w:kinsoku/>
              <w:wordWrap/>
              <w:overflowPunct/>
              <w:topLinePunct w:val="0"/>
              <w:autoSpaceDE w:val="0"/>
              <w:autoSpaceDN w:val="0"/>
              <w:bidi w:val="0"/>
              <w:snapToGrid w:val="0"/>
              <w:spacing w:line="400" w:lineRule="exact"/>
              <w:ind w:firstLine="0" w:firstLineChars="0"/>
              <w:textAlignment w:val="bottom"/>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中标候选人推荐数量：3</w:t>
            </w:r>
            <w:r>
              <w:rPr>
                <w:rFonts w:hint="eastAsia" w:ascii="宋体" w:hAnsi="宋体" w:eastAsia="宋体" w:cs="宋体"/>
                <w:color w:val="auto"/>
                <w:sz w:val="21"/>
                <w:szCs w:val="21"/>
                <w:highlight w:val="none"/>
                <w:lang w:val="en-US" w:eastAsia="zh-CN"/>
              </w:rPr>
              <w:t>个</w:t>
            </w:r>
            <w:r>
              <w:rPr>
                <w:rFonts w:hint="eastAsia" w:ascii="宋体" w:hAnsi="宋体" w:eastAsia="宋体" w:cs="宋体"/>
                <w:color w:val="auto"/>
                <w:sz w:val="21"/>
                <w:szCs w:val="21"/>
                <w:highlight w:val="none"/>
                <w:lang w:eastAsia="zh-CN"/>
              </w:rPr>
              <w:t>。</w:t>
            </w:r>
          </w:p>
        </w:tc>
      </w:tr>
      <w:tr w14:paraId="538E60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55" w:type="dxa"/>
            <w:tcBorders>
              <w:top w:val="single" w:color="auto" w:sz="4" w:space="0"/>
              <w:left w:val="single" w:color="auto" w:sz="4" w:space="0"/>
              <w:right w:val="single" w:color="auto" w:sz="4" w:space="0"/>
            </w:tcBorders>
            <w:vAlign w:val="center"/>
          </w:tcPr>
          <w:p w14:paraId="12DCE7C8">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53" w:name="_29.2.2（2）"/>
            <w:bookmarkEnd w:id="153"/>
            <w:r>
              <w:rPr>
                <w:rFonts w:hint="eastAsia" w:ascii="宋体" w:hAnsi="宋体" w:eastAsia="宋体" w:cs="宋体"/>
                <w:color w:val="auto"/>
                <w:sz w:val="21"/>
                <w:szCs w:val="21"/>
                <w:highlight w:val="none"/>
              </w:rPr>
              <w:t>29.3</w:t>
            </w:r>
          </w:p>
        </w:tc>
        <w:tc>
          <w:tcPr>
            <w:tcW w:w="8250" w:type="dxa"/>
            <w:tcBorders>
              <w:top w:val="single" w:color="auto" w:sz="4" w:space="0"/>
              <w:left w:val="single" w:color="auto" w:sz="4" w:space="0"/>
              <w:right w:val="single" w:color="auto" w:sz="4" w:space="0"/>
            </w:tcBorders>
            <w:vAlign w:val="center"/>
          </w:tcPr>
          <w:p w14:paraId="47507121">
            <w:pPr>
              <w:pageBreakBefore w:val="0"/>
              <w:widowControl w:val="0"/>
              <w:kinsoku/>
              <w:wordWrap/>
              <w:overflowPunct/>
              <w:topLinePunct w:val="0"/>
              <w:bidi w:val="0"/>
              <w:snapToGrid w:val="0"/>
              <w:spacing w:line="400" w:lineRule="exact"/>
              <w:ind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分包1：</w:t>
            </w:r>
          </w:p>
          <w:p w14:paraId="376DC3A9">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商务要求评审中允许负偏离的条款数为0项。</w:t>
            </w:r>
          </w:p>
          <w:p w14:paraId="740CC383">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每台仪器设备的技术要求评审中允许负偏离的条款：采购需求中凡标注“▲”的条款或要求不响应或不满足的，投标文件即作无效处理；未标注“▲”号的条款或要求仅作为评审依据进行考核，具体见本招标文件第四章。</w:t>
            </w:r>
          </w:p>
          <w:p w14:paraId="15D33656">
            <w:pPr>
              <w:pageBreakBefore w:val="0"/>
              <w:widowControl w:val="0"/>
              <w:kinsoku/>
              <w:wordWrap/>
              <w:overflowPunct/>
              <w:topLinePunct w:val="0"/>
              <w:bidi w:val="0"/>
              <w:snapToGrid w:val="0"/>
              <w:spacing w:line="400" w:lineRule="exact"/>
              <w:ind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分包2：</w:t>
            </w:r>
          </w:p>
          <w:p w14:paraId="673D3A61">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商务要求评审中允许负偏离的条款数为0项。</w:t>
            </w:r>
          </w:p>
          <w:p w14:paraId="3F0C4A54">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每台仪器设备的技术要求评审中允许负偏离的条款：采购需求中凡标注“▲”的条款或要求不响应或不满足的，投标文件即作无效处理；未标注“▲”号的条款或要求仅作为评审依据进行考核，具体见本招标文件第四章。</w:t>
            </w:r>
          </w:p>
          <w:p w14:paraId="0439AE40">
            <w:pPr>
              <w:pageBreakBefore w:val="0"/>
              <w:widowControl w:val="0"/>
              <w:kinsoku/>
              <w:wordWrap/>
              <w:overflowPunct/>
              <w:topLinePunct w:val="0"/>
              <w:bidi w:val="0"/>
              <w:snapToGrid w:val="0"/>
              <w:spacing w:line="400" w:lineRule="exact"/>
              <w:ind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分包3：</w:t>
            </w:r>
          </w:p>
          <w:p w14:paraId="028C162A">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商务要求评审中允许负偏离的条款数为0项。</w:t>
            </w:r>
          </w:p>
          <w:p w14:paraId="5716AD74">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每台仪器设备的技术要求评审中允许负偏离的条款：采购需求中凡标注“▲”的条款或要求不响应或不满足的，投标文件即作无效处理；未标注“▲”号的条款或要求仅作为评审依据进行考核，具体见本招标文件第四章。</w:t>
            </w:r>
          </w:p>
          <w:p w14:paraId="28107D57">
            <w:pPr>
              <w:pageBreakBefore w:val="0"/>
              <w:widowControl w:val="0"/>
              <w:kinsoku/>
              <w:wordWrap/>
              <w:overflowPunct/>
              <w:topLinePunct w:val="0"/>
              <w:bidi w:val="0"/>
              <w:snapToGrid w:val="0"/>
              <w:spacing w:line="400" w:lineRule="exact"/>
              <w:ind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分包4：</w:t>
            </w:r>
          </w:p>
          <w:p w14:paraId="48633CAD">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商务要求评审中允许负偏离的条款数为0项。</w:t>
            </w:r>
          </w:p>
          <w:p w14:paraId="3789B64A">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每台仪器设备的技术要求评审中允许负偏离的条款：采购需求中凡标注“▲”的条款或要求不响应或不满足的，投标文件即作无效处理；未标注“▲”号的条款或要求仅作为评审依据进行考核，具体见本招标文件第四章。</w:t>
            </w:r>
          </w:p>
          <w:p w14:paraId="094A7048">
            <w:pPr>
              <w:pageBreakBefore w:val="0"/>
              <w:widowControl w:val="0"/>
              <w:kinsoku/>
              <w:wordWrap/>
              <w:overflowPunct/>
              <w:topLinePunct w:val="0"/>
              <w:bidi w:val="0"/>
              <w:snapToGrid w:val="0"/>
              <w:spacing w:line="400" w:lineRule="exact"/>
              <w:ind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分包5：</w:t>
            </w:r>
          </w:p>
          <w:p w14:paraId="40EF2C77">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商务要求评审中允许负偏离的条款数为0项。</w:t>
            </w:r>
          </w:p>
          <w:p w14:paraId="6C51F883">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每台仪器设备的技术要求评审中允许负偏离的条款：采购需求中凡标注“▲”的条款或要求不响应或不满足的，投标文件即作无效处理；未标注“▲”号的条款或要求仅作为评审依据进行考核，具体见本招标文件第四章。</w:t>
            </w:r>
          </w:p>
          <w:p w14:paraId="584CF3D9">
            <w:pPr>
              <w:pageBreakBefore w:val="0"/>
              <w:widowControl w:val="0"/>
              <w:kinsoku/>
              <w:wordWrap/>
              <w:overflowPunct/>
              <w:topLinePunct w:val="0"/>
              <w:bidi w:val="0"/>
              <w:snapToGrid w:val="0"/>
              <w:spacing w:line="400" w:lineRule="exact"/>
              <w:ind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分包6：</w:t>
            </w:r>
          </w:p>
          <w:p w14:paraId="52513436">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商务要求评审中允许负偏离的条款数为0项。</w:t>
            </w:r>
          </w:p>
          <w:p w14:paraId="210F67E9">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lang w:val="en-US" w:eastAsia="zh-CN"/>
              </w:rPr>
              <w:t>每台仪器设备的技术要求评审中允许负偏离的条款：采购需求中凡标注“▲”的条款或要求不响应或不满足的，投标文件即作无效处理；未标注“▲”号的条款或要求仅作为评审依据进行考核，具体见本招标文件第四章。</w:t>
            </w:r>
          </w:p>
        </w:tc>
      </w:tr>
      <w:tr w14:paraId="159623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7F4AFF07">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8250" w:type="dxa"/>
            <w:tcBorders>
              <w:top w:val="single" w:color="auto" w:sz="4" w:space="0"/>
              <w:left w:val="single" w:color="auto" w:sz="4" w:space="0"/>
              <w:bottom w:val="single" w:color="auto" w:sz="4" w:space="0"/>
              <w:right w:val="single" w:color="auto" w:sz="4" w:space="0"/>
            </w:tcBorders>
            <w:vAlign w:val="center"/>
          </w:tcPr>
          <w:p w14:paraId="436C7871">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采用综合评分法的采购项目，采购人确定中标人时，出现中标候选人并列的情形，采购人按以下的方式确定中标人：</w:t>
            </w:r>
          </w:p>
          <w:p w14:paraId="33836760">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依次按投标报价低的优先、技术评分高的优先、商务评分高的优先、质保期长优先、交货期短优先、故障响应时间短优先的顺序确定</w:t>
            </w:r>
            <w:r>
              <w:rPr>
                <w:rFonts w:hint="eastAsia" w:ascii="宋体" w:hAnsi="宋体" w:eastAsia="宋体" w:cs="宋体"/>
                <w:color w:val="auto"/>
                <w:sz w:val="21"/>
                <w:szCs w:val="21"/>
                <w:highlight w:val="none"/>
                <w:lang w:eastAsia="zh-CN"/>
              </w:rPr>
              <w:t>。</w:t>
            </w:r>
          </w:p>
        </w:tc>
      </w:tr>
      <w:tr w14:paraId="08AD78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14:paraId="58070939">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54" w:name="_39.1"/>
            <w:bookmarkEnd w:id="154"/>
            <w:r>
              <w:rPr>
                <w:rFonts w:hint="eastAsia" w:ascii="宋体" w:hAnsi="宋体" w:eastAsia="宋体" w:cs="宋体"/>
                <w:color w:val="auto"/>
                <w:sz w:val="21"/>
                <w:szCs w:val="21"/>
                <w:highlight w:val="none"/>
              </w:rPr>
              <w:t>35.1</w:t>
            </w:r>
          </w:p>
        </w:tc>
        <w:tc>
          <w:tcPr>
            <w:tcW w:w="8250" w:type="dxa"/>
            <w:tcBorders>
              <w:top w:val="single" w:color="auto" w:sz="4" w:space="0"/>
              <w:left w:val="single" w:color="auto" w:sz="4" w:space="0"/>
              <w:bottom w:val="single" w:color="auto" w:sz="4" w:space="0"/>
              <w:right w:val="single" w:color="auto" w:sz="4" w:space="0"/>
            </w:tcBorders>
            <w:vAlign w:val="center"/>
          </w:tcPr>
          <w:p w14:paraId="024805AF">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本项目不收取履约保证金。</w:t>
            </w:r>
          </w:p>
          <w:p w14:paraId="5C29378D">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本项目收取履约保证金，具体规定如下：</w:t>
            </w:r>
          </w:p>
          <w:p w14:paraId="47927164">
            <w:pPr>
              <w:keepNext w:val="0"/>
              <w:keepLines w:val="0"/>
              <w:pageBreakBefore w:val="0"/>
              <w:widowControl w:val="0"/>
              <w:kinsoku/>
              <w:wordWrap/>
              <w:overflowPunct/>
              <w:topLinePunct w:val="0"/>
              <w:bidi w:val="0"/>
              <w:adjustRightInd/>
              <w:snapToGrid w:val="0"/>
              <w:spacing w:line="400" w:lineRule="exact"/>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分包1</w:t>
            </w:r>
            <w:r>
              <w:rPr>
                <w:rFonts w:hint="eastAsia" w:ascii="宋体" w:hAnsi="宋体" w:eastAsia="宋体" w:cs="宋体"/>
                <w:color w:val="auto"/>
                <w:sz w:val="21"/>
                <w:szCs w:val="21"/>
                <w:highlight w:val="none"/>
              </w:rPr>
              <w:t>履约保证金金额：政府采购合同金额的</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eastAsia="zh-CN"/>
              </w:rPr>
              <w:br w:type="textWrapping"/>
            </w:r>
            <w:r>
              <w:rPr>
                <w:rFonts w:hint="eastAsia" w:ascii="宋体" w:hAnsi="宋体" w:eastAsia="宋体" w:cs="宋体"/>
                <w:b w:val="0"/>
                <w:bCs w:val="0"/>
                <w:color w:val="auto"/>
                <w:sz w:val="21"/>
                <w:szCs w:val="21"/>
                <w:highlight w:val="none"/>
                <w:lang w:val="en-US" w:eastAsia="zh-CN"/>
              </w:rPr>
              <w:t>分包</w:t>
            </w:r>
            <w:r>
              <w:rPr>
                <w:rFonts w:hint="eastAsia" w:ascii="宋体" w:hAnsi="宋体" w:cs="宋体"/>
                <w:b w:val="0"/>
                <w:bCs w:val="0"/>
                <w:color w:val="auto"/>
                <w:sz w:val="21"/>
                <w:szCs w:val="21"/>
                <w:highlight w:val="none"/>
                <w:lang w:val="en-US" w:eastAsia="zh-CN"/>
              </w:rPr>
              <w:t>2</w:t>
            </w:r>
            <w:r>
              <w:rPr>
                <w:rFonts w:hint="eastAsia" w:ascii="宋体" w:hAnsi="宋体" w:eastAsia="宋体" w:cs="宋体"/>
                <w:color w:val="auto"/>
                <w:sz w:val="21"/>
                <w:szCs w:val="21"/>
                <w:highlight w:val="none"/>
              </w:rPr>
              <w:t>履约保证金金额：政府采购合同金额的</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（对中小</w:t>
            </w:r>
            <w:r>
              <w:rPr>
                <w:rFonts w:hint="eastAsia" w:ascii="宋体" w:hAnsi="宋体" w:cs="宋体"/>
                <w:color w:val="auto"/>
                <w:sz w:val="21"/>
                <w:szCs w:val="21"/>
                <w:highlight w:val="none"/>
                <w:lang w:val="en-US" w:eastAsia="zh-CN"/>
              </w:rPr>
              <w:t>微</w:t>
            </w:r>
            <w:r>
              <w:rPr>
                <w:rFonts w:hint="eastAsia" w:ascii="宋体" w:hAnsi="宋体" w:cs="宋体"/>
                <w:color w:val="auto"/>
                <w:sz w:val="21"/>
                <w:szCs w:val="21"/>
                <w:highlight w:val="none"/>
                <w:lang w:eastAsia="zh-CN"/>
              </w:rPr>
              <w:t>企业收取的履约保证金数额为政府采购合同金额的2%）；</w:t>
            </w:r>
            <w:r>
              <w:rPr>
                <w:rFonts w:hint="eastAsia" w:ascii="宋体" w:hAnsi="宋体" w:cs="宋体"/>
                <w:color w:val="auto"/>
                <w:sz w:val="21"/>
                <w:szCs w:val="21"/>
                <w:highlight w:val="none"/>
                <w:lang w:eastAsia="zh-CN"/>
              </w:rPr>
              <w:br w:type="textWrapping"/>
            </w:r>
            <w:r>
              <w:rPr>
                <w:rFonts w:hint="eastAsia" w:ascii="宋体" w:hAnsi="宋体" w:eastAsia="宋体" w:cs="宋体"/>
                <w:b w:val="0"/>
                <w:bCs w:val="0"/>
                <w:color w:val="auto"/>
                <w:sz w:val="21"/>
                <w:szCs w:val="21"/>
                <w:highlight w:val="none"/>
                <w:lang w:val="en-US" w:eastAsia="zh-CN"/>
              </w:rPr>
              <w:t>分包</w:t>
            </w:r>
            <w:r>
              <w:rPr>
                <w:rFonts w:hint="eastAsia" w:ascii="宋体" w:hAnsi="宋体" w:cs="宋体"/>
                <w:b w:val="0"/>
                <w:bCs w:val="0"/>
                <w:color w:val="auto"/>
                <w:sz w:val="21"/>
                <w:szCs w:val="21"/>
                <w:highlight w:val="none"/>
                <w:lang w:val="en-US" w:eastAsia="zh-CN"/>
              </w:rPr>
              <w:t>3</w:t>
            </w:r>
            <w:r>
              <w:rPr>
                <w:rFonts w:hint="eastAsia" w:ascii="宋体" w:hAnsi="宋体" w:eastAsia="宋体" w:cs="宋体"/>
                <w:color w:val="auto"/>
                <w:sz w:val="21"/>
                <w:szCs w:val="21"/>
                <w:highlight w:val="none"/>
              </w:rPr>
              <w:t>履约保证金金额：政府采购合同金额的</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eastAsia="zh-CN"/>
              </w:rPr>
              <w:br w:type="textWrapping"/>
            </w:r>
            <w:r>
              <w:rPr>
                <w:rFonts w:hint="eastAsia" w:ascii="宋体" w:hAnsi="宋体" w:eastAsia="宋体" w:cs="宋体"/>
                <w:b w:val="0"/>
                <w:bCs w:val="0"/>
                <w:color w:val="auto"/>
                <w:sz w:val="21"/>
                <w:szCs w:val="21"/>
                <w:highlight w:val="none"/>
                <w:lang w:val="en-US" w:eastAsia="zh-CN"/>
              </w:rPr>
              <w:t>分包</w:t>
            </w:r>
            <w:r>
              <w:rPr>
                <w:rFonts w:hint="eastAsia" w:ascii="宋体" w:hAnsi="宋体" w:cs="宋体"/>
                <w:b w:val="0"/>
                <w:bCs w:val="0"/>
                <w:color w:val="auto"/>
                <w:sz w:val="21"/>
                <w:szCs w:val="21"/>
                <w:highlight w:val="none"/>
                <w:lang w:val="en-US" w:eastAsia="zh-CN"/>
              </w:rPr>
              <w:t>4</w:t>
            </w:r>
            <w:r>
              <w:rPr>
                <w:rFonts w:hint="eastAsia" w:ascii="宋体" w:hAnsi="宋体" w:eastAsia="宋体" w:cs="宋体"/>
                <w:color w:val="auto"/>
                <w:sz w:val="21"/>
                <w:szCs w:val="21"/>
                <w:highlight w:val="none"/>
              </w:rPr>
              <w:t>履约保证金金额：政府采购合同金额的</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（对中小</w:t>
            </w:r>
            <w:r>
              <w:rPr>
                <w:rFonts w:hint="eastAsia" w:ascii="宋体" w:hAnsi="宋体" w:cs="宋体"/>
                <w:color w:val="auto"/>
                <w:sz w:val="21"/>
                <w:szCs w:val="21"/>
                <w:highlight w:val="none"/>
                <w:lang w:val="en-US" w:eastAsia="zh-CN"/>
              </w:rPr>
              <w:t>微</w:t>
            </w:r>
            <w:r>
              <w:rPr>
                <w:rFonts w:hint="eastAsia" w:ascii="宋体" w:hAnsi="宋体" w:cs="宋体"/>
                <w:color w:val="auto"/>
                <w:sz w:val="21"/>
                <w:szCs w:val="21"/>
                <w:highlight w:val="none"/>
                <w:lang w:eastAsia="zh-CN"/>
              </w:rPr>
              <w:t>企业收取的履约保证金数额为政府采购合同金额的2%）；</w:t>
            </w:r>
            <w:r>
              <w:rPr>
                <w:rFonts w:hint="eastAsia" w:ascii="宋体" w:hAnsi="宋体" w:cs="宋体"/>
                <w:color w:val="auto"/>
                <w:sz w:val="21"/>
                <w:szCs w:val="21"/>
                <w:highlight w:val="none"/>
                <w:lang w:eastAsia="zh-CN"/>
              </w:rPr>
              <w:br w:type="textWrapping"/>
            </w:r>
            <w:r>
              <w:rPr>
                <w:rFonts w:hint="eastAsia" w:ascii="宋体" w:hAnsi="宋体" w:eastAsia="宋体" w:cs="宋体"/>
                <w:b w:val="0"/>
                <w:bCs w:val="0"/>
                <w:color w:val="auto"/>
                <w:sz w:val="21"/>
                <w:szCs w:val="21"/>
                <w:highlight w:val="none"/>
                <w:lang w:val="en-US" w:eastAsia="zh-CN"/>
              </w:rPr>
              <w:t>分包</w:t>
            </w:r>
            <w:r>
              <w:rPr>
                <w:rFonts w:hint="eastAsia" w:ascii="宋体" w:hAnsi="宋体" w:cs="宋体"/>
                <w:b w:val="0"/>
                <w:bCs w:val="0"/>
                <w:color w:val="auto"/>
                <w:sz w:val="21"/>
                <w:szCs w:val="21"/>
                <w:highlight w:val="none"/>
                <w:lang w:val="en-US" w:eastAsia="zh-CN"/>
              </w:rPr>
              <w:t>5</w:t>
            </w:r>
            <w:r>
              <w:rPr>
                <w:rFonts w:hint="eastAsia" w:ascii="宋体" w:hAnsi="宋体" w:eastAsia="宋体" w:cs="宋体"/>
                <w:color w:val="auto"/>
                <w:sz w:val="21"/>
                <w:szCs w:val="21"/>
                <w:highlight w:val="none"/>
              </w:rPr>
              <w:t>履约保证金金额：政府采购合同金额的</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（对中小</w:t>
            </w:r>
            <w:r>
              <w:rPr>
                <w:rFonts w:hint="eastAsia" w:ascii="宋体" w:hAnsi="宋体" w:cs="宋体"/>
                <w:color w:val="auto"/>
                <w:sz w:val="21"/>
                <w:szCs w:val="21"/>
                <w:highlight w:val="none"/>
                <w:lang w:val="en-US" w:eastAsia="zh-CN"/>
              </w:rPr>
              <w:t>微</w:t>
            </w:r>
            <w:r>
              <w:rPr>
                <w:rFonts w:hint="eastAsia" w:ascii="宋体" w:hAnsi="宋体" w:cs="宋体"/>
                <w:color w:val="auto"/>
                <w:sz w:val="21"/>
                <w:szCs w:val="21"/>
                <w:highlight w:val="none"/>
                <w:lang w:eastAsia="zh-CN"/>
              </w:rPr>
              <w:t>企业收取的履约保证金数额为政府采购合同金额的2%）；</w:t>
            </w:r>
            <w:r>
              <w:rPr>
                <w:rFonts w:hint="eastAsia" w:ascii="宋体" w:hAnsi="宋体" w:cs="宋体"/>
                <w:color w:val="auto"/>
                <w:sz w:val="21"/>
                <w:szCs w:val="21"/>
                <w:highlight w:val="none"/>
                <w:lang w:eastAsia="zh-CN"/>
              </w:rPr>
              <w:br w:type="textWrapping"/>
            </w:r>
            <w:r>
              <w:rPr>
                <w:rFonts w:hint="eastAsia" w:ascii="宋体" w:hAnsi="宋体" w:eastAsia="宋体" w:cs="宋体"/>
                <w:b w:val="0"/>
                <w:bCs w:val="0"/>
                <w:color w:val="auto"/>
                <w:sz w:val="21"/>
                <w:szCs w:val="21"/>
                <w:highlight w:val="none"/>
                <w:lang w:val="en-US" w:eastAsia="zh-CN"/>
              </w:rPr>
              <w:t>分包</w:t>
            </w:r>
            <w:r>
              <w:rPr>
                <w:rFonts w:hint="eastAsia" w:ascii="宋体" w:hAnsi="宋体" w:cs="宋体"/>
                <w:b w:val="0"/>
                <w:bCs w:val="0"/>
                <w:color w:val="auto"/>
                <w:sz w:val="21"/>
                <w:szCs w:val="21"/>
                <w:highlight w:val="none"/>
                <w:lang w:val="en-US" w:eastAsia="zh-CN"/>
              </w:rPr>
              <w:t>6</w:t>
            </w:r>
            <w:r>
              <w:rPr>
                <w:rFonts w:hint="eastAsia" w:ascii="宋体" w:hAnsi="宋体" w:eastAsia="宋体" w:cs="宋体"/>
                <w:color w:val="auto"/>
                <w:sz w:val="21"/>
                <w:szCs w:val="21"/>
                <w:highlight w:val="none"/>
              </w:rPr>
              <w:t>履约保证金金额：政府采购合同金额的</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（对中小</w:t>
            </w:r>
            <w:r>
              <w:rPr>
                <w:rFonts w:hint="eastAsia" w:ascii="宋体" w:hAnsi="宋体" w:cs="宋体"/>
                <w:color w:val="auto"/>
                <w:sz w:val="21"/>
                <w:szCs w:val="21"/>
                <w:highlight w:val="none"/>
                <w:lang w:val="en-US" w:eastAsia="zh-CN"/>
              </w:rPr>
              <w:t>微</w:t>
            </w:r>
            <w:r>
              <w:rPr>
                <w:rFonts w:hint="eastAsia" w:ascii="宋体" w:hAnsi="宋体" w:cs="宋体"/>
                <w:color w:val="auto"/>
                <w:sz w:val="21"/>
                <w:szCs w:val="21"/>
                <w:highlight w:val="none"/>
                <w:lang w:eastAsia="zh-CN"/>
              </w:rPr>
              <w:t>企业收取的履约保证金数额为政府采购合同金额的2%）；</w:t>
            </w:r>
          </w:p>
          <w:p w14:paraId="436CBFA8">
            <w:pPr>
              <w:keepNext w:val="0"/>
              <w:keepLines w:val="0"/>
              <w:pageBreakBefore w:val="0"/>
              <w:widowControl w:val="0"/>
              <w:kinsoku/>
              <w:wordWrap/>
              <w:overflowPunct/>
              <w:topLinePunct w:val="0"/>
              <w:bidi w:val="0"/>
              <w:adjustRightInd/>
              <w:snapToGrid w:val="0"/>
              <w:spacing w:line="400" w:lineRule="exact"/>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履约保证金提交方式：支票、汇票、本票或者金融、担保机构出具的保函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含电子保函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等非现金方式。</w:t>
            </w:r>
          </w:p>
          <w:p w14:paraId="700F251C">
            <w:pPr>
              <w:keepNext w:val="0"/>
              <w:keepLines w:val="0"/>
              <w:pageBreakBefore w:val="0"/>
              <w:widowControl w:val="0"/>
              <w:kinsoku/>
              <w:wordWrap/>
              <w:overflowPunct/>
              <w:topLinePunct w:val="0"/>
              <w:bidi w:val="0"/>
              <w:adjustRightInd/>
              <w:snapToGrid w:val="0"/>
              <w:spacing w:line="400" w:lineRule="exact"/>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履约保证金退付方式、时间及条件：</w:t>
            </w:r>
            <w:r>
              <w:rPr>
                <w:rFonts w:hint="eastAsia" w:ascii="宋体" w:hAnsi="宋体" w:eastAsia="宋体" w:cs="宋体"/>
                <w:color w:val="auto"/>
                <w:sz w:val="21"/>
                <w:szCs w:val="21"/>
                <w:highlight w:val="none"/>
                <w:u w:val="single"/>
              </w:rPr>
              <w:t>由乙方向甲方提供《广西壮族自治区政府采购项目合同验收书》</w:t>
            </w:r>
            <w:r>
              <w:rPr>
                <w:rFonts w:hint="eastAsia" w:ascii="宋体" w:hAnsi="宋体" w:eastAsia="宋体" w:cs="宋体"/>
                <w:color w:val="auto"/>
                <w:sz w:val="21"/>
                <w:szCs w:val="21"/>
                <w:highlight w:val="none"/>
                <w:u w:val="single"/>
                <w:lang w:eastAsia="zh-CN"/>
              </w:rPr>
              <w:t>、履约保证金退付函和乙方履约保证金支付凭证</w:t>
            </w:r>
            <w:r>
              <w:rPr>
                <w:rFonts w:hint="eastAsia" w:ascii="宋体" w:hAnsi="宋体" w:eastAsia="宋体" w:cs="宋体"/>
                <w:color w:val="auto"/>
                <w:sz w:val="21"/>
                <w:szCs w:val="21"/>
                <w:highlight w:val="none"/>
                <w:u w:val="single"/>
              </w:rPr>
              <w:t>，甲方在收到合格材料后五个工作日内办理退还手续（不计利息）</w:t>
            </w:r>
          </w:p>
          <w:p w14:paraId="2F98F7A4">
            <w:pPr>
              <w:keepNext w:val="0"/>
              <w:keepLines w:val="0"/>
              <w:pageBreakBefore w:val="0"/>
              <w:widowControl w:val="0"/>
              <w:kinsoku/>
              <w:wordWrap/>
              <w:overflowPunct/>
              <w:topLinePunct w:val="0"/>
              <w:bidi w:val="0"/>
              <w:adjustRightInd/>
              <w:snapToGrid w:val="0"/>
              <w:spacing w:line="400" w:lineRule="exact"/>
              <w:ind w:firstLine="0" w:firstLineChars="0"/>
              <w:contextualSpacing/>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履约保证金指定账户：</w:t>
            </w:r>
            <w:r>
              <w:rPr>
                <w:rFonts w:hint="eastAsia" w:ascii="宋体" w:hAnsi="宋体" w:eastAsia="宋体" w:cs="宋体"/>
                <w:color w:val="auto"/>
                <w:sz w:val="21"/>
                <w:szCs w:val="21"/>
                <w:highlight w:val="none"/>
                <w:u w:val="single"/>
                <w:lang w:val="en-US" w:eastAsia="zh-CN"/>
              </w:rPr>
              <w:t>中标后提供。</w:t>
            </w:r>
          </w:p>
          <w:p w14:paraId="0525D9F0">
            <w:pPr>
              <w:keepNext w:val="0"/>
              <w:keepLines w:val="0"/>
              <w:pageBreakBefore w:val="0"/>
              <w:widowControl w:val="0"/>
              <w:kinsoku/>
              <w:wordWrap/>
              <w:overflowPunct/>
              <w:topLinePunct w:val="0"/>
              <w:bidi w:val="0"/>
              <w:adjustRightInd/>
              <w:snapToGrid w:val="0"/>
              <w:spacing w:line="400" w:lineRule="exact"/>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备注：</w:t>
            </w:r>
          </w:p>
          <w:p w14:paraId="60075D07">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履约保证金</w:t>
            </w:r>
            <w:r>
              <w:rPr>
                <w:rFonts w:hint="eastAsia" w:ascii="宋体" w:hAnsi="宋体" w:eastAsia="宋体" w:cs="宋体"/>
                <w:b/>
                <w:color w:val="auto"/>
                <w:sz w:val="21"/>
                <w:szCs w:val="21"/>
                <w:highlight w:val="none"/>
                <w:lang w:val="en-US" w:eastAsia="zh-CN"/>
              </w:rPr>
              <w:t>必须</w:t>
            </w:r>
            <w:r>
              <w:rPr>
                <w:rFonts w:hint="eastAsia" w:ascii="宋体" w:hAnsi="宋体" w:eastAsia="宋体" w:cs="宋体"/>
                <w:b/>
                <w:color w:val="auto"/>
                <w:sz w:val="21"/>
                <w:szCs w:val="21"/>
                <w:highlight w:val="none"/>
              </w:rPr>
              <w:t>足额缴纳，金融、担保机构出具的保函额度</w:t>
            </w:r>
            <w:r>
              <w:rPr>
                <w:rFonts w:hint="eastAsia" w:ascii="宋体" w:hAnsi="宋体" w:eastAsia="宋体" w:cs="宋体"/>
                <w:b/>
                <w:color w:val="auto"/>
                <w:sz w:val="21"/>
                <w:szCs w:val="21"/>
                <w:highlight w:val="none"/>
                <w:lang w:val="en-US" w:eastAsia="zh-CN"/>
              </w:rPr>
              <w:t>必须足额。</w:t>
            </w:r>
            <w:r>
              <w:rPr>
                <w:rFonts w:hint="eastAsia" w:ascii="宋体" w:hAnsi="宋体" w:eastAsia="宋体" w:cs="宋体"/>
                <w:b/>
                <w:color w:val="auto"/>
                <w:sz w:val="21"/>
                <w:szCs w:val="21"/>
                <w:highlight w:val="none"/>
              </w:rPr>
              <w:t>保函有效期</w:t>
            </w:r>
            <w:r>
              <w:rPr>
                <w:rFonts w:hint="eastAsia" w:ascii="宋体" w:hAnsi="宋体" w:eastAsia="宋体" w:cs="宋体"/>
                <w:b/>
                <w:color w:val="auto"/>
                <w:sz w:val="21"/>
                <w:szCs w:val="21"/>
                <w:highlight w:val="none"/>
                <w:lang w:val="en-US" w:eastAsia="zh-CN"/>
              </w:rPr>
              <w:t>必须符合招标文件相关规定</w:t>
            </w:r>
            <w:r>
              <w:rPr>
                <w:rFonts w:hint="eastAsia" w:ascii="宋体" w:hAnsi="宋体" w:eastAsia="宋体" w:cs="宋体"/>
                <w:b/>
                <w:color w:val="auto"/>
                <w:sz w:val="21"/>
                <w:szCs w:val="21"/>
                <w:highlight w:val="none"/>
              </w:rPr>
              <w:t>。</w:t>
            </w:r>
          </w:p>
          <w:p w14:paraId="07DA8324">
            <w:pPr>
              <w:keepNext w:val="0"/>
              <w:keepLines w:val="0"/>
              <w:pageBreakBefore w:val="0"/>
              <w:widowControl w:val="0"/>
              <w:kinsoku/>
              <w:wordWrap/>
              <w:overflowPunct/>
              <w:topLinePunct w:val="0"/>
              <w:bidi w:val="0"/>
              <w:adjustRightInd/>
              <w:snapToGrid w:val="0"/>
              <w:spacing w:line="400" w:lineRule="exact"/>
              <w:ind w:firstLine="0" w:firstLineChars="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采用金融、担保机构出具的保函的，必须为无条件保函。</w:t>
            </w:r>
          </w:p>
          <w:p w14:paraId="71B317E6">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供应商为联合体的，由联合体任意一方按规定提交的履约保证金，视为有效履约保证金。</w:t>
            </w:r>
          </w:p>
        </w:tc>
      </w:tr>
      <w:tr w14:paraId="223307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1246D28A">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bookmarkStart w:id="155" w:name="_40.1"/>
            <w:bookmarkEnd w:id="155"/>
            <w:r>
              <w:rPr>
                <w:rFonts w:hint="eastAsia" w:ascii="宋体" w:hAnsi="宋体" w:eastAsia="宋体" w:cs="宋体"/>
                <w:color w:val="auto"/>
                <w:sz w:val="21"/>
                <w:szCs w:val="21"/>
                <w:highlight w:val="none"/>
              </w:rPr>
              <w:t>36.1</w:t>
            </w:r>
          </w:p>
        </w:tc>
        <w:tc>
          <w:tcPr>
            <w:tcW w:w="8250" w:type="dxa"/>
            <w:tcBorders>
              <w:top w:val="single" w:color="auto" w:sz="4" w:space="0"/>
              <w:left w:val="single" w:color="auto" w:sz="4" w:space="0"/>
              <w:bottom w:val="single" w:color="auto" w:sz="4" w:space="0"/>
              <w:right w:val="single" w:color="auto" w:sz="4" w:space="0"/>
            </w:tcBorders>
            <w:vAlign w:val="center"/>
          </w:tcPr>
          <w:p w14:paraId="49DECF89">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签订合同携带的证明材料：</w:t>
            </w:r>
          </w:p>
          <w:p w14:paraId="65E8EF39">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委托代理人负责签订合同的，须携带授权委托书及委托代理人身份证原件等其他资格证件。</w:t>
            </w:r>
          </w:p>
          <w:p w14:paraId="71382F37">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法定代表人负责签订合同的，须携带法定代表人身份证明原件及身份证原件等其他证明材料。</w:t>
            </w:r>
          </w:p>
        </w:tc>
      </w:tr>
      <w:tr w14:paraId="73155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5F5E39E9">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w:t>
            </w:r>
          </w:p>
        </w:tc>
        <w:tc>
          <w:tcPr>
            <w:tcW w:w="8250" w:type="dxa"/>
            <w:tcBorders>
              <w:top w:val="single" w:color="auto" w:sz="4" w:space="0"/>
              <w:left w:val="single" w:color="auto" w:sz="4" w:space="0"/>
              <w:bottom w:val="single" w:color="auto" w:sz="4" w:space="0"/>
              <w:right w:val="single" w:color="auto" w:sz="4" w:space="0"/>
            </w:tcBorders>
            <w:vAlign w:val="center"/>
          </w:tcPr>
          <w:p w14:paraId="2E982395">
            <w:pPr>
              <w:keepNext w:val="0"/>
              <w:keepLines w:val="0"/>
              <w:pageBreakBefore w:val="0"/>
              <w:widowControl w:val="0"/>
              <w:kinsoku/>
              <w:wordWrap/>
              <w:overflowPunct/>
              <w:topLinePunct w:val="0"/>
              <w:bidi w:val="0"/>
              <w:adjustRightInd/>
              <w:snapToGrid w:val="0"/>
              <w:spacing w:line="400" w:lineRule="exac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接收质疑函方式：以纸质书面形式</w:t>
            </w:r>
            <w:r>
              <w:rPr>
                <w:rFonts w:hint="eastAsia" w:ascii="宋体" w:hAnsi="宋体" w:eastAsia="宋体" w:cs="宋体"/>
                <w:color w:val="auto"/>
                <w:sz w:val="21"/>
                <w:szCs w:val="21"/>
                <w:highlight w:val="none"/>
                <w:lang w:eastAsia="zh-CN"/>
              </w:rPr>
              <w:t>。</w:t>
            </w:r>
          </w:p>
          <w:p w14:paraId="7402AE8A">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w:t>
            </w:r>
            <w:r>
              <w:rPr>
                <w:rFonts w:hint="eastAsia" w:ascii="宋体" w:hAnsi="宋体" w:eastAsia="宋体" w:cs="宋体"/>
                <w:color w:val="auto"/>
                <w:sz w:val="21"/>
                <w:szCs w:val="21"/>
                <w:highlight w:val="none"/>
                <w:lang w:eastAsia="zh-CN"/>
              </w:rPr>
              <w:t>广西润德工程技术咨询有限公司</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0771-5703815</w:t>
            </w:r>
            <w:r>
              <w:rPr>
                <w:rFonts w:hint="eastAsia" w:ascii="宋体" w:hAnsi="宋体" w:eastAsia="宋体" w:cs="宋体"/>
                <w:color w:val="auto"/>
                <w:sz w:val="21"/>
                <w:szCs w:val="21"/>
                <w:highlight w:val="none"/>
              </w:rPr>
              <w:t>，通讯地址：南宁市青秀区东葛路165号绿地中央广场C2栋11</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室。</w:t>
            </w:r>
          </w:p>
          <w:p w14:paraId="7E3B7885">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现场提交质疑办理业务时间：每天9时00分到12时00分，15时00分到18时00分，业务时间以外、双休日和法定节假日不办理业务。</w:t>
            </w:r>
          </w:p>
        </w:tc>
      </w:tr>
      <w:tr w14:paraId="0CF985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2AAA0331">
            <w:pPr>
              <w:pageBreakBefore w:val="0"/>
              <w:widowControl w:val="0"/>
              <w:kinsoku/>
              <w:wordWrap/>
              <w:overflowPunct/>
              <w:topLinePunct w:val="0"/>
              <w:bidi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39.1</w:t>
            </w:r>
          </w:p>
        </w:tc>
        <w:tc>
          <w:tcPr>
            <w:tcW w:w="8250" w:type="dxa"/>
            <w:tcBorders>
              <w:top w:val="single" w:color="auto" w:sz="4" w:space="0"/>
              <w:left w:val="single" w:color="auto" w:sz="4" w:space="0"/>
              <w:bottom w:val="single" w:color="auto" w:sz="4" w:space="0"/>
              <w:right w:val="single" w:color="auto" w:sz="4" w:space="0"/>
            </w:tcBorders>
            <w:vAlign w:val="center"/>
          </w:tcPr>
          <w:p w14:paraId="0C0FEEF2">
            <w:pPr>
              <w:pStyle w:val="25"/>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rPr>
              <w:t>采购代理服务费支付方式：本项目的招标代理服务费按以下收费标准向中标人收取，领取中标通知书前，中标人应向采购代理机构一次付清招标代理服务费。</w:t>
            </w:r>
          </w:p>
          <w:p w14:paraId="4425EA47">
            <w:pPr>
              <w:pStyle w:val="25"/>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rPr>
              <w:t>采购代理服务费收取标准：</w:t>
            </w:r>
          </w:p>
          <w:p w14:paraId="0A3F92C9">
            <w:pPr>
              <w:pStyle w:val="25"/>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以</w:t>
            </w:r>
            <w:r>
              <w:rPr>
                <w:rFonts w:hint="eastAsia" w:ascii="宋体" w:hAnsi="宋体" w:eastAsia="宋体" w:cs="宋体"/>
                <w:b w:val="0"/>
                <w:bCs w:val="0"/>
                <w:color w:val="auto"/>
                <w:sz w:val="21"/>
                <w:szCs w:val="21"/>
                <w:highlight w:val="none"/>
                <w:lang w:val="en-US" w:eastAsia="zh-CN"/>
              </w:rPr>
              <w:t>每分包的</w:t>
            </w:r>
            <w:r>
              <w:rPr>
                <w:rFonts w:hint="eastAsia" w:ascii="宋体" w:hAnsi="宋体" w:eastAsia="宋体" w:cs="宋体"/>
                <w:b w:val="0"/>
                <w:bCs w:val="0"/>
                <w:color w:val="auto"/>
                <w:sz w:val="21"/>
                <w:szCs w:val="21"/>
                <w:highlight w:val="none"/>
              </w:rPr>
              <w:t>中标金额为计费金额，</w:t>
            </w:r>
            <w:r>
              <w:rPr>
                <w:rFonts w:hint="eastAsia" w:ascii="宋体" w:hAnsi="宋体" w:eastAsia="宋体" w:cs="宋体"/>
                <w:b w:val="0"/>
                <w:bCs w:val="0"/>
                <w:color w:val="auto"/>
                <w:sz w:val="21"/>
                <w:szCs w:val="21"/>
                <w:highlight w:val="none"/>
                <w:lang w:val="en-US" w:eastAsia="zh-CN"/>
              </w:rPr>
              <w:t>分包1～分包</w:t>
            </w:r>
            <w:r>
              <w:rPr>
                <w:rFonts w:hint="eastAsia"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按本须知正文第39.2条规定的收费计算标准（货物招标）采用差额定率累进法计算出收费基准价格，采购代理服务费以收费基准价格收取。</w:t>
            </w:r>
          </w:p>
          <w:p w14:paraId="28C48F46">
            <w:pPr>
              <w:pStyle w:val="25"/>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rPr>
              <w:t>采购代理费收取银行账户：</w:t>
            </w:r>
          </w:p>
          <w:p w14:paraId="7EEAD185">
            <w:pPr>
              <w:pStyle w:val="25"/>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账户名称：广西润德工程技术咨询有限公司</w:t>
            </w:r>
          </w:p>
          <w:p w14:paraId="67AC684F">
            <w:pPr>
              <w:pStyle w:val="25"/>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开户银行：中国银行广西分行</w:t>
            </w:r>
          </w:p>
          <w:p w14:paraId="66517509">
            <w:pPr>
              <w:pStyle w:val="25"/>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开户行行号：104611010009</w:t>
            </w:r>
          </w:p>
          <w:p w14:paraId="25C433F8">
            <w:pPr>
              <w:pStyle w:val="25"/>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银行账号：622359512899</w:t>
            </w:r>
          </w:p>
        </w:tc>
      </w:tr>
      <w:tr w14:paraId="3BE2E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5" w:type="dxa"/>
            <w:tcBorders>
              <w:top w:val="single" w:color="auto" w:sz="4" w:space="0"/>
              <w:left w:val="single" w:color="auto" w:sz="4" w:space="0"/>
              <w:bottom w:val="single" w:color="auto" w:sz="4" w:space="0"/>
              <w:right w:val="single" w:color="auto" w:sz="4" w:space="0"/>
            </w:tcBorders>
            <w:vAlign w:val="center"/>
          </w:tcPr>
          <w:p w14:paraId="7A96291F">
            <w:pPr>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color w:val="auto"/>
                <w:sz w:val="21"/>
                <w:szCs w:val="21"/>
                <w:highlight w:val="none"/>
              </w:rPr>
            </w:pPr>
            <w:bookmarkStart w:id="156" w:name="_42"/>
            <w:bookmarkEnd w:id="156"/>
            <w:bookmarkStart w:id="157" w:name="_41"/>
            <w:bookmarkEnd w:id="157"/>
            <w:r>
              <w:rPr>
                <w:rFonts w:hint="eastAsia" w:ascii="宋体" w:hAnsi="宋体" w:eastAsia="宋体" w:cs="宋体"/>
                <w:color w:val="auto"/>
                <w:sz w:val="21"/>
                <w:szCs w:val="21"/>
                <w:highlight w:val="none"/>
              </w:rPr>
              <w:t>40.1</w:t>
            </w:r>
          </w:p>
        </w:tc>
        <w:tc>
          <w:tcPr>
            <w:tcW w:w="8250" w:type="dxa"/>
            <w:tcBorders>
              <w:top w:val="single" w:color="auto" w:sz="4" w:space="0"/>
              <w:left w:val="single" w:color="auto" w:sz="4" w:space="0"/>
              <w:bottom w:val="single" w:color="auto" w:sz="4" w:space="0"/>
              <w:right w:val="single" w:color="auto" w:sz="4" w:space="0"/>
            </w:tcBorders>
            <w:vAlign w:val="center"/>
          </w:tcPr>
          <w:p w14:paraId="523DFDA4">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5F67C1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00"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14:paraId="6999E68F">
            <w:pPr>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40.2</w:t>
            </w:r>
          </w:p>
        </w:tc>
        <w:tc>
          <w:tcPr>
            <w:tcW w:w="8250" w:type="dxa"/>
            <w:tcBorders>
              <w:top w:val="single" w:color="auto" w:sz="4" w:space="0"/>
              <w:left w:val="single" w:color="auto" w:sz="4" w:space="0"/>
              <w:bottom w:val="single" w:color="auto" w:sz="4" w:space="0"/>
              <w:right w:val="single" w:color="auto" w:sz="4" w:space="0"/>
            </w:tcBorders>
            <w:vAlign w:val="center"/>
          </w:tcPr>
          <w:p w14:paraId="1E584A3C">
            <w:pPr>
              <w:pStyle w:val="25"/>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SA"/>
              </w:rPr>
              <w:t>1</w:t>
            </w:r>
            <w:r>
              <w:rPr>
                <w:rFonts w:hint="eastAsia" w:hAnsi="宋体" w:cs="宋体"/>
                <w:bCs/>
                <w:color w:val="auto"/>
                <w:kern w:val="0"/>
                <w:sz w:val="21"/>
                <w:szCs w:val="21"/>
                <w:highlight w:val="none"/>
                <w:lang w:val="en-US" w:eastAsia="zh-CN" w:bidi="ar-SA"/>
              </w:rPr>
              <w:t>.</w:t>
            </w:r>
            <w:r>
              <w:rPr>
                <w:rFonts w:hint="eastAsia" w:ascii="宋体" w:hAnsi="宋体" w:eastAsia="宋体" w:cs="宋体"/>
                <w:bCs/>
                <w:color w:val="auto"/>
                <w:sz w:val="21"/>
                <w:szCs w:val="21"/>
                <w:highlight w:val="none"/>
              </w:rPr>
              <w:t>本招标文件中描述投标人的“公章”是指根据我国对公章的管理规定，用投标人法定主体行为名称制作的印章</w:t>
            </w:r>
            <w:r>
              <w:rPr>
                <w:rFonts w:hint="eastAsia" w:ascii="宋体" w:hAnsi="宋体" w:eastAsia="宋体" w:cs="宋体"/>
                <w:color w:val="auto"/>
                <w:sz w:val="21"/>
                <w:szCs w:val="21"/>
                <w:highlight w:val="none"/>
              </w:rPr>
              <w:t>（含电子印章）</w:t>
            </w:r>
            <w:r>
              <w:rPr>
                <w:rFonts w:hint="eastAsia" w:ascii="宋体" w:hAnsi="宋体" w:eastAsia="宋体" w:cs="宋体"/>
                <w:bCs/>
                <w:color w:val="auto"/>
                <w:sz w:val="21"/>
                <w:szCs w:val="21"/>
                <w:highlight w:val="none"/>
              </w:rPr>
              <w:t>，除本招标文件有特殊规定外，投标人的财务章、部门章、分公司章、工会章、合同章、投标专用章、业务专用章及银行的转账章、现金收讫章、现金付讫章等其他形式印章均不能代替公章。</w:t>
            </w:r>
          </w:p>
          <w:p w14:paraId="0CA7EE13">
            <w:pPr>
              <w:pStyle w:val="25"/>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本招标文件所称的“</w:t>
            </w:r>
            <w:r>
              <w:rPr>
                <w:rFonts w:hint="eastAsia" w:ascii="宋体" w:hAnsi="宋体" w:eastAsia="宋体" w:cs="宋体"/>
                <w:color w:val="auto"/>
                <w:sz w:val="21"/>
                <w:szCs w:val="21"/>
                <w:highlight w:val="none"/>
                <w:lang w:val="en-US" w:eastAsia="zh-CN"/>
              </w:rPr>
              <w:t>电子签章</w:t>
            </w:r>
            <w:r>
              <w:rPr>
                <w:rFonts w:hint="eastAsia" w:ascii="宋体" w:hAnsi="宋体" w:eastAsia="宋体" w:cs="宋体"/>
                <w:bCs/>
                <w:color w:val="auto"/>
                <w:sz w:val="21"/>
                <w:szCs w:val="21"/>
                <w:highlight w:val="none"/>
                <w:lang w:val="en-US" w:eastAsia="zh-CN"/>
              </w:rPr>
              <w:t>”、“电子签名”</w:t>
            </w:r>
            <w:r>
              <w:rPr>
                <w:rFonts w:hint="eastAsia" w:ascii="宋体" w:hAnsi="宋体" w:eastAsia="宋体" w:cs="宋体"/>
                <w:color w:val="auto"/>
                <w:sz w:val="21"/>
                <w:szCs w:val="21"/>
                <w:highlight w:val="none"/>
                <w:lang w:val="en-US" w:eastAsia="zh-CN"/>
              </w:rPr>
              <w:t>，是指经广西政府采购云平台认可的CA认证的电子签名数据为表现形式的印章，可用于签署电子投标文件，电子印章与实物印章具有同等法律效力，不因其采用电子化表现形式而否定其法律效力。</w:t>
            </w:r>
          </w:p>
          <w:p w14:paraId="7CF8A3B6">
            <w:pPr>
              <w:pStyle w:val="25"/>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4E85E8DA">
            <w:pPr>
              <w:pStyle w:val="25"/>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w:t>
            </w:r>
            <w:r>
              <w:rPr>
                <w:rFonts w:hint="eastAsia"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本招标文件中描述投标人的“签字”是指投标人的法定代表人或者委托代理人</w:t>
            </w:r>
            <w:r>
              <w:rPr>
                <w:rFonts w:hint="eastAsia" w:ascii="宋体" w:hAnsi="宋体" w:eastAsia="宋体" w:cs="宋体"/>
                <w:color w:val="auto"/>
                <w:sz w:val="21"/>
                <w:szCs w:val="21"/>
                <w:highlight w:val="none"/>
              </w:rPr>
              <w:t>在文件规定签署处签名（含电子签名）的行为，</w:t>
            </w:r>
            <w:r>
              <w:rPr>
                <w:rFonts w:hint="eastAsia" w:ascii="宋体" w:hAnsi="宋体" w:eastAsia="宋体" w:cs="宋体"/>
                <w:bCs/>
                <w:color w:val="auto"/>
                <w:sz w:val="21"/>
                <w:szCs w:val="21"/>
                <w:highlight w:val="none"/>
                <w:lang w:val="en-US" w:eastAsia="zh-CN"/>
              </w:rPr>
              <w:t>私章、签字章、印鉴、影印等其他形式均不能代替亲笔签字</w:t>
            </w:r>
            <w:r>
              <w:rPr>
                <w:rFonts w:hint="eastAsia" w:ascii="宋体" w:hAnsi="宋体" w:eastAsia="宋体" w:cs="宋体"/>
                <w:bCs/>
                <w:color w:val="auto"/>
                <w:sz w:val="21"/>
                <w:szCs w:val="21"/>
                <w:highlight w:val="none"/>
              </w:rPr>
              <w:t>。</w:t>
            </w:r>
          </w:p>
          <w:p w14:paraId="34431809">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本招标文件所称的“以上”“以下”“以内”“届满”，包括本数；所称的“不满”“超过”“以外”，不包括本数。</w:t>
            </w:r>
          </w:p>
          <w:p w14:paraId="5DB5B620">
            <w:pPr>
              <w:pStyle w:val="25"/>
              <w:keepNext w:val="0"/>
              <w:keepLines w:val="0"/>
              <w:pageBreakBefore w:val="0"/>
              <w:widowControl w:val="0"/>
              <w:kinsoku/>
              <w:wordWrap/>
              <w:overflowPunct/>
              <w:topLinePunct w:val="0"/>
              <w:autoSpaceDE/>
              <w:autoSpaceDN/>
              <w:bidi w:val="0"/>
              <w:adjustRightInd/>
              <w:snapToGrid w:val="0"/>
              <w:spacing w:line="400" w:lineRule="exact"/>
              <w:ind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w:t>
            </w:r>
            <w:r>
              <w:rPr>
                <w:rFonts w:hint="eastAsia"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因</w:t>
            </w:r>
            <w:r>
              <w:rPr>
                <w:rFonts w:hint="eastAsia" w:ascii="宋体" w:hAnsi="宋体" w:eastAsia="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lang w:val="en-US" w:eastAsia="zh-CN"/>
              </w:rPr>
              <w:t>不可编辑性，招标公告中出现的“标项”对应分标顺序按以下进行理解：</w:t>
            </w:r>
          </w:p>
          <w:tbl>
            <w:tblPr>
              <w:tblStyle w:val="49"/>
              <w:tblW w:w="7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961"/>
              <w:gridCol w:w="2324"/>
              <w:gridCol w:w="2324"/>
            </w:tblGrid>
            <w:tr w14:paraId="2BE8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noWrap w:val="0"/>
                  <w:vAlign w:val="top"/>
                </w:tcPr>
                <w:p w14:paraId="22EE2238">
                  <w:pPr>
                    <w:pStyle w:val="25"/>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1961" w:type="dxa"/>
                  <w:noWrap w:val="0"/>
                  <w:vAlign w:val="top"/>
                </w:tcPr>
                <w:p w14:paraId="7A3ED911">
                  <w:pPr>
                    <w:pStyle w:val="25"/>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标项一</w:t>
                  </w:r>
                </w:p>
              </w:tc>
              <w:tc>
                <w:tcPr>
                  <w:tcW w:w="2324" w:type="dxa"/>
                  <w:noWrap w:val="0"/>
                  <w:vAlign w:val="top"/>
                </w:tcPr>
                <w:p w14:paraId="16B92CA3">
                  <w:pPr>
                    <w:pStyle w:val="25"/>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分</w:t>
                  </w:r>
                  <w:r>
                    <w:rPr>
                      <w:rFonts w:hint="eastAsia" w:ascii="宋体" w:hAnsi="宋体" w:eastAsia="宋体" w:cs="宋体"/>
                      <w:bCs/>
                      <w:color w:val="auto"/>
                      <w:sz w:val="21"/>
                      <w:szCs w:val="21"/>
                      <w:highlight w:val="none"/>
                    </w:rPr>
                    <w:t>标</w:t>
                  </w:r>
                  <w:r>
                    <w:rPr>
                      <w:rFonts w:hint="eastAsia" w:ascii="宋体" w:hAnsi="宋体" w:eastAsia="宋体" w:cs="宋体"/>
                      <w:bCs/>
                      <w:color w:val="auto"/>
                      <w:sz w:val="21"/>
                      <w:szCs w:val="21"/>
                      <w:highlight w:val="none"/>
                      <w:lang w:val="en-US" w:eastAsia="zh-CN"/>
                    </w:rPr>
                    <w:t>1</w:t>
                  </w:r>
                </w:p>
              </w:tc>
              <w:tc>
                <w:tcPr>
                  <w:tcW w:w="2324" w:type="dxa"/>
                  <w:noWrap w:val="0"/>
                  <w:vAlign w:val="top"/>
                </w:tcPr>
                <w:p w14:paraId="6078B8E1">
                  <w:pPr>
                    <w:pStyle w:val="25"/>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分包1</w:t>
                  </w:r>
                </w:p>
              </w:tc>
            </w:tr>
            <w:tr w14:paraId="5FF7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noWrap w:val="0"/>
                  <w:vAlign w:val="top"/>
                </w:tcPr>
                <w:p w14:paraId="65BB5683">
                  <w:pPr>
                    <w:pStyle w:val="25"/>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p>
              </w:tc>
              <w:tc>
                <w:tcPr>
                  <w:tcW w:w="1961" w:type="dxa"/>
                  <w:noWrap w:val="0"/>
                  <w:vAlign w:val="top"/>
                </w:tcPr>
                <w:p w14:paraId="35632677">
                  <w:pPr>
                    <w:pStyle w:val="25"/>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标项二</w:t>
                  </w:r>
                </w:p>
              </w:tc>
              <w:tc>
                <w:tcPr>
                  <w:tcW w:w="2324" w:type="dxa"/>
                  <w:noWrap w:val="0"/>
                  <w:vAlign w:val="top"/>
                </w:tcPr>
                <w:p w14:paraId="27AB27D7">
                  <w:pPr>
                    <w:pStyle w:val="25"/>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分</w:t>
                  </w:r>
                  <w:r>
                    <w:rPr>
                      <w:rFonts w:hint="eastAsia" w:ascii="宋体" w:hAnsi="宋体" w:eastAsia="宋体" w:cs="宋体"/>
                      <w:bCs/>
                      <w:color w:val="auto"/>
                      <w:sz w:val="21"/>
                      <w:szCs w:val="21"/>
                      <w:highlight w:val="none"/>
                    </w:rPr>
                    <w:t>标</w:t>
                  </w:r>
                  <w:r>
                    <w:rPr>
                      <w:rFonts w:hint="eastAsia" w:ascii="宋体" w:hAnsi="宋体" w:eastAsia="宋体" w:cs="宋体"/>
                      <w:bCs/>
                      <w:color w:val="auto"/>
                      <w:sz w:val="21"/>
                      <w:szCs w:val="21"/>
                      <w:highlight w:val="none"/>
                      <w:lang w:val="en-US" w:eastAsia="zh-CN"/>
                    </w:rPr>
                    <w:t>2</w:t>
                  </w:r>
                </w:p>
              </w:tc>
              <w:tc>
                <w:tcPr>
                  <w:tcW w:w="2324" w:type="dxa"/>
                  <w:noWrap w:val="0"/>
                  <w:vAlign w:val="top"/>
                </w:tcPr>
                <w:p w14:paraId="1C194FB4">
                  <w:pPr>
                    <w:pStyle w:val="25"/>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分包2</w:t>
                  </w:r>
                </w:p>
              </w:tc>
            </w:tr>
            <w:tr w14:paraId="25DD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noWrap w:val="0"/>
                  <w:vAlign w:val="top"/>
                </w:tcPr>
                <w:p w14:paraId="6924E5AC">
                  <w:pPr>
                    <w:pStyle w:val="25"/>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p>
              </w:tc>
              <w:tc>
                <w:tcPr>
                  <w:tcW w:w="1961" w:type="dxa"/>
                  <w:noWrap w:val="0"/>
                  <w:vAlign w:val="top"/>
                </w:tcPr>
                <w:p w14:paraId="03F3D366">
                  <w:pPr>
                    <w:pStyle w:val="25"/>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标项三</w:t>
                  </w:r>
                </w:p>
              </w:tc>
              <w:tc>
                <w:tcPr>
                  <w:tcW w:w="2324" w:type="dxa"/>
                  <w:noWrap w:val="0"/>
                  <w:vAlign w:val="top"/>
                </w:tcPr>
                <w:p w14:paraId="53D591D6">
                  <w:pPr>
                    <w:pStyle w:val="25"/>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分</w:t>
                  </w:r>
                  <w:r>
                    <w:rPr>
                      <w:rFonts w:hint="eastAsia" w:ascii="宋体" w:hAnsi="宋体" w:eastAsia="宋体" w:cs="宋体"/>
                      <w:bCs/>
                      <w:color w:val="auto"/>
                      <w:sz w:val="21"/>
                      <w:szCs w:val="21"/>
                      <w:highlight w:val="none"/>
                    </w:rPr>
                    <w:t>标</w:t>
                  </w:r>
                  <w:r>
                    <w:rPr>
                      <w:rFonts w:hint="eastAsia" w:ascii="宋体" w:hAnsi="宋体" w:eastAsia="宋体" w:cs="宋体"/>
                      <w:bCs/>
                      <w:color w:val="auto"/>
                      <w:sz w:val="21"/>
                      <w:szCs w:val="21"/>
                      <w:highlight w:val="none"/>
                      <w:lang w:val="en-US" w:eastAsia="zh-CN"/>
                    </w:rPr>
                    <w:t>3</w:t>
                  </w:r>
                </w:p>
              </w:tc>
              <w:tc>
                <w:tcPr>
                  <w:tcW w:w="2324" w:type="dxa"/>
                  <w:noWrap w:val="0"/>
                  <w:vAlign w:val="top"/>
                </w:tcPr>
                <w:p w14:paraId="322C09E3">
                  <w:pPr>
                    <w:pStyle w:val="25"/>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分包3</w:t>
                  </w:r>
                </w:p>
              </w:tc>
            </w:tr>
            <w:tr w14:paraId="4493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noWrap w:val="0"/>
                  <w:vAlign w:val="top"/>
                </w:tcPr>
                <w:p w14:paraId="6EB2F1A8">
                  <w:pPr>
                    <w:pStyle w:val="25"/>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p>
              </w:tc>
              <w:tc>
                <w:tcPr>
                  <w:tcW w:w="1961" w:type="dxa"/>
                  <w:noWrap w:val="0"/>
                  <w:vAlign w:val="top"/>
                </w:tcPr>
                <w:p w14:paraId="2BE44DA9">
                  <w:pPr>
                    <w:pStyle w:val="25"/>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标项四</w:t>
                  </w:r>
                </w:p>
              </w:tc>
              <w:tc>
                <w:tcPr>
                  <w:tcW w:w="2324" w:type="dxa"/>
                  <w:noWrap w:val="0"/>
                  <w:vAlign w:val="top"/>
                </w:tcPr>
                <w:p w14:paraId="7FBDC92B">
                  <w:pPr>
                    <w:pStyle w:val="25"/>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分</w:t>
                  </w:r>
                  <w:r>
                    <w:rPr>
                      <w:rFonts w:hint="eastAsia" w:ascii="宋体" w:hAnsi="宋体" w:eastAsia="宋体" w:cs="宋体"/>
                      <w:bCs/>
                      <w:color w:val="auto"/>
                      <w:sz w:val="21"/>
                      <w:szCs w:val="21"/>
                      <w:highlight w:val="none"/>
                    </w:rPr>
                    <w:t>标</w:t>
                  </w:r>
                  <w:r>
                    <w:rPr>
                      <w:rFonts w:hint="eastAsia" w:ascii="宋体" w:hAnsi="宋体" w:eastAsia="宋体" w:cs="宋体"/>
                      <w:bCs/>
                      <w:color w:val="auto"/>
                      <w:sz w:val="21"/>
                      <w:szCs w:val="21"/>
                      <w:highlight w:val="none"/>
                      <w:lang w:val="en-US" w:eastAsia="zh-CN"/>
                    </w:rPr>
                    <w:t>4</w:t>
                  </w:r>
                </w:p>
              </w:tc>
              <w:tc>
                <w:tcPr>
                  <w:tcW w:w="2324" w:type="dxa"/>
                  <w:noWrap w:val="0"/>
                  <w:vAlign w:val="top"/>
                </w:tcPr>
                <w:p w14:paraId="7ACFF55A">
                  <w:pPr>
                    <w:pStyle w:val="25"/>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分包4</w:t>
                  </w:r>
                </w:p>
              </w:tc>
            </w:tr>
            <w:tr w14:paraId="3DB74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noWrap w:val="0"/>
                  <w:vAlign w:val="top"/>
                </w:tcPr>
                <w:p w14:paraId="7FD3A7A9">
                  <w:pPr>
                    <w:pStyle w:val="25"/>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p>
              </w:tc>
              <w:tc>
                <w:tcPr>
                  <w:tcW w:w="1961" w:type="dxa"/>
                  <w:noWrap w:val="0"/>
                  <w:vAlign w:val="top"/>
                </w:tcPr>
                <w:p w14:paraId="6F50CC40">
                  <w:pPr>
                    <w:pStyle w:val="25"/>
                    <w:pageBreakBefore w:val="0"/>
                    <w:widowControl w:val="0"/>
                    <w:kinsoku/>
                    <w:wordWrap/>
                    <w:overflowPunct/>
                    <w:topLinePunct w:val="0"/>
                    <w:bidi w:val="0"/>
                    <w:snapToGrid w:val="0"/>
                    <w:spacing w:line="400" w:lineRule="exact"/>
                    <w:ind w:firstLine="0" w:firstLineChars="0"/>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标项五</w:t>
                  </w:r>
                </w:p>
              </w:tc>
              <w:tc>
                <w:tcPr>
                  <w:tcW w:w="2324" w:type="dxa"/>
                  <w:noWrap w:val="0"/>
                  <w:vAlign w:val="top"/>
                </w:tcPr>
                <w:p w14:paraId="0DA80102">
                  <w:pPr>
                    <w:pStyle w:val="25"/>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分</w:t>
                  </w:r>
                  <w:r>
                    <w:rPr>
                      <w:rFonts w:hint="eastAsia" w:ascii="宋体" w:hAnsi="宋体" w:eastAsia="宋体" w:cs="宋体"/>
                      <w:bCs/>
                      <w:color w:val="auto"/>
                      <w:sz w:val="21"/>
                      <w:szCs w:val="21"/>
                      <w:highlight w:val="none"/>
                    </w:rPr>
                    <w:t>标</w:t>
                  </w:r>
                  <w:r>
                    <w:rPr>
                      <w:rFonts w:hint="eastAsia" w:ascii="宋体" w:hAnsi="宋体" w:eastAsia="宋体" w:cs="宋体"/>
                      <w:bCs/>
                      <w:color w:val="auto"/>
                      <w:sz w:val="21"/>
                      <w:szCs w:val="21"/>
                      <w:highlight w:val="none"/>
                      <w:lang w:val="en-US" w:eastAsia="zh-CN"/>
                    </w:rPr>
                    <w:t>5</w:t>
                  </w:r>
                </w:p>
              </w:tc>
              <w:tc>
                <w:tcPr>
                  <w:tcW w:w="2324" w:type="dxa"/>
                  <w:noWrap w:val="0"/>
                  <w:vAlign w:val="top"/>
                </w:tcPr>
                <w:p w14:paraId="0624DCFB">
                  <w:pPr>
                    <w:pStyle w:val="25"/>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分包5</w:t>
                  </w:r>
                </w:p>
              </w:tc>
            </w:tr>
            <w:tr w14:paraId="5383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noWrap w:val="0"/>
                  <w:vAlign w:val="top"/>
                </w:tcPr>
                <w:p w14:paraId="416AED91">
                  <w:pPr>
                    <w:pStyle w:val="25"/>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p>
              </w:tc>
              <w:tc>
                <w:tcPr>
                  <w:tcW w:w="1961" w:type="dxa"/>
                  <w:noWrap w:val="0"/>
                  <w:vAlign w:val="top"/>
                </w:tcPr>
                <w:p w14:paraId="420409D9">
                  <w:pPr>
                    <w:pStyle w:val="25"/>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标项六</w:t>
                  </w:r>
                </w:p>
              </w:tc>
              <w:tc>
                <w:tcPr>
                  <w:tcW w:w="2324" w:type="dxa"/>
                  <w:noWrap w:val="0"/>
                  <w:vAlign w:val="top"/>
                </w:tcPr>
                <w:p w14:paraId="2CD286FA">
                  <w:pPr>
                    <w:pStyle w:val="25"/>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分</w:t>
                  </w:r>
                  <w:r>
                    <w:rPr>
                      <w:rFonts w:hint="eastAsia" w:ascii="宋体" w:hAnsi="宋体" w:eastAsia="宋体" w:cs="宋体"/>
                      <w:bCs/>
                      <w:color w:val="auto"/>
                      <w:sz w:val="21"/>
                      <w:szCs w:val="21"/>
                      <w:highlight w:val="none"/>
                    </w:rPr>
                    <w:t>标</w:t>
                  </w:r>
                  <w:r>
                    <w:rPr>
                      <w:rFonts w:hint="eastAsia" w:ascii="宋体" w:hAnsi="宋体" w:eastAsia="宋体" w:cs="宋体"/>
                      <w:bCs/>
                      <w:color w:val="auto"/>
                      <w:sz w:val="21"/>
                      <w:szCs w:val="21"/>
                      <w:highlight w:val="none"/>
                      <w:lang w:val="en-US" w:eastAsia="zh-CN"/>
                    </w:rPr>
                    <w:t>6</w:t>
                  </w:r>
                </w:p>
              </w:tc>
              <w:tc>
                <w:tcPr>
                  <w:tcW w:w="2324" w:type="dxa"/>
                  <w:noWrap w:val="0"/>
                  <w:vAlign w:val="top"/>
                </w:tcPr>
                <w:p w14:paraId="564773C3">
                  <w:pPr>
                    <w:pStyle w:val="25"/>
                    <w:pageBreakBefore w:val="0"/>
                    <w:widowControl w:val="0"/>
                    <w:kinsoku/>
                    <w:wordWrap/>
                    <w:overflowPunct/>
                    <w:topLinePunct w:val="0"/>
                    <w:bidi w:val="0"/>
                    <w:snapToGrid w:val="0"/>
                    <w:spacing w:line="400" w:lineRule="exact"/>
                    <w:ind w:firstLine="0" w:firstLine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分包6</w:t>
                  </w:r>
                </w:p>
              </w:tc>
            </w:tr>
          </w:tbl>
          <w:p w14:paraId="08F601CD">
            <w:pPr>
              <w:pStyle w:val="4"/>
              <w:pageBreakBefore w:val="0"/>
              <w:widowControl w:val="0"/>
              <w:kinsoku/>
              <w:wordWrap/>
              <w:overflowPunct/>
              <w:topLinePunct w:val="0"/>
              <w:bidi w:val="0"/>
              <w:spacing w:before="0" w:after="0" w:line="400" w:lineRule="exact"/>
              <w:ind w:firstLine="0" w:firstLineChars="0"/>
              <w:outlineLvl w:val="9"/>
              <w:rPr>
                <w:rFonts w:hint="default" w:ascii="宋体" w:hAnsi="宋体" w:eastAsia="宋体" w:cs="宋体"/>
                <w:color w:val="auto"/>
                <w:sz w:val="21"/>
                <w:szCs w:val="21"/>
                <w:highlight w:val="none"/>
                <w:lang w:val="en-US" w:eastAsia="zh-CN"/>
              </w:rPr>
            </w:pPr>
          </w:p>
        </w:tc>
      </w:tr>
    </w:tbl>
    <w:p w14:paraId="72F9B6F8">
      <w:pPr>
        <w:snapToGrid w:val="0"/>
        <w:rPr>
          <w:rFonts w:hint="eastAsia" w:ascii="宋体" w:hAnsi="宋体" w:eastAsia="宋体" w:cs="宋体"/>
          <w:color w:val="auto"/>
          <w:sz w:val="24"/>
          <w:szCs w:val="20"/>
          <w:highlight w:val="none"/>
        </w:rPr>
      </w:pPr>
    </w:p>
    <w:p w14:paraId="170D2E8E">
      <w:pPr>
        <w:pageBreakBefore w:val="0"/>
        <w:widowControl w:val="0"/>
        <w:kinsoku/>
        <w:wordWrap/>
        <w:overflowPunct/>
        <w:topLinePunct w:val="0"/>
        <w:autoSpaceDE/>
        <w:autoSpaceDN/>
        <w:bidi w:val="0"/>
        <w:adjustRightInd/>
        <w:spacing w:line="400" w:lineRule="exact"/>
        <w:ind w:firstLine="0" w:firstLineChars="0"/>
        <w:jc w:val="center"/>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bookmarkStart w:id="158" w:name="_Toc19238"/>
      <w:bookmarkStart w:id="159" w:name="_Toc950"/>
      <w:r>
        <w:rPr>
          <w:rFonts w:hint="eastAsia" w:ascii="宋体" w:hAnsi="宋体" w:eastAsia="宋体" w:cs="宋体"/>
          <w:b/>
          <w:bCs/>
          <w:color w:val="auto"/>
          <w:sz w:val="24"/>
          <w:szCs w:val="24"/>
          <w:highlight w:val="none"/>
        </w:rPr>
        <w:t>投标人须知正文</w:t>
      </w:r>
      <w:bookmarkEnd w:id="158"/>
      <w:bookmarkEnd w:id="159"/>
    </w:p>
    <w:p w14:paraId="055E9B2E">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160" w:name="_Toc30838"/>
      <w:bookmarkStart w:id="161" w:name="_Toc22335"/>
      <w:bookmarkStart w:id="162" w:name="_Toc18144"/>
      <w:r>
        <w:rPr>
          <w:rFonts w:hint="eastAsia" w:ascii="宋体" w:hAnsi="宋体" w:eastAsia="宋体" w:cs="宋体"/>
          <w:color w:val="auto"/>
          <w:sz w:val="21"/>
          <w:szCs w:val="21"/>
          <w:highlight w:val="none"/>
        </w:rPr>
        <w:t>一、总  则</w:t>
      </w:r>
      <w:bookmarkEnd w:id="160"/>
      <w:bookmarkEnd w:id="161"/>
      <w:bookmarkEnd w:id="162"/>
    </w:p>
    <w:p w14:paraId="23D02DD2">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jc w:val="both"/>
        <w:textAlignment w:val="auto"/>
        <w:rPr>
          <w:rFonts w:hint="eastAsia" w:ascii="宋体" w:hAnsi="宋体" w:eastAsia="宋体" w:cs="宋体"/>
          <w:color w:val="auto"/>
          <w:sz w:val="21"/>
          <w:szCs w:val="21"/>
          <w:highlight w:val="none"/>
        </w:rPr>
      </w:pPr>
      <w:bookmarkStart w:id="163" w:name="_Toc254970527"/>
      <w:bookmarkStart w:id="164" w:name="_Toc254970668"/>
      <w:r>
        <w:rPr>
          <w:rFonts w:hint="eastAsia" w:ascii="宋体" w:hAnsi="宋体" w:eastAsia="宋体" w:cs="宋体"/>
          <w:color w:val="auto"/>
          <w:sz w:val="21"/>
          <w:szCs w:val="21"/>
          <w:highlight w:val="none"/>
        </w:rPr>
        <w:t>1.适用范围</w:t>
      </w:r>
      <w:bookmarkEnd w:id="163"/>
      <w:bookmarkEnd w:id="164"/>
    </w:p>
    <w:p w14:paraId="6055E0C4">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00B4236B">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1.2本招标文件</w:t>
      </w:r>
      <w:r>
        <w:rPr>
          <w:rFonts w:hint="eastAsia" w:ascii="宋体" w:hAnsi="宋体" w:eastAsia="宋体" w:cs="宋体"/>
          <w:color w:val="auto"/>
          <w:spacing w:val="-6"/>
          <w:sz w:val="21"/>
          <w:szCs w:val="21"/>
          <w:highlight w:val="none"/>
        </w:rPr>
        <w:t>适用于本项目的所有采购程序和环节（法律、法规另有规定的，从其规定）。</w:t>
      </w:r>
    </w:p>
    <w:p w14:paraId="4BE14E88">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jc w:val="both"/>
        <w:textAlignment w:val="auto"/>
        <w:rPr>
          <w:rFonts w:hint="eastAsia" w:ascii="宋体" w:hAnsi="宋体" w:eastAsia="宋体" w:cs="宋体"/>
          <w:color w:val="auto"/>
          <w:sz w:val="21"/>
          <w:szCs w:val="21"/>
          <w:highlight w:val="none"/>
        </w:rPr>
      </w:pPr>
      <w:bookmarkStart w:id="165" w:name="_Toc254970669"/>
      <w:bookmarkStart w:id="166" w:name="_Toc254970528"/>
      <w:r>
        <w:rPr>
          <w:rFonts w:hint="eastAsia" w:ascii="宋体" w:hAnsi="宋体" w:eastAsia="宋体" w:cs="宋体"/>
          <w:color w:val="auto"/>
          <w:sz w:val="21"/>
          <w:szCs w:val="21"/>
          <w:highlight w:val="none"/>
        </w:rPr>
        <w:t>2.定义</w:t>
      </w:r>
      <w:bookmarkEnd w:id="165"/>
      <w:bookmarkEnd w:id="166"/>
    </w:p>
    <w:p w14:paraId="165687B0">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2.1“采购人”是指依法进行政府采购的国家机关、事业单位、团体组织。</w:t>
      </w:r>
    </w:p>
    <w:p w14:paraId="08DE320F">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2.2“采购代理机构”是指政府采购集中采购机构和集中采购机构以外的采购代理机构。</w:t>
      </w:r>
    </w:p>
    <w:p w14:paraId="67FD009D">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2.3“供应商”是指向采购人提供货物、工程或者服务的法人、其他组织或者自然人。</w:t>
      </w:r>
    </w:p>
    <w:p w14:paraId="78AE5865">
      <w:pPr>
        <w:pStyle w:val="7"/>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2.4“投标人”是指响应招标、参加投标竞争的法人、其他组织或者自然人。</w:t>
      </w:r>
    </w:p>
    <w:p w14:paraId="11F96E2E">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2.5“货物”是指各种形态和种类的物品，包括原材料、燃料、设备、产品等。“服务”是指除货物和工程以外的其他政府采购对象。</w:t>
      </w:r>
    </w:p>
    <w:p w14:paraId="124DB8E6">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2.6“售后服务”是指商品出售以后所提供的各种服务，包含但不限于投标人须承担的备品备件、包装、运输、装卸、保险、货到就位以及安装、调试、培训、保修以及其他各种服务。</w:t>
      </w:r>
    </w:p>
    <w:p w14:paraId="3E2BDCE4">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2.7“书面形式”是指合同书、信件和数据电文（包括电报、电传、传真、电子数据交换和电子邮件）等可以有形地表现所载内容的形式。</w:t>
      </w:r>
    </w:p>
    <w:p w14:paraId="59055DD3">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2.8“实质性要求”是指招标文件中已经指明不满足则投标无效的条款，或者不能负偏离的条款，或者采购需求中带“▲”的条款。</w:t>
      </w:r>
    </w:p>
    <w:p w14:paraId="2EEAB03A">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2.9“正偏离”，是指投标文件对招标文件“采购需求”中有关条款作出的响应优于条款要求并有利于采购人的情形。</w:t>
      </w:r>
    </w:p>
    <w:p w14:paraId="790DEE1E">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2.10“负偏离”，是指投标文件对招标文件“采购需求”中有关条款作出的响应不满足条款要求，导致采购人要求不能得到满足的情形。</w:t>
      </w:r>
    </w:p>
    <w:p w14:paraId="3290C491">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2.11“允许负偏离的条款”是指采购需求中的不属于“实质性要求”的条款。</w:t>
      </w:r>
      <w:bookmarkStart w:id="167" w:name="_Toc254970529"/>
      <w:bookmarkStart w:id="168" w:name="_Toc254970670"/>
    </w:p>
    <w:p w14:paraId="5B82ED24">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End w:id="167"/>
      <w:bookmarkEnd w:id="168"/>
      <w:r>
        <w:rPr>
          <w:rFonts w:hint="eastAsia" w:ascii="宋体" w:hAnsi="宋体" w:eastAsia="宋体" w:cs="宋体"/>
          <w:color w:val="auto"/>
          <w:sz w:val="21"/>
          <w:szCs w:val="21"/>
          <w:highlight w:val="none"/>
        </w:rPr>
        <w:t>投标人的资格要求</w:t>
      </w:r>
    </w:p>
    <w:p w14:paraId="21E28886">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投标人的资格要求详见“投标人须知前附表”。</w:t>
      </w:r>
    </w:p>
    <w:p w14:paraId="4148ED95">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jc w:val="both"/>
        <w:textAlignment w:val="auto"/>
        <w:rPr>
          <w:rFonts w:hint="eastAsia" w:ascii="宋体" w:hAnsi="宋体" w:eastAsia="宋体" w:cs="宋体"/>
          <w:color w:val="auto"/>
          <w:sz w:val="21"/>
          <w:szCs w:val="21"/>
          <w:highlight w:val="none"/>
        </w:rPr>
      </w:pPr>
      <w:bookmarkStart w:id="169" w:name="_Toc254970671"/>
      <w:bookmarkStart w:id="170" w:name="_Toc254970530"/>
      <w:r>
        <w:rPr>
          <w:rFonts w:hint="eastAsia" w:ascii="宋体" w:hAnsi="宋体" w:eastAsia="宋体" w:cs="宋体"/>
          <w:color w:val="auto"/>
          <w:sz w:val="21"/>
          <w:szCs w:val="21"/>
          <w:highlight w:val="none"/>
        </w:rPr>
        <w:t>4.投标委托</w:t>
      </w:r>
      <w:bookmarkEnd w:id="169"/>
      <w:bookmarkEnd w:id="170"/>
    </w:p>
    <w:p w14:paraId="6A5DB451">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投标人代表参加投标活动过程中必须携带个人有效身份证件。如投标人代表不是法定代表人，须持有授权委托书（按第六章要求格式填写）。</w:t>
      </w:r>
    </w:p>
    <w:p w14:paraId="124109C9">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jc w:val="both"/>
        <w:textAlignment w:val="auto"/>
        <w:rPr>
          <w:rFonts w:hint="eastAsia" w:ascii="宋体" w:hAnsi="宋体" w:eastAsia="宋体" w:cs="宋体"/>
          <w:color w:val="auto"/>
          <w:sz w:val="21"/>
          <w:szCs w:val="21"/>
          <w:highlight w:val="none"/>
        </w:rPr>
      </w:pPr>
      <w:bookmarkStart w:id="171" w:name="_5.投标费用"/>
      <w:bookmarkEnd w:id="171"/>
      <w:bookmarkStart w:id="172" w:name="_Toc254970672"/>
      <w:bookmarkStart w:id="173" w:name="_Toc254970531"/>
      <w:r>
        <w:rPr>
          <w:rFonts w:hint="eastAsia" w:ascii="宋体" w:hAnsi="宋体" w:eastAsia="宋体" w:cs="宋体"/>
          <w:color w:val="auto"/>
          <w:sz w:val="21"/>
          <w:szCs w:val="21"/>
          <w:highlight w:val="none"/>
        </w:rPr>
        <w:t>5.投标费用</w:t>
      </w:r>
      <w:bookmarkEnd w:id="172"/>
      <w:bookmarkEnd w:id="173"/>
    </w:p>
    <w:p w14:paraId="597A4CF0">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28C7BD41">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6.联合体投标</w:t>
      </w:r>
    </w:p>
    <w:p w14:paraId="2857E5D3">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6.1本项目是否接受联合体投标，详见“投标人须知前附表”。</w:t>
      </w:r>
    </w:p>
    <w:p w14:paraId="3D2CD66E">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6.2如接受联合体投标，联合体投标要求详见“投标人须知前附表”。</w:t>
      </w:r>
    </w:p>
    <w:p w14:paraId="7F84D14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 xml:space="preserve">6.3 </w:t>
      </w:r>
      <w:bookmarkStart w:id="174" w:name="_Hlk65857072"/>
      <w:r>
        <w:rPr>
          <w:rFonts w:hint="eastAsia" w:ascii="宋体" w:hAnsi="宋体" w:eastAsia="宋体" w:cs="宋体"/>
          <w:b w:val="0"/>
          <w:bCs/>
          <w:color w:val="auto"/>
          <w:sz w:val="21"/>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174"/>
    </w:p>
    <w:p w14:paraId="2D600103">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7.转包与分包</w:t>
      </w:r>
    </w:p>
    <w:p w14:paraId="150C152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7.1本项目不允许转包。</w:t>
      </w:r>
    </w:p>
    <w:p w14:paraId="2569ED3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2AC2617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2DDBCFF0">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jc w:val="both"/>
        <w:textAlignment w:val="auto"/>
        <w:rPr>
          <w:rFonts w:hint="eastAsia" w:ascii="宋体" w:hAnsi="宋体" w:eastAsia="宋体" w:cs="宋体"/>
          <w:color w:val="auto"/>
          <w:sz w:val="21"/>
          <w:szCs w:val="21"/>
          <w:highlight w:val="none"/>
        </w:rPr>
      </w:pPr>
      <w:bookmarkStart w:id="175" w:name="_Toc254970673"/>
      <w:bookmarkStart w:id="176" w:name="_Toc254970532"/>
      <w:r>
        <w:rPr>
          <w:rFonts w:hint="eastAsia" w:ascii="宋体" w:hAnsi="宋体" w:eastAsia="宋体" w:cs="宋体"/>
          <w:color w:val="auto"/>
          <w:sz w:val="21"/>
          <w:szCs w:val="21"/>
          <w:highlight w:val="none"/>
        </w:rPr>
        <w:t>8.特别说明</w:t>
      </w:r>
      <w:bookmarkEnd w:id="175"/>
      <w:bookmarkEnd w:id="176"/>
    </w:p>
    <w:p w14:paraId="5F8CE641">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bookmarkStart w:id="177" w:name="_8.1提供相同品牌产品且通过资格审查、符合性审查的不同投标人参加同一合"/>
      <w:bookmarkEnd w:id="177"/>
      <w:r>
        <w:rPr>
          <w:rFonts w:hint="eastAsia" w:ascii="宋体" w:hAnsi="宋体" w:eastAsia="宋体" w:cs="宋体"/>
          <w:b w:val="0"/>
          <w:color w:val="auto"/>
          <w:sz w:val="21"/>
          <w:szCs w:val="21"/>
          <w:highlight w:val="none"/>
          <w:u w:val="none"/>
        </w:rPr>
        <w:t>8.1</w:t>
      </w:r>
      <w:r>
        <w:rPr>
          <w:rFonts w:hint="eastAsia" w:ascii="宋体" w:hAnsi="宋体" w:eastAsia="宋体" w:cs="宋体"/>
          <w:b w:val="0"/>
          <w:color w:val="auto"/>
          <w:sz w:val="21"/>
          <w:szCs w:val="21"/>
          <w:highlight w:val="none"/>
        </w:rPr>
        <w:t>采用最低评标价法的采购项目，提供相同品牌产品（单一产品或核心产品品牌相同）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eastAsia="宋体" w:cs="宋体"/>
          <w:color w:val="auto"/>
          <w:sz w:val="21"/>
          <w:szCs w:val="21"/>
          <w:highlight w:val="none"/>
        </w:rPr>
        <w:t>其他投标无效。</w:t>
      </w:r>
    </w:p>
    <w:p w14:paraId="4462CFE4">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采用</w:t>
      </w:r>
      <w:r>
        <w:rPr>
          <w:rFonts w:hint="eastAsia" w:ascii="宋体" w:hAnsi="宋体" w:cs="宋体"/>
          <w:b w:val="0"/>
          <w:color w:val="auto"/>
          <w:sz w:val="21"/>
          <w:szCs w:val="21"/>
          <w:highlight w:val="none"/>
          <w:lang w:val="en-US" w:eastAsia="zh-CN"/>
        </w:rPr>
        <w:t>综合评分</w:t>
      </w:r>
      <w:r>
        <w:rPr>
          <w:rFonts w:hint="eastAsia" w:ascii="宋体" w:hAnsi="宋体" w:eastAsia="宋体" w:cs="宋体"/>
          <w:b w:val="0"/>
          <w:color w:val="auto"/>
          <w:sz w:val="21"/>
          <w:szCs w:val="21"/>
          <w:highlight w:val="none"/>
        </w:rPr>
        <w:t>法的采购项目</w:t>
      </w:r>
      <w:r>
        <w:rPr>
          <w:rFonts w:hint="eastAsia" w:ascii="宋体" w:hAnsi="宋体" w:cs="宋体"/>
          <w:b w:val="0"/>
          <w:color w:val="auto"/>
          <w:sz w:val="21"/>
          <w:szCs w:val="21"/>
          <w:highlight w:val="none"/>
          <w:lang w:eastAsia="zh-CN"/>
        </w:rPr>
        <w:t>，</w:t>
      </w:r>
      <w:r>
        <w:rPr>
          <w:rFonts w:hint="eastAsia" w:ascii="宋体" w:hAnsi="宋体" w:eastAsia="宋体" w:cs="宋体"/>
          <w:b w:val="0"/>
          <w:color w:val="auto"/>
          <w:sz w:val="21"/>
          <w:szCs w:val="21"/>
          <w:highlight w:val="none"/>
        </w:rPr>
        <w:t>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由采购人或者采购人委托评标委员会按照“投标人须知前附表”规定的方式确定一个投标人获得中标人推荐资格，其他同品牌投标人不作为中标候选人。</w:t>
      </w:r>
    </w:p>
    <w:p w14:paraId="1D8A325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8.2对本国产品的支持政策</w:t>
      </w:r>
    </w:p>
    <w:p w14:paraId="41614AF8">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8.2</w:t>
      </w:r>
      <w:r>
        <w:rPr>
          <w:rFonts w:hint="eastAsia" w:ascii="宋体" w:hAnsi="宋体" w:eastAsia="宋体" w:cs="宋体"/>
          <w:b w:val="0"/>
          <w:color w:val="auto"/>
          <w:sz w:val="21"/>
          <w:szCs w:val="21"/>
          <w:highlight w:val="none"/>
        </w:rPr>
        <w:t>.1本国产品标准</w:t>
      </w:r>
    </w:p>
    <w:p w14:paraId="14DD3C03">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“本国产品标准的产品”是指：符合《国务院办公厅关于在政府采购中实施本国产品标准及相关政策的通知》（国办发〔2025〕34号）规定的本国产品标准的产品。</w:t>
      </w:r>
    </w:p>
    <w:p w14:paraId="2A497ADF">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本国产品标准的产品应当符合以下条件：</w:t>
      </w:r>
    </w:p>
    <w:p w14:paraId="0FEE4BC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在中国境内生产。产品应当在中国境内生产，即在中华人民共和国关境内（含保税区、综合保税区等海关特殊监管区域）实现从原材料、组件到产品的属性改变；属性改变是指经过制造、加工或者组装等工序，产生完全不同于原材料、组件的新产品，并具有新的名称和特征（用途），属性改变不包括以下细微操作：</w:t>
      </w:r>
    </w:p>
    <w:p w14:paraId="0839B28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①为确保产品在运输或者储存期间保持某种状态而进行的操作；</w:t>
      </w:r>
    </w:p>
    <w:p w14:paraId="2D9AA1E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②为产品运输或者销售进行的包装或者展示；</w:t>
      </w:r>
    </w:p>
    <w:p w14:paraId="775B563F">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③在产品或者其包装上粘贴或者印刷品牌、标志、标识以及其他用于区别的标记；</w:t>
      </w:r>
    </w:p>
    <w:p w14:paraId="056CC097">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④简单的上漆、磨光和分装；</w:t>
      </w:r>
    </w:p>
    <w:p w14:paraId="7FEC3466">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⑤其他不属于属性改变的情形；</w:t>
      </w:r>
    </w:p>
    <w:p w14:paraId="6357FE56">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（2）中国境内生产的组件成本占比达到规定比例。</w:t>
      </w:r>
    </w:p>
    <w:p w14:paraId="5F236FB8">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①产品在中国境内生产的组件成本占比应当达到规定比例，计算公式为：</w:t>
      </w:r>
    </w:p>
    <w:p w14:paraId="5A526B89">
      <w:pPr>
        <w:keepNext w:val="0"/>
        <w:keepLines w:val="0"/>
        <w:pageBreakBefore w:val="0"/>
        <w:widowControl w:val="0"/>
        <w:kinsoku/>
        <w:wordWrap/>
        <w:overflowPunct/>
        <w:topLinePunct w:val="0"/>
        <w:autoSpaceDE/>
        <w:autoSpaceDN/>
        <w:bidi w:val="0"/>
        <w:adjustRightInd/>
        <w:spacing w:line="400" w:lineRule="exact"/>
        <w:ind w:left="0" w:leftChars="0" w:firstLine="480" w:firstLineChars="200"/>
        <w:jc w:val="both"/>
        <w:textAlignment w:val="auto"/>
        <w:outlineLvl w:val="9"/>
        <w:rPr>
          <w:rFonts w:hint="eastAsia" w:ascii="宋体" w:hAnsi="宋体" w:eastAsia="宋体" w:cs="宋体"/>
          <w:b w:val="0"/>
          <w:color w:val="auto"/>
          <w:sz w:val="21"/>
          <w:szCs w:val="21"/>
          <w:highlight w:val="none"/>
        </w:rPr>
      </w:pPr>
      <w:r>
        <w:rPr>
          <w:rFonts w:ascii="宋体" w:hAnsi="宋体" w:cs="宋体"/>
          <w:color w:val="auto"/>
          <w:kern w:val="0"/>
          <w:sz w:val="24"/>
          <w:highlight w:val="none"/>
        </w:rPr>
        <w:drawing>
          <wp:anchor distT="0" distB="0" distL="114300" distR="114300" simplePos="0" relativeHeight="251659264" behindDoc="1" locked="0" layoutInCell="1" allowOverlap="1">
            <wp:simplePos x="0" y="0"/>
            <wp:positionH relativeFrom="column">
              <wp:posOffset>347980</wp:posOffset>
            </wp:positionH>
            <wp:positionV relativeFrom="paragraph">
              <wp:posOffset>23495</wp:posOffset>
            </wp:positionV>
            <wp:extent cx="4827905" cy="762635"/>
            <wp:effectExtent l="0" t="0" r="10795" b="12065"/>
            <wp:wrapNone/>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19" r:link="rId20"/>
                    <a:stretch>
                      <a:fillRect/>
                    </a:stretch>
                  </pic:blipFill>
                  <pic:spPr>
                    <a:xfrm>
                      <a:off x="0" y="0"/>
                      <a:ext cx="4827905" cy="762635"/>
                    </a:xfrm>
                    <a:prstGeom prst="rect">
                      <a:avLst/>
                    </a:prstGeom>
                    <a:noFill/>
                    <a:ln>
                      <a:noFill/>
                    </a:ln>
                  </pic:spPr>
                </pic:pic>
              </a:graphicData>
            </a:graphic>
          </wp:anchor>
        </w:drawing>
      </w:r>
    </w:p>
    <w:p w14:paraId="74AB09C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p>
    <w:p w14:paraId="5612F5A0">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p>
    <w:p w14:paraId="26080A0B">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②产品在中国境内生产的组件成本，按照《中国境内生产的组件成本核算基本规则》计算；</w:t>
      </w:r>
    </w:p>
    <w:p w14:paraId="1AEF7E3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③中国境内生产的组件成本占比相关要求实施前，符合第（1）项条件的产品在政府采购活动中视同本国产品。</w:t>
      </w:r>
    </w:p>
    <w:p w14:paraId="4B297D0F">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（3）特定产品的关键组件和工序在中国境内完成。</w:t>
      </w:r>
    </w:p>
    <w:p w14:paraId="0597BFF9">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①对特定产品，在符合第（1）项和第（2）项条件的基础上，应当符合财政部会同有关行业主管部门确定的其关键组件、关键工序在中国境内生产、完成等要求；</w:t>
      </w:r>
    </w:p>
    <w:p w14:paraId="24F3160F">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②特定产品的关键组件、关键工序符合相关要求实施前，符合第（1）项和第（2）项条件的产品在政府采购活动中视同本国产品。</w:t>
      </w:r>
    </w:p>
    <w:p w14:paraId="58C359CE">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8.2</w:t>
      </w:r>
      <w:r>
        <w:rPr>
          <w:rFonts w:hint="eastAsia" w:ascii="宋体" w:hAnsi="宋体" w:eastAsia="宋体" w:cs="宋体"/>
          <w:b w:val="0"/>
          <w:color w:val="auto"/>
          <w:sz w:val="21"/>
          <w:szCs w:val="21"/>
          <w:highlight w:val="none"/>
        </w:rPr>
        <w:t>.2本国产品标准的适用范围</w:t>
      </w:r>
    </w:p>
    <w:p w14:paraId="3646BF71">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FBA4FC8">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本项目是否适用对本国产品的支持政策详见投标人须知前附表。</w:t>
      </w:r>
    </w:p>
    <w:p w14:paraId="331B688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中华人民共和国缔结或者共同参加的国际条约、协定对政府采购中本国产品政策另有规定的，按照有关条约、协定执行。</w:t>
      </w:r>
    </w:p>
    <w:p w14:paraId="2520591A">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8.2</w:t>
      </w:r>
      <w:r>
        <w:rPr>
          <w:rFonts w:hint="eastAsia" w:ascii="宋体" w:hAnsi="宋体" w:eastAsia="宋体" w:cs="宋体"/>
          <w:b w:val="0"/>
          <w:color w:val="auto"/>
          <w:sz w:val="21"/>
          <w:szCs w:val="21"/>
          <w:highlight w:val="none"/>
        </w:rPr>
        <w:t>.3价格评审优惠</w:t>
      </w:r>
    </w:p>
    <w:p w14:paraId="5CF0DD5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既有本国产品又有非本国产品参与竞争的，依法对本国产品给予价格评审优惠，对本国产品的报价给予20%的价格扣除，用扣除后的价格参与评审。</w:t>
      </w:r>
    </w:p>
    <w:p w14:paraId="053728EA">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29333FD0">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价格扣除比例在第四章评审方法及标准中规定。</w:t>
      </w:r>
    </w:p>
    <w:p w14:paraId="61D2B2F3">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8.2</w:t>
      </w:r>
      <w:r>
        <w:rPr>
          <w:rFonts w:hint="eastAsia" w:ascii="宋体" w:hAnsi="宋体" w:eastAsia="宋体" w:cs="宋体"/>
          <w:b w:val="0"/>
          <w:color w:val="auto"/>
          <w:sz w:val="21"/>
          <w:szCs w:val="21"/>
          <w:highlight w:val="none"/>
        </w:rPr>
        <w:t>.4政策执行要求</w:t>
      </w:r>
    </w:p>
    <w:p w14:paraId="5E38DC59">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8.2</w:t>
      </w:r>
      <w:r>
        <w:rPr>
          <w:rFonts w:hint="eastAsia" w:ascii="宋体" w:hAnsi="宋体" w:eastAsia="宋体" w:cs="宋体"/>
          <w:b w:val="0"/>
          <w:color w:val="auto"/>
          <w:sz w:val="21"/>
          <w:szCs w:val="21"/>
          <w:highlight w:val="none"/>
        </w:rPr>
        <w:t>.4.1产品在中国境内生产的组件成本核算规则：产品在中国境内生产的组件成本，按照《中国境内生产的组件成本核算基本规则》计算。</w:t>
      </w:r>
    </w:p>
    <w:p w14:paraId="3B47C896">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中国境内生产的组件成本核算基本规则》产品在中国境内生产的组件成本，一般按照其二级组件的相关成本进行核算。按照产品的一级组件进行成本核算能够满足中国境内生产的组件成本判定需求的，可以按照一级组件的相关成本进行核算。</w:t>
      </w:r>
    </w:p>
    <w:p w14:paraId="0AA8A01A">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1.产品的一级组件是指直接组成产品的组件。产品的二级组件是指直接组成产品一级组件的组件。一级组件不可分解的，视同二级组件。</w:t>
      </w:r>
    </w:p>
    <w:p w14:paraId="5B700D16">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2.二级组件在中国境内生产的，其全部成本计入中国境内生产的组件成本；二级组件不在中国境内生产的，其成本不计入中国境内生产的组件成本。</w:t>
      </w:r>
    </w:p>
    <w:p w14:paraId="4BE8DDE8">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3.产品总成本和组件成本以相关会计核算数据、采购合同、进货记录等为基础进行计算。</w:t>
      </w:r>
    </w:p>
    <w:p w14:paraId="314F620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4.需要对成本核算规则予以进一步明确的其他有关事项，由财政部会同有关部门另行规定。</w:t>
      </w:r>
    </w:p>
    <w:p w14:paraId="6D11530A">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8.2</w:t>
      </w:r>
      <w:r>
        <w:rPr>
          <w:rFonts w:hint="eastAsia" w:ascii="宋体" w:hAnsi="宋体" w:eastAsia="宋体" w:cs="宋体"/>
          <w:b w:val="0"/>
          <w:color w:val="auto"/>
          <w:sz w:val="21"/>
          <w:szCs w:val="21"/>
          <w:highlight w:val="none"/>
        </w:rPr>
        <w:t>.4.2证明材料提交与审查：投标人需在投标（响应）文件中对其提供的产品出具《关于符合本国产品标准的声明函》（样式见投标文件格式）或财政部会同有关部门规定的有关证明文件。医疗器械产品凭药品监督管理部门授予的准字号注册证直接认定属于在中国境内生产的产品。出具符合要求的《声明函》或有关证明文件的，该产品视为本国产品，采购人、采购代理机构不得再要求投标人提供其他证明材料。投标人提供虚假《声明函》、虚假证明文件谋取中标、成交的，依照《中华人民共和国政府采购法》等法律法规规定追究相应责任。采购人、采购代理机构应当随中标、成交结果同时公告中标、成交投标人提供的《声明函》或有关证明文件。</w:t>
      </w:r>
    </w:p>
    <w:p w14:paraId="1421A3AF">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评审委员会应对《声明函》的完整性、准确性进行审查，对《声明函》内容含义不明确、同类事项与投标（响应）文件表述不一致或存在明显文字错误的，应当以书面形式要求投标人澄清、说明或者补正；经澄清、说明或者补正后仍不符合要求的，不认定为本国产品。</w:t>
      </w:r>
    </w:p>
    <w:p w14:paraId="430ABA12">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澄清补正应当按照“6.3.3澄清、说明或补正”的规定提交。</w:t>
      </w:r>
    </w:p>
    <w:p w14:paraId="7408F8C0">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8.2</w:t>
      </w:r>
      <w:r>
        <w:rPr>
          <w:rFonts w:hint="eastAsia" w:ascii="宋体" w:hAnsi="宋体" w:eastAsia="宋体" w:cs="宋体"/>
          <w:b w:val="0"/>
          <w:color w:val="auto"/>
          <w:sz w:val="21"/>
          <w:szCs w:val="21"/>
          <w:highlight w:val="none"/>
        </w:rPr>
        <w:t>.4.3成本核算与承诺</w:t>
      </w:r>
    </w:p>
    <w:p w14:paraId="638A4909">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投标人应依据《中国境内生产的组件成本核算基本规则》核算产品成本占比，并对核算结果负责，按要求提交《关于符合本国产品标准的成本占比承诺函》（如适用）（参考模板详见投标文件格式）。相关成本核算的原始凭证应妥善留存，以备核查。采购人可在履约验收环节对相关材料进行抽查。</w:t>
      </w:r>
    </w:p>
    <w:p w14:paraId="112A05C2">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8.2</w:t>
      </w:r>
      <w:r>
        <w:rPr>
          <w:rFonts w:hint="eastAsia" w:ascii="宋体" w:hAnsi="宋体" w:eastAsia="宋体" w:cs="宋体"/>
          <w:b w:val="0"/>
          <w:color w:val="auto"/>
          <w:sz w:val="21"/>
          <w:szCs w:val="21"/>
          <w:highlight w:val="none"/>
        </w:rPr>
        <w:t>.5争议处理</w:t>
      </w:r>
    </w:p>
    <w:p w14:paraId="2990E68F">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rPr>
        <w:t>政府采购投诉处理、监督检查中，相关投标人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11D89957">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w:t>
      </w: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如果本招标文件要求提供投标人或制造商的资格、信誉、荣誉、业绩与企业认证等材料的，资格、信誉、荣誉、业绩与企业认证等必须为投标人或者制造商所拥有或自身获得。</w:t>
      </w:r>
    </w:p>
    <w:p w14:paraId="4CBDB806">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w:t>
      </w:r>
      <w:r>
        <w:rPr>
          <w:rFonts w:hint="eastAsia" w:ascii="宋体" w:hAnsi="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投标人应仔细阅读招标文件的所有内容，按照招标文件的要求提交投标文件，并对所提供的全部资料的真实性承担法律责任。</w:t>
      </w:r>
    </w:p>
    <w:p w14:paraId="782FC23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w:t>
      </w: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投标人在投标活动中提供任何虚假材料，将报监管部门查处；中标后发现的，中标人须依法赔偿采购人，且民事赔偿并不免除违法投标人的行政与刑事责任。</w:t>
      </w:r>
    </w:p>
    <w:p w14:paraId="7A9D60B9">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9.回避与串通投标</w:t>
      </w:r>
    </w:p>
    <w:p w14:paraId="1472AF2B">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9.1在政府采购活动中，采购人员及相关人员与供应商有下列利害关系之一的，应当回避：</w:t>
      </w:r>
    </w:p>
    <w:p w14:paraId="51D9C1E2">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（1）参加采购活动前3年内与供应商存在劳动关系；</w:t>
      </w:r>
    </w:p>
    <w:p w14:paraId="3E9F22B8">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（2）参加采购活动前3年内担任供应商的董事、监事；</w:t>
      </w:r>
    </w:p>
    <w:p w14:paraId="1BE77DDA">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（3）参加采购活动前3年内是供应商的控股股东或者实际控制人；</w:t>
      </w:r>
    </w:p>
    <w:p w14:paraId="636D9B9F">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（4）与供应商的法定代表人或者负责人有夫妻、直系血亲、三代以内旁系血亲或者近姻亲关系；</w:t>
      </w:r>
    </w:p>
    <w:p w14:paraId="49546449">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（5）与供应商有其他可能影响政府采购活动公平、公正进行的关系。</w:t>
      </w:r>
    </w:p>
    <w:p w14:paraId="696B5C43">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AA37ACE">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9.2有下列情形之一的视为投标人相互串通投标，投标文件将被视为无效：</w:t>
      </w:r>
    </w:p>
    <w:p w14:paraId="2E309E59">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（1）不同投标人的投标文件由同一单位或者个人编制；</w:t>
      </w:r>
    </w:p>
    <w:p w14:paraId="4626710D">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（2）不同投标人委托同一单位或者个人办理投标事宜；</w:t>
      </w:r>
    </w:p>
    <w:p w14:paraId="478A9551">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（3）不同的投标人的投标文件载明的项目管理员为同一个人；</w:t>
      </w:r>
    </w:p>
    <w:p w14:paraId="207DC76B">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（4）不同投标人的投标文件异常一致或者投标报价呈规律性差异；</w:t>
      </w:r>
    </w:p>
    <w:p w14:paraId="6E394B5C">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（5）不同投标人的投标文件相互混装；</w:t>
      </w:r>
    </w:p>
    <w:p w14:paraId="2553C7C2">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（6）不同投标人的投标保证金从同一单位或者个人账户转出。</w:t>
      </w:r>
    </w:p>
    <w:p w14:paraId="72DAC091">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9.3供应商有下列情形之一的，属于恶意串通行为，将报同级监督管理部门：</w:t>
      </w:r>
    </w:p>
    <w:p w14:paraId="3E6184A5">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（1）供应商直接或者间接从采购人或者采购代理机构处获得其他供应商的相关信息并修改其投标文件或者响应文件；</w:t>
      </w:r>
    </w:p>
    <w:p w14:paraId="59420A53">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（2）供应商按照采购人或者采购代理机构的授意撤换、修改投标文件或者响应文件；</w:t>
      </w:r>
    </w:p>
    <w:p w14:paraId="11687F51">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（3）供应商之间协商报价、技术方案等投标文件或者响应文件的实质性内容；</w:t>
      </w:r>
    </w:p>
    <w:p w14:paraId="66A76556">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（4）属于同一集团、协会、商会等组织成员的供应商按照该组织要求协同参加政府采购活动；</w:t>
      </w:r>
    </w:p>
    <w:p w14:paraId="2E77BEF0">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（5）供应商之间事先约定一致抬高或者压低投标报价，或者在招标项目中事先约定轮流以高价位或者低价位中标，或者事先约定由某一特定供应商中标，然后再参加投标；</w:t>
      </w:r>
    </w:p>
    <w:p w14:paraId="466ACA04">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（6）供应商之间商定部分供应商放弃参加政府采购活动或者放弃中标；</w:t>
      </w:r>
    </w:p>
    <w:p w14:paraId="6A203A7A">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color w:val="auto"/>
          <w:kern w:val="2"/>
          <w:sz w:val="21"/>
          <w:szCs w:val="21"/>
          <w:highlight w:val="none"/>
        </w:rPr>
        <w:t>（7）供应商与采购人或者采购代理机构之间、供应商相互之间，为谋求特定供应商中标或者排斥其他供应商的其他串通行为。</w:t>
      </w:r>
    </w:p>
    <w:p w14:paraId="0D0C7E87">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178" w:name="_Toc21351"/>
      <w:bookmarkStart w:id="179" w:name="_Toc254970675"/>
      <w:bookmarkStart w:id="180" w:name="_Toc254970534"/>
    </w:p>
    <w:p w14:paraId="48F75DEF">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181" w:name="_Toc19361"/>
      <w:bookmarkStart w:id="182" w:name="_Toc29555"/>
      <w:r>
        <w:rPr>
          <w:rFonts w:hint="eastAsia" w:ascii="宋体" w:hAnsi="宋体" w:eastAsia="宋体" w:cs="宋体"/>
          <w:color w:val="auto"/>
          <w:sz w:val="21"/>
          <w:szCs w:val="21"/>
          <w:highlight w:val="none"/>
        </w:rPr>
        <w:t>二、招标文件</w:t>
      </w:r>
      <w:bookmarkEnd w:id="178"/>
      <w:bookmarkEnd w:id="179"/>
      <w:bookmarkEnd w:id="180"/>
      <w:bookmarkEnd w:id="181"/>
      <w:bookmarkEnd w:id="182"/>
    </w:p>
    <w:p w14:paraId="2E9F6F07">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10.招标文件的组成</w:t>
      </w:r>
    </w:p>
    <w:p w14:paraId="730A4632">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（1）招标公告；</w:t>
      </w:r>
    </w:p>
    <w:p w14:paraId="5AD1D3A3">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（2）采购需求； </w:t>
      </w:r>
    </w:p>
    <w:p w14:paraId="5EB48F9C">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（3）投标人须知；</w:t>
      </w:r>
    </w:p>
    <w:p w14:paraId="5FF2941E">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（4）评标方法及评标标准；</w:t>
      </w:r>
    </w:p>
    <w:p w14:paraId="6A3642A2">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（5）拟签订的合同文本；</w:t>
      </w:r>
    </w:p>
    <w:p w14:paraId="55ACD00D">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（6）投标文件格式。</w:t>
      </w:r>
    </w:p>
    <w:p w14:paraId="16EA0B37">
      <w:pPr>
        <w:pStyle w:val="6"/>
        <w:keepNext w:val="0"/>
        <w:keepLines w:val="0"/>
        <w:pageBreakBefore w:val="0"/>
        <w:widowControl w:val="0"/>
        <w:kinsoku/>
        <w:wordWrap/>
        <w:overflowPunct/>
        <w:topLinePunct w:val="0"/>
        <w:autoSpaceDE/>
        <w:autoSpaceDN/>
        <w:bidi w:val="0"/>
        <w:adjustRightInd/>
        <w:spacing w:before="0" w:after="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11.招标文件的澄清、修改、现场考察和答疑会</w:t>
      </w:r>
    </w:p>
    <w:p w14:paraId="065010EB">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11.</w:t>
      </w:r>
      <w:r>
        <w:rPr>
          <w:rFonts w:hint="eastAsia" w:ascii="宋体" w:hAnsi="宋体" w:eastAsia="宋体" w:cs="宋体"/>
          <w:b w:val="0"/>
          <w:color w:val="auto"/>
          <w:sz w:val="21"/>
          <w:szCs w:val="21"/>
          <w:highlight w:val="none"/>
          <w:lang w:val="en-US" w:eastAsia="zh-CN"/>
        </w:rPr>
        <w:t>1</w:t>
      </w:r>
      <w:r>
        <w:rPr>
          <w:rFonts w:hint="eastAsia" w:ascii="宋体" w:hAnsi="宋体" w:eastAsia="宋体" w:cs="宋体"/>
          <w:b w:val="0"/>
          <w:color w:val="auto"/>
          <w:sz w:val="21"/>
          <w:szCs w:val="21"/>
          <w:highlight w:val="none"/>
        </w:rPr>
        <w:t>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14:paraId="0F9DEAED">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采购人和采购代理机构可以视采购具体情况，变更投标截止时间和开标时间，并在原公告发布媒体上发布更正公告。</w:t>
      </w:r>
    </w:p>
    <w:p w14:paraId="77DDC37A">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招标文件澄清、答复、修改、补充的内容为招标文件的组成部分。</w:t>
      </w:r>
      <w:r>
        <w:rPr>
          <w:rFonts w:hint="eastAsia" w:ascii="宋体" w:hAnsi="宋体" w:eastAsia="宋体" w:cs="宋体"/>
          <w:b/>
          <w:color w:val="auto"/>
          <w:sz w:val="21"/>
          <w:szCs w:val="21"/>
          <w:highlight w:val="none"/>
        </w:rPr>
        <w:t>当招标文件与招标文件的澄清、答复、修改、补充通知就同一内容的表述不一致时，以最后发出的文件为准。</w:t>
      </w:r>
    </w:p>
    <w:p w14:paraId="1D58AF18">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bookmarkStart w:id="183" w:name="_Hlk53134511"/>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采购人或者采购代理机构可以在招标文件提供期限截止后，组织已获取招标文件的潜在投标人现场考察或者召开开标前答疑会，具体详见“投标人须知前附表”。</w:t>
      </w:r>
    </w:p>
    <w:bookmarkEnd w:id="183"/>
    <w:p w14:paraId="745A1C96">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184" w:name="_Toc254970535"/>
      <w:bookmarkStart w:id="185" w:name="_Toc254970676"/>
      <w:bookmarkStart w:id="186" w:name="_Toc15684"/>
    </w:p>
    <w:p w14:paraId="077D82F6">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187" w:name="_Toc14706"/>
      <w:bookmarkStart w:id="188" w:name="_Toc23476"/>
      <w:r>
        <w:rPr>
          <w:rFonts w:hint="eastAsia" w:ascii="宋体" w:hAnsi="宋体" w:eastAsia="宋体" w:cs="宋体"/>
          <w:color w:val="auto"/>
          <w:sz w:val="21"/>
          <w:szCs w:val="21"/>
          <w:highlight w:val="none"/>
        </w:rPr>
        <w:t>三、投标文件的编制</w:t>
      </w:r>
      <w:bookmarkEnd w:id="184"/>
      <w:bookmarkEnd w:id="185"/>
      <w:bookmarkEnd w:id="186"/>
      <w:bookmarkEnd w:id="187"/>
      <w:bookmarkEnd w:id="188"/>
    </w:p>
    <w:p w14:paraId="7E94A4B2">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189" w:name="_Toc254970677"/>
      <w:bookmarkStart w:id="190" w:name="_Toc254970536"/>
      <w:r>
        <w:rPr>
          <w:rFonts w:hint="eastAsia" w:ascii="宋体" w:hAnsi="宋体" w:eastAsia="宋体" w:cs="宋体"/>
          <w:color w:val="auto"/>
          <w:sz w:val="21"/>
          <w:szCs w:val="21"/>
          <w:highlight w:val="none"/>
        </w:rPr>
        <w:t>12.投标文件的编制原则</w:t>
      </w:r>
    </w:p>
    <w:p w14:paraId="0362C889">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投标人必须按照招标文件的要求编制投标文件。投标文件必须对招标文件提出的要求和条件作出明确响应。</w:t>
      </w:r>
    </w:p>
    <w:p w14:paraId="22B833F6">
      <w:pPr>
        <w:pStyle w:val="6"/>
        <w:keepNext w:val="0"/>
        <w:keepLines w:val="0"/>
        <w:pageBreakBefore w:val="0"/>
        <w:widowControl w:val="0"/>
        <w:kinsoku/>
        <w:wordWrap/>
        <w:overflowPunct/>
        <w:topLinePunct w:val="0"/>
        <w:autoSpaceDE/>
        <w:autoSpaceDN/>
        <w:bidi w:val="0"/>
        <w:adjustRightInd/>
        <w:spacing w:before="0"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13.投标文件的组成</w:t>
      </w:r>
      <w:bookmarkEnd w:id="189"/>
      <w:bookmarkEnd w:id="190"/>
    </w:p>
    <w:p w14:paraId="5D082060">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13.1投标文件由报价文件、资格证明文件、商务文件、技术文件四部分组成。</w:t>
      </w:r>
    </w:p>
    <w:p w14:paraId="32F86EBB">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b w:val="0"/>
          <w:color w:val="auto"/>
          <w:sz w:val="21"/>
          <w:szCs w:val="21"/>
          <w:highlight w:val="none"/>
        </w:rPr>
      </w:pPr>
      <w:bookmarkStart w:id="191" w:name="_13.1报价文件:_具体材料见“投标人须知前附表”。"/>
      <w:bookmarkEnd w:id="191"/>
      <w:r>
        <w:rPr>
          <w:rFonts w:hint="eastAsia" w:ascii="宋体" w:hAnsi="宋体" w:eastAsia="宋体" w:cs="宋体"/>
          <w:b w:val="0"/>
          <w:color w:val="auto"/>
          <w:sz w:val="21"/>
          <w:szCs w:val="21"/>
          <w:highlight w:val="none"/>
        </w:rPr>
        <w:t>（1）报价文件：具体材料见“投标人须知前附表”。</w:t>
      </w:r>
    </w:p>
    <w:p w14:paraId="4DE031E3">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b w:val="0"/>
          <w:color w:val="auto"/>
          <w:sz w:val="21"/>
          <w:szCs w:val="21"/>
          <w:highlight w:val="none"/>
        </w:rPr>
      </w:pPr>
      <w:bookmarkStart w:id="192" w:name="_13.2资格证明文件：具体材料见“投标人须知前附表”。"/>
      <w:bookmarkEnd w:id="192"/>
      <w:r>
        <w:rPr>
          <w:rFonts w:hint="eastAsia" w:ascii="宋体" w:hAnsi="宋体" w:eastAsia="宋体" w:cs="宋体"/>
          <w:b w:val="0"/>
          <w:color w:val="auto"/>
          <w:sz w:val="21"/>
          <w:szCs w:val="21"/>
          <w:highlight w:val="none"/>
        </w:rPr>
        <w:t>（2）资格证明文件：具体材料见“投标人须知前附表”。</w:t>
      </w:r>
    </w:p>
    <w:p w14:paraId="5588305D">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b w:val="0"/>
          <w:color w:val="auto"/>
          <w:sz w:val="21"/>
          <w:szCs w:val="21"/>
          <w:highlight w:val="none"/>
        </w:rPr>
      </w:pPr>
      <w:bookmarkStart w:id="193" w:name="_13.3商务文件:_具体材料见“投标人须知前附表”。"/>
      <w:bookmarkEnd w:id="193"/>
      <w:r>
        <w:rPr>
          <w:rFonts w:hint="eastAsia" w:ascii="宋体" w:hAnsi="宋体" w:eastAsia="宋体" w:cs="宋体"/>
          <w:b w:val="0"/>
          <w:color w:val="auto"/>
          <w:sz w:val="21"/>
          <w:szCs w:val="21"/>
          <w:highlight w:val="none"/>
        </w:rPr>
        <w:t>（3）商务</w:t>
      </w:r>
      <w:r>
        <w:rPr>
          <w:rFonts w:hint="eastAsia" w:ascii="宋体" w:hAnsi="宋体" w:eastAsia="宋体" w:cs="宋体"/>
          <w:b w:val="0"/>
          <w:color w:val="auto"/>
          <w:sz w:val="21"/>
          <w:szCs w:val="21"/>
          <w:highlight w:val="none"/>
        </w:rPr>
        <w:t>及技术文件</w:t>
      </w:r>
      <w:r>
        <w:rPr>
          <w:rFonts w:hint="eastAsia" w:ascii="宋体" w:hAnsi="宋体" w:eastAsia="宋体" w:cs="宋体"/>
          <w:b w:val="0"/>
          <w:color w:val="auto"/>
          <w:sz w:val="21"/>
          <w:szCs w:val="21"/>
          <w:highlight w:val="none"/>
        </w:rPr>
        <w:t>：具体材料见“投标人须知前附表”。</w:t>
      </w:r>
    </w:p>
    <w:p w14:paraId="639FC53D">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194" w:name="_13.4技术文件：具体材料见“投标人须知前附表”。"/>
      <w:bookmarkEnd w:id="194"/>
      <w:bookmarkStart w:id="195" w:name="_Toc254970678"/>
      <w:bookmarkStart w:id="196" w:name="_Toc254970537"/>
      <w:r>
        <w:rPr>
          <w:rFonts w:hint="eastAsia" w:ascii="宋体" w:hAnsi="宋体" w:eastAsia="宋体" w:cs="宋体"/>
          <w:color w:val="auto"/>
          <w:sz w:val="21"/>
          <w:szCs w:val="21"/>
          <w:highlight w:val="none"/>
        </w:rPr>
        <w:t>14.投标文件的语言及计量</w:t>
      </w:r>
      <w:bookmarkEnd w:id="195"/>
      <w:bookmarkEnd w:id="196"/>
    </w:p>
    <w:p w14:paraId="33F6306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14.1语言文字</w:t>
      </w:r>
    </w:p>
    <w:p w14:paraId="7BB8E51E">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ADE273D">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14.2投标计量单位</w:t>
      </w:r>
    </w:p>
    <w:p w14:paraId="47D2CEE3">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招标文件已有明确规定的，使用招标文件规定的计量单位；招标文件没有规定的，应采用中华人民共和国法定计量单位，货币种类为人民币，否则视同未响应。</w:t>
      </w:r>
    </w:p>
    <w:p w14:paraId="6A3C5590">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15.投标的风险</w:t>
      </w:r>
    </w:p>
    <w:p w14:paraId="0EA1C9CA">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投标人没有按照招标文件要求提供全部资料，或者投标人没有对招标文件作出实质性响应是投标人的风险，并可能导致其投标被拒绝。</w:t>
      </w:r>
    </w:p>
    <w:p w14:paraId="6AF08F52">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197" w:name="_Toc254970679"/>
      <w:bookmarkStart w:id="198" w:name="_Toc254970538"/>
      <w:r>
        <w:rPr>
          <w:rFonts w:hint="eastAsia" w:ascii="宋体" w:hAnsi="宋体" w:eastAsia="宋体" w:cs="宋体"/>
          <w:color w:val="auto"/>
          <w:sz w:val="21"/>
          <w:szCs w:val="21"/>
          <w:highlight w:val="none"/>
        </w:rPr>
        <w:t>16.投标报价</w:t>
      </w:r>
      <w:bookmarkEnd w:id="197"/>
      <w:bookmarkEnd w:id="198"/>
    </w:p>
    <w:p w14:paraId="5A8BD62D">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16.1投标报价应按“第六章　投标文件格式”中“开标一览表”格式填写。</w:t>
      </w:r>
    </w:p>
    <w:p w14:paraId="18D28DC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bookmarkStart w:id="199" w:name="_16.2投标报价具体定义见投标人须知前附表。"/>
      <w:bookmarkEnd w:id="199"/>
      <w:r>
        <w:rPr>
          <w:rFonts w:hint="eastAsia" w:ascii="宋体" w:hAnsi="宋体" w:eastAsia="宋体" w:cs="宋体"/>
          <w:b w:val="0"/>
          <w:color w:val="auto"/>
          <w:sz w:val="21"/>
          <w:szCs w:val="21"/>
          <w:highlight w:val="none"/>
        </w:rPr>
        <w:t>16.2投标报价具体包括内容详见“投标人须知前附表”。</w:t>
      </w:r>
    </w:p>
    <w:p w14:paraId="48FACC49">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16.3投标人必须就所投每个分标的全部内容分别作完整唯一总价报价，不得存在漏项报价；投标人必须就所投分标的单项内容作唯一报价。</w:t>
      </w:r>
    </w:p>
    <w:p w14:paraId="3AF1C18F">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17.投标有效期</w:t>
      </w:r>
    </w:p>
    <w:p w14:paraId="1D006D71">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bookmarkStart w:id="200" w:name="_17.1投标有效期应按“投标人须知中的前附表”规定的期限。"/>
      <w:bookmarkEnd w:id="200"/>
      <w:r>
        <w:rPr>
          <w:rFonts w:hint="eastAsia" w:ascii="宋体" w:hAnsi="宋体" w:eastAsia="宋体" w:cs="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08AE0AC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17.2</w:t>
      </w:r>
      <w:bookmarkStart w:id="201" w:name="_Toc254970540"/>
      <w:bookmarkStart w:id="202" w:name="_Toc254970681"/>
      <w:r>
        <w:rPr>
          <w:rFonts w:hint="eastAsia" w:ascii="宋体" w:hAnsi="宋体" w:eastAsia="宋体" w:cs="宋体"/>
          <w:b w:val="0"/>
          <w:color w:val="auto"/>
          <w:sz w:val="21"/>
          <w:szCs w:val="21"/>
          <w:highlight w:val="none"/>
        </w:rPr>
        <w:t>投标有效期应按规定的期限作出承诺，具体详见“投标人须知前附表”。</w:t>
      </w:r>
    </w:p>
    <w:p w14:paraId="146ED69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17.3投标人的投标文件在投标有效期内均保持有效。</w:t>
      </w:r>
      <w:bookmarkEnd w:id="201"/>
      <w:bookmarkEnd w:id="202"/>
    </w:p>
    <w:p w14:paraId="6BCB284C">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203" w:name="_18.投标保证金"/>
      <w:bookmarkEnd w:id="203"/>
      <w:bookmarkStart w:id="204" w:name="_Toc254970682"/>
      <w:bookmarkStart w:id="205" w:name="_Toc254970541"/>
      <w:r>
        <w:rPr>
          <w:rFonts w:hint="eastAsia" w:ascii="宋体" w:hAnsi="宋体" w:eastAsia="宋体" w:cs="宋体"/>
          <w:color w:val="auto"/>
          <w:sz w:val="21"/>
          <w:szCs w:val="21"/>
          <w:highlight w:val="none"/>
        </w:rPr>
        <w:t>18.投标保证金</w:t>
      </w:r>
      <w:bookmarkEnd w:id="204"/>
      <w:bookmarkEnd w:id="205"/>
    </w:p>
    <w:p w14:paraId="52A0ADC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18.1投标人须按“投标人须知前附表”的规定提交投标保证金。</w:t>
      </w:r>
    </w:p>
    <w:p w14:paraId="061B20B7">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18.2投标保证金的退还</w:t>
      </w:r>
    </w:p>
    <w:p w14:paraId="7DE44182">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未中标人的投标保证金自中标通知书发出之日起</w:t>
      </w:r>
      <w:r>
        <w:rPr>
          <w:rFonts w:hint="eastAsia" w:ascii="宋体" w:hAnsi="宋体" w:eastAsia="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个工作日内退还；中标人的投标保证金自政府采购合同签订之日起</w:t>
      </w:r>
      <w:r>
        <w:rPr>
          <w:rFonts w:hint="eastAsia" w:ascii="宋体" w:hAnsi="宋体" w:eastAsia="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个工作日内退还。</w:t>
      </w:r>
    </w:p>
    <w:p w14:paraId="7C9D094A">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18.3除逾期退还投标保证金和终止招标的情形以外，投标保证金不计息。</w:t>
      </w:r>
    </w:p>
    <w:p w14:paraId="3F0A10E8">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18.4投标人有下列情形之一的，投标保证金将不予退还：</w:t>
      </w:r>
    </w:p>
    <w:p w14:paraId="316C7197">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（1）投标人在投标有效期内撤销投标文件的；</w:t>
      </w:r>
    </w:p>
    <w:p w14:paraId="4ED54D7A">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（2）未按规定提交履约保证金的；</w:t>
      </w:r>
    </w:p>
    <w:p w14:paraId="2DF11FC4">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（3）投标人在投标过程中弄虚作假，提供虚假材料的；</w:t>
      </w:r>
    </w:p>
    <w:p w14:paraId="599106C7">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（4）中标人无正当理由不与采购人签订合同的；</w:t>
      </w:r>
    </w:p>
    <w:p w14:paraId="384FBC5E">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（5）投标人出现本章第9.2、9.3情形的；</w:t>
      </w:r>
    </w:p>
    <w:p w14:paraId="6335A614">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（6）法律法规规定的其他情形。</w:t>
      </w:r>
    </w:p>
    <w:p w14:paraId="607CD3A0">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206" w:name="_Toc254970683"/>
      <w:bookmarkStart w:id="207" w:name="_Toc254970542"/>
      <w:r>
        <w:rPr>
          <w:rFonts w:hint="eastAsia" w:ascii="宋体" w:hAnsi="宋体" w:eastAsia="宋体" w:cs="宋体"/>
          <w:color w:val="auto"/>
          <w:sz w:val="21"/>
          <w:szCs w:val="21"/>
          <w:highlight w:val="none"/>
        </w:rPr>
        <w:t>19.投标文件的</w:t>
      </w:r>
      <w:bookmarkEnd w:id="206"/>
      <w:bookmarkEnd w:id="207"/>
      <w:r>
        <w:rPr>
          <w:rFonts w:hint="eastAsia" w:ascii="宋体" w:hAnsi="宋体" w:eastAsia="宋体" w:cs="宋体"/>
          <w:color w:val="auto"/>
          <w:sz w:val="21"/>
          <w:szCs w:val="21"/>
          <w:highlight w:val="none"/>
        </w:rPr>
        <w:t>编制</w:t>
      </w:r>
    </w:p>
    <w:p w14:paraId="6BDE6BA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19.1投标人应先安装“广西政府采购云平台电子投标客户端”（请自行前往广西政府采购云平台进行下载），并按照本项目招标文件规定的格式和顺序和广西政府采购云平台的要求编制并加密。投标文件内容不完整、编排混乱导致投标文件被误读、漏读或者查找不到相关内容的，由此引发的后果由投标人承担。</w:t>
      </w:r>
    </w:p>
    <w:p w14:paraId="1AD51927">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bookmarkStart w:id="208" w:name="_19.2投标文件应按报价文件、资格证明文件、商务文件、技术文件分别编制"/>
      <w:bookmarkEnd w:id="208"/>
      <w:r>
        <w:rPr>
          <w:rFonts w:hint="eastAsia" w:ascii="宋体" w:hAnsi="宋体" w:eastAsia="宋体" w:cs="宋体"/>
          <w:b w:val="0"/>
          <w:color w:val="auto"/>
          <w:sz w:val="21"/>
          <w:szCs w:val="21"/>
          <w:highlight w:val="none"/>
        </w:rPr>
        <w:t>19.2为确保网上操作合法、有效和安全，投标人应当在投标截止时间前完成在广西政府采购云平台的身份认证，确保在电子投标过程中能够对相关数据电文进行加密和使用电子签章。</w:t>
      </w:r>
    </w:p>
    <w:p w14:paraId="7F1D53A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19.3投标文件须由投标人在规定位置签字（或者电子签名）、盖章（具体以投标人须知前附表或投标文件格式规定为准），</w:t>
      </w:r>
      <w:r>
        <w:rPr>
          <w:rFonts w:hint="eastAsia" w:ascii="宋体" w:hAnsi="宋体" w:eastAsia="宋体" w:cs="宋体"/>
          <w:bCs/>
          <w:color w:val="auto"/>
          <w:sz w:val="21"/>
          <w:szCs w:val="21"/>
          <w:highlight w:val="none"/>
        </w:rPr>
        <w:t>否则按无效投标处理</w:t>
      </w:r>
      <w:r>
        <w:rPr>
          <w:rFonts w:hint="eastAsia" w:ascii="宋体" w:hAnsi="宋体" w:eastAsia="宋体" w:cs="宋体"/>
          <w:b w:val="0"/>
          <w:color w:val="auto"/>
          <w:sz w:val="21"/>
          <w:szCs w:val="21"/>
          <w:highlight w:val="none"/>
        </w:rPr>
        <w:t>。</w:t>
      </w:r>
    </w:p>
    <w:p w14:paraId="12699DA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w:t>
      </w:r>
      <w:r>
        <w:rPr>
          <w:rFonts w:hint="eastAsia" w:ascii="宋体" w:hAnsi="宋体" w:eastAsia="宋体" w:cs="宋体"/>
          <w:b w:val="0"/>
          <w:color w:val="auto"/>
          <w:sz w:val="21"/>
          <w:szCs w:val="21"/>
          <w:highlight w:val="none"/>
          <w:lang w:eastAsia="zh-CN"/>
        </w:rPr>
        <w:t>签字</w:t>
      </w:r>
      <w:r>
        <w:rPr>
          <w:rFonts w:hint="eastAsia" w:ascii="宋体" w:hAnsi="宋体" w:eastAsia="宋体" w:cs="宋体"/>
          <w:b w:val="0"/>
          <w:color w:val="auto"/>
          <w:sz w:val="21"/>
          <w:szCs w:val="21"/>
          <w:highlight w:val="none"/>
        </w:rPr>
        <w:t>一致，</w:t>
      </w:r>
      <w:r>
        <w:rPr>
          <w:rFonts w:hint="eastAsia" w:ascii="宋体" w:hAnsi="宋体" w:eastAsia="宋体" w:cs="宋体"/>
          <w:color w:val="auto"/>
          <w:sz w:val="21"/>
          <w:szCs w:val="21"/>
          <w:highlight w:val="none"/>
        </w:rPr>
        <w:t>否则按无效投标处理</w:t>
      </w:r>
      <w:r>
        <w:rPr>
          <w:rFonts w:hint="eastAsia" w:ascii="宋体" w:hAnsi="宋体" w:eastAsia="宋体" w:cs="宋体"/>
          <w:b w:val="0"/>
          <w:color w:val="auto"/>
          <w:sz w:val="21"/>
          <w:szCs w:val="21"/>
          <w:highlight w:val="none"/>
        </w:rPr>
        <w:t>。</w:t>
      </w:r>
    </w:p>
    <w:p w14:paraId="726CAEF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57825815">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20.投标文件的加密、解密</w:t>
      </w:r>
    </w:p>
    <w:p w14:paraId="088A6DE1">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20.1电子投标文件编制完成后，投标人应按</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的要求进行加密，并在规定时间内解密，否则，由此产生的后果由投标人自行负责。</w:t>
      </w:r>
    </w:p>
    <w:p w14:paraId="382A6DC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20.2</w:t>
      </w:r>
      <w:r>
        <w:rPr>
          <w:rFonts w:hint="eastAsia" w:ascii="宋体" w:hAnsi="宋体" w:eastAsia="宋体" w:cs="宋体"/>
          <w:color w:val="auto"/>
          <w:sz w:val="21"/>
          <w:szCs w:val="21"/>
          <w:highlight w:val="none"/>
        </w:rPr>
        <w:t>电子备份投标文件是指通过“广西政府采购云平台电子投标客户端”在线编制生成且后缀名为“bfbs”的文件，</w:t>
      </w:r>
      <w:r>
        <w:rPr>
          <w:rFonts w:hint="eastAsia" w:ascii="宋体" w:hAnsi="宋体" w:eastAsia="宋体" w:cs="宋体"/>
          <w:color w:val="auto"/>
          <w:sz w:val="21"/>
          <w:szCs w:val="21"/>
          <w:highlight w:val="none"/>
          <w:lang w:val="en-US" w:eastAsia="zh-CN"/>
        </w:rPr>
        <w:t>本项目不</w:t>
      </w:r>
      <w:r>
        <w:rPr>
          <w:rFonts w:hint="eastAsia" w:ascii="宋体" w:hAnsi="宋体" w:eastAsia="宋体" w:cs="宋体"/>
          <w:color w:val="auto"/>
          <w:sz w:val="21"/>
          <w:szCs w:val="21"/>
          <w:highlight w:val="none"/>
        </w:rPr>
        <w:t>接受电子备份投标文件</w:t>
      </w:r>
      <w:r>
        <w:rPr>
          <w:rFonts w:hint="eastAsia" w:ascii="宋体" w:hAnsi="宋体" w:eastAsia="宋体" w:cs="宋体"/>
          <w:bCs/>
          <w:color w:val="auto"/>
          <w:sz w:val="21"/>
          <w:szCs w:val="21"/>
          <w:highlight w:val="none"/>
          <w:lang w:eastAsia="zh-CN"/>
        </w:rPr>
        <w:t>。</w:t>
      </w:r>
    </w:p>
    <w:p w14:paraId="1ED8F7CC">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21.投标文件的提交</w:t>
      </w:r>
    </w:p>
    <w:p w14:paraId="05A6D15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bookmarkStart w:id="209" w:name="_21.1投标人必须在“投标人须知中的前附表”规定的投标文件接收时间和投"/>
      <w:bookmarkEnd w:id="209"/>
      <w:r>
        <w:rPr>
          <w:rFonts w:hint="eastAsia" w:ascii="宋体" w:hAnsi="宋体" w:eastAsia="宋体" w:cs="宋体"/>
          <w:b w:val="0"/>
          <w:color w:val="auto"/>
          <w:sz w:val="21"/>
          <w:szCs w:val="21"/>
          <w:highlight w:val="none"/>
        </w:rPr>
        <w:t>21.1</w:t>
      </w:r>
      <w:r>
        <w:rPr>
          <w:rFonts w:hint="eastAsia" w:ascii="宋体" w:hAnsi="宋体" w:eastAsia="宋体" w:cs="宋体"/>
          <w:bCs/>
          <w:color w:val="auto"/>
          <w:sz w:val="21"/>
          <w:szCs w:val="21"/>
          <w:highlight w:val="none"/>
        </w:rPr>
        <w:t>投标人必须在“投标人须知前附表”规定的</w:t>
      </w:r>
      <w:r>
        <w:rPr>
          <w:rFonts w:hint="eastAsia" w:ascii="宋体" w:hAnsi="宋体" w:eastAsia="宋体" w:cs="宋体"/>
          <w:color w:val="auto"/>
          <w:sz w:val="21"/>
          <w:szCs w:val="21"/>
          <w:highlight w:val="none"/>
        </w:rPr>
        <w:t>提交投标文件截止时间前将</w:t>
      </w:r>
      <w:r>
        <w:rPr>
          <w:rFonts w:hint="eastAsia" w:ascii="宋体" w:hAnsi="宋体" w:eastAsia="宋体" w:cs="宋体"/>
          <w:bCs/>
          <w:color w:val="auto"/>
          <w:sz w:val="21"/>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eastAsia="宋体" w:cs="宋体"/>
          <w:color w:val="auto"/>
          <w:sz w:val="21"/>
          <w:szCs w:val="21"/>
          <w:highlight w:val="none"/>
        </w:rPr>
        <w:t>广西政府采购云平台</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供</w:t>
      </w:r>
      <w:r>
        <w:rPr>
          <w:rFonts w:hint="eastAsia" w:ascii="宋体" w:hAnsi="宋体" w:eastAsia="宋体" w:cs="宋体"/>
          <w:b w:val="0"/>
          <w:color w:val="auto"/>
          <w:sz w:val="21"/>
          <w:szCs w:val="21"/>
          <w:highlight w:val="none"/>
        </w:rPr>
        <w:t>应商在</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提交电子版投标文件时，请填写参加远程开标活动经办人联系方式。</w:t>
      </w:r>
    </w:p>
    <w:p w14:paraId="2B905712">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jc w:val="left"/>
        <w:textAlignment w:val="auto"/>
        <w:outlineLvl w:val="9"/>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rPr>
        <w:t>21.</w:t>
      </w:r>
      <w:r>
        <w:rPr>
          <w:rFonts w:hint="eastAsia" w:ascii="宋体" w:hAnsi="宋体" w:eastAsia="宋体" w:cs="宋体"/>
          <w:b w:val="0"/>
          <w:color w:val="auto"/>
          <w:sz w:val="21"/>
          <w:szCs w:val="21"/>
          <w:highlight w:val="none"/>
          <w:lang w:val="en-US" w:eastAsia="zh-CN"/>
        </w:rPr>
        <w:t>2</w:t>
      </w:r>
      <w:r>
        <w:rPr>
          <w:rFonts w:hint="eastAsia" w:ascii="宋体" w:hAnsi="宋体" w:eastAsia="宋体" w:cs="宋体"/>
          <w:b w:val="0"/>
          <w:color w:val="auto"/>
          <w:sz w:val="21"/>
          <w:szCs w:val="21"/>
          <w:highlight w:val="none"/>
        </w:rPr>
        <w:t>未在规定时间内上传或者未按</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的要求编制、加密的电子投标文件，</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将拒收。</w:t>
      </w:r>
    </w:p>
    <w:p w14:paraId="4E9A67A1">
      <w:pPr>
        <w:pStyle w:val="7"/>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电子投标文件提交方式见“招标公告”中“四、提交投标文件截止时间、开标时间和地点”</w:t>
      </w:r>
      <w:r>
        <w:rPr>
          <w:rFonts w:hint="eastAsia" w:ascii="宋体" w:hAnsi="宋体" w:eastAsia="宋体" w:cs="宋体"/>
          <w:color w:val="auto"/>
          <w:sz w:val="21"/>
          <w:szCs w:val="21"/>
          <w:highlight w:val="none"/>
          <w:lang w:eastAsia="zh-CN"/>
        </w:rPr>
        <w:t>。</w:t>
      </w:r>
    </w:p>
    <w:p w14:paraId="7FA8AF1F">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22.投标文件的补充、修改、撤回与退回</w:t>
      </w:r>
    </w:p>
    <w:p w14:paraId="43B99929">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lang w:eastAsia="zh-CN"/>
        </w:rPr>
      </w:pPr>
      <w:bookmarkStart w:id="210" w:name="_Toc254970543"/>
      <w:bookmarkStart w:id="211" w:name="_Toc254970684"/>
      <w:r>
        <w:rPr>
          <w:rFonts w:hint="eastAsia" w:ascii="宋体" w:hAnsi="宋体" w:eastAsia="宋体" w:cs="宋体"/>
          <w:color w:val="auto"/>
          <w:sz w:val="21"/>
          <w:szCs w:val="21"/>
          <w:highlight w:val="none"/>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将予以拒收。</w:t>
      </w:r>
      <w:r>
        <w:rPr>
          <w:rFonts w:hint="eastAsia" w:ascii="宋体" w:hAnsi="宋体" w:eastAsia="宋体" w:cs="宋体"/>
          <w:color w:val="auto"/>
          <w:sz w:val="21"/>
          <w:szCs w:val="21"/>
          <w:highlight w:val="none"/>
        </w:rPr>
        <w:t>补充、修改或者撤回方式可登录</w:t>
      </w:r>
      <w:r>
        <w:rPr>
          <w:rFonts w:hint="eastAsia" w:ascii="宋体" w:hAnsi="宋体" w:eastAsia="宋体" w:cs="宋体"/>
          <w:color w:val="auto"/>
          <w:kern w:val="0"/>
          <w:sz w:val="21"/>
          <w:szCs w:val="21"/>
          <w:highlight w:val="none"/>
        </w:rPr>
        <w:t>广西政府采购云平台，</w:t>
      </w:r>
      <w:r>
        <w:rPr>
          <w:rFonts w:hint="eastAsia" w:ascii="宋体" w:hAnsi="宋体" w:eastAsia="宋体" w:cs="宋体"/>
          <w:color w:val="auto"/>
          <w:sz w:val="21"/>
          <w:szCs w:val="21"/>
          <w:highlight w:val="none"/>
        </w:rPr>
        <w:t>进入“服务中心”中查看“电子投标文件制作与投送教程”</w:t>
      </w:r>
      <w:r>
        <w:rPr>
          <w:rFonts w:hint="eastAsia" w:ascii="宋体" w:hAnsi="宋体" w:eastAsia="宋体" w:cs="宋体"/>
          <w:color w:val="auto"/>
          <w:sz w:val="21"/>
          <w:szCs w:val="21"/>
          <w:highlight w:val="none"/>
          <w:lang w:eastAsia="zh-CN"/>
        </w:rPr>
        <w:t>。</w:t>
      </w:r>
    </w:p>
    <w:bookmarkEnd w:id="210"/>
    <w:bookmarkEnd w:id="211"/>
    <w:p w14:paraId="29A3FBC2">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22.2在投标截止时间止提交投标文件的投标人不足3家时，不得开标，采购代理机构将根据</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的操作将电子版投标文件退回，除此之外采购人和采购代理机构对已提交的投标文件概不退回。</w:t>
      </w:r>
    </w:p>
    <w:p w14:paraId="06A8844E">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22.3投标人在投标截止时间后书面通知采购人、采购代理机构撤销投标文件的，将根据本须知正文18.4的规定不予退还其投标保证金。</w:t>
      </w:r>
    </w:p>
    <w:p w14:paraId="056BCBB3">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212" w:name="_Toc254970544"/>
      <w:bookmarkStart w:id="213" w:name="_Toc254970685"/>
      <w:bookmarkStart w:id="214" w:name="_Toc32399"/>
    </w:p>
    <w:p w14:paraId="6D1CFBF1">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215" w:name="_Toc14975"/>
      <w:bookmarkStart w:id="216" w:name="_Toc17572"/>
      <w:r>
        <w:rPr>
          <w:rFonts w:hint="eastAsia" w:ascii="宋体" w:hAnsi="宋体" w:eastAsia="宋体" w:cs="宋体"/>
          <w:color w:val="auto"/>
          <w:sz w:val="21"/>
          <w:szCs w:val="21"/>
          <w:highlight w:val="none"/>
        </w:rPr>
        <w:t>四、开  标</w:t>
      </w:r>
      <w:bookmarkEnd w:id="212"/>
      <w:bookmarkEnd w:id="213"/>
      <w:bookmarkEnd w:id="214"/>
      <w:bookmarkEnd w:id="215"/>
      <w:bookmarkEnd w:id="216"/>
    </w:p>
    <w:p w14:paraId="10BF7C45">
      <w:pPr>
        <w:pStyle w:val="6"/>
        <w:keepNext w:val="0"/>
        <w:keepLines w:val="0"/>
        <w:pageBreakBefore w:val="0"/>
        <w:widowControl w:val="0"/>
        <w:kinsoku/>
        <w:wordWrap/>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217" w:name="_23.开标时间和地点"/>
      <w:bookmarkEnd w:id="217"/>
      <w:r>
        <w:rPr>
          <w:rFonts w:hint="eastAsia" w:ascii="宋体" w:hAnsi="宋体" w:eastAsia="宋体" w:cs="宋体"/>
          <w:color w:val="auto"/>
          <w:sz w:val="21"/>
          <w:szCs w:val="21"/>
          <w:highlight w:val="none"/>
        </w:rPr>
        <w:t>23.开标时间和地点</w:t>
      </w:r>
    </w:p>
    <w:p w14:paraId="40E68C16">
      <w:pPr>
        <w:keepNext w:val="0"/>
        <w:keepLines w:val="0"/>
        <w:pageBreakBefore w:val="0"/>
        <w:widowControl w:val="0"/>
        <w:kinsoku/>
        <w:wordWrap/>
        <w:overflowPunct/>
        <w:topLinePunct w:val="0"/>
        <w:bidi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23.1开标时间及地点详见“投标人须知前附表”</w:t>
      </w:r>
    </w:p>
    <w:p w14:paraId="6B624E90">
      <w:pPr>
        <w:keepNext w:val="0"/>
        <w:keepLines w:val="0"/>
        <w:pageBreakBefore w:val="0"/>
        <w:widowControl w:val="0"/>
        <w:kinsoku/>
        <w:wordWrap/>
        <w:overflowPunct/>
        <w:topLinePunct w:val="0"/>
        <w:bidi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23.2如投标人成功解密投标文件，但未在“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”电子开标大厅参加开标的，视同认可开标过程和结果，由此产生的后果由投标人自行负责。成功解密投标文件的投标人不足3家的，不得开标。</w:t>
      </w:r>
    </w:p>
    <w:p w14:paraId="32B6C6F5">
      <w:pPr>
        <w:pStyle w:val="6"/>
        <w:keepNext w:val="0"/>
        <w:keepLines w:val="0"/>
        <w:pageBreakBefore w:val="0"/>
        <w:widowControl w:val="0"/>
        <w:kinsoku/>
        <w:wordWrap/>
        <w:overflowPunct/>
        <w:topLinePunct w:val="0"/>
        <w:bidi w:val="0"/>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24.开标程序</w:t>
      </w:r>
    </w:p>
    <w:p w14:paraId="700E6576">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24.1</w:t>
      </w:r>
      <w:r>
        <w:rPr>
          <w:rFonts w:hint="eastAsia" w:ascii="宋体" w:hAnsi="宋体" w:eastAsia="宋体" w:cs="宋体"/>
          <w:color w:val="auto"/>
          <w:kern w:val="0"/>
          <w:sz w:val="21"/>
          <w:szCs w:val="21"/>
          <w:highlight w:val="none"/>
        </w:rPr>
        <w:t>开标形式：</w:t>
      </w:r>
    </w:p>
    <w:p w14:paraId="3410991A">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采购代理机构将按照招标文件规定的时间通过</w:t>
      </w:r>
      <w:r>
        <w:rPr>
          <w:rFonts w:hint="eastAsia" w:ascii="宋体" w:hAnsi="宋体" w:eastAsia="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rPr>
        <w:t>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F0911ED">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24.2开标程序：</w:t>
      </w:r>
    </w:p>
    <w:p w14:paraId="000E8058">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解密电子投标文件。广西政府采购云平台按开标时间自动提取所有投标文件。采购代理机构依托广西政府采购云平台向各投标人发出电子加密投标文件【开始解密】通知，由投标人按</w:t>
      </w:r>
      <w:r>
        <w:rPr>
          <w:rFonts w:hint="eastAsia" w:ascii="宋体" w:hAnsi="宋体" w:eastAsia="宋体" w:cs="宋体"/>
          <w:bCs/>
          <w:color w:val="auto"/>
          <w:sz w:val="21"/>
          <w:szCs w:val="21"/>
          <w:highlight w:val="none"/>
        </w:rPr>
        <w:t>“投标人须知前附表”</w:t>
      </w:r>
      <w:r>
        <w:rPr>
          <w:rFonts w:hint="eastAsia" w:ascii="宋体" w:hAnsi="宋体" w:eastAsia="宋体" w:cs="宋体"/>
          <w:color w:val="auto"/>
          <w:sz w:val="21"/>
          <w:szCs w:val="21"/>
          <w:highlight w:val="none"/>
        </w:rPr>
        <w:t>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eastAsia="宋体" w:cs="宋体"/>
          <w:b/>
          <w:color w:val="auto"/>
          <w:sz w:val="21"/>
          <w:szCs w:val="21"/>
          <w:highlight w:val="none"/>
        </w:rPr>
        <w:t>投标人未在规定的时间内解密投标文件或者解密失败的，投标人的投标文件作无效处理。</w:t>
      </w:r>
    </w:p>
    <w:p w14:paraId="30C21C3A">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（2）电子唱标。投标文件解密结束，各投标供应商报价均在</w:t>
      </w:r>
      <w:r>
        <w:rPr>
          <w:rFonts w:hint="eastAsia" w:ascii="宋体" w:hAnsi="宋体" w:eastAsia="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rPr>
        <w:t>远程不见面开标大厅展示</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rPr>
        <w:t>具体详见</w:t>
      </w:r>
      <w:r>
        <w:rPr>
          <w:rFonts w:hint="eastAsia" w:ascii="宋体" w:hAnsi="宋体" w:eastAsia="宋体" w:cs="宋体"/>
          <w:bCs/>
          <w:color w:val="auto"/>
          <w:sz w:val="21"/>
          <w:szCs w:val="21"/>
          <w:highlight w:val="none"/>
        </w:rPr>
        <w:t>“投标人须知前附表”</w:t>
      </w:r>
    </w:p>
    <w:p w14:paraId="560D0E85">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（3）开标过程由采购代理机构如实记录，并电子留痕，由参加电子开标的各投标人代表对电子开标记录在开标记录公布后15分钟内进行当场校核及勘误，并线上确认，未确认的视同认可开标结果。</w:t>
      </w:r>
    </w:p>
    <w:p w14:paraId="7B6F2160">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4FC592EF">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）开标结束。</w:t>
      </w:r>
    </w:p>
    <w:p w14:paraId="6EC8677B">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特别说明：如遇</w:t>
      </w:r>
      <w:r>
        <w:rPr>
          <w:rFonts w:hint="eastAsia" w:ascii="宋体" w:hAnsi="宋体" w:eastAsia="宋体" w:cs="宋体"/>
          <w:b/>
          <w:bCs/>
          <w:color w:val="auto"/>
          <w:sz w:val="21"/>
          <w:szCs w:val="21"/>
          <w:highlight w:val="none"/>
          <w:lang w:eastAsia="zh-CN"/>
        </w:rPr>
        <w:t>广西政府采购云平台</w:t>
      </w:r>
      <w:r>
        <w:rPr>
          <w:rFonts w:hint="eastAsia" w:ascii="宋体" w:hAnsi="宋体" w:eastAsia="宋体" w:cs="宋体"/>
          <w:b/>
          <w:bCs/>
          <w:color w:val="auto"/>
          <w:sz w:val="21"/>
          <w:szCs w:val="21"/>
          <w:highlight w:val="none"/>
        </w:rPr>
        <w:t>电子化开标或评审程序调整的，按调整后执行。</w:t>
      </w:r>
    </w:p>
    <w:p w14:paraId="0A523ACF">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218" w:name="_Toc12597"/>
    </w:p>
    <w:p w14:paraId="60F24D84">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219" w:name="_Toc22155"/>
      <w:bookmarkStart w:id="220" w:name="_Toc23470"/>
      <w:r>
        <w:rPr>
          <w:rFonts w:hint="eastAsia" w:ascii="宋体" w:hAnsi="宋体" w:eastAsia="宋体" w:cs="宋体"/>
          <w:color w:val="auto"/>
          <w:sz w:val="21"/>
          <w:szCs w:val="21"/>
          <w:highlight w:val="none"/>
        </w:rPr>
        <w:t>五、资格审查</w:t>
      </w:r>
      <w:bookmarkEnd w:id="218"/>
      <w:bookmarkEnd w:id="219"/>
      <w:bookmarkEnd w:id="220"/>
    </w:p>
    <w:p w14:paraId="7857AEE5">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25.资格审查</w:t>
      </w:r>
    </w:p>
    <w:p w14:paraId="65979F50">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25.1开标结束后，采购人或者采购代理机构依法对投标人的资格进行审查。</w:t>
      </w:r>
    </w:p>
    <w:p w14:paraId="2D65BAC3">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25.2资格审查标准为本招标文件中载明对投标人资格要求的条件。本项目资格审查采用合格制，凡符合招标文件规定的投标人资格要求的投标人均通过资格审查。</w:t>
      </w:r>
    </w:p>
    <w:p w14:paraId="7F7DA36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bookmarkStart w:id="221" w:name="_25.3_投标人有下列情形之一的，资格审查不通过而导致其投标无效："/>
      <w:bookmarkEnd w:id="221"/>
      <w:r>
        <w:rPr>
          <w:rFonts w:hint="eastAsia" w:ascii="宋体" w:hAnsi="宋体" w:eastAsia="宋体" w:cs="宋体"/>
          <w:color w:val="auto"/>
          <w:sz w:val="21"/>
          <w:szCs w:val="21"/>
          <w:highlight w:val="none"/>
        </w:rPr>
        <w:t>25.3投标人有下列情形之一的，资格审查不通过，作无效投标处理：</w:t>
      </w:r>
    </w:p>
    <w:p w14:paraId="604F43B0">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（1）不具备招标文件中规定的资格要求的；</w:t>
      </w:r>
    </w:p>
    <w:p w14:paraId="0E56A010">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）在“信用中国”网站（www.creditchina.gov.cn） 、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p>
    <w:p w14:paraId="2BAC39E3">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）同一合同项下的不同投标人，单位负责人为同一人或者存在直接控股、管理关系的；为本项目提供过整体设计、规范编制或者项目管理、监理、检测等服务的供应商，再参加该采购项目的其他采购活动的；</w:t>
      </w:r>
    </w:p>
    <w:p w14:paraId="71D6EE46">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）投标文件中的资格证明文件缺少任一项“投标人须知前附表”资格证明文件规定“必须提供”的文件资料的；</w:t>
      </w:r>
    </w:p>
    <w:p w14:paraId="46662E5E">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）投标文件中的资格证明文件出现任一项不符合“投标人须知前附表”资格证明文件规定“必须提供”的文件资料要求或者无效的。</w:t>
      </w:r>
    </w:p>
    <w:p w14:paraId="08D648F3">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25.4合格投标人不足3家的，不得评标。</w:t>
      </w:r>
    </w:p>
    <w:p w14:paraId="208DEE37">
      <w:pPr>
        <w:pStyle w:val="25"/>
        <w:keepNext w:val="0"/>
        <w:keepLines w:val="0"/>
        <w:pageBreakBefore w:val="0"/>
        <w:widowControl w:val="0"/>
        <w:kinsoku/>
        <w:wordWrap/>
        <w:overflowPunct/>
        <w:topLinePunct w:val="0"/>
        <w:bidi w:val="0"/>
        <w:snapToGrid w:val="0"/>
        <w:spacing w:line="400" w:lineRule="exact"/>
        <w:ind w:left="210" w:leftChars="0" w:hanging="210" w:hangingChars="100"/>
        <w:textAlignment w:val="auto"/>
        <w:rPr>
          <w:rFonts w:hint="eastAsia" w:ascii="宋体" w:hAnsi="宋体" w:eastAsia="宋体" w:cs="宋体"/>
          <w:color w:val="auto"/>
          <w:sz w:val="21"/>
          <w:szCs w:val="21"/>
          <w:highlight w:val="none"/>
        </w:rPr>
      </w:pPr>
    </w:p>
    <w:p w14:paraId="72061B3A">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222" w:name="_Toc12834"/>
      <w:bookmarkStart w:id="223" w:name="_Toc29389"/>
      <w:bookmarkStart w:id="224" w:name="_Toc7198"/>
      <w:r>
        <w:rPr>
          <w:rFonts w:hint="eastAsia" w:ascii="宋体" w:hAnsi="宋体" w:eastAsia="宋体" w:cs="宋体"/>
          <w:color w:val="auto"/>
          <w:sz w:val="21"/>
          <w:szCs w:val="21"/>
          <w:highlight w:val="none"/>
        </w:rPr>
        <w:t>六、评  标</w:t>
      </w:r>
      <w:bookmarkEnd w:id="222"/>
      <w:bookmarkEnd w:id="223"/>
      <w:bookmarkEnd w:id="224"/>
    </w:p>
    <w:p w14:paraId="77119B27">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225" w:name="_26.组建评标委员会"/>
      <w:bookmarkEnd w:id="225"/>
      <w:r>
        <w:rPr>
          <w:rFonts w:hint="eastAsia" w:ascii="宋体" w:hAnsi="宋体" w:eastAsia="宋体" w:cs="宋体"/>
          <w:color w:val="auto"/>
          <w:sz w:val="21"/>
          <w:szCs w:val="21"/>
          <w:highlight w:val="none"/>
        </w:rPr>
        <w:t>26.组建评标委员会</w:t>
      </w:r>
    </w:p>
    <w:p w14:paraId="47A3C949">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评标委员会由采购人代表和评审专家组成，具体人数详见“投标人须知前附表”，其中评审专家不得少于成员总数的三分之二。</w:t>
      </w:r>
    </w:p>
    <w:p w14:paraId="1A8ECAF6">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参加过采购项目前期咨询论证的专家，不得参加该采购项目的评审活动。</w:t>
      </w:r>
    </w:p>
    <w:p w14:paraId="6ECE4FBD">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27.评标的依据</w:t>
      </w:r>
    </w:p>
    <w:p w14:paraId="0B1707D8">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评标委员会以“第四章 评标方法和评标标准”为依据对投标文件进行评审，没有规定的方法、评审因素和标准，不作为评标依据。</w:t>
      </w:r>
    </w:p>
    <w:p w14:paraId="0537B942">
      <w:pPr>
        <w:pStyle w:val="6"/>
        <w:keepNext w:val="0"/>
        <w:keepLines w:val="0"/>
        <w:pageBreakBefore w:val="0"/>
        <w:widowControl w:val="0"/>
        <w:kinsoku/>
        <w:wordWrap/>
        <w:overflowPunct/>
        <w:topLinePunct w:val="0"/>
        <w:autoSpaceDE/>
        <w:autoSpaceDN/>
        <w:bidi w:val="0"/>
        <w:adjustRightInd/>
        <w:spacing w:before="0"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28.评标原则</w:t>
      </w:r>
    </w:p>
    <w:p w14:paraId="2850F8AE">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评标原则。评标委员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ED1A636">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w:t>
      </w:r>
      <w:bookmarkStart w:id="226" w:name="_28.3评标方法。本项目将按须知前附表规定的评标办法进行评标，具体评标"/>
      <w:bookmarkEnd w:id="226"/>
      <w:r>
        <w:rPr>
          <w:rFonts w:hint="eastAsia" w:ascii="宋体" w:hAnsi="宋体" w:eastAsia="宋体" w:cs="宋体"/>
          <w:color w:val="auto"/>
          <w:sz w:val="21"/>
          <w:szCs w:val="21"/>
          <w:highlight w:val="none"/>
        </w:rPr>
        <w:t>评委表决。评标委员会成员对需要共同认定的事项存在争议的，应当按照少数服从多数的原则作出结论。</w:t>
      </w:r>
    </w:p>
    <w:p w14:paraId="20B54B89">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C1F0AED">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28.4评标过程的监控。本项目评标过程实行全程录音、录像监控，</w:t>
      </w:r>
      <w:r>
        <w:rPr>
          <w:rFonts w:hint="eastAsia" w:ascii="宋体" w:hAnsi="宋体" w:eastAsia="宋体" w:cs="宋体"/>
          <w:b/>
          <w:bCs/>
          <w:color w:val="auto"/>
          <w:sz w:val="21"/>
          <w:szCs w:val="21"/>
          <w:highlight w:val="none"/>
        </w:rPr>
        <w:t>投标人在评标过程中所进行的试图影响评标结果的不公正活动，可能导致其投标无效</w:t>
      </w:r>
      <w:r>
        <w:rPr>
          <w:rFonts w:hint="eastAsia" w:ascii="宋体" w:hAnsi="宋体" w:eastAsia="宋体" w:cs="宋体"/>
          <w:color w:val="auto"/>
          <w:sz w:val="21"/>
          <w:szCs w:val="21"/>
          <w:highlight w:val="none"/>
        </w:rPr>
        <w:t>。</w:t>
      </w:r>
    </w:p>
    <w:p w14:paraId="5AB9398C">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29.评标方法及中标候选人推荐</w:t>
      </w:r>
    </w:p>
    <w:p w14:paraId="3D3C7898">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29.1本项目的评标方法详见“投标人须知前附表”。</w:t>
      </w:r>
    </w:p>
    <w:p w14:paraId="404EDEB3">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29.2中标候选人推荐数量详见“投标人须知前附表”。</w:t>
      </w:r>
    </w:p>
    <w:p w14:paraId="4C615B72">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29.3评标委员会将按照“第四章 评标方法和评标标准”规定的方法、评审因素、标准和程序对投标文件进行评审。</w:t>
      </w:r>
    </w:p>
    <w:p w14:paraId="5B4D5981">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29.4电子交易活动的中止。采购过程中出现以下情形，导致电子交易平台无法正常运行，或者无法保证电子交易的公平、公正和安全时，采购代理机构可中止电子交易活动：</w:t>
      </w:r>
    </w:p>
    <w:p w14:paraId="411BDFB7">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（1）电子交易平台发生故障而无法登录访问的； </w:t>
      </w:r>
    </w:p>
    <w:p w14:paraId="2B326239">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（2）电子交易平台应用或数据库出现错误，不能进行正常操作的；</w:t>
      </w:r>
    </w:p>
    <w:p w14:paraId="5DA74AE6">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（3）电子交易平台发现严重安全漏洞，有潜在泄密危险的；</w:t>
      </w:r>
    </w:p>
    <w:p w14:paraId="08C0A108">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（4）病毒发作导致不能进行正常操作的； </w:t>
      </w:r>
    </w:p>
    <w:p w14:paraId="5B015575">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）其他无法保证电子交易的公平、公正和安全的情况。</w:t>
      </w:r>
    </w:p>
    <w:p w14:paraId="617284D8">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29.5出现以上情形，不影响采购公平、公正性的，采购代理机构可以待上述情形消除后继续组织电子交易活动；影响或可能影响采购公平、公正性的，经采购代理机构确认后，应当重新采购。</w:t>
      </w:r>
    </w:p>
    <w:p w14:paraId="606A75D8">
      <w:pPr>
        <w:pStyle w:val="25"/>
        <w:keepNext w:val="0"/>
        <w:keepLines w:val="0"/>
        <w:pageBreakBefore w:val="0"/>
        <w:widowControl w:val="0"/>
        <w:kinsoku/>
        <w:wordWrap/>
        <w:overflowPunct/>
        <w:topLinePunct w:val="0"/>
        <w:bidi w:val="0"/>
        <w:snapToGrid w:val="0"/>
        <w:spacing w:line="400" w:lineRule="exact"/>
        <w:ind w:left="0" w:leftChars="0"/>
        <w:textAlignment w:val="auto"/>
        <w:rPr>
          <w:rFonts w:hint="eastAsia" w:ascii="宋体" w:hAnsi="宋体" w:eastAsia="宋体" w:cs="宋体"/>
          <w:color w:val="auto"/>
          <w:sz w:val="21"/>
          <w:szCs w:val="21"/>
          <w:highlight w:val="none"/>
        </w:rPr>
      </w:pPr>
    </w:p>
    <w:p w14:paraId="3B6FBAFF">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227" w:name="_Toc254970687"/>
      <w:bookmarkStart w:id="228" w:name="_Toc254970546"/>
      <w:bookmarkStart w:id="229" w:name="_Toc17709"/>
      <w:bookmarkStart w:id="230" w:name="_Toc18008"/>
      <w:bookmarkStart w:id="231" w:name="_Toc24450"/>
      <w:r>
        <w:rPr>
          <w:rFonts w:hint="eastAsia" w:ascii="宋体" w:hAnsi="宋体" w:eastAsia="宋体" w:cs="宋体"/>
          <w:color w:val="auto"/>
          <w:sz w:val="21"/>
          <w:szCs w:val="21"/>
          <w:highlight w:val="none"/>
        </w:rPr>
        <w:t>七、</w:t>
      </w:r>
      <w:bookmarkEnd w:id="227"/>
      <w:bookmarkEnd w:id="228"/>
      <w:r>
        <w:rPr>
          <w:rFonts w:hint="eastAsia" w:ascii="宋体" w:hAnsi="宋体" w:eastAsia="宋体" w:cs="宋体"/>
          <w:color w:val="auto"/>
          <w:sz w:val="21"/>
          <w:szCs w:val="21"/>
          <w:highlight w:val="none"/>
        </w:rPr>
        <w:t>中标和合同</w:t>
      </w:r>
      <w:bookmarkEnd w:id="229"/>
      <w:bookmarkEnd w:id="230"/>
      <w:bookmarkEnd w:id="231"/>
    </w:p>
    <w:p w14:paraId="13F85373">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确定中标人</w:t>
      </w:r>
    </w:p>
    <w:p w14:paraId="16B605C8">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5BBDAD86">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002DDCED">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30.3出现下列情形之一的，应予废标：</w:t>
      </w:r>
    </w:p>
    <w:p w14:paraId="01E01F4A">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（1）符合专业条件的供应商或者对招标文件作实质响应的供应商不足三家的；</w:t>
      </w:r>
    </w:p>
    <w:p w14:paraId="2DA95873">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14:paraId="4FF8138F">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（3）投标人的报价均超过了采购预算，采购人不能支付的；</w:t>
      </w:r>
    </w:p>
    <w:p w14:paraId="064E73F0">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（4）因重大变故，采购任务取消的。</w:t>
      </w:r>
    </w:p>
    <w:p w14:paraId="6AED41B6">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废标后，采购人应当将废标理由通知所有投标人。</w:t>
      </w:r>
    </w:p>
    <w:p w14:paraId="245E4970">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中标人拒绝签订政府采购合同（包括但不限于放弃中标、因不可抗力不能履行合同而放弃签订合同），采购人可以按照评审报告推荐的中标候选人名单排序，确定下一候选人为中标供应商，也可以重新开展政府采购活动。拒绝签订政府采购合同的中标人不得参加对该项目重新开展的采购活动。</w:t>
      </w:r>
    </w:p>
    <w:p w14:paraId="36DDB480">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31.结果公告</w:t>
      </w:r>
    </w:p>
    <w:p w14:paraId="192E8B4D">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31.1采购人或者采购代理机构应当自中标人确定之日起2个工作日内，在省级以上财政部门指定的媒体上公告中标结果，招标文件应当随中标结果同时公告。</w:t>
      </w:r>
      <w:r>
        <w:rPr>
          <w:rFonts w:hint="eastAsia" w:ascii="宋体" w:hAnsi="宋体" w:eastAsia="宋体" w:cs="宋体"/>
          <w:color w:val="auto"/>
          <w:sz w:val="21"/>
          <w:szCs w:val="21"/>
          <w:highlight w:val="none"/>
        </w:rPr>
        <w:t>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宋体" w:hAnsi="宋体" w:eastAsia="宋体" w:cs="宋体"/>
          <w:b w:val="0"/>
          <w:color w:val="auto"/>
          <w:sz w:val="21"/>
          <w:szCs w:val="21"/>
          <w:highlight w:val="none"/>
        </w:rPr>
        <w:t>排名第二的中标候选人因前款规定的同样原因被取消中标资格的，采购人可以确定排名第三的中标候选人为中标人，以此类推。以上信息查询记录及相关证据与采购文件一并保存。</w:t>
      </w:r>
    </w:p>
    <w:p w14:paraId="5B49651B">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57A2C4F5">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32.发出中标通知书</w:t>
      </w:r>
    </w:p>
    <w:p w14:paraId="0E2C6760">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在公告中标结果的同时，采购代理机构向中标人通过广西政府采购云平台发出电子中标通知书。对未通过资格审查的投标人，应当告知其未通过的原因；采用综合评分办法评审的，还应当告知未中标人本人的评审得分与排序。</w:t>
      </w:r>
    </w:p>
    <w:p w14:paraId="028A73B8">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33.无义务解释未中标原因</w:t>
      </w:r>
    </w:p>
    <w:p w14:paraId="12AEEC7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采购代理机构无义务向未中标的投标人解释未中标原因和退还投标文件。</w:t>
      </w:r>
    </w:p>
    <w:p w14:paraId="68231684">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34.合同授予标准</w:t>
      </w:r>
    </w:p>
    <w:p w14:paraId="1CDEB974">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合同将授予被确定实质上响应招标文件要求，具备履行合同能力的中标人（招标文件另有约定多名中标人的除外）。</w:t>
      </w:r>
    </w:p>
    <w:p w14:paraId="18A1FF99">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35.履约保证金</w:t>
      </w:r>
    </w:p>
    <w:p w14:paraId="0FB83C54">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bookmarkStart w:id="232" w:name="_39.1中标人须于签订合同前按本须知前附表规定的金额转账或电汇到指定账"/>
      <w:bookmarkEnd w:id="232"/>
      <w:r>
        <w:rPr>
          <w:rFonts w:hint="eastAsia" w:ascii="宋体" w:hAnsi="宋体" w:eastAsia="宋体" w:cs="宋体"/>
          <w:b w:val="0"/>
          <w:color w:val="auto"/>
          <w:sz w:val="21"/>
          <w:szCs w:val="21"/>
          <w:highlight w:val="none"/>
        </w:rPr>
        <w:t>35.1履约保证金的金额、提交方式、退付的时间和条件详见“投标人须知前附表”。中标人未按规定提交履约保证金的，视为拒绝与采购人签订合同。</w:t>
      </w:r>
    </w:p>
    <w:p w14:paraId="11AB2D92">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35.2在履约保证金退还日期前，若中标人的开户名称、开户银行、</w:t>
      </w:r>
      <w:r>
        <w:rPr>
          <w:rFonts w:hint="eastAsia" w:ascii="宋体" w:hAnsi="宋体" w:eastAsia="宋体" w:cs="宋体"/>
          <w:b w:val="0"/>
          <w:bCs/>
          <w:color w:val="auto"/>
          <w:sz w:val="21"/>
          <w:szCs w:val="21"/>
          <w:highlight w:val="none"/>
          <w:lang w:eastAsia="zh-CN"/>
        </w:rPr>
        <w:t>账号</w:t>
      </w:r>
      <w:r>
        <w:rPr>
          <w:rFonts w:hint="eastAsia" w:ascii="宋体" w:hAnsi="宋体" w:eastAsia="宋体" w:cs="宋体"/>
          <w:b w:val="0"/>
          <w:bCs/>
          <w:color w:val="auto"/>
          <w:sz w:val="21"/>
          <w:szCs w:val="21"/>
          <w:highlight w:val="none"/>
        </w:rPr>
        <w:t>有变动的，请以书面形式通知履约保证金收取单位，否则由此产生的后果由中标人自行承担。</w:t>
      </w:r>
    </w:p>
    <w:p w14:paraId="38D2D2FE">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36.签订合同</w:t>
      </w:r>
    </w:p>
    <w:p w14:paraId="7D2F669E">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bCs/>
          <w:color w:val="auto"/>
          <w:sz w:val="21"/>
          <w:szCs w:val="21"/>
          <w:highlight w:val="none"/>
        </w:rPr>
      </w:pPr>
      <w:bookmarkStart w:id="233" w:name="_40.1投标人接到中标通知书后，按须知前附表规定向采购人出示相关资格证"/>
      <w:bookmarkEnd w:id="233"/>
      <w:r>
        <w:rPr>
          <w:rFonts w:hint="eastAsia" w:ascii="宋体" w:hAnsi="宋体" w:eastAsia="宋体" w:cs="宋体"/>
          <w:b w:val="0"/>
          <w:color w:val="auto"/>
          <w:sz w:val="21"/>
          <w:szCs w:val="21"/>
          <w:highlight w:val="none"/>
        </w:rPr>
        <w:t>36.1投标人领取中标通知书（书面或电子）后，按“投标人须知前附表”规定向采购人出示相关证明材料，经采购人核验合格后方可签订采购合同（书面或电子）。</w:t>
      </w:r>
      <w:r>
        <w:rPr>
          <w:rFonts w:hint="eastAsia" w:ascii="宋体" w:hAnsi="宋体" w:eastAsia="宋体" w:cs="宋体"/>
          <w:b w:val="0"/>
          <w:bCs/>
          <w:color w:val="auto"/>
          <w:sz w:val="21"/>
          <w:szCs w:val="21"/>
          <w:highlight w:val="none"/>
        </w:rPr>
        <w:t>如中标人为联合体的，联合体各方应当共同与采购人签订采购合同，就采购合同约定的事项对采购人承担连带责任。</w:t>
      </w:r>
    </w:p>
    <w:p w14:paraId="27DDD8E0">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36.2签订合同时间：按中标通知书规定的时间与采购人签订合同（最长不能超过25日）。</w:t>
      </w:r>
    </w:p>
    <w:p w14:paraId="42C34688">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385E4697">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36.4政府采购合同是政府采购项目验收的依据，中标供应商和采购人应当按照采购合同约定的各自的权利和义务全面履行合同。任何一方当事人在履行合同过程中均不得擅自变更、中止或解除合同。政府采购合同继续履行将损害国家利益和社会公共利益的，双方当事人应当变更、中止或解除合同。有过错的一方应当承担赔偿责任，双方都有过错的，各自承担相应的责任。</w:t>
      </w:r>
    </w:p>
    <w:p w14:paraId="4D408FB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59D581D3">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36.6如签订合同并生效后，供应商无故拒绝或延期，除按照合同条款处理外，将承担相应的法律责任。</w:t>
      </w:r>
    </w:p>
    <w:p w14:paraId="009C82FD">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397D4BD0">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234" w:name="_41.政府采购合同公告"/>
      <w:bookmarkEnd w:id="234"/>
      <w:r>
        <w:rPr>
          <w:rFonts w:hint="eastAsia" w:ascii="宋体" w:hAnsi="宋体" w:eastAsia="宋体" w:cs="宋体"/>
          <w:color w:val="auto"/>
          <w:sz w:val="21"/>
          <w:szCs w:val="21"/>
          <w:highlight w:val="none"/>
        </w:rPr>
        <w:t>37.政府采购合同公告</w:t>
      </w:r>
    </w:p>
    <w:p w14:paraId="718A6FBC">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726BFC0E">
      <w:pPr>
        <w:pStyle w:val="6"/>
        <w:keepNext w:val="0"/>
        <w:keepLines w:val="0"/>
        <w:pageBreakBefore w:val="0"/>
        <w:widowControl w:val="0"/>
        <w:kinsoku/>
        <w:wordWrap/>
        <w:overflowPunct/>
        <w:topLinePunct w:val="0"/>
        <w:autoSpaceDE/>
        <w:autoSpaceDN/>
        <w:bidi w:val="0"/>
        <w:adjustRightInd/>
        <w:spacing w:before="0"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38.询问、质疑和投诉</w:t>
      </w:r>
    </w:p>
    <w:p w14:paraId="2C8B8D82">
      <w:pPr>
        <w:pStyle w:val="7"/>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06AF97D9">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38.2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4917F169">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（1）对可以质疑的招标文件提出质疑的，为收到招标文件之日或者招标文件公告期限届满之日；</w:t>
      </w:r>
    </w:p>
    <w:p w14:paraId="343C5B68">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（2）对采购过程提出质疑的，为各采购程序环节结束之日；</w:t>
      </w:r>
    </w:p>
    <w:p w14:paraId="1810AD60">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（3）对中标结果提出质疑的，为中标结果公告期限届满之日。</w:t>
      </w:r>
    </w:p>
    <w:p w14:paraId="21ED81A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38.3</w:t>
      </w:r>
      <w:r>
        <w:rPr>
          <w:rFonts w:hint="eastAsia" w:ascii="宋体" w:hAnsi="宋体" w:eastAsia="宋体" w:cs="宋体"/>
          <w:bCs/>
          <w:color w:val="auto"/>
          <w:sz w:val="21"/>
          <w:szCs w:val="21"/>
          <w:highlight w:val="none"/>
        </w:rPr>
        <w:t>供应商提出质疑应当提交质疑函和必要的证明材料，针对同一采购程序环节的质疑必须在法定质疑期内一次性提出。质疑函应当包括下列内容（质疑函格式后附）：</w:t>
      </w:r>
    </w:p>
    <w:p w14:paraId="7FCB3B0E">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（1）供应商的姓名或者名称、地址、邮编、联系人及联系电话；</w:t>
      </w:r>
    </w:p>
    <w:p w14:paraId="01DC0BCF">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（2）质疑项目的名称、编号；</w:t>
      </w:r>
    </w:p>
    <w:p w14:paraId="2D07BE79">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（3）具体、明确的质疑事项和与质疑事项相关的请求；</w:t>
      </w:r>
    </w:p>
    <w:p w14:paraId="12839D77">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（4）事实依据；</w:t>
      </w:r>
    </w:p>
    <w:p w14:paraId="00F18B9A">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（5）必要的法律依据；</w:t>
      </w:r>
    </w:p>
    <w:p w14:paraId="14421B48">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（6）提出质疑的日期。</w:t>
      </w:r>
    </w:p>
    <w:p w14:paraId="587528D9">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供应商为自然人的，应当由本人签字；供应商为法人或者其他组织的，应当由法定代表人、主要负责人，或者其委托代理人签字或者盖章，并加盖公章。</w:t>
      </w:r>
    </w:p>
    <w:p w14:paraId="68BFF57B">
      <w:pPr>
        <w:pStyle w:val="6"/>
        <w:keepNext w:val="0"/>
        <w:keepLines w:val="0"/>
        <w:pageBreakBefore w:val="0"/>
        <w:widowControl w:val="0"/>
        <w:kinsoku/>
        <w:wordWrap/>
        <w:overflowPunct/>
        <w:topLinePunct w:val="0"/>
        <w:autoSpaceDE/>
        <w:autoSpaceDN/>
        <w:bidi w:val="0"/>
        <w:adjustRightInd/>
        <w:snapToGrid w:val="0"/>
        <w:spacing w:before="0" w:after="0" w:line="400" w:lineRule="exact"/>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color w:val="auto"/>
          <w:sz w:val="21"/>
          <w:szCs w:val="21"/>
          <w:highlight w:val="none"/>
        </w:rPr>
        <w:t>3</w:t>
      </w:r>
      <w:r>
        <w:rPr>
          <w:rFonts w:hint="eastAsia" w:ascii="宋体" w:hAnsi="宋体" w:eastAsia="宋体" w:cs="宋体"/>
          <w:b w:val="0"/>
          <w:bCs/>
          <w:color w:val="auto"/>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1CF0B93F">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（1）对招标文件提出的质疑，依法通过澄清或者修改可以继续开展采购活动的，澄清或者修改招标文件后继续开展采购活动；否则应当修改招标文件后重新开展采购活动。</w:t>
      </w:r>
    </w:p>
    <w:p w14:paraId="66406D68">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（2）对采购过程、中标结果提出的质疑，合格供应商符合法定数量时，可以从合格的中标候选人中另行确定中标供应商的，应当依法另行确定中标供应商；否则应当重新开展采购活动。</w:t>
      </w:r>
    </w:p>
    <w:p w14:paraId="24790E61">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质疑答复导致中标结果改变的，采购人或者采购代理机构应当将有关情况书面报告本级财政部门。</w:t>
      </w:r>
    </w:p>
    <w:p w14:paraId="42743967">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235" w:name="_八、其他事项"/>
      <w:bookmarkEnd w:id="235"/>
    </w:p>
    <w:p w14:paraId="3F88E9D4">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236" w:name="_Toc8941"/>
    </w:p>
    <w:p w14:paraId="2DDA15A3">
      <w:pPr>
        <w:pStyle w:val="4"/>
        <w:keepNext w:val="0"/>
        <w:keepLines w:val="0"/>
        <w:pageBreakBefore w:val="0"/>
        <w:widowControl w:val="0"/>
        <w:kinsoku/>
        <w:wordWrap/>
        <w:overflowPunct/>
        <w:topLinePunct w:val="0"/>
        <w:bidi w:val="0"/>
        <w:spacing w:before="0" w:after="0" w:line="400" w:lineRule="exact"/>
        <w:ind w:left="0" w:leftChars="0"/>
        <w:jc w:val="center"/>
        <w:textAlignment w:val="auto"/>
        <w:outlineLvl w:val="1"/>
        <w:rPr>
          <w:rFonts w:hint="eastAsia" w:ascii="宋体" w:hAnsi="宋体" w:eastAsia="宋体" w:cs="宋体"/>
          <w:color w:val="auto"/>
          <w:sz w:val="21"/>
          <w:szCs w:val="21"/>
          <w:highlight w:val="none"/>
        </w:rPr>
      </w:pPr>
      <w:bookmarkStart w:id="237" w:name="_Toc9778"/>
      <w:bookmarkStart w:id="238" w:name="_Toc19851"/>
      <w:r>
        <w:rPr>
          <w:rFonts w:hint="eastAsia" w:ascii="宋体" w:hAnsi="宋体" w:eastAsia="宋体" w:cs="宋体"/>
          <w:color w:val="auto"/>
          <w:sz w:val="21"/>
          <w:szCs w:val="21"/>
          <w:highlight w:val="none"/>
        </w:rPr>
        <w:t>八、其他事项</w:t>
      </w:r>
      <w:bookmarkEnd w:id="236"/>
      <w:bookmarkEnd w:id="237"/>
      <w:bookmarkEnd w:id="238"/>
    </w:p>
    <w:p w14:paraId="2BCD30D4">
      <w:pPr>
        <w:pStyle w:val="6"/>
        <w:keepNext w:val="0"/>
        <w:keepLines w:val="0"/>
        <w:pageBreakBefore w:val="0"/>
        <w:widowControl w:val="0"/>
        <w:kinsoku/>
        <w:wordWrap/>
        <w:overflowPunct/>
        <w:topLinePunct w:val="0"/>
        <w:autoSpaceDE/>
        <w:autoSpaceDN/>
        <w:bidi w:val="0"/>
        <w:adjustRightInd/>
        <w:spacing w:before="0" w:after="0" w:line="400" w:lineRule="exact"/>
        <w:ind w:left="0" w:leftChars="0" w:firstLine="420" w:firstLineChars="200"/>
        <w:textAlignment w:val="auto"/>
        <w:rPr>
          <w:rFonts w:hint="eastAsia" w:ascii="宋体" w:hAnsi="宋体" w:eastAsia="宋体" w:cs="宋体"/>
          <w:color w:val="auto"/>
          <w:sz w:val="21"/>
          <w:szCs w:val="21"/>
          <w:highlight w:val="none"/>
        </w:rPr>
      </w:pPr>
      <w:bookmarkStart w:id="239" w:name="_42.代理服务费"/>
      <w:bookmarkEnd w:id="239"/>
      <w:r>
        <w:rPr>
          <w:rFonts w:hint="eastAsia" w:ascii="宋体" w:hAnsi="宋体" w:eastAsia="宋体" w:cs="宋体"/>
          <w:color w:val="auto"/>
          <w:sz w:val="21"/>
          <w:szCs w:val="21"/>
          <w:highlight w:val="none"/>
        </w:rPr>
        <w:t>39.代理服务费</w:t>
      </w:r>
    </w:p>
    <w:p w14:paraId="491FAB5D">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39.1代理服务收取标准及缴费账户详见“投标人须知前附表”，投标人为联合体的，可以由联合体中的一方或者多方共同交纳代理服务费。</w:t>
      </w:r>
    </w:p>
    <w:p w14:paraId="16E6B40E">
      <w:pPr>
        <w:pStyle w:val="25"/>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39.2代理服务收费标准：</w:t>
      </w:r>
    </w:p>
    <w:tbl>
      <w:tblPr>
        <w:tblStyle w:val="48"/>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5F7D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472" w:type="dxa"/>
            <w:tcBorders>
              <w:tl2br w:val="single" w:color="auto" w:sz="4" w:space="0"/>
            </w:tcBorders>
            <w:vAlign w:val="center"/>
          </w:tcPr>
          <w:p w14:paraId="4DA947F7">
            <w:pPr>
              <w:keepNext w:val="0"/>
              <w:keepLines w:val="0"/>
              <w:pageBreakBefore w:val="0"/>
              <w:widowControl w:val="0"/>
              <w:kinsoku/>
              <w:wordWrap/>
              <w:overflowPunct/>
              <w:topLinePunct w:val="0"/>
              <w:bidi w:val="0"/>
              <w:spacing w:line="400" w:lineRule="exact"/>
              <w:ind w:left="0" w:leftChars="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费率</w:t>
            </w:r>
          </w:p>
          <w:p w14:paraId="34443551">
            <w:pPr>
              <w:keepNext w:val="0"/>
              <w:keepLines w:val="0"/>
              <w:pageBreakBefore w:val="0"/>
              <w:widowControl w:val="0"/>
              <w:kinsoku/>
              <w:wordWrap/>
              <w:overflowPunct/>
              <w:topLinePunct w:val="0"/>
              <w:bidi w:val="0"/>
              <w:spacing w:line="400" w:lineRule="exact"/>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中标金额</w:t>
            </w:r>
          </w:p>
        </w:tc>
        <w:tc>
          <w:tcPr>
            <w:tcW w:w="1659" w:type="dxa"/>
            <w:vAlign w:val="center"/>
          </w:tcPr>
          <w:p w14:paraId="3E5B7A28">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货物招标</w:t>
            </w:r>
          </w:p>
        </w:tc>
        <w:tc>
          <w:tcPr>
            <w:tcW w:w="1687" w:type="dxa"/>
            <w:vAlign w:val="center"/>
          </w:tcPr>
          <w:p w14:paraId="0C98AFFA">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服务招标</w:t>
            </w:r>
          </w:p>
        </w:tc>
        <w:tc>
          <w:tcPr>
            <w:tcW w:w="1659" w:type="dxa"/>
            <w:vAlign w:val="center"/>
          </w:tcPr>
          <w:p w14:paraId="496D01CB">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工程招标</w:t>
            </w:r>
          </w:p>
        </w:tc>
      </w:tr>
      <w:tr w14:paraId="563A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2ED7CE23">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100万元以下</w:t>
            </w:r>
          </w:p>
        </w:tc>
        <w:tc>
          <w:tcPr>
            <w:tcW w:w="1659" w:type="dxa"/>
            <w:vAlign w:val="center"/>
          </w:tcPr>
          <w:p w14:paraId="4C81803B">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1.5%</w:t>
            </w:r>
          </w:p>
        </w:tc>
        <w:tc>
          <w:tcPr>
            <w:tcW w:w="1687" w:type="dxa"/>
            <w:vAlign w:val="center"/>
          </w:tcPr>
          <w:p w14:paraId="4198686B">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1.5%</w:t>
            </w:r>
          </w:p>
        </w:tc>
        <w:tc>
          <w:tcPr>
            <w:tcW w:w="1659" w:type="dxa"/>
            <w:vAlign w:val="center"/>
          </w:tcPr>
          <w:p w14:paraId="34DEF837">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w:t>
            </w:r>
          </w:p>
        </w:tc>
      </w:tr>
      <w:tr w14:paraId="43DB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3C1543DF">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100～500万元</w:t>
            </w:r>
          </w:p>
        </w:tc>
        <w:tc>
          <w:tcPr>
            <w:tcW w:w="1659" w:type="dxa"/>
            <w:vAlign w:val="center"/>
          </w:tcPr>
          <w:p w14:paraId="055211AB">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w:t>
            </w:r>
          </w:p>
        </w:tc>
        <w:tc>
          <w:tcPr>
            <w:tcW w:w="1687" w:type="dxa"/>
            <w:vAlign w:val="center"/>
          </w:tcPr>
          <w:p w14:paraId="05BA4AF6">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0.8%</w:t>
            </w:r>
          </w:p>
        </w:tc>
        <w:tc>
          <w:tcPr>
            <w:tcW w:w="1659" w:type="dxa"/>
            <w:vAlign w:val="center"/>
          </w:tcPr>
          <w:p w14:paraId="6D89CD19">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0.7%</w:t>
            </w:r>
          </w:p>
        </w:tc>
      </w:tr>
      <w:tr w14:paraId="7469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4132044F">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500～1000万元</w:t>
            </w:r>
          </w:p>
        </w:tc>
        <w:tc>
          <w:tcPr>
            <w:tcW w:w="1659" w:type="dxa"/>
            <w:vAlign w:val="center"/>
          </w:tcPr>
          <w:p w14:paraId="778B5454">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0.8%</w:t>
            </w:r>
          </w:p>
        </w:tc>
        <w:tc>
          <w:tcPr>
            <w:tcW w:w="1687" w:type="dxa"/>
            <w:vAlign w:val="center"/>
          </w:tcPr>
          <w:p w14:paraId="42F8CCAA">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0.45%</w:t>
            </w:r>
          </w:p>
        </w:tc>
        <w:tc>
          <w:tcPr>
            <w:tcW w:w="1659" w:type="dxa"/>
            <w:vAlign w:val="center"/>
          </w:tcPr>
          <w:p w14:paraId="15BEB4F8">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0.55%</w:t>
            </w:r>
          </w:p>
        </w:tc>
      </w:tr>
      <w:tr w14:paraId="4C8B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603A918D">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1000～5000万元</w:t>
            </w:r>
          </w:p>
        </w:tc>
        <w:tc>
          <w:tcPr>
            <w:tcW w:w="1659" w:type="dxa"/>
            <w:vAlign w:val="center"/>
          </w:tcPr>
          <w:p w14:paraId="13AD7E8D">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0.5%</w:t>
            </w:r>
          </w:p>
        </w:tc>
        <w:tc>
          <w:tcPr>
            <w:tcW w:w="1687" w:type="dxa"/>
            <w:vAlign w:val="center"/>
          </w:tcPr>
          <w:p w14:paraId="2333D411">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0.25%</w:t>
            </w:r>
          </w:p>
        </w:tc>
        <w:tc>
          <w:tcPr>
            <w:tcW w:w="1659" w:type="dxa"/>
            <w:vAlign w:val="center"/>
          </w:tcPr>
          <w:p w14:paraId="64E68216">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0.35%</w:t>
            </w:r>
          </w:p>
        </w:tc>
      </w:tr>
      <w:tr w14:paraId="128A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657D6DA3">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5000万元～1亿元</w:t>
            </w:r>
          </w:p>
        </w:tc>
        <w:tc>
          <w:tcPr>
            <w:tcW w:w="1659" w:type="dxa"/>
            <w:vAlign w:val="center"/>
          </w:tcPr>
          <w:p w14:paraId="7AC2C90C">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0.25%</w:t>
            </w:r>
          </w:p>
        </w:tc>
        <w:tc>
          <w:tcPr>
            <w:tcW w:w="1687" w:type="dxa"/>
            <w:vAlign w:val="center"/>
          </w:tcPr>
          <w:p w14:paraId="7DE24CCA">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0.1%</w:t>
            </w:r>
          </w:p>
        </w:tc>
        <w:tc>
          <w:tcPr>
            <w:tcW w:w="1659" w:type="dxa"/>
            <w:vAlign w:val="center"/>
          </w:tcPr>
          <w:p w14:paraId="143998FF">
            <w:pPr>
              <w:keepNext w:val="0"/>
              <w:keepLines w:val="0"/>
              <w:pageBreakBefore w:val="0"/>
              <w:widowControl w:val="0"/>
              <w:kinsoku/>
              <w:wordWrap/>
              <w:overflowPunct/>
              <w:topLinePunct w:val="0"/>
              <w:bidi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w:t>
            </w:r>
          </w:p>
        </w:tc>
      </w:tr>
    </w:tbl>
    <w:p w14:paraId="2803483A">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w:t>
      </w:r>
    </w:p>
    <w:p w14:paraId="78D7AE6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（1）按本表费率计算的收费为采购代理的收费基准价格；</w:t>
      </w:r>
    </w:p>
    <w:p w14:paraId="1032C8A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（2）采购代理收费按差额定率累进法计算。</w:t>
      </w:r>
    </w:p>
    <w:p w14:paraId="7357BCC2">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例如：某货物采购代理业务中标金额或者暂定价为200万元，计算采购代理收费额如下：</w:t>
      </w:r>
    </w:p>
    <w:p w14:paraId="1430299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100万元×l.5％＝1.5万元</w:t>
      </w:r>
    </w:p>
    <w:p w14:paraId="6E5E1E7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（200－100）万元×1.1％＝1.1万元</w:t>
      </w:r>
    </w:p>
    <w:p w14:paraId="3D3BD5F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合计收费＝1.5+1.1＝2.6（万元）</w:t>
      </w:r>
    </w:p>
    <w:p w14:paraId="36D739F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例如：</w:t>
      </w:r>
      <w:r>
        <w:rPr>
          <w:rFonts w:hint="eastAsia" w:ascii="宋体" w:hAnsi="宋体" w:eastAsia="宋体" w:cs="宋体"/>
          <w:color w:val="auto"/>
          <w:sz w:val="21"/>
          <w:szCs w:val="21"/>
          <w:highlight w:val="none"/>
        </w:rPr>
        <w:t>某服务采购代理业务成交金额或者暂定价为150万元，计算采购代理收费额如下：</w:t>
      </w:r>
    </w:p>
    <w:p w14:paraId="2C67162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100万元×l.5%＝1.5万元</w:t>
      </w:r>
    </w:p>
    <w:p w14:paraId="5DB8276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（150－100）万元×0.8%＝0.4万元</w:t>
      </w:r>
    </w:p>
    <w:p w14:paraId="2C7F0B0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合计收费＝1.5＋0.4＝1.9万元</w:t>
      </w:r>
    </w:p>
    <w:p w14:paraId="2D37CAF4">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40.需要补充的其他内容</w:t>
      </w:r>
    </w:p>
    <w:p w14:paraId="248305C4">
      <w:pPr>
        <w:pStyle w:val="2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40.1本招标文件解释规则详见“投标人须知前附表”。</w:t>
      </w:r>
    </w:p>
    <w:p w14:paraId="580F024C">
      <w:pPr>
        <w:pStyle w:val="2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40.2其他事项详见“投标人须知前附表”。</w:t>
      </w:r>
    </w:p>
    <w:p w14:paraId="026FFD52">
      <w:pPr>
        <w:pStyle w:val="2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40.3</w:t>
      </w:r>
      <w:bookmarkStart w:id="240" w:name="_Hlk65857140"/>
      <w:r>
        <w:rPr>
          <w:rFonts w:hint="eastAsia" w:ascii="宋体" w:hAnsi="宋体" w:eastAsia="宋体" w:cs="宋体"/>
          <w:color w:val="auto"/>
          <w:sz w:val="21"/>
          <w:szCs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03B211DD">
      <w:pPr>
        <w:pStyle w:val="2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（1）在货物采购项目中，货物由中小企业制造，即货物由中小企业生产且使用该中小企业商号或者注册商标，不对其中涉及的工程承建商和服务的承接商作出要求；</w:t>
      </w:r>
    </w:p>
    <w:p w14:paraId="362CF106">
      <w:pPr>
        <w:pStyle w:val="2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（2）在工程采购项目中，工程由中小企业承建，即工程施工单位为中小企业，不对其中涉及的货物的制造商和服务的承接商作出要求；</w:t>
      </w:r>
    </w:p>
    <w:p w14:paraId="6483848D">
      <w:pPr>
        <w:pStyle w:val="2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6CA647C7">
      <w:pPr>
        <w:pStyle w:val="2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1B4D5BA4">
      <w:pPr>
        <w:pStyle w:val="25"/>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contextualSpacing/>
        <w:textAlignment w:val="auto"/>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rPr>
        <w:t>依据本招标文件规定享受扶持政策获得政府采购合同的，小微企业不得将合同分包给大中型企业，中型企业不得将合同分包给大型企业。</w:t>
      </w:r>
      <w:bookmarkEnd w:id="240"/>
    </w:p>
    <w:p w14:paraId="0C1BC645">
      <w:pPr>
        <w:pStyle w:val="18"/>
        <w:ind w:left="479" w:leftChars="114" w:hanging="240" w:hangingChars="1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931403">
      <w:pPr>
        <w:pStyle w:val="2"/>
        <w:jc w:val="center"/>
        <w:rPr>
          <w:rFonts w:hint="eastAsia" w:ascii="方正小标宋_GBK" w:hAnsi="方正小标宋_GBK" w:eastAsia="方正小标宋_GBK" w:cs="方正小标宋_GBK"/>
          <w:color w:val="auto"/>
          <w:sz w:val="28"/>
          <w:szCs w:val="28"/>
          <w:highlight w:val="none"/>
        </w:rPr>
      </w:pPr>
      <w:bookmarkStart w:id="241" w:name="_Toc330456896"/>
      <w:bookmarkStart w:id="242" w:name="_Toc18342"/>
      <w:bookmarkStart w:id="243" w:name="_Toc74320803"/>
      <w:bookmarkStart w:id="244" w:name="_Toc254970548"/>
      <w:bookmarkStart w:id="245" w:name="_Toc5921"/>
      <w:bookmarkStart w:id="246" w:name="_Toc254970689"/>
      <w:bookmarkStart w:id="247" w:name="_Toc8728"/>
      <w:r>
        <w:rPr>
          <w:rFonts w:hint="eastAsia" w:ascii="方正小标宋_GBK" w:hAnsi="方正小标宋_GBK" w:eastAsia="方正小标宋_GBK" w:cs="方正小标宋_GBK"/>
          <w:color w:val="auto"/>
          <w:sz w:val="28"/>
          <w:szCs w:val="28"/>
          <w:highlight w:val="none"/>
        </w:rPr>
        <w:t>第四章  评标方法及评标标准</w:t>
      </w:r>
      <w:bookmarkEnd w:id="241"/>
      <w:bookmarkEnd w:id="242"/>
      <w:bookmarkEnd w:id="243"/>
      <w:bookmarkEnd w:id="244"/>
      <w:bookmarkEnd w:id="245"/>
      <w:bookmarkEnd w:id="246"/>
      <w:bookmarkEnd w:id="247"/>
    </w:p>
    <w:p w14:paraId="10FB9D41">
      <w:pPr>
        <w:pStyle w:val="4"/>
        <w:keepNext w:val="0"/>
        <w:keepLines w:val="0"/>
        <w:pageBreakBefore w:val="0"/>
        <w:widowControl w:val="0"/>
        <w:kinsoku/>
        <w:wordWrap/>
        <w:overflowPunct/>
        <w:topLinePunct w:val="0"/>
        <w:autoSpaceDE/>
        <w:autoSpaceDN/>
        <w:bidi w:val="0"/>
        <w:adjustRightInd/>
        <w:spacing w:before="0" w:after="0" w:line="400" w:lineRule="atLeast"/>
        <w:ind w:firstLine="0" w:firstLineChars="0"/>
        <w:jc w:val="center"/>
        <w:textAlignment w:val="auto"/>
        <w:outlineLvl w:val="1"/>
        <w:rPr>
          <w:rFonts w:hint="eastAsia" w:ascii="宋体" w:hAnsi="宋体" w:eastAsia="宋体" w:cs="宋体"/>
          <w:color w:val="auto"/>
          <w:sz w:val="24"/>
          <w:szCs w:val="24"/>
          <w:highlight w:val="none"/>
        </w:rPr>
      </w:pPr>
      <w:bookmarkStart w:id="248" w:name="_Toc23742"/>
      <w:bookmarkStart w:id="249" w:name="_Toc12740"/>
      <w:bookmarkStart w:id="250" w:name="_Toc28399"/>
      <w:r>
        <w:rPr>
          <w:rFonts w:hint="eastAsia" w:ascii="宋体" w:hAnsi="宋体" w:eastAsia="宋体" w:cs="宋体"/>
          <w:color w:val="auto"/>
          <w:sz w:val="24"/>
          <w:szCs w:val="24"/>
          <w:highlight w:val="none"/>
        </w:rPr>
        <w:t>一、评标方法</w:t>
      </w:r>
      <w:bookmarkEnd w:id="248"/>
      <w:bookmarkEnd w:id="249"/>
      <w:bookmarkEnd w:id="250"/>
    </w:p>
    <w:p w14:paraId="63EC726D">
      <w:pPr>
        <w:pStyle w:val="25"/>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☑综合评分法，是指投标文件满足招标文件全部实质性要求，且按照评审因素的量化指标评审得分最高的投标人为中标候选人的评标方法。</w:t>
      </w:r>
    </w:p>
    <w:p w14:paraId="66A34AB8">
      <w:pPr>
        <w:pStyle w:val="25"/>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□最低评标价法，是指投标文件满足招标文件全部实质性要求，且投标报价最低的投标人为中标候选人的评标方法。</w:t>
      </w:r>
    </w:p>
    <w:p w14:paraId="68785ACE">
      <w:pPr>
        <w:keepNext w:val="0"/>
        <w:keepLines w:val="0"/>
        <w:pageBreakBefore w:val="0"/>
        <w:widowControl w:val="0"/>
        <w:kinsoku/>
        <w:wordWrap/>
        <w:overflowPunct/>
        <w:topLinePunct w:val="0"/>
        <w:autoSpaceDE/>
        <w:autoSpaceDN/>
        <w:bidi w:val="0"/>
        <w:adjustRightInd/>
        <w:spacing w:before="0" w:after="0" w:line="400" w:lineRule="atLeast"/>
        <w:ind w:firstLine="0" w:firstLineChars="0"/>
        <w:jc w:val="center"/>
        <w:textAlignment w:val="auto"/>
        <w:outlineLvl w:val="9"/>
        <w:rPr>
          <w:rFonts w:hint="eastAsia" w:ascii="宋体" w:hAnsi="宋体" w:eastAsia="宋体" w:cs="宋体"/>
          <w:color w:val="auto"/>
          <w:sz w:val="21"/>
          <w:szCs w:val="21"/>
          <w:highlight w:val="none"/>
        </w:rPr>
      </w:pPr>
      <w:bookmarkStart w:id="251" w:name="_Toc24297"/>
    </w:p>
    <w:p w14:paraId="6331BC3A">
      <w:pPr>
        <w:pStyle w:val="4"/>
        <w:keepNext w:val="0"/>
        <w:keepLines w:val="0"/>
        <w:pageBreakBefore w:val="0"/>
        <w:widowControl w:val="0"/>
        <w:kinsoku/>
        <w:wordWrap/>
        <w:overflowPunct/>
        <w:topLinePunct w:val="0"/>
        <w:autoSpaceDE/>
        <w:autoSpaceDN/>
        <w:bidi w:val="0"/>
        <w:adjustRightInd/>
        <w:spacing w:before="0" w:after="0" w:line="400" w:lineRule="atLeast"/>
        <w:ind w:firstLine="0" w:firstLineChars="0"/>
        <w:jc w:val="center"/>
        <w:textAlignment w:val="auto"/>
        <w:outlineLvl w:val="1"/>
        <w:rPr>
          <w:rFonts w:hint="eastAsia" w:ascii="宋体" w:hAnsi="宋体" w:eastAsia="宋体" w:cs="宋体"/>
          <w:color w:val="auto"/>
          <w:sz w:val="21"/>
          <w:szCs w:val="21"/>
          <w:highlight w:val="none"/>
        </w:rPr>
      </w:pPr>
      <w:bookmarkStart w:id="252" w:name="_Toc1397"/>
      <w:bookmarkStart w:id="253" w:name="_Toc10775"/>
      <w:r>
        <w:rPr>
          <w:rFonts w:hint="eastAsia" w:ascii="宋体" w:hAnsi="宋体" w:eastAsia="宋体" w:cs="宋体"/>
          <w:color w:val="auto"/>
          <w:sz w:val="24"/>
          <w:szCs w:val="24"/>
          <w:highlight w:val="none"/>
        </w:rPr>
        <w:t>二、评标程序</w:t>
      </w:r>
      <w:bookmarkEnd w:id="251"/>
      <w:bookmarkEnd w:id="252"/>
      <w:bookmarkEnd w:id="253"/>
    </w:p>
    <w:p w14:paraId="3E6AD311">
      <w:pPr>
        <w:pStyle w:val="6"/>
        <w:keepNext w:val="0"/>
        <w:keepLines w:val="0"/>
        <w:pageBreakBefore w:val="0"/>
        <w:widowControl w:val="0"/>
        <w:kinsoku/>
        <w:wordWrap/>
        <w:overflowPunct/>
        <w:topLinePunct w:val="0"/>
        <w:autoSpaceDE/>
        <w:autoSpaceDN/>
        <w:bidi w:val="0"/>
        <w:adjustRightInd/>
        <w:spacing w:before="0" w:after="0"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1.符合性审查</w:t>
      </w:r>
    </w:p>
    <w:p w14:paraId="3483D68F">
      <w:pPr>
        <w:pStyle w:val="25"/>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评标委员会应当对符合资格的投标人的投标文件进行投标报价、商务、技术等实质性内容符合性审查，以确定其是否满足招标文件的实质性要求。</w:t>
      </w:r>
    </w:p>
    <w:p w14:paraId="01D195DB">
      <w:pPr>
        <w:pStyle w:val="6"/>
        <w:keepNext w:val="0"/>
        <w:keepLines w:val="0"/>
        <w:pageBreakBefore w:val="0"/>
        <w:widowControl w:val="0"/>
        <w:kinsoku/>
        <w:wordWrap/>
        <w:overflowPunct/>
        <w:topLinePunct w:val="0"/>
        <w:autoSpaceDE/>
        <w:autoSpaceDN/>
        <w:bidi w:val="0"/>
        <w:adjustRightInd/>
        <w:spacing w:before="0" w:after="0"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2.符合性审查不通过而导致投标无效的情形</w:t>
      </w:r>
    </w:p>
    <w:p w14:paraId="39F00591">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投标人的投标文件中存在对招标文件的任何实质性要求和条件的负偏离，将被视为投标无效。</w:t>
      </w:r>
    </w:p>
    <w:p w14:paraId="2AA42D67">
      <w:pPr>
        <w:keepNext w:val="0"/>
        <w:keepLines w:val="0"/>
        <w:pageBreakBefore w:val="0"/>
        <w:widowControl w:val="0"/>
        <w:kinsoku/>
        <w:wordWrap/>
        <w:overflowPunct/>
        <w:topLinePunct w:val="0"/>
        <w:autoSpaceDE/>
        <w:autoSpaceDN/>
        <w:bidi w:val="0"/>
        <w:adjustRightInd/>
        <w:spacing w:line="400" w:lineRule="atLeas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2.1在报价评审时，如发现下列情形之一的，将被视为投标无效：</w:t>
      </w:r>
    </w:p>
    <w:p w14:paraId="4733DB9F">
      <w:pPr>
        <w:pStyle w:val="7"/>
        <w:keepNext w:val="0"/>
        <w:keepLines w:val="0"/>
        <w:pageBreakBefore w:val="0"/>
        <w:widowControl w:val="0"/>
        <w:numPr>
          <w:ilvl w:val="0"/>
          <w:numId w:val="0"/>
        </w:numPr>
        <w:kinsoku/>
        <w:wordWrap/>
        <w:overflowPunct/>
        <w:topLinePunct w:val="0"/>
        <w:autoSpaceDE/>
        <w:autoSpaceDN/>
        <w:bidi w:val="0"/>
        <w:adjustRightInd/>
        <w:spacing w:line="400" w:lineRule="atLeas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（1）</w:t>
      </w:r>
      <w:r>
        <w:rPr>
          <w:rFonts w:hint="eastAsia" w:ascii="宋体" w:hAnsi="宋体" w:eastAsia="宋体" w:cs="宋体"/>
          <w:b/>
          <w:color w:val="auto"/>
          <w:spacing w:val="-6"/>
          <w:sz w:val="21"/>
          <w:szCs w:val="21"/>
          <w:highlight w:val="none"/>
        </w:rPr>
        <w:t>报价文件</w:t>
      </w:r>
      <w:r>
        <w:rPr>
          <w:rFonts w:hint="eastAsia" w:ascii="宋体" w:hAnsi="宋体" w:eastAsia="宋体" w:cs="宋体"/>
          <w:b/>
          <w:color w:val="auto"/>
          <w:sz w:val="21"/>
          <w:szCs w:val="21"/>
          <w:highlight w:val="none"/>
        </w:rPr>
        <w:t>未提供“投标人须知前附表”第13.1条规定中“必须提供”的文件资料的；</w:t>
      </w:r>
    </w:p>
    <w:p w14:paraId="751B8CCA">
      <w:pPr>
        <w:pStyle w:val="7"/>
        <w:keepNext w:val="0"/>
        <w:keepLines w:val="0"/>
        <w:pageBreakBefore w:val="0"/>
        <w:widowControl w:val="0"/>
        <w:numPr>
          <w:ilvl w:val="0"/>
          <w:numId w:val="0"/>
        </w:numPr>
        <w:kinsoku/>
        <w:wordWrap/>
        <w:overflowPunct/>
        <w:topLinePunct w:val="0"/>
        <w:autoSpaceDE/>
        <w:autoSpaceDN/>
        <w:bidi w:val="0"/>
        <w:adjustRightInd/>
        <w:spacing w:line="400" w:lineRule="atLeas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（2）</w:t>
      </w:r>
      <w:r>
        <w:rPr>
          <w:rFonts w:hint="eastAsia" w:ascii="宋体" w:hAnsi="宋体" w:eastAsia="宋体" w:cs="宋体"/>
          <w:b/>
          <w:color w:val="auto"/>
          <w:sz w:val="21"/>
          <w:szCs w:val="21"/>
          <w:highlight w:val="none"/>
        </w:rPr>
        <w:t>未采用人民币报价或者未按照招标文件标明的币种报价的；</w:t>
      </w:r>
    </w:p>
    <w:p w14:paraId="2CDEBFB5">
      <w:pPr>
        <w:pStyle w:val="7"/>
        <w:keepNext w:val="0"/>
        <w:keepLines w:val="0"/>
        <w:pageBreakBefore w:val="0"/>
        <w:widowControl w:val="0"/>
        <w:numPr>
          <w:ilvl w:val="0"/>
          <w:numId w:val="0"/>
        </w:numPr>
        <w:kinsoku/>
        <w:wordWrap/>
        <w:overflowPunct/>
        <w:topLinePunct w:val="0"/>
        <w:autoSpaceDE/>
        <w:autoSpaceDN/>
        <w:bidi w:val="0"/>
        <w:adjustRightInd/>
        <w:spacing w:line="400" w:lineRule="atLeas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（3）</w:t>
      </w:r>
      <w:r>
        <w:rPr>
          <w:rFonts w:hint="eastAsia" w:ascii="宋体" w:hAnsi="宋体" w:eastAsia="宋体" w:cs="宋体"/>
          <w:b/>
          <w:color w:val="auto"/>
          <w:sz w:val="21"/>
          <w:szCs w:val="21"/>
          <w:highlight w:val="none"/>
        </w:rPr>
        <w:t>各分标报价超出招标文件相应分标规定最高限价，或者超出相应分标采购预算金额的；</w:t>
      </w:r>
      <w:r>
        <w:rPr>
          <w:rFonts w:hint="eastAsia" w:ascii="宋体" w:hAnsi="宋体" w:eastAsia="宋体" w:cs="宋体"/>
          <w:b/>
          <w:color w:val="auto"/>
          <w:sz w:val="21"/>
          <w:szCs w:val="21"/>
          <w:highlight w:val="none"/>
          <w:lang w:val="en-US" w:eastAsia="zh-CN"/>
        </w:rPr>
        <w:t>投标</w:t>
      </w:r>
      <w:r>
        <w:rPr>
          <w:rFonts w:hint="eastAsia" w:ascii="宋体" w:hAnsi="宋体" w:eastAsia="宋体" w:cs="宋体"/>
          <w:b/>
          <w:color w:val="auto"/>
          <w:sz w:val="21"/>
          <w:szCs w:val="21"/>
          <w:highlight w:val="none"/>
        </w:rPr>
        <w:t>报价</w:t>
      </w:r>
      <w:r>
        <w:rPr>
          <w:rFonts w:hint="eastAsia" w:ascii="宋体" w:hAnsi="宋体" w:eastAsia="宋体" w:cs="宋体"/>
          <w:b/>
          <w:color w:val="auto"/>
          <w:sz w:val="21"/>
          <w:szCs w:val="21"/>
          <w:highlight w:val="none"/>
          <w:lang w:val="en-US" w:eastAsia="zh-CN"/>
        </w:rPr>
        <w:t>的分项单价报价金额</w:t>
      </w:r>
      <w:r>
        <w:rPr>
          <w:rFonts w:hint="eastAsia" w:ascii="宋体" w:hAnsi="宋体" w:eastAsia="宋体" w:cs="宋体"/>
          <w:b/>
          <w:color w:val="auto"/>
          <w:sz w:val="21"/>
          <w:szCs w:val="21"/>
          <w:highlight w:val="none"/>
        </w:rPr>
        <w:t>超出招标文件</w:t>
      </w:r>
      <w:r>
        <w:rPr>
          <w:rFonts w:hint="eastAsia" w:ascii="宋体" w:hAnsi="宋体" w:eastAsia="宋体" w:cs="宋体"/>
          <w:b/>
          <w:color w:val="auto"/>
          <w:sz w:val="21"/>
          <w:szCs w:val="21"/>
          <w:highlight w:val="none"/>
          <w:lang w:val="en-US" w:eastAsia="zh-CN"/>
        </w:rPr>
        <w:t>对应分项单价金额的。</w:t>
      </w:r>
    </w:p>
    <w:p w14:paraId="69ED45E1">
      <w:pPr>
        <w:pStyle w:val="7"/>
        <w:keepNext w:val="0"/>
        <w:keepLines w:val="0"/>
        <w:pageBreakBefore w:val="0"/>
        <w:widowControl w:val="0"/>
        <w:numPr>
          <w:ilvl w:val="0"/>
          <w:numId w:val="0"/>
        </w:numPr>
        <w:kinsoku/>
        <w:wordWrap/>
        <w:overflowPunct/>
        <w:topLinePunct w:val="0"/>
        <w:autoSpaceDE/>
        <w:autoSpaceDN/>
        <w:bidi w:val="0"/>
        <w:adjustRightInd/>
        <w:spacing w:line="400" w:lineRule="atLeas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（4）</w:t>
      </w:r>
      <w:r>
        <w:rPr>
          <w:rFonts w:hint="eastAsia" w:ascii="宋体" w:hAnsi="宋体" w:eastAsia="宋体" w:cs="宋体"/>
          <w:b/>
          <w:color w:val="auto"/>
          <w:sz w:val="21"/>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5F79381D">
      <w:pPr>
        <w:pStyle w:val="7"/>
        <w:keepNext w:val="0"/>
        <w:keepLines w:val="0"/>
        <w:pageBreakBefore w:val="0"/>
        <w:widowControl w:val="0"/>
        <w:numPr>
          <w:ilvl w:val="0"/>
          <w:numId w:val="0"/>
        </w:numPr>
        <w:kinsoku/>
        <w:wordWrap/>
        <w:overflowPunct/>
        <w:topLinePunct w:val="0"/>
        <w:autoSpaceDE/>
        <w:autoSpaceDN/>
        <w:bidi w:val="0"/>
        <w:adjustRightInd/>
        <w:spacing w:line="400" w:lineRule="atLeas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（5）</w:t>
      </w:r>
      <w:r>
        <w:rPr>
          <w:rFonts w:hint="eastAsia" w:ascii="宋体" w:hAnsi="宋体" w:eastAsia="宋体" w:cs="宋体"/>
          <w:b/>
          <w:color w:val="auto"/>
          <w:sz w:val="21"/>
          <w:szCs w:val="21"/>
          <w:highlight w:val="none"/>
        </w:rPr>
        <w:t>修正后的报价，投标人不确认的；</w:t>
      </w:r>
    </w:p>
    <w:p w14:paraId="76791272">
      <w:pPr>
        <w:pStyle w:val="7"/>
        <w:keepNext w:val="0"/>
        <w:keepLines w:val="0"/>
        <w:pageBreakBefore w:val="0"/>
        <w:widowControl w:val="0"/>
        <w:numPr>
          <w:ilvl w:val="0"/>
          <w:numId w:val="0"/>
        </w:numPr>
        <w:kinsoku/>
        <w:wordWrap/>
        <w:overflowPunct/>
        <w:topLinePunct w:val="0"/>
        <w:autoSpaceDE/>
        <w:autoSpaceDN/>
        <w:bidi w:val="0"/>
        <w:adjustRightInd/>
        <w:spacing w:line="400" w:lineRule="atLeas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（6）</w:t>
      </w:r>
      <w:r>
        <w:rPr>
          <w:rFonts w:hint="eastAsia" w:ascii="宋体" w:hAnsi="宋体" w:eastAsia="宋体" w:cs="宋体"/>
          <w:b/>
          <w:color w:val="auto"/>
          <w:sz w:val="21"/>
          <w:szCs w:val="21"/>
          <w:highlight w:val="none"/>
        </w:rPr>
        <w:t>投标人属于本章第5.1条（2）或者第5.2条（2）项情形的；</w:t>
      </w:r>
    </w:p>
    <w:p w14:paraId="7D104279">
      <w:pPr>
        <w:pStyle w:val="7"/>
        <w:keepNext w:val="0"/>
        <w:keepLines w:val="0"/>
        <w:pageBreakBefore w:val="0"/>
        <w:widowControl w:val="0"/>
        <w:numPr>
          <w:ilvl w:val="0"/>
          <w:numId w:val="0"/>
        </w:numPr>
        <w:kinsoku/>
        <w:wordWrap/>
        <w:overflowPunct/>
        <w:topLinePunct w:val="0"/>
        <w:autoSpaceDE/>
        <w:autoSpaceDN/>
        <w:bidi w:val="0"/>
        <w:adjustRightInd/>
        <w:spacing w:line="400" w:lineRule="atLeas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（7）</w:t>
      </w:r>
      <w:r>
        <w:rPr>
          <w:rFonts w:hint="eastAsia" w:ascii="宋体" w:hAnsi="宋体" w:eastAsia="宋体" w:cs="宋体"/>
          <w:b/>
          <w:color w:val="auto"/>
          <w:sz w:val="21"/>
          <w:szCs w:val="21"/>
          <w:highlight w:val="none"/>
        </w:rPr>
        <w:t>投标文件中承诺的投标有效期低于招标文件要求的期限的；</w:t>
      </w:r>
    </w:p>
    <w:p w14:paraId="7915AAD2">
      <w:pPr>
        <w:pStyle w:val="7"/>
        <w:keepNext w:val="0"/>
        <w:keepLines w:val="0"/>
        <w:pageBreakBefore w:val="0"/>
        <w:widowControl w:val="0"/>
        <w:numPr>
          <w:ilvl w:val="0"/>
          <w:numId w:val="0"/>
        </w:numPr>
        <w:kinsoku/>
        <w:wordWrap/>
        <w:overflowPunct/>
        <w:topLinePunct w:val="0"/>
        <w:autoSpaceDE/>
        <w:autoSpaceDN/>
        <w:bidi w:val="0"/>
        <w:adjustRightInd/>
        <w:spacing w:line="400" w:lineRule="atLeas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（8）</w:t>
      </w:r>
      <w:r>
        <w:rPr>
          <w:rFonts w:hint="eastAsia" w:ascii="宋体" w:hAnsi="宋体" w:eastAsia="宋体" w:cs="宋体"/>
          <w:b/>
          <w:color w:val="auto"/>
          <w:spacing w:val="-6"/>
          <w:sz w:val="21"/>
          <w:szCs w:val="21"/>
          <w:highlight w:val="none"/>
        </w:rPr>
        <w:t>报价文件</w:t>
      </w:r>
      <w:r>
        <w:rPr>
          <w:rFonts w:hint="eastAsia" w:ascii="宋体" w:hAnsi="宋体" w:eastAsia="宋体" w:cs="宋体"/>
          <w:b/>
          <w:color w:val="auto"/>
          <w:sz w:val="21"/>
          <w:szCs w:val="21"/>
          <w:highlight w:val="none"/>
        </w:rPr>
        <w:t>响应的标的数量及单位与招标文件要求实质性不一致的。</w:t>
      </w:r>
    </w:p>
    <w:p w14:paraId="13ABCEB6">
      <w:pPr>
        <w:keepNext w:val="0"/>
        <w:keepLines w:val="0"/>
        <w:pageBreakBefore w:val="0"/>
        <w:widowControl w:val="0"/>
        <w:kinsoku/>
        <w:wordWrap/>
        <w:overflowPunct/>
        <w:topLinePunct w:val="0"/>
        <w:autoSpaceDE/>
        <w:autoSpaceDN/>
        <w:bidi w:val="0"/>
        <w:adjustRightInd/>
        <w:spacing w:line="400" w:lineRule="atLeast"/>
        <w:ind w:left="0" w:leftChars="0" w:firstLine="420" w:firstLineChars="200"/>
        <w:textAlignment w:val="auto"/>
        <w:outlineLvl w:val="9"/>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9</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启动异常低价投标审查程序后，投标供应商不能提供书面说明、证明材料，或者提供的书面说明、证明材料不能证明其报价合理性的。</w:t>
      </w:r>
    </w:p>
    <w:p w14:paraId="34A224B6">
      <w:pPr>
        <w:keepNext w:val="0"/>
        <w:keepLines w:val="0"/>
        <w:pageBreakBefore w:val="0"/>
        <w:widowControl w:val="0"/>
        <w:kinsoku/>
        <w:wordWrap/>
        <w:overflowPunct/>
        <w:topLinePunct w:val="0"/>
        <w:autoSpaceDE/>
        <w:autoSpaceDN/>
        <w:bidi w:val="0"/>
        <w:adjustRightInd/>
        <w:spacing w:line="400" w:lineRule="atLeas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2.2在商务评审时，如发现下列情形之一的，将被视为投标无效：</w:t>
      </w:r>
    </w:p>
    <w:p w14:paraId="1B57C3CD">
      <w:pPr>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投标文件未按招标文件要求签署、盖章的；</w:t>
      </w:r>
    </w:p>
    <w:p w14:paraId="07406965">
      <w:pPr>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委托代理人未能出具有效身份证或者出具的身份证与授权委托书中的信息不符的；</w:t>
      </w:r>
    </w:p>
    <w:p w14:paraId="295EF11A">
      <w:pPr>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为无效投标保证金的或者未按照招标文件的规定提交投标保证金的；</w:t>
      </w:r>
    </w:p>
    <w:p w14:paraId="7E3FB97B">
      <w:pPr>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投标文件未提供“投标人须知前附表”第13.1条规定中“必须提供”或者“委托时必须提供”的文件资料的；</w:t>
      </w:r>
    </w:p>
    <w:p w14:paraId="1A0EDF28">
      <w:pPr>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商务要求评审允许负偏离的条款数超过“投标人须知前附表”规定项数的；</w:t>
      </w:r>
    </w:p>
    <w:p w14:paraId="765A0BAD">
      <w:pPr>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投标文件的实质性内容未使用中文表述、使用计量单位不符合招标文件要求的；</w:t>
      </w:r>
    </w:p>
    <w:p w14:paraId="122E0F14">
      <w:pPr>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投标文件中的文件资料因填写不齐全或者内容虚假或者出现其他情形而导致被评标委员会认定无效的；</w:t>
      </w:r>
    </w:p>
    <w:p w14:paraId="18F81CB7">
      <w:pPr>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投标文件含有采购人不能接受的附加条件的；</w:t>
      </w:r>
    </w:p>
    <w:p w14:paraId="2C951A17">
      <w:pPr>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属于投标人须知正文第9.2条情形的；</w:t>
      </w:r>
    </w:p>
    <w:p w14:paraId="02DA4AB0">
      <w:pPr>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投标文件标注的项目名称或者项目编号与招标文件标注的项目名称或者项目编号不一致的；</w:t>
      </w:r>
    </w:p>
    <w:p w14:paraId="35C2DC83">
      <w:pPr>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招标文件明确不允许分包，投标文件拟分包的；</w:t>
      </w:r>
    </w:p>
    <w:p w14:paraId="62323584">
      <w:pPr>
        <w:pStyle w:val="19"/>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虚假投标，或者出现其他情形而导致被评标委员会认定无效的；</w:t>
      </w:r>
    </w:p>
    <w:p w14:paraId="60DDF08A">
      <w:pPr>
        <w:pStyle w:val="19"/>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招标文件未载明允许提供备选（替代）投标方案或明确不允许提供备选（替代）投标方案时，投标人提供了备选（替代）投标方案的；</w:t>
      </w:r>
    </w:p>
    <w:p w14:paraId="103ED7F3">
      <w:pPr>
        <w:pStyle w:val="19"/>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未响应招标文件实质性要求的。</w:t>
      </w:r>
    </w:p>
    <w:p w14:paraId="3097DBF3">
      <w:pPr>
        <w:keepNext w:val="0"/>
        <w:keepLines w:val="0"/>
        <w:pageBreakBefore w:val="0"/>
        <w:widowControl w:val="0"/>
        <w:numPr>
          <w:ilvl w:val="0"/>
          <w:numId w:val="1"/>
        </w:numPr>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法律、法规和招标文件规定的其他无效情形。</w:t>
      </w:r>
    </w:p>
    <w:p w14:paraId="34517BF4">
      <w:pPr>
        <w:keepNext w:val="0"/>
        <w:keepLines w:val="0"/>
        <w:pageBreakBefore w:val="0"/>
        <w:widowControl w:val="0"/>
        <w:kinsoku/>
        <w:wordWrap/>
        <w:overflowPunct/>
        <w:topLinePunct w:val="0"/>
        <w:autoSpaceDE/>
        <w:autoSpaceDN/>
        <w:bidi w:val="0"/>
        <w:adjustRightInd/>
        <w:spacing w:line="400" w:lineRule="atLeas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2.3在技术评审时，如发现下列情形之一的，将被视为投标无效：</w:t>
      </w:r>
    </w:p>
    <w:p w14:paraId="1DD0D244">
      <w:pPr>
        <w:pStyle w:val="19"/>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（1）技术要求评审允许负偏离的条款数超过“投标人须知前附表”规定项数的；</w:t>
      </w:r>
    </w:p>
    <w:p w14:paraId="7CF80DA6">
      <w:pPr>
        <w:pStyle w:val="19"/>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（2）投标文件未提供“投标人须知前附表”第13.1条规定中“必须提供”的文件资料的；</w:t>
      </w:r>
    </w:p>
    <w:p w14:paraId="7CCEB3D7">
      <w:pPr>
        <w:pStyle w:val="19"/>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（3）虚假投标，或者出现其他情形而导致被评标委员会认定无效的；</w:t>
      </w:r>
    </w:p>
    <w:p w14:paraId="7A018585">
      <w:pPr>
        <w:pStyle w:val="19"/>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w:t>
      </w:r>
      <w:bookmarkStart w:id="254" w:name="_Hlk71706244"/>
      <w:r>
        <w:rPr>
          <w:rFonts w:hint="eastAsia" w:ascii="宋体" w:hAnsi="宋体" w:eastAsia="宋体" w:cs="宋体"/>
          <w:b/>
          <w:color w:val="auto"/>
          <w:kern w:val="2"/>
          <w:sz w:val="21"/>
          <w:szCs w:val="21"/>
          <w:highlight w:val="none"/>
        </w:rPr>
        <w:t>招标文件未载明允许提供备选（替代）投标方案或明确不允许提供备选（替代）投标方案时，投标人提供了备选（替代）投标方案的；</w:t>
      </w:r>
      <w:bookmarkEnd w:id="254"/>
    </w:p>
    <w:p w14:paraId="5EC25397">
      <w:pPr>
        <w:pStyle w:val="19"/>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（5）未响应招标文件实质性要求的。</w:t>
      </w:r>
    </w:p>
    <w:p w14:paraId="239AAC60">
      <w:pPr>
        <w:pStyle w:val="19"/>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2.4通过符合性审查的投标人不足3家，评标委员会不得继续评标，并出具评标报告。</w:t>
      </w:r>
    </w:p>
    <w:p w14:paraId="2E92322F">
      <w:pPr>
        <w:pStyle w:val="6"/>
        <w:keepNext w:val="0"/>
        <w:keepLines w:val="0"/>
        <w:pageBreakBefore w:val="0"/>
        <w:widowControl w:val="0"/>
        <w:kinsoku/>
        <w:wordWrap/>
        <w:overflowPunct/>
        <w:topLinePunct w:val="0"/>
        <w:autoSpaceDE/>
        <w:autoSpaceDN/>
        <w:bidi w:val="0"/>
        <w:adjustRightInd/>
        <w:spacing w:before="0" w:after="0"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3.澄清补正</w:t>
      </w:r>
    </w:p>
    <w:p w14:paraId="64D3A86C">
      <w:pPr>
        <w:keepNext w:val="0"/>
        <w:keepLines w:val="0"/>
        <w:pageBreakBefore w:val="0"/>
        <w:widowControl w:val="0"/>
        <w:kinsoku/>
        <w:wordWrap/>
        <w:overflowPunct/>
        <w:topLinePunct w:val="0"/>
        <w:autoSpaceDE/>
        <w:autoSpaceDN/>
        <w:bidi w:val="0"/>
        <w:adjustRightInd/>
        <w:spacing w:line="400" w:lineRule="atLeast"/>
        <w:ind w:left="0" w:leftChars="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投</w:t>
      </w:r>
      <w:r>
        <w:rPr>
          <w:rFonts w:hint="eastAsia" w:ascii="宋体" w:hAnsi="宋体" w:eastAsia="宋体" w:cs="宋体"/>
          <w:color w:val="auto"/>
          <w:sz w:val="21"/>
          <w:szCs w:val="21"/>
          <w:highlight w:val="none"/>
        </w:rPr>
        <w:t>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4991C127">
      <w:pPr>
        <w:keepNext w:val="0"/>
        <w:keepLines w:val="0"/>
        <w:pageBreakBefore w:val="0"/>
        <w:widowControl w:val="0"/>
        <w:kinsoku/>
        <w:wordWrap/>
        <w:overflowPunct/>
        <w:topLinePunct w:val="0"/>
        <w:autoSpaceDE/>
        <w:autoSpaceDN/>
        <w:bidi w:val="0"/>
        <w:adjustRightInd/>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BC7FA22">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未按评标委员会的要求作出明确澄清、说明或者更正的投标人的投标文件将按照有利于采购人的原则由评标委员会进行判定。</w:t>
      </w:r>
    </w:p>
    <w:p w14:paraId="3FB7F4C5">
      <w:pPr>
        <w:pStyle w:val="6"/>
        <w:keepNext w:val="0"/>
        <w:keepLines w:val="0"/>
        <w:pageBreakBefore w:val="0"/>
        <w:widowControl w:val="0"/>
        <w:kinsoku/>
        <w:wordWrap/>
        <w:overflowPunct/>
        <w:topLinePunct w:val="0"/>
        <w:autoSpaceDE/>
        <w:autoSpaceDN/>
        <w:bidi w:val="0"/>
        <w:adjustRightInd/>
        <w:spacing w:before="0" w:after="0"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4.投标文件修正</w:t>
      </w:r>
    </w:p>
    <w:p w14:paraId="32EDD7AD">
      <w:pPr>
        <w:keepNext w:val="0"/>
        <w:keepLines w:val="0"/>
        <w:pageBreakBefore w:val="0"/>
        <w:widowControl w:val="0"/>
        <w:kinsoku/>
        <w:wordWrap/>
        <w:overflowPunct/>
        <w:topLinePunct w:val="0"/>
        <w:autoSpaceDE/>
        <w:autoSpaceDN/>
        <w:bidi w:val="0"/>
        <w:adjustRightInd/>
        <w:spacing w:line="400" w:lineRule="atLeas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4.1投标文件报价出现前后不一致的，按照下列规定修正： </w:t>
      </w:r>
    </w:p>
    <w:p w14:paraId="5022EE23">
      <w:pPr>
        <w:pStyle w:val="25"/>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（1）投标文件中开标一览表（报价表）内容与投标文件中相应内容不一致的，以开标一览表（报价表）为准；</w:t>
      </w:r>
    </w:p>
    <w:p w14:paraId="61A39CC5">
      <w:pPr>
        <w:pStyle w:val="25"/>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（2）大写金额和小写金额不一致的，以大写金额为准；</w:t>
      </w:r>
    </w:p>
    <w:p w14:paraId="1902C489">
      <w:pPr>
        <w:pStyle w:val="25"/>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（3）单价金额小数点或者百分比有明显错位的，以开标一览表的总价为准，并修改单价；</w:t>
      </w:r>
    </w:p>
    <w:p w14:paraId="5B241E94">
      <w:pPr>
        <w:pStyle w:val="25"/>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（4）总价金额与按单价汇总金额不一致的，以单价金额计算结果为准。</w:t>
      </w:r>
    </w:p>
    <w:p w14:paraId="1F63A92C">
      <w:pPr>
        <w:pStyle w:val="25"/>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同时出现两种以上不一致的，按照以上（1）-（4）规定的顺序修正。修正后的报价经投标人确认后产生约束力，投标人不确认的，</w:t>
      </w:r>
      <w:r>
        <w:rPr>
          <w:rFonts w:hint="eastAsia" w:ascii="宋体" w:hAnsi="宋体" w:eastAsia="宋体" w:cs="宋体"/>
          <w:b/>
          <w:color w:val="auto"/>
          <w:kern w:val="2"/>
          <w:sz w:val="21"/>
          <w:szCs w:val="21"/>
          <w:highlight w:val="none"/>
        </w:rPr>
        <w:t>其投标无效</w:t>
      </w:r>
      <w:r>
        <w:rPr>
          <w:rFonts w:hint="eastAsia" w:ascii="宋体" w:hAnsi="宋体" w:eastAsia="宋体" w:cs="宋体"/>
          <w:color w:val="auto"/>
          <w:sz w:val="21"/>
          <w:szCs w:val="21"/>
          <w:highlight w:val="none"/>
        </w:rPr>
        <w:t>。</w:t>
      </w:r>
    </w:p>
    <w:p w14:paraId="2F730C55">
      <w:pPr>
        <w:keepNext w:val="0"/>
        <w:keepLines w:val="0"/>
        <w:pageBreakBefore w:val="0"/>
        <w:widowControl w:val="0"/>
        <w:kinsoku/>
        <w:wordWrap/>
        <w:overflowPunct/>
        <w:topLinePunct w:val="0"/>
        <w:autoSpaceDE/>
        <w:autoSpaceDN/>
        <w:bidi w:val="0"/>
        <w:adjustRightInd/>
        <w:spacing w:line="400" w:lineRule="atLeast"/>
        <w:ind w:left="0" w:leftChars="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4.2经投标人确认修正后的报价若超过采购预算金额或者最高限价，</w:t>
      </w:r>
      <w:r>
        <w:rPr>
          <w:rFonts w:hint="eastAsia" w:ascii="宋体" w:hAnsi="宋体" w:eastAsia="宋体" w:cs="宋体"/>
          <w:color w:val="auto"/>
          <w:sz w:val="21"/>
          <w:szCs w:val="21"/>
          <w:highlight w:val="none"/>
        </w:rPr>
        <w:t>投标人的投标文件作无效投标处理</w:t>
      </w:r>
      <w:r>
        <w:rPr>
          <w:rFonts w:hint="eastAsia" w:ascii="宋体" w:hAnsi="宋体" w:eastAsia="宋体" w:cs="宋体"/>
          <w:b w:val="0"/>
          <w:color w:val="auto"/>
          <w:sz w:val="21"/>
          <w:szCs w:val="21"/>
          <w:highlight w:val="none"/>
        </w:rPr>
        <w:t>。</w:t>
      </w:r>
    </w:p>
    <w:p w14:paraId="2C37C1FB">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4.3经投标人确认修正后的报价作为签订合同的依据，并以此报价计算价格分。</w:t>
      </w:r>
    </w:p>
    <w:p w14:paraId="61C82539">
      <w:pPr>
        <w:pStyle w:val="6"/>
        <w:keepNext w:val="0"/>
        <w:keepLines w:val="0"/>
        <w:pageBreakBefore w:val="0"/>
        <w:widowControl w:val="0"/>
        <w:kinsoku/>
        <w:wordWrap/>
        <w:overflowPunct/>
        <w:topLinePunct w:val="0"/>
        <w:autoSpaceDE/>
        <w:autoSpaceDN/>
        <w:bidi w:val="0"/>
        <w:adjustRightInd/>
        <w:spacing w:before="0" w:after="0"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5.比较与评价</w:t>
      </w:r>
    </w:p>
    <w:p w14:paraId="4060C040">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5.1采用综合评分法的</w:t>
      </w:r>
    </w:p>
    <w:p w14:paraId="1F5367E0">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（1）评标委员会按照招标文件中规定的评标方法及评标标准，对符合性审查合格的投标文件进行商务和技术评估，综合比较与评价。</w:t>
      </w:r>
    </w:p>
    <w:p w14:paraId="148090C6">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（2）评标委员会独立对每个投标人的投标文件进行评价，并汇总每个投标人的得分。</w:t>
      </w:r>
    </w:p>
    <w:p w14:paraId="26FAEDF4">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eastAsia="宋体" w:cs="宋体"/>
          <w:b/>
          <w:color w:val="auto"/>
          <w:sz w:val="21"/>
          <w:szCs w:val="21"/>
          <w:highlight w:val="none"/>
        </w:rPr>
        <w:t>投标人不能证明其报价合理性的，评标委员会将其作为无效投标处理</w:t>
      </w:r>
      <w:r>
        <w:rPr>
          <w:rFonts w:hint="eastAsia" w:ascii="宋体" w:hAnsi="宋体" w:eastAsia="宋体" w:cs="宋体"/>
          <w:color w:val="auto"/>
          <w:sz w:val="21"/>
          <w:szCs w:val="21"/>
          <w:highlight w:val="none"/>
        </w:rPr>
        <w:t>。</w:t>
      </w:r>
    </w:p>
    <w:p w14:paraId="49D79329">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（3）评标委员会按照招标文件中规定的评标方法和标准计算各投标人的报价得分。在计算过程中，不得去掉最高报价或者最低报价。</w:t>
      </w:r>
    </w:p>
    <w:p w14:paraId="389D37A0">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（4）各投标人的得分为所有评委的有效评分的算术平均数。</w:t>
      </w:r>
    </w:p>
    <w:p w14:paraId="10FEBB94">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（5）评标委员会按照招标文件中的规定推荐中标候选人。</w:t>
      </w:r>
    </w:p>
    <w:p w14:paraId="3D819740">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1A29B4CD">
      <w:pPr>
        <w:pStyle w:val="6"/>
        <w:keepNext w:val="0"/>
        <w:keepLines w:val="0"/>
        <w:pageBreakBefore w:val="0"/>
        <w:widowControl w:val="0"/>
        <w:kinsoku/>
        <w:wordWrap/>
        <w:overflowPunct/>
        <w:topLinePunct w:val="0"/>
        <w:autoSpaceDE/>
        <w:autoSpaceDN/>
        <w:bidi w:val="0"/>
        <w:adjustRightInd/>
        <w:spacing w:before="0" w:after="0"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偏离认定说明</w:t>
      </w:r>
    </w:p>
    <w:p w14:paraId="307F94B0">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bookmarkStart w:id="255" w:name="_Hlk132792081"/>
      <w:r>
        <w:rPr>
          <w:rFonts w:hint="eastAsia" w:ascii="宋体" w:hAnsi="宋体" w:eastAsia="宋体" w:cs="宋体"/>
          <w:color w:val="auto"/>
          <w:sz w:val="21"/>
          <w:szCs w:val="21"/>
          <w:highlight w:val="none"/>
        </w:rPr>
        <w:t>供应商根据采购需求中技术参数为基准，填写响应表，对于响应表或证明材料与技术参数不符的，按如下规定：</w:t>
      </w:r>
    </w:p>
    <w:p w14:paraId="5526FB48">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7CC0CD80">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（2）响应表中响应的内容与证明材料不一致的，以证明材料为准作为评审依据。</w:t>
      </w:r>
    </w:p>
    <w:p w14:paraId="1F3493E9">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（3）同时出现以上两种情况的，按照（1）-（2）顺序认定。</w:t>
      </w:r>
    </w:p>
    <w:p w14:paraId="7A6BA684">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（4）响应表与采购需求中技术参数比较有漏项的，如为实质性参数漏项，视为未响应；如为非实质性参数漏项，视为负偏离。</w:t>
      </w:r>
    </w:p>
    <w:p w14:paraId="41BF5932">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（5）一项技术参数有多条小项要求的，必须全部响应。如只响应部分参数，视为漏项，按照（4）判定。评审时以每一条技术参数为评审依据。</w:t>
      </w:r>
    </w:p>
    <w:p w14:paraId="42BAFDD1">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于区间涵盖值参数，例：电压“测量范围3V-5V”，同时满足下限值更低及上限值更高才视为正偏离，例：响应为“测量范围2V-6V”。如有一端负偏离，不管另一端如何，均视为负偏离，例：响应为“测量范围4V-6V”。</w:t>
      </w:r>
    </w:p>
    <w:p w14:paraId="11B2831B">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对于区间任意值参数，例“5mm≤间距≤10mm”或“间距7.5±2.5mm”，若间距响应值为5mm-10mm中任意区间值或任意一个数值（含本数）时为无偏离，例：“6mm≤间距≤8mm”、“8±2mm”、“8mm”。超过区间范围视为负偏离，例：“3mm≤间距≤12mm”、“8±4mm”、“3-12mm”、“3mm”。此类参数不存在正偏离。</w:t>
      </w:r>
    </w:p>
    <w:p w14:paraId="4788343A">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（8）对于单边任意参数的要求，例“长度≤50cm”，若响应小于等于50cm则视为无偏离；若响应大于50cm，视为负偏离。</w:t>
      </w:r>
    </w:p>
    <w:p w14:paraId="0546F363">
      <w:pPr>
        <w:keepNext w:val="0"/>
        <w:keepLines w:val="0"/>
        <w:pageBreakBefore w:val="0"/>
        <w:widowControl w:val="0"/>
        <w:kinsoku/>
        <w:wordWrap/>
        <w:overflowPunct/>
        <w:topLinePunct w:val="0"/>
        <w:autoSpaceDE/>
        <w:autoSpaceDN/>
        <w:bidi w:val="0"/>
        <w:adjustRightInd/>
        <w:snapToGrid w:val="0"/>
        <w:spacing w:line="400" w:lineRule="atLeas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（9）如采购需求中技术参数有特殊要求与上述说明不一致的，以特殊要求为准。</w:t>
      </w:r>
      <w:bookmarkEnd w:id="255"/>
    </w:p>
    <w:p w14:paraId="1493EAFD">
      <w:pPr>
        <w:pStyle w:val="3"/>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highlight w:val="none"/>
        </w:rPr>
        <w:br w:type="page"/>
      </w:r>
      <w:bookmarkStart w:id="256" w:name="_Toc10692"/>
      <w:bookmarkStart w:id="257" w:name="_Toc15508"/>
      <w:bookmarkStart w:id="258" w:name="_Toc30703"/>
      <w:r>
        <w:rPr>
          <w:rFonts w:hint="eastAsia" w:ascii="宋体" w:hAnsi="宋体" w:eastAsia="宋体" w:cs="宋体"/>
          <w:color w:val="auto"/>
          <w:sz w:val="24"/>
          <w:szCs w:val="24"/>
          <w:highlight w:val="none"/>
        </w:rPr>
        <w:t>三、评标标准</w:t>
      </w:r>
      <w:bookmarkEnd w:id="256"/>
      <w:bookmarkEnd w:id="257"/>
      <w:bookmarkEnd w:id="258"/>
    </w:p>
    <w:p w14:paraId="0E6405C0">
      <w:pPr>
        <w:pStyle w:val="4"/>
        <w:keepNext w:val="0"/>
        <w:keepLines w:val="0"/>
        <w:pageBreakBefore w:val="0"/>
        <w:widowControl w:val="0"/>
        <w:kinsoku/>
        <w:wordWrap/>
        <w:overflowPunct/>
        <w:topLinePunct w:val="0"/>
        <w:autoSpaceDE/>
        <w:autoSpaceDN/>
        <w:bidi w:val="0"/>
        <w:spacing w:before="0" w:after="0" w:line="400" w:lineRule="exact"/>
        <w:ind w:firstLine="0" w:firstLineChars="0"/>
        <w:jc w:val="center"/>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w:t>
      </w:r>
    </w:p>
    <w:p w14:paraId="24DCC718">
      <w:pPr>
        <w:outlineLvl w:val="1"/>
        <w:rPr>
          <w:rFonts w:hint="eastAsia" w:ascii="宋体" w:hAnsi="宋体" w:eastAsia="宋体" w:cs="宋体"/>
          <w:color w:val="auto"/>
          <w:sz w:val="21"/>
          <w:szCs w:val="21"/>
          <w:highlight w:val="none"/>
          <w:lang w:eastAsia="zh-CN"/>
        </w:rPr>
      </w:pPr>
      <w:bookmarkStart w:id="259" w:name="_Toc15180"/>
      <w:bookmarkStart w:id="260" w:name="_Toc17147"/>
      <w:bookmarkStart w:id="261" w:name="_Toc2748"/>
      <w:bookmarkStart w:id="262" w:name="_Toc30917"/>
      <w:bookmarkStart w:id="263" w:name="_Toc27819"/>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lang w:eastAsia="zh-CN"/>
        </w:rPr>
        <w:t>）</w:t>
      </w:r>
      <w:bookmarkEnd w:id="259"/>
      <w:r>
        <w:rPr>
          <w:rFonts w:hint="eastAsia" w:ascii="宋体" w:hAnsi="宋体" w:eastAsia="宋体" w:cs="宋体"/>
          <w:b/>
          <w:bCs/>
          <w:color w:val="auto"/>
          <w:kern w:val="0"/>
          <w:sz w:val="21"/>
          <w:szCs w:val="21"/>
          <w:highlight w:val="none"/>
          <w:lang w:val="en-US" w:eastAsia="zh-CN" w:bidi="ar-SA"/>
        </w:rPr>
        <w:t>标项一（分包1）</w:t>
      </w:r>
      <w:r>
        <w:rPr>
          <w:rFonts w:hint="eastAsia" w:ascii="宋体" w:hAnsi="宋体" w:eastAsia="宋体" w:cs="宋体"/>
          <w:b/>
          <w:bCs/>
          <w:color w:val="auto"/>
          <w:sz w:val="21"/>
          <w:szCs w:val="21"/>
          <w:highlight w:val="none"/>
        </w:rPr>
        <w:t>评标标准</w:t>
      </w:r>
      <w:bookmarkEnd w:id="260"/>
      <w:bookmarkEnd w:id="261"/>
      <w:bookmarkEnd w:id="262"/>
      <w:bookmarkEnd w:id="263"/>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9"/>
        <w:gridCol w:w="875"/>
        <w:gridCol w:w="6672"/>
        <w:gridCol w:w="6"/>
      </w:tblGrid>
      <w:tr w14:paraId="26DC9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trHeight w:val="9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47DB0B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评标项目</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21D2B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kern w:val="2"/>
                <w:sz w:val="21"/>
                <w:szCs w:val="21"/>
                <w:highlight w:val="none"/>
                <w:lang w:val="en-US" w:eastAsia="zh-CN" w:bidi="ar"/>
              </w:rPr>
              <w:t>评标</w:t>
            </w:r>
          </w:p>
          <w:p w14:paraId="0A3A1E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分值</w:t>
            </w:r>
          </w:p>
        </w:tc>
        <w:tc>
          <w:tcPr>
            <w:tcW w:w="6672" w:type="dxa"/>
            <w:tcBorders>
              <w:top w:val="single" w:color="000000" w:sz="4" w:space="0"/>
              <w:left w:val="single" w:color="000000" w:sz="4" w:space="0"/>
              <w:bottom w:val="single" w:color="000000" w:sz="4" w:space="0"/>
              <w:right w:val="single" w:color="000000" w:sz="4" w:space="0"/>
            </w:tcBorders>
            <w:noWrap w:val="0"/>
            <w:vAlign w:val="center"/>
          </w:tcPr>
          <w:p w14:paraId="268340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评标方法描述</w:t>
            </w:r>
          </w:p>
        </w:tc>
      </w:tr>
      <w:tr w14:paraId="5DAF7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19D6B4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（一）价格分（满分30分）</w:t>
            </w:r>
          </w:p>
        </w:tc>
      </w:tr>
      <w:tr w14:paraId="02718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3"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51B04E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投标报价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40ADF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30分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75CFB6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1.分标1为专门面向中小企业（中小微企业、监狱企业、残疾人福利性单位）采购项目，不再执行中小企业价格评审优惠的扶持政策。</w:t>
            </w:r>
          </w:p>
          <w:p w14:paraId="5F78DF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既有本国产品又有非本国产品参与竞争的，依法对本国产品给予价格评审优惠，对本国产品的报价给予20%的价格扣除，用扣除后的价格参与评审，即评审价=投标报价×（1-20%）。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适用情形详见“投标人须知前附表”的规定。对供应商所出具的《声明函》完整性、准确性进行审查。符合澄清补正情形的，应以书面形式要求供应商澄清补正，澄清补正后仍不符合要求的，不享受价格评审优惠。所有供应商提供参与投标竞争的均为本国产品，则不再执行支持本国产品价格评审优惠的扶植政策。</w:t>
            </w:r>
          </w:p>
          <w:p w14:paraId="72A5B7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3.本国产品价格扣除政策与中小微企业、监狱企业、残疾人福利性单位价格扣除政策可重复享受，统一在原投标报价的基础上进行价格扣除。</w:t>
            </w:r>
          </w:p>
          <w:p w14:paraId="7454FE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4.满足招标文件要求且评标报价最低的评标报价为评标基准价，其价格分为满分。</w:t>
            </w:r>
          </w:p>
          <w:p w14:paraId="79F99B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5.价格分计算公式：</w:t>
            </w:r>
          </w:p>
          <w:p w14:paraId="79250B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价格分=(评标基准价／评标报价)×30分。</w:t>
            </w:r>
          </w:p>
          <w:p w14:paraId="5EE3467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6.异常低价审查</w:t>
            </w:r>
          </w:p>
          <w:p w14:paraId="6018FF3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（1）政府采购评审中出现下列情形之一的，评审委员会应当启动异常低价投标审查程序：</w:t>
            </w:r>
          </w:p>
          <w:p w14:paraId="55A3E68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①投标报价低于全部通过符合性审查供应商投标报价平均值65%的，即投标报价＜全部通过符合性审查供应商投标报价平均值×65%；</w:t>
            </w:r>
          </w:p>
          <w:p w14:paraId="45ABEDB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 2 \* GB3 \* MERGEFORMAT </w:instrText>
            </w:r>
            <w:r>
              <w:rPr>
                <w:rFonts w:hint="eastAsia" w:ascii="宋体" w:hAnsi="宋体" w:eastAsia="宋体" w:cs="宋体"/>
                <w:color w:val="auto"/>
                <w:kern w:val="2"/>
                <w:sz w:val="21"/>
                <w:szCs w:val="21"/>
                <w:highlight w:val="none"/>
                <w:lang w:val="en-US" w:eastAsia="zh-CN" w:bidi="ar"/>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投标报价低于通过符合性审查的次低报价供应商投标报价65%的，即投标报价＜通过符合性审查的次低报价供应商投标报价×65%；</w:t>
            </w:r>
          </w:p>
          <w:p w14:paraId="72B59E1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 3 \* GB3 \* MERGEFORMAT </w:instrText>
            </w:r>
            <w:r>
              <w:rPr>
                <w:rFonts w:hint="eastAsia" w:ascii="宋体" w:hAnsi="宋体" w:eastAsia="宋体" w:cs="宋体"/>
                <w:color w:val="auto"/>
                <w:kern w:val="2"/>
                <w:sz w:val="21"/>
                <w:szCs w:val="21"/>
                <w:highlight w:val="none"/>
                <w:lang w:val="en-US" w:eastAsia="zh-CN" w:bidi="ar"/>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投标报价低于采购项目最高限价65%的，即投标报价＜采购项目最高限价×65%；</w:t>
            </w:r>
          </w:p>
          <w:p w14:paraId="2DDAB27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 4 \* GB3 \* MERGEFORMAT </w:instrText>
            </w:r>
            <w:r>
              <w:rPr>
                <w:rFonts w:hint="eastAsia" w:ascii="宋体" w:hAnsi="宋体" w:eastAsia="宋体" w:cs="宋体"/>
                <w:color w:val="auto"/>
                <w:kern w:val="2"/>
                <w:sz w:val="21"/>
                <w:szCs w:val="21"/>
                <w:highlight w:val="none"/>
                <w:lang w:val="en-US" w:eastAsia="zh-CN" w:bidi="ar"/>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评审委员会基于专业判断，认为供应商报价过低，有可能影响产品质量或者不能诚信履约的其他情形。</w:t>
            </w:r>
          </w:p>
          <w:p w14:paraId="11E8E92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（2）评审委员会启动异常低价投标审查后，属于前述第①项至第</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 4 \* GB3 \* MERGEFORMAT </w:instrText>
            </w:r>
            <w:r>
              <w:rPr>
                <w:rFonts w:hint="eastAsia" w:ascii="宋体" w:hAnsi="宋体" w:eastAsia="宋体" w:cs="宋体"/>
                <w:color w:val="auto"/>
                <w:kern w:val="2"/>
                <w:sz w:val="21"/>
                <w:szCs w:val="21"/>
                <w:highlight w:val="none"/>
                <w:lang w:val="en-US" w:eastAsia="zh-CN" w:bidi="ar"/>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 3 \* GB3 \* MERGEFORMAT </w:instrText>
            </w:r>
            <w:r>
              <w:rPr>
                <w:rFonts w:hint="eastAsia" w:ascii="宋体" w:hAnsi="宋体" w:eastAsia="宋体" w:cs="宋体"/>
                <w:color w:val="auto"/>
                <w:kern w:val="2"/>
                <w:sz w:val="21"/>
                <w:szCs w:val="21"/>
                <w:highlight w:val="none"/>
                <w:lang w:val="en-US" w:eastAsia="zh-CN" w:bidi="ar"/>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项情形，供应商已随投标文件一并提交相关书面说明及必要的证明材料的，在评审现场可不再重复提交。</w:t>
            </w:r>
          </w:p>
          <w:p w14:paraId="05B9D1B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评审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38F2EA5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E7EA05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（5）异常低价投标审查的启动原因、审查意见和审查结果应当在评审报告中记录，并随供应商提供的相关书面说明及证明材料，以及评审委员会有关互联网浏览、查询历史一并归档。</w:t>
            </w:r>
          </w:p>
        </w:tc>
      </w:tr>
      <w:tr w14:paraId="1A583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46E586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（二）技术分（满分</w:t>
            </w:r>
            <w:r>
              <w:rPr>
                <w:rFonts w:hint="eastAsia" w:ascii="宋体" w:hAnsi="宋体" w:cs="宋体"/>
                <w:color w:val="auto"/>
                <w:kern w:val="2"/>
                <w:sz w:val="21"/>
                <w:szCs w:val="21"/>
                <w:highlight w:val="none"/>
                <w:lang w:val="en-US" w:eastAsia="zh-CN" w:bidi="ar"/>
              </w:rPr>
              <w:t>65</w:t>
            </w:r>
            <w:r>
              <w:rPr>
                <w:rFonts w:hint="eastAsia" w:ascii="宋体" w:hAnsi="宋体" w:eastAsia="宋体" w:cs="宋体"/>
                <w:color w:val="auto"/>
                <w:kern w:val="2"/>
                <w:sz w:val="21"/>
                <w:szCs w:val="21"/>
                <w:highlight w:val="none"/>
                <w:lang w:val="en-US" w:eastAsia="zh-CN" w:bidi="ar"/>
              </w:rPr>
              <w:t>分）</w:t>
            </w:r>
          </w:p>
        </w:tc>
      </w:tr>
      <w:tr w14:paraId="0F006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374C3A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设备技术参数响应</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04A71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w:t>
            </w:r>
            <w:r>
              <w:rPr>
                <w:rFonts w:hint="eastAsia" w:ascii="宋体" w:hAnsi="宋体" w:cs="宋体"/>
                <w:color w:val="auto"/>
                <w:kern w:val="2"/>
                <w:sz w:val="21"/>
                <w:szCs w:val="21"/>
                <w:highlight w:val="none"/>
                <w:lang w:val="en-US" w:eastAsia="zh-CN" w:bidi="ar"/>
              </w:rPr>
              <w:t>31</w:t>
            </w:r>
            <w:r>
              <w:rPr>
                <w:rFonts w:hint="eastAsia" w:ascii="宋体" w:hAnsi="宋体" w:eastAsia="宋体" w:cs="宋体"/>
                <w:color w:val="auto"/>
                <w:kern w:val="2"/>
                <w:sz w:val="21"/>
                <w:szCs w:val="21"/>
                <w:highlight w:val="none"/>
                <w:lang w:val="en-US" w:eastAsia="zh-CN" w:bidi="ar"/>
              </w:rPr>
              <w:t>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6CB71B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根据投标人的设备技术参数响应情况对应以下要求评分：</w:t>
            </w:r>
          </w:p>
          <w:p w14:paraId="71ACAE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一般参数共38项（包含配置清单），每一项参数符合（无负偏离）得0.5分，满分19分。</w:t>
            </w:r>
          </w:p>
          <w:p w14:paraId="503D25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重要参数共3项，如参数符合（无负偏离）的，每一项得2分；如参数为正偏离的，每一项得4分。满分12分。</w:t>
            </w:r>
          </w:p>
          <w:p w14:paraId="3B3F44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注：</w:t>
            </w:r>
          </w:p>
          <w:p w14:paraId="550BA9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一般参数指未标注“▲”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的指标参数。</w:t>
            </w:r>
            <w:r>
              <w:rPr>
                <w:rFonts w:hint="eastAsia" w:ascii="宋体" w:hAnsi="宋体" w:eastAsia="宋体" w:cs="宋体"/>
                <w:color w:val="auto"/>
                <w:sz w:val="21"/>
                <w:szCs w:val="21"/>
                <w:highlight w:val="none"/>
                <w:lang w:val="en-US" w:eastAsia="zh-CN"/>
              </w:rPr>
              <w:t>重要参数</w:t>
            </w:r>
            <w:r>
              <w:rPr>
                <w:rFonts w:hint="eastAsia" w:ascii="宋体" w:hAnsi="宋体" w:eastAsia="宋体" w:cs="宋体"/>
                <w:color w:val="auto"/>
                <w:sz w:val="21"/>
                <w:szCs w:val="21"/>
                <w:highlight w:val="none"/>
                <w:lang w:val="en-US"/>
              </w:rPr>
              <w:t>指标注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的指标参数</w:t>
            </w:r>
            <w:r>
              <w:rPr>
                <w:rFonts w:hint="eastAsia" w:ascii="宋体" w:hAnsi="宋体" w:eastAsia="宋体" w:cs="宋体"/>
                <w:color w:val="auto"/>
                <w:sz w:val="21"/>
                <w:szCs w:val="21"/>
                <w:highlight w:val="none"/>
                <w:lang w:val="en-US" w:eastAsia="zh-CN"/>
              </w:rPr>
              <w:t>。</w:t>
            </w:r>
          </w:p>
          <w:p w14:paraId="26899D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（2）根据技术偏离表及相关证明材料进行评分，凡采购需求中有明确要求提供截图或照片或其他佐证材料等资料的，评审时以所提供的资料为评分依据。</w:t>
            </w:r>
          </w:p>
          <w:p w14:paraId="247499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（3）投标人的技术参数有正偏离的，须在技术偏离表中列明，凡采购需求中有明确提供相关佐证材料的，须在投标文件中附上，否则不予认可。</w:t>
            </w:r>
          </w:p>
        </w:tc>
      </w:tr>
      <w:tr w14:paraId="1BF01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41D970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项目实施方案</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53DF5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w:t>
            </w:r>
            <w:r>
              <w:rPr>
                <w:rFonts w:hint="eastAsia" w:ascii="宋体" w:hAnsi="宋体" w:cs="宋体"/>
                <w:color w:val="auto"/>
                <w:kern w:val="2"/>
                <w:sz w:val="21"/>
                <w:szCs w:val="21"/>
                <w:highlight w:val="none"/>
                <w:lang w:val="en-US" w:eastAsia="zh-CN" w:bidi="ar"/>
              </w:rPr>
              <w:t>12</w:t>
            </w:r>
            <w:r>
              <w:rPr>
                <w:rFonts w:hint="eastAsia" w:ascii="宋体" w:hAnsi="宋体" w:eastAsia="宋体" w:cs="宋体"/>
                <w:color w:val="auto"/>
                <w:kern w:val="2"/>
                <w:sz w:val="21"/>
                <w:szCs w:val="21"/>
                <w:highlight w:val="none"/>
                <w:lang w:val="en-US" w:eastAsia="zh-CN" w:bidi="ar"/>
              </w:rPr>
              <w:t>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53721B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由评委根据投标人提供的项目实施方案内容进行独立评审：</w:t>
            </w:r>
          </w:p>
          <w:p w14:paraId="022198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一档（</w:t>
            </w:r>
            <w:r>
              <w:rPr>
                <w:rFonts w:hint="eastAsia" w:ascii="宋体" w:hAnsi="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分）：有实施方案，基本满足项目实施要求。</w:t>
            </w:r>
          </w:p>
          <w:p w14:paraId="3BB80B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二档（</w:t>
            </w:r>
            <w:r>
              <w:rPr>
                <w:rFonts w:hint="eastAsia" w:ascii="宋体" w:hAnsi="宋体" w:cs="宋体"/>
                <w:color w:val="auto"/>
                <w:kern w:val="2"/>
                <w:sz w:val="21"/>
                <w:szCs w:val="21"/>
                <w:highlight w:val="none"/>
                <w:lang w:val="en-US" w:eastAsia="zh-CN" w:bidi="ar"/>
              </w:rPr>
              <w:t>7</w:t>
            </w:r>
            <w:r>
              <w:rPr>
                <w:rFonts w:hint="eastAsia" w:ascii="宋体" w:hAnsi="宋体" w:eastAsia="宋体" w:cs="宋体"/>
                <w:color w:val="auto"/>
                <w:kern w:val="2"/>
                <w:sz w:val="21"/>
                <w:szCs w:val="21"/>
                <w:highlight w:val="none"/>
                <w:lang w:val="en-US" w:eastAsia="zh-CN" w:bidi="ar"/>
              </w:rPr>
              <w:t>分）：实施方案阐述较全，包含有实施计划、组织机构、人员安排、供货保障措施、应急保障措施等。</w:t>
            </w:r>
          </w:p>
          <w:p w14:paraId="6914DC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三档（</w:t>
            </w:r>
            <w:r>
              <w:rPr>
                <w:rFonts w:hint="eastAsia" w:ascii="宋体" w:hAnsi="宋体" w:cs="宋体"/>
                <w:color w:val="auto"/>
                <w:kern w:val="2"/>
                <w:sz w:val="21"/>
                <w:szCs w:val="21"/>
                <w:highlight w:val="none"/>
                <w:lang w:val="en-US" w:eastAsia="zh-CN" w:bidi="ar"/>
              </w:rPr>
              <w:t>12</w:t>
            </w:r>
            <w:r>
              <w:rPr>
                <w:rFonts w:hint="eastAsia" w:ascii="宋体" w:hAnsi="宋体" w:eastAsia="宋体" w:cs="宋体"/>
                <w:color w:val="auto"/>
                <w:kern w:val="2"/>
                <w:sz w:val="21"/>
                <w:szCs w:val="21"/>
                <w:highlight w:val="none"/>
                <w:lang w:val="en-US" w:eastAsia="zh-CN" w:bidi="ar"/>
              </w:rPr>
              <w:t>分）：实施方案阐述详细，提出较符合采购人单位实际的措施安排，包含但不限于实施计划、组织机构、人员安排、供货保障措施、应急保障措施、安装调试工程师和周期安排具体可行、验收措施保障得当等。</w:t>
            </w:r>
          </w:p>
          <w:p w14:paraId="2BEA5B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不满足一档的不得分。</w:t>
            </w:r>
          </w:p>
        </w:tc>
      </w:tr>
      <w:tr w14:paraId="094BE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4CC676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质量保障方案</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3DAB6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w:t>
            </w:r>
            <w:r>
              <w:rPr>
                <w:rFonts w:hint="eastAsia" w:ascii="宋体" w:hAnsi="宋体" w:cs="宋体"/>
                <w:color w:val="auto"/>
                <w:kern w:val="2"/>
                <w:sz w:val="21"/>
                <w:szCs w:val="21"/>
                <w:highlight w:val="none"/>
                <w:lang w:val="en-US" w:eastAsia="zh-CN" w:bidi="ar"/>
              </w:rPr>
              <w:t>11</w:t>
            </w:r>
            <w:r>
              <w:rPr>
                <w:rFonts w:hint="eastAsia" w:ascii="宋体" w:hAnsi="宋体" w:eastAsia="宋体" w:cs="宋体"/>
                <w:color w:val="auto"/>
                <w:kern w:val="2"/>
                <w:sz w:val="21"/>
                <w:szCs w:val="21"/>
                <w:highlight w:val="none"/>
                <w:lang w:val="en-US" w:eastAsia="zh-CN" w:bidi="ar"/>
              </w:rPr>
              <w:t>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3703C2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由评委根据投标人提供的质量保障方案内容进行独立评审：</w:t>
            </w:r>
          </w:p>
          <w:p w14:paraId="660604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一档（1分）：有质量保证方案，能满足项目需求中的质量保证要求；</w:t>
            </w:r>
          </w:p>
          <w:p w14:paraId="194E69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二档（</w:t>
            </w:r>
            <w:r>
              <w:rPr>
                <w:rFonts w:hint="eastAsia" w:ascii="宋体" w:hAnsi="宋体" w:cs="宋体"/>
                <w:color w:val="auto"/>
                <w:kern w:val="2"/>
                <w:sz w:val="21"/>
                <w:szCs w:val="21"/>
                <w:highlight w:val="none"/>
                <w:lang w:val="en-US" w:eastAsia="zh-CN" w:bidi="ar"/>
              </w:rPr>
              <w:t>6</w:t>
            </w:r>
            <w:r>
              <w:rPr>
                <w:rFonts w:hint="eastAsia" w:ascii="宋体" w:hAnsi="宋体" w:eastAsia="宋体" w:cs="宋体"/>
                <w:color w:val="auto"/>
                <w:kern w:val="2"/>
                <w:sz w:val="21"/>
                <w:szCs w:val="21"/>
                <w:highlight w:val="none"/>
                <w:lang w:val="en-US" w:eastAsia="zh-CN" w:bidi="ar"/>
              </w:rPr>
              <w:t>分）：有详细的质量保证方案，能根据项目需求中的质量保证要求，逐条做出详细的质量保证方案计划。</w:t>
            </w:r>
          </w:p>
          <w:p w14:paraId="7C3158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三档（</w:t>
            </w:r>
            <w:r>
              <w:rPr>
                <w:rFonts w:hint="eastAsia" w:ascii="宋体" w:hAnsi="宋体" w:cs="宋体"/>
                <w:color w:val="auto"/>
                <w:kern w:val="2"/>
                <w:sz w:val="21"/>
                <w:szCs w:val="21"/>
                <w:highlight w:val="none"/>
                <w:lang w:val="en-US" w:eastAsia="zh-CN" w:bidi="ar"/>
              </w:rPr>
              <w:t>11</w:t>
            </w:r>
            <w:r>
              <w:rPr>
                <w:rFonts w:hint="eastAsia" w:ascii="宋体" w:hAnsi="宋体" w:eastAsia="宋体" w:cs="宋体"/>
                <w:color w:val="auto"/>
                <w:kern w:val="2"/>
                <w:sz w:val="21"/>
                <w:szCs w:val="21"/>
                <w:highlight w:val="none"/>
                <w:lang w:val="en-US" w:eastAsia="zh-CN" w:bidi="ar"/>
              </w:rPr>
              <w:t>分）：有详细的质量保证方案，能根据项目需求中的质量保证要求，逐条做出详细的符合采购人单位实际的质量保证方案计划，明确具体环节保障人员，有保障重点及难点分析并提出针对性的解决方案。</w:t>
            </w:r>
          </w:p>
          <w:p w14:paraId="353D8C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不满足一档的不得分。</w:t>
            </w:r>
          </w:p>
        </w:tc>
      </w:tr>
      <w:tr w14:paraId="0FDC7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27AA4C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售后服务方案</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94EFC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w:t>
            </w:r>
            <w:r>
              <w:rPr>
                <w:rFonts w:hint="eastAsia" w:ascii="宋体" w:hAnsi="宋体" w:cs="宋体"/>
                <w:color w:val="auto"/>
                <w:kern w:val="2"/>
                <w:sz w:val="21"/>
                <w:szCs w:val="21"/>
                <w:highlight w:val="none"/>
                <w:lang w:val="en-US" w:eastAsia="zh-CN" w:bidi="ar"/>
              </w:rPr>
              <w:t>11</w:t>
            </w:r>
            <w:r>
              <w:rPr>
                <w:rFonts w:hint="eastAsia" w:ascii="宋体" w:hAnsi="宋体" w:eastAsia="宋体" w:cs="宋体"/>
                <w:color w:val="auto"/>
                <w:kern w:val="2"/>
                <w:sz w:val="21"/>
                <w:szCs w:val="21"/>
                <w:highlight w:val="none"/>
                <w:lang w:val="en-US" w:eastAsia="zh-CN" w:bidi="ar"/>
              </w:rPr>
              <w:t>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79AC81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由评委根据投标人提供的售后服务方案内容进行独立评审：</w:t>
            </w:r>
          </w:p>
          <w:p w14:paraId="00B006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一档（1分）：满足项目质保期及售后服务要求，有定期回访及培训。</w:t>
            </w:r>
          </w:p>
          <w:p w14:paraId="006D62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二档（</w:t>
            </w:r>
            <w:r>
              <w:rPr>
                <w:rFonts w:hint="eastAsia" w:ascii="宋体" w:hAnsi="宋体" w:cs="宋体"/>
                <w:color w:val="auto"/>
                <w:kern w:val="2"/>
                <w:sz w:val="21"/>
                <w:szCs w:val="21"/>
                <w:highlight w:val="none"/>
                <w:lang w:val="en-US" w:eastAsia="zh-CN" w:bidi="ar"/>
              </w:rPr>
              <w:t>6</w:t>
            </w:r>
            <w:r>
              <w:rPr>
                <w:rFonts w:hint="eastAsia" w:ascii="宋体" w:hAnsi="宋体" w:eastAsia="宋体" w:cs="宋体"/>
                <w:color w:val="auto"/>
                <w:kern w:val="2"/>
                <w:sz w:val="21"/>
                <w:szCs w:val="21"/>
                <w:highlight w:val="none"/>
                <w:lang w:val="en-US" w:eastAsia="zh-CN" w:bidi="ar"/>
              </w:rPr>
              <w:t>分）：优于项目质保期及售后服务要求，在接到采购人维修要求后应立即响应并在1小时内提出解决方案，4小时内到达现场对故障进行处理，维修过程中所需材料中标人在接到通知后应及时提供,最长不超过18小时必须送达采购人。若48小时内无法修复的，应36小时内提供相应备用设备并负责安装调试；定期回访一年不少于2次，回访方案详细；培训组织能根据不同产品制定详细的培训方案。</w:t>
            </w:r>
          </w:p>
          <w:p w14:paraId="1A4B82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三档（</w:t>
            </w:r>
            <w:r>
              <w:rPr>
                <w:rFonts w:hint="eastAsia" w:ascii="宋体" w:hAnsi="宋体" w:cs="宋体"/>
                <w:color w:val="auto"/>
                <w:kern w:val="2"/>
                <w:sz w:val="21"/>
                <w:szCs w:val="21"/>
                <w:highlight w:val="none"/>
                <w:lang w:val="en-US" w:eastAsia="zh-CN" w:bidi="ar"/>
              </w:rPr>
              <w:t>11</w:t>
            </w:r>
            <w:r>
              <w:rPr>
                <w:rFonts w:hint="eastAsia" w:ascii="宋体" w:hAnsi="宋体" w:eastAsia="宋体" w:cs="宋体"/>
                <w:color w:val="auto"/>
                <w:kern w:val="2"/>
                <w:sz w:val="21"/>
                <w:szCs w:val="21"/>
                <w:highlight w:val="none"/>
                <w:lang w:val="en-US" w:eastAsia="zh-CN" w:bidi="ar"/>
              </w:rPr>
              <w:t>分）：高于项目质保期及售后服务要求，质保期有延长，在接到采购人维修要求后应立即响应并在0.5小时内提出解决方案，4小时内到达现场对故障进行处理，维修过程中所需材料中标人在接到通知后应及时提供,最长不超过12小时必须送达采购人。若48小时内无法修复的，应24小时内提供相应备用设备并负责安装调试；定期回访一年不少于4次，回访方案详细，有回访重点，能针对回访遇到的问题提出解决方案；培训组织能根据采购人单位实际出发，针对本分标的不同产品制定个性化培训方案，能结合产品特点给出科学合理的设备拓展升级方案。</w:t>
            </w:r>
          </w:p>
          <w:p w14:paraId="160FA6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不满足一档的不得分。</w:t>
            </w:r>
          </w:p>
        </w:tc>
      </w:tr>
      <w:tr w14:paraId="0E71A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4A0C1D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（三）商务分（满分</w:t>
            </w:r>
            <w:r>
              <w:rPr>
                <w:rFonts w:hint="eastAsia" w:ascii="宋体" w:hAnsi="宋体" w:cs="宋体"/>
                <w:color w:val="auto"/>
                <w:kern w:val="2"/>
                <w:sz w:val="21"/>
                <w:szCs w:val="21"/>
                <w:highlight w:val="none"/>
                <w:lang w:val="en-US" w:eastAsia="zh-CN" w:bidi="ar"/>
              </w:rPr>
              <w:t>5</w:t>
            </w:r>
            <w:r>
              <w:rPr>
                <w:rFonts w:hint="eastAsia" w:ascii="宋体" w:hAnsi="宋体" w:eastAsia="宋体" w:cs="宋体"/>
                <w:color w:val="auto"/>
                <w:kern w:val="2"/>
                <w:sz w:val="21"/>
                <w:szCs w:val="21"/>
                <w:highlight w:val="none"/>
                <w:lang w:val="en-US" w:eastAsia="zh-CN" w:bidi="ar"/>
              </w:rPr>
              <w:t>分）</w:t>
            </w:r>
          </w:p>
        </w:tc>
      </w:tr>
      <w:tr w14:paraId="40D83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79FF4C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业绩分</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863F3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w:t>
            </w:r>
            <w:r>
              <w:rPr>
                <w:rFonts w:hint="eastAsia" w:ascii="宋体" w:hAnsi="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0A430E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投标人或投标产品生产厂家自2021年1月1日以来有过同类设备业绩（</w:t>
            </w:r>
            <w:r>
              <w:rPr>
                <w:rFonts w:hint="eastAsia" w:ascii="宋体" w:hAnsi="宋体" w:eastAsia="宋体" w:cs="宋体"/>
                <w:color w:val="auto"/>
                <w:sz w:val="21"/>
                <w:szCs w:val="21"/>
                <w:highlight w:val="none"/>
                <w:lang w:val="en-US" w:eastAsia="zh-CN"/>
              </w:rPr>
              <w:t>便携式X射线荧光光谱仪或便携式流速测量仪或便携式测深仪</w:t>
            </w:r>
            <w:r>
              <w:rPr>
                <w:rFonts w:hint="eastAsia" w:ascii="宋体" w:hAnsi="宋体" w:eastAsia="宋体" w:cs="宋体"/>
                <w:color w:val="auto"/>
                <w:kern w:val="2"/>
                <w:sz w:val="21"/>
                <w:szCs w:val="21"/>
                <w:highlight w:val="none"/>
                <w:lang w:val="en-US" w:eastAsia="zh-CN" w:bidi="ar"/>
              </w:rPr>
              <w:t>），每个业绩得</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分，本项满分</w:t>
            </w:r>
            <w:r>
              <w:rPr>
                <w:rFonts w:hint="eastAsia" w:ascii="宋体" w:hAnsi="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分。</w:t>
            </w:r>
          </w:p>
          <w:p w14:paraId="6E3828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注：必须提供中标/成交通知书或合同（首页、签字盖章页、产品所在页）复印件等证明材料复印件并加盖公章，否则不得分。</w:t>
            </w:r>
          </w:p>
        </w:tc>
      </w:tr>
      <w:tr w14:paraId="1CB29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68202B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政策功能分</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9CE9F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满分1分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1BFA59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属于财政部《节能产品政府采购品目清单》内优先采购（清单内未标注“★”的品目）的产品[投标文件中提供有效的认证证书复印件及品目清单（标注出投标产品在品目清单中所属的品目）]，每提供一项得0.5分，满分0.5分。</w:t>
            </w:r>
          </w:p>
          <w:p w14:paraId="68A33D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（2）属于财政部《环境标志产品政府采购品目清单》内的产品[投标文件中提供有效的认证证书复印件及品目清单（标注出投标产品在品目清单中所属的品目）]，每提供一项得0.5分，满分0.5分。</w:t>
            </w:r>
          </w:p>
          <w:p w14:paraId="02F5DF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（3）非节能、环境标志产品的不得分。</w:t>
            </w:r>
          </w:p>
        </w:tc>
      </w:tr>
      <w:tr w14:paraId="7DD60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6BBF1B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总得分=（一）+（二）+（三）</w:t>
            </w:r>
          </w:p>
        </w:tc>
      </w:tr>
    </w:tbl>
    <w:p w14:paraId="74635683">
      <w:pPr>
        <w:rPr>
          <w:rFonts w:hint="eastAsia" w:ascii="宋体" w:hAnsi="宋体" w:eastAsia="宋体" w:cs="宋体"/>
          <w:color w:val="auto"/>
          <w:sz w:val="21"/>
          <w:szCs w:val="21"/>
          <w:highlight w:val="none"/>
          <w:lang w:eastAsia="zh-CN"/>
        </w:rPr>
      </w:pPr>
    </w:p>
    <w:p w14:paraId="00BF409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outlineLvl w:val="2"/>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附件：分包1技术参数指标等级对照表</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6"/>
        <w:gridCol w:w="1696"/>
      </w:tblGrid>
      <w:tr w14:paraId="437E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14:paraId="41723F1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bidi="ar"/>
              </w:rPr>
            </w:pPr>
            <w:bookmarkStart w:id="264" w:name="_Toc1786"/>
            <w:bookmarkStart w:id="265" w:name="_Toc26930"/>
            <w:r>
              <w:rPr>
                <w:rFonts w:hint="eastAsia" w:ascii="宋体" w:hAnsi="宋体" w:eastAsia="宋体" w:cs="宋体"/>
                <w:b/>
                <w:bCs/>
                <w:color w:val="auto"/>
                <w:sz w:val="21"/>
                <w:szCs w:val="21"/>
                <w:highlight w:val="none"/>
                <w:u w:val="none"/>
                <w:vertAlign w:val="baseline"/>
                <w:lang w:val="en-US" w:eastAsia="zh-CN" w:bidi="ar"/>
              </w:rPr>
              <w:t>技术参数指标等级对照表</w:t>
            </w:r>
            <w:bookmarkEnd w:id="264"/>
            <w:bookmarkEnd w:id="265"/>
          </w:p>
        </w:tc>
      </w:tr>
      <w:tr w14:paraId="5F1D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14:paraId="5B64A01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bidi="ar"/>
              </w:rPr>
            </w:pPr>
            <w:bookmarkStart w:id="266" w:name="_Toc22845"/>
            <w:bookmarkStart w:id="267" w:name="_Toc5199"/>
            <w:r>
              <w:rPr>
                <w:rFonts w:hint="eastAsia" w:ascii="宋体" w:hAnsi="宋体" w:eastAsia="宋体" w:cs="宋体"/>
                <w:color w:val="auto"/>
                <w:sz w:val="21"/>
                <w:szCs w:val="21"/>
                <w:highlight w:val="none"/>
                <w:u w:val="none"/>
                <w:vertAlign w:val="baseline"/>
                <w:lang w:val="en-US" w:eastAsia="zh-CN" w:bidi="ar"/>
              </w:rPr>
              <w:t>一般参数指标合计38项</w:t>
            </w:r>
            <w:bookmarkEnd w:id="266"/>
            <w:bookmarkEnd w:id="267"/>
            <w:r>
              <w:rPr>
                <w:rFonts w:hint="eastAsia" w:ascii="宋体" w:hAnsi="宋体" w:eastAsia="宋体" w:cs="宋体"/>
                <w:color w:val="auto"/>
                <w:sz w:val="21"/>
                <w:szCs w:val="21"/>
                <w:highlight w:val="none"/>
                <w:u w:val="none"/>
                <w:vertAlign w:val="baseline"/>
                <w:lang w:val="en-US" w:eastAsia="zh-CN" w:bidi="ar"/>
              </w:rPr>
              <w:t>，重要参数指标合计3项</w:t>
            </w:r>
          </w:p>
        </w:tc>
      </w:tr>
      <w:tr w14:paraId="40E6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top"/>
          </w:tcPr>
          <w:p w14:paraId="72143250">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bidi="ar"/>
              </w:rPr>
            </w:pPr>
            <w:bookmarkStart w:id="268" w:name="_Toc30142"/>
            <w:bookmarkStart w:id="269" w:name="_Toc17945"/>
            <w:r>
              <w:rPr>
                <w:rFonts w:hint="eastAsia" w:ascii="宋体" w:hAnsi="宋体" w:eastAsia="宋体" w:cs="宋体"/>
                <w:color w:val="auto"/>
                <w:spacing w:val="0"/>
                <w:sz w:val="21"/>
                <w:szCs w:val="21"/>
                <w:highlight w:val="none"/>
                <w:lang w:bidi="ar"/>
              </w:rPr>
              <w:t>技术</w:t>
            </w:r>
            <w:r>
              <w:rPr>
                <w:rFonts w:hint="eastAsia" w:ascii="宋体" w:hAnsi="宋体" w:eastAsia="宋体" w:cs="宋体"/>
                <w:color w:val="auto"/>
                <w:spacing w:val="0"/>
                <w:sz w:val="21"/>
                <w:szCs w:val="21"/>
                <w:highlight w:val="none"/>
                <w:lang w:val="en-US" w:eastAsia="zh-CN" w:bidi="ar"/>
              </w:rPr>
              <w:t>参数</w:t>
            </w:r>
            <w:r>
              <w:rPr>
                <w:rFonts w:hint="eastAsia" w:ascii="宋体" w:hAnsi="宋体" w:eastAsia="宋体" w:cs="宋体"/>
                <w:color w:val="auto"/>
                <w:spacing w:val="0"/>
                <w:sz w:val="21"/>
                <w:szCs w:val="21"/>
                <w:highlight w:val="none"/>
                <w:lang w:bidi="ar"/>
              </w:rPr>
              <w:t>指标要求</w:t>
            </w:r>
            <w:bookmarkEnd w:id="268"/>
            <w:bookmarkEnd w:id="269"/>
          </w:p>
        </w:tc>
        <w:tc>
          <w:tcPr>
            <w:tcW w:w="1696" w:type="dxa"/>
            <w:noWrap w:val="0"/>
            <w:vAlign w:val="top"/>
          </w:tcPr>
          <w:p w14:paraId="767D192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bidi="ar"/>
              </w:rPr>
            </w:pPr>
            <w:bookmarkStart w:id="270" w:name="_Toc29387"/>
            <w:bookmarkStart w:id="271" w:name="_Toc23754"/>
            <w:r>
              <w:rPr>
                <w:rFonts w:hint="eastAsia" w:ascii="宋体" w:hAnsi="宋体" w:eastAsia="宋体" w:cs="宋体"/>
                <w:color w:val="auto"/>
                <w:sz w:val="21"/>
                <w:szCs w:val="21"/>
                <w:highlight w:val="none"/>
                <w:u w:val="none"/>
                <w:vertAlign w:val="baseline"/>
                <w:lang w:val="en-US" w:eastAsia="zh-CN" w:bidi="ar"/>
              </w:rPr>
              <w:t>指标等级</w:t>
            </w:r>
            <w:bookmarkEnd w:id="270"/>
            <w:bookmarkEnd w:id="271"/>
          </w:p>
        </w:tc>
      </w:tr>
      <w:tr w14:paraId="2B0B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14:paraId="490258AC">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bCs/>
                <w:color w:val="auto"/>
                <w:sz w:val="21"/>
                <w:szCs w:val="21"/>
                <w:highlight w:val="none"/>
                <w:u w:val="none"/>
                <w:vertAlign w:val="baseline"/>
                <w:lang w:val="en-US" w:eastAsia="zh-CN" w:bidi="ar"/>
              </w:rPr>
            </w:pPr>
            <w:bookmarkStart w:id="272" w:name="_Toc21559"/>
            <w:bookmarkStart w:id="273" w:name="_Toc20136"/>
            <w:r>
              <w:rPr>
                <w:rFonts w:hint="eastAsia" w:ascii="宋体" w:hAnsi="宋体" w:eastAsia="宋体" w:cs="宋体"/>
                <w:b w:val="0"/>
                <w:bCs w:val="0"/>
                <w:color w:val="auto"/>
                <w:sz w:val="21"/>
                <w:szCs w:val="21"/>
                <w:highlight w:val="none"/>
                <w:u w:val="none"/>
                <w:vertAlign w:val="baseline"/>
                <w:lang w:val="en-US" w:eastAsia="zh-CN" w:bidi="ar"/>
              </w:rPr>
              <w:t>便携式X射线荧光光谱仪（一般参数指标17项，重要参数指标3项）</w:t>
            </w:r>
            <w:bookmarkEnd w:id="272"/>
            <w:bookmarkEnd w:id="273"/>
          </w:p>
        </w:tc>
      </w:tr>
      <w:tr w14:paraId="7BDDC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6" w:type="dxa"/>
            <w:noWrap w:val="0"/>
            <w:vAlign w:val="center"/>
          </w:tcPr>
          <w:p w14:paraId="53C2FBDC">
            <w:pPr>
              <w:pStyle w:val="31"/>
              <w:keepNext w:val="0"/>
              <w:keepLines w:val="0"/>
              <w:pageBreakBefore w:val="0"/>
              <w:kinsoku/>
              <w:wordWrap/>
              <w:overflowPunct/>
              <w:topLinePunct w:val="0"/>
              <w:autoSpaceDE/>
              <w:autoSpaceDN/>
              <w:bidi w:val="0"/>
              <w:adjustRightInd/>
              <w:spacing w:line="400" w:lineRule="exact"/>
              <w:jc w:val="both"/>
              <w:textAlignment w:val="auto"/>
              <w:outlineLvl w:val="1"/>
              <w:rPr>
                <w:rFonts w:hint="eastAsia" w:ascii="宋体" w:hAnsi="宋体" w:eastAsia="宋体" w:cs="宋体"/>
                <w:b/>
                <w:bCs/>
                <w:color w:val="auto"/>
                <w:sz w:val="21"/>
                <w:szCs w:val="21"/>
                <w:highlight w:val="none"/>
                <w:u w:val="single"/>
                <w:vertAlign w:val="baseline"/>
                <w:lang w:val="en-US" w:eastAsia="zh-CN"/>
              </w:rPr>
            </w:pPr>
            <w:bookmarkStart w:id="274" w:name="_Toc13173"/>
            <w:bookmarkStart w:id="275" w:name="_Toc12383"/>
            <w:r>
              <w:rPr>
                <w:rFonts w:hint="eastAsia" w:ascii="宋体" w:hAnsi="宋体" w:eastAsia="宋体" w:cs="宋体"/>
                <w:b/>
                <w:bCs/>
                <w:color w:val="auto"/>
                <w:sz w:val="21"/>
                <w:szCs w:val="21"/>
                <w:highlight w:val="none"/>
                <w:u w:val="none"/>
                <w:vertAlign w:val="baseline"/>
                <w:lang w:val="en-US" w:eastAsia="zh-CN" w:bidi="ar"/>
              </w:rPr>
              <w:t>一、技术功能参数</w:t>
            </w:r>
            <w:bookmarkEnd w:id="274"/>
            <w:bookmarkEnd w:id="275"/>
          </w:p>
        </w:tc>
        <w:tc>
          <w:tcPr>
            <w:tcW w:w="1696" w:type="dxa"/>
            <w:noWrap w:val="0"/>
            <w:vAlign w:val="center"/>
          </w:tcPr>
          <w:p w14:paraId="314CEE4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bCs/>
                <w:color w:val="auto"/>
                <w:sz w:val="21"/>
                <w:szCs w:val="21"/>
                <w:highlight w:val="none"/>
                <w:u w:val="none"/>
                <w:vertAlign w:val="baseline"/>
                <w:lang w:val="en-US" w:eastAsia="zh-CN" w:bidi="ar"/>
              </w:rPr>
            </w:pPr>
            <w:bookmarkStart w:id="276" w:name="_Toc12837"/>
            <w:bookmarkStart w:id="277" w:name="_Toc13775"/>
            <w:r>
              <w:rPr>
                <w:rFonts w:hint="eastAsia" w:ascii="宋体" w:hAnsi="宋体" w:eastAsia="宋体" w:cs="宋体"/>
                <w:b/>
                <w:bCs/>
                <w:color w:val="auto"/>
                <w:sz w:val="21"/>
                <w:szCs w:val="21"/>
                <w:highlight w:val="none"/>
                <w:u w:val="none"/>
                <w:vertAlign w:val="baseline"/>
                <w:lang w:val="en-US" w:eastAsia="zh-CN" w:bidi="ar"/>
              </w:rPr>
              <w:t>/</w:t>
            </w:r>
            <w:bookmarkEnd w:id="276"/>
            <w:bookmarkEnd w:id="277"/>
          </w:p>
        </w:tc>
      </w:tr>
      <w:tr w14:paraId="1133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5E97AEF8">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▲1.测量原理：非手持式,能量色散测量模式；【投标时需提供产品彩页或有关证明材料并加盖投标人单位公章】</w:t>
            </w:r>
          </w:p>
        </w:tc>
        <w:tc>
          <w:tcPr>
            <w:tcW w:w="1696" w:type="dxa"/>
            <w:noWrap w:val="0"/>
            <w:vAlign w:val="center"/>
          </w:tcPr>
          <w:p w14:paraId="0A69679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bookmarkStart w:id="278" w:name="_Toc17973"/>
            <w:bookmarkStart w:id="279" w:name="_Toc23650"/>
            <w:r>
              <w:rPr>
                <w:rFonts w:hint="eastAsia" w:ascii="宋体" w:hAnsi="宋体" w:eastAsia="宋体" w:cs="宋体"/>
                <w:color w:val="auto"/>
                <w:sz w:val="21"/>
                <w:szCs w:val="21"/>
                <w:highlight w:val="none"/>
                <w:u w:val="none"/>
                <w:vertAlign w:val="baseline"/>
                <w:lang w:val="en-US" w:eastAsia="zh-CN"/>
              </w:rPr>
              <w:t>实质性参数</w:t>
            </w:r>
            <w:bookmarkEnd w:id="278"/>
            <w:bookmarkEnd w:id="279"/>
          </w:p>
        </w:tc>
      </w:tr>
      <w:tr w14:paraId="69A7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310E5442">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▲2.主机重量≤10kg（不含电池）；【投标时需提供产品彩页或有关证明材料并加盖投标人单位公章】</w:t>
            </w:r>
          </w:p>
        </w:tc>
        <w:tc>
          <w:tcPr>
            <w:tcW w:w="1696" w:type="dxa"/>
            <w:noWrap w:val="0"/>
            <w:vAlign w:val="center"/>
          </w:tcPr>
          <w:p w14:paraId="01CFB5A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bookmarkStart w:id="280" w:name="_Toc12213"/>
            <w:bookmarkStart w:id="281" w:name="_Toc10132"/>
            <w:r>
              <w:rPr>
                <w:rFonts w:hint="eastAsia" w:ascii="宋体" w:hAnsi="宋体" w:eastAsia="宋体" w:cs="宋体"/>
                <w:color w:val="auto"/>
                <w:sz w:val="21"/>
                <w:szCs w:val="21"/>
                <w:highlight w:val="none"/>
                <w:u w:val="none"/>
                <w:vertAlign w:val="baseline"/>
                <w:lang w:val="en-US" w:eastAsia="zh-CN"/>
              </w:rPr>
              <w:t>实质性参数</w:t>
            </w:r>
            <w:bookmarkEnd w:id="280"/>
            <w:bookmarkEnd w:id="281"/>
          </w:p>
        </w:tc>
      </w:tr>
      <w:tr w14:paraId="4B16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4FF67E2E">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▲3.主机尺寸：长≤420mm，宽≤360mm ,高≤310mm；【投标时需提供产品彩页或有关证明材料并加盖投标人单位公章】</w:t>
            </w:r>
          </w:p>
        </w:tc>
        <w:tc>
          <w:tcPr>
            <w:tcW w:w="1696" w:type="dxa"/>
            <w:noWrap w:val="0"/>
            <w:vAlign w:val="center"/>
          </w:tcPr>
          <w:p w14:paraId="3BB38302">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bookmarkStart w:id="282" w:name="_Toc12491"/>
            <w:bookmarkStart w:id="283" w:name="_Toc11703"/>
            <w:r>
              <w:rPr>
                <w:rFonts w:hint="eastAsia" w:ascii="宋体" w:hAnsi="宋体" w:eastAsia="宋体" w:cs="宋体"/>
                <w:color w:val="auto"/>
                <w:sz w:val="21"/>
                <w:szCs w:val="21"/>
                <w:highlight w:val="none"/>
                <w:u w:val="none"/>
                <w:vertAlign w:val="baseline"/>
                <w:lang w:val="en-US" w:eastAsia="zh-CN"/>
              </w:rPr>
              <w:t>实质性参数</w:t>
            </w:r>
            <w:bookmarkEnd w:id="282"/>
            <w:bookmarkEnd w:id="283"/>
          </w:p>
        </w:tc>
      </w:tr>
      <w:tr w14:paraId="02C2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826" w:type="dxa"/>
            <w:noWrap w:val="0"/>
            <w:vAlign w:val="center"/>
          </w:tcPr>
          <w:p w14:paraId="5C8B18CE">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4.工作温度：至少包含-5℃～+50℃；</w:t>
            </w:r>
          </w:p>
        </w:tc>
        <w:tc>
          <w:tcPr>
            <w:tcW w:w="1696" w:type="dxa"/>
            <w:noWrap w:val="0"/>
            <w:vAlign w:val="center"/>
          </w:tcPr>
          <w:p w14:paraId="16B2C880">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rPr>
              <w:t>一般参数</w:t>
            </w:r>
          </w:p>
        </w:tc>
      </w:tr>
      <w:tr w14:paraId="4C85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3EFBCCE1">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5.配备彩色触摸屏，强日光下显示清晰，尺寸≥7英寸；</w:t>
            </w:r>
          </w:p>
        </w:tc>
        <w:tc>
          <w:tcPr>
            <w:tcW w:w="1696" w:type="dxa"/>
            <w:noWrap w:val="0"/>
            <w:vAlign w:val="center"/>
          </w:tcPr>
          <w:p w14:paraId="5D37EE14">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bookmarkStart w:id="284" w:name="_Toc18885"/>
            <w:bookmarkStart w:id="285" w:name="_Toc15064"/>
            <w:r>
              <w:rPr>
                <w:rFonts w:hint="eastAsia" w:ascii="宋体" w:hAnsi="宋体" w:eastAsia="宋体" w:cs="宋体"/>
                <w:color w:val="auto"/>
                <w:sz w:val="21"/>
                <w:szCs w:val="21"/>
                <w:highlight w:val="none"/>
                <w:u w:val="none"/>
                <w:vertAlign w:val="baseline"/>
                <w:lang w:val="en-US" w:eastAsia="zh-CN"/>
              </w:rPr>
              <w:t>一般参数</w:t>
            </w:r>
            <w:bookmarkEnd w:id="284"/>
            <w:bookmarkEnd w:id="285"/>
          </w:p>
        </w:tc>
      </w:tr>
      <w:tr w14:paraId="0D7E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1D68F6CF">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6.支持现场连接蓝牙打印机实时打印数据；</w:t>
            </w:r>
          </w:p>
        </w:tc>
        <w:tc>
          <w:tcPr>
            <w:tcW w:w="1696" w:type="dxa"/>
            <w:noWrap w:val="0"/>
            <w:vAlign w:val="center"/>
          </w:tcPr>
          <w:p w14:paraId="778B950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rPr>
              <w:t>一般参数</w:t>
            </w:r>
          </w:p>
        </w:tc>
      </w:tr>
      <w:tr w14:paraId="40CC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371EB1C4">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7.测试时，若测试窗被打开，系统会自动切断X射线电源；</w:t>
            </w:r>
          </w:p>
        </w:tc>
        <w:tc>
          <w:tcPr>
            <w:tcW w:w="1696" w:type="dxa"/>
            <w:noWrap w:val="0"/>
            <w:vAlign w:val="center"/>
          </w:tcPr>
          <w:p w14:paraId="5A7B897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rPr>
              <w:t>一般参数</w:t>
            </w:r>
          </w:p>
        </w:tc>
      </w:tr>
      <w:tr w14:paraId="027C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2134799A">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8.仪器设备具有符合国家规定的辐射安全检测报告；</w:t>
            </w:r>
          </w:p>
        </w:tc>
        <w:tc>
          <w:tcPr>
            <w:tcW w:w="1696" w:type="dxa"/>
            <w:noWrap w:val="0"/>
            <w:vAlign w:val="center"/>
          </w:tcPr>
          <w:p w14:paraId="71946CE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rPr>
              <w:t>一般参数</w:t>
            </w:r>
          </w:p>
        </w:tc>
      </w:tr>
      <w:tr w14:paraId="53DA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1EB1A8CC">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9.仪器设备有实际成交用户，有参与应急事件实战使用经历；</w:t>
            </w:r>
          </w:p>
        </w:tc>
        <w:tc>
          <w:tcPr>
            <w:tcW w:w="1696" w:type="dxa"/>
            <w:noWrap w:val="0"/>
            <w:vAlign w:val="center"/>
          </w:tcPr>
          <w:p w14:paraId="58F2646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rPr>
              <w:t>一般参数</w:t>
            </w:r>
          </w:p>
        </w:tc>
      </w:tr>
      <w:tr w14:paraId="4B9E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74367470">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▲10.同时具备土壤（固废）和水质的重金属分析模块或功能；【投标时需提供产品彩页或有关证明材料并加盖投标人单位公章】</w:t>
            </w:r>
          </w:p>
        </w:tc>
        <w:tc>
          <w:tcPr>
            <w:tcW w:w="1696" w:type="dxa"/>
            <w:noWrap w:val="0"/>
            <w:vAlign w:val="center"/>
          </w:tcPr>
          <w:p w14:paraId="4F179E1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bookmarkStart w:id="286" w:name="_Toc29134"/>
            <w:bookmarkStart w:id="287" w:name="_Toc29445"/>
            <w:r>
              <w:rPr>
                <w:rFonts w:hint="eastAsia" w:ascii="宋体" w:hAnsi="宋体" w:eastAsia="宋体" w:cs="宋体"/>
                <w:color w:val="auto"/>
                <w:sz w:val="21"/>
                <w:szCs w:val="21"/>
                <w:highlight w:val="none"/>
                <w:u w:val="none"/>
                <w:vertAlign w:val="baseline"/>
                <w:lang w:val="en-US" w:eastAsia="zh-CN"/>
              </w:rPr>
              <w:t>实质性参数</w:t>
            </w:r>
            <w:bookmarkEnd w:id="286"/>
            <w:bookmarkEnd w:id="287"/>
          </w:p>
        </w:tc>
      </w:tr>
      <w:tr w14:paraId="536B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5EECC829">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▲11.可分析元素：包含但不限于镉、汞、砷、硒、铅、铬、铜、镍、锌、铁、锰、铊、锑、银，锡，铟、锶、钼、钡、钒、钛、钴、六价铬；【投标时需提供产品彩页或有关证明材料并加盖投标人单位公章】</w:t>
            </w:r>
          </w:p>
        </w:tc>
        <w:tc>
          <w:tcPr>
            <w:tcW w:w="1696" w:type="dxa"/>
            <w:noWrap w:val="0"/>
            <w:vAlign w:val="center"/>
          </w:tcPr>
          <w:p w14:paraId="5E83022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bookmarkStart w:id="288" w:name="_Toc7336"/>
            <w:bookmarkStart w:id="289" w:name="_Toc6003"/>
            <w:r>
              <w:rPr>
                <w:rFonts w:hint="eastAsia" w:ascii="宋体" w:hAnsi="宋体" w:eastAsia="宋体" w:cs="宋体"/>
                <w:color w:val="auto"/>
                <w:sz w:val="21"/>
                <w:szCs w:val="21"/>
                <w:highlight w:val="none"/>
                <w:u w:val="none"/>
                <w:vertAlign w:val="baseline"/>
                <w:lang w:val="en-US" w:eastAsia="zh-CN"/>
              </w:rPr>
              <w:t>实质性参数</w:t>
            </w:r>
            <w:bookmarkEnd w:id="288"/>
            <w:bookmarkEnd w:id="289"/>
          </w:p>
        </w:tc>
      </w:tr>
      <w:tr w14:paraId="42A8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05C991F2">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12.测定下限：</w:t>
            </w:r>
          </w:p>
        </w:tc>
        <w:tc>
          <w:tcPr>
            <w:tcW w:w="1696" w:type="dxa"/>
            <w:noWrap w:val="0"/>
            <w:vAlign w:val="center"/>
          </w:tcPr>
          <w:p w14:paraId="67064A87">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vertAlign w:val="baseline"/>
                <w:lang w:val="en-US" w:eastAsia="zh-CN" w:bidi="ar"/>
              </w:rPr>
              <w:t>/</w:t>
            </w:r>
          </w:p>
        </w:tc>
      </w:tr>
      <w:tr w14:paraId="7E8E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6114B978">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12.1水质重金属直接测定（或富集后）仪器测定下限：铜、锌、砷、硒、镉、六价铬、铅检出限低于《地表水质量标准》（GB3838-2002）表1中Ⅲ类标准限值；铁、锰低于表2标准限值；钼、钴、锑、镍、钡、钒低于表3标准限值；</w:t>
            </w:r>
          </w:p>
        </w:tc>
        <w:tc>
          <w:tcPr>
            <w:tcW w:w="1696" w:type="dxa"/>
            <w:noWrap w:val="0"/>
            <w:vAlign w:val="center"/>
          </w:tcPr>
          <w:p w14:paraId="17090F3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bookmarkStart w:id="290" w:name="_Toc22330"/>
            <w:bookmarkStart w:id="291" w:name="_Toc24533"/>
            <w:r>
              <w:rPr>
                <w:rFonts w:hint="eastAsia" w:ascii="宋体" w:hAnsi="宋体" w:eastAsia="宋体" w:cs="宋体"/>
                <w:color w:val="auto"/>
                <w:sz w:val="21"/>
                <w:szCs w:val="21"/>
                <w:highlight w:val="none"/>
                <w:u w:val="none"/>
                <w:vertAlign w:val="baseline"/>
                <w:lang w:val="en-US" w:eastAsia="zh-CN"/>
              </w:rPr>
              <w:t>一般参数</w:t>
            </w:r>
            <w:bookmarkEnd w:id="290"/>
            <w:bookmarkEnd w:id="291"/>
          </w:p>
        </w:tc>
      </w:tr>
      <w:tr w14:paraId="06964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034ED2FE">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12.2土壤重金属测定仪器测定下限：镉、汞、砷、铅、铬、铜、镍、锌低于《土壤环境质量 农用地土壤风险管控标准（试行）》（GB 15618-2018）表1农用地土壤污染风险筛选值表1中的最小值；</w:t>
            </w:r>
          </w:p>
        </w:tc>
        <w:tc>
          <w:tcPr>
            <w:tcW w:w="1696" w:type="dxa"/>
            <w:noWrap w:val="0"/>
            <w:vAlign w:val="center"/>
          </w:tcPr>
          <w:p w14:paraId="75EAF90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rPr>
              <w:t>一般参数</w:t>
            </w:r>
          </w:p>
        </w:tc>
      </w:tr>
      <w:tr w14:paraId="0855B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06169E24">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u w:val="single"/>
                <w:vertAlign w:val="baseline"/>
                <w:lang w:val="en-US" w:eastAsia="zh-CN"/>
              </w:rPr>
            </w:pPr>
            <w:bookmarkStart w:id="292" w:name="_Toc10222"/>
            <w:bookmarkStart w:id="293" w:name="_Toc15269"/>
            <w:r>
              <w:rPr>
                <w:rFonts w:hint="eastAsia" w:ascii="宋体" w:hAnsi="宋体" w:eastAsia="宋体" w:cs="宋体"/>
                <w:i w:val="0"/>
                <w:iCs w:val="0"/>
                <w:color w:val="auto"/>
                <w:kern w:val="0"/>
                <w:sz w:val="21"/>
                <w:szCs w:val="21"/>
                <w:highlight w:val="none"/>
                <w:u w:val="none"/>
                <w:lang w:val="en-US" w:eastAsia="zh-CN" w:bidi="ar"/>
              </w:rPr>
              <w:t>13.定量准确度：</w:t>
            </w:r>
            <w:bookmarkEnd w:id="292"/>
            <w:bookmarkEnd w:id="293"/>
          </w:p>
        </w:tc>
        <w:tc>
          <w:tcPr>
            <w:tcW w:w="1696" w:type="dxa"/>
            <w:noWrap w:val="0"/>
            <w:vAlign w:val="center"/>
          </w:tcPr>
          <w:p w14:paraId="00E1F87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rPr>
            </w:pPr>
            <w:bookmarkStart w:id="294" w:name="_Toc12246"/>
            <w:bookmarkStart w:id="295" w:name="_Toc31497"/>
            <w:r>
              <w:rPr>
                <w:rFonts w:hint="eastAsia" w:ascii="宋体" w:hAnsi="宋体" w:eastAsia="宋体" w:cs="宋体"/>
                <w:color w:val="auto"/>
                <w:sz w:val="21"/>
                <w:szCs w:val="21"/>
                <w:highlight w:val="none"/>
                <w:u w:val="none"/>
                <w:vertAlign w:val="baseline"/>
                <w:lang w:val="en-US" w:eastAsia="zh-CN" w:bidi="ar"/>
              </w:rPr>
              <w:t>/</w:t>
            </w:r>
            <w:bookmarkEnd w:id="294"/>
            <w:bookmarkEnd w:id="295"/>
          </w:p>
        </w:tc>
      </w:tr>
      <w:tr w14:paraId="5FF8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3D7387E9">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13.1水质可分析元素中至少镉、砷、铅、铜、锑、镍、锌元素有5种满足：</w:t>
            </w:r>
          </w:p>
        </w:tc>
        <w:tc>
          <w:tcPr>
            <w:tcW w:w="1696" w:type="dxa"/>
            <w:noWrap w:val="0"/>
            <w:vAlign w:val="center"/>
          </w:tcPr>
          <w:p w14:paraId="4755172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rPr>
              <w:t>一般参数</w:t>
            </w:r>
          </w:p>
        </w:tc>
      </w:tr>
      <w:tr w14:paraId="7043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050DDC17">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■13.1.1仪器测定下限至10倍标准限值（GB3838-2002 表1中Ⅲ类标准限值、表2和表3标准限值）范围浓度，相对误差≤20%，重复性RSD≤12%；【正偏离：相对误差≤15%，重复性RSD≤10%；无偏离：相对误差≤20%，重复性RSD≤12%。投标时需提供有资质检测单位依照规定方法出具的实际样品CMA</w:t>
            </w:r>
            <w:r>
              <w:rPr>
                <w:rFonts w:hint="eastAsia" w:ascii="宋体" w:hAnsi="宋体" w:eastAsia="宋体" w:cs="宋体"/>
                <w:color w:val="auto"/>
                <w:sz w:val="21"/>
                <w:szCs w:val="21"/>
                <w:highlight w:val="none"/>
                <w:lang w:val="en-US" w:eastAsia="zh-CN"/>
              </w:rPr>
              <w:t>或CNAS</w:t>
            </w:r>
            <w:r>
              <w:rPr>
                <w:rFonts w:hint="eastAsia" w:ascii="宋体" w:hAnsi="宋体" w:eastAsia="宋体" w:cs="宋体"/>
                <w:i w:val="0"/>
                <w:iCs w:val="0"/>
                <w:color w:val="auto"/>
                <w:kern w:val="0"/>
                <w:sz w:val="21"/>
                <w:szCs w:val="21"/>
                <w:highlight w:val="none"/>
                <w:u w:val="none"/>
                <w:lang w:val="en-US" w:eastAsia="zh-CN" w:bidi="ar"/>
              </w:rPr>
              <w:t>检测报告，并加盖投标人单位公章】</w:t>
            </w:r>
          </w:p>
        </w:tc>
        <w:tc>
          <w:tcPr>
            <w:tcW w:w="1696" w:type="dxa"/>
            <w:noWrap w:val="0"/>
            <w:vAlign w:val="center"/>
          </w:tcPr>
          <w:p w14:paraId="65D3E6D4">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bookmarkStart w:id="296" w:name="_Toc2425"/>
            <w:bookmarkStart w:id="297" w:name="_Toc19452"/>
            <w:r>
              <w:rPr>
                <w:rFonts w:hint="eastAsia" w:ascii="宋体" w:hAnsi="宋体" w:eastAsia="宋体" w:cs="宋体"/>
                <w:color w:val="auto"/>
                <w:sz w:val="21"/>
                <w:szCs w:val="21"/>
                <w:highlight w:val="none"/>
                <w:u w:val="none"/>
                <w:vertAlign w:val="baseline"/>
                <w:lang w:val="en-US" w:eastAsia="zh-CN" w:bidi="ar"/>
              </w:rPr>
              <w:t>重要参数</w:t>
            </w:r>
            <w:bookmarkEnd w:id="296"/>
            <w:bookmarkEnd w:id="297"/>
          </w:p>
        </w:tc>
      </w:tr>
      <w:tr w14:paraId="2B90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05B97179">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■13.1.2 10倍标准限值（GB3838-2002 表1中Ⅲ类标准限值、表2和表3标准限值）以上浓度，相对误差≤20%，重复性RSD≤12%；【正偏离：相对误差≤15%，重复性RSD≤10%；无偏离：相对误差≤20%，重复性RSD≤12%。投标时需提供有资质检测单位依照规定方法出具的实际样品CMA</w:t>
            </w:r>
            <w:r>
              <w:rPr>
                <w:rFonts w:hint="eastAsia" w:ascii="宋体" w:hAnsi="宋体" w:eastAsia="宋体" w:cs="宋体"/>
                <w:color w:val="auto"/>
                <w:sz w:val="21"/>
                <w:szCs w:val="21"/>
                <w:highlight w:val="none"/>
                <w:lang w:val="en-US" w:eastAsia="zh-CN"/>
              </w:rPr>
              <w:t>或CNAS</w:t>
            </w:r>
            <w:r>
              <w:rPr>
                <w:rFonts w:hint="eastAsia" w:ascii="宋体" w:hAnsi="宋体" w:eastAsia="宋体" w:cs="宋体"/>
                <w:i w:val="0"/>
                <w:iCs w:val="0"/>
                <w:color w:val="auto"/>
                <w:kern w:val="0"/>
                <w:sz w:val="21"/>
                <w:szCs w:val="21"/>
                <w:highlight w:val="none"/>
                <w:u w:val="none"/>
                <w:lang w:val="en-US" w:eastAsia="zh-CN" w:bidi="ar"/>
              </w:rPr>
              <w:t>检测报告，并加盖投标人单位公章】</w:t>
            </w:r>
          </w:p>
        </w:tc>
        <w:tc>
          <w:tcPr>
            <w:tcW w:w="1696" w:type="dxa"/>
            <w:noWrap w:val="0"/>
            <w:vAlign w:val="center"/>
          </w:tcPr>
          <w:p w14:paraId="1A0E5D54">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bookmarkStart w:id="298" w:name="_Toc8667"/>
            <w:bookmarkStart w:id="299" w:name="_Toc20632"/>
            <w:r>
              <w:rPr>
                <w:rFonts w:hint="eastAsia" w:ascii="宋体" w:hAnsi="宋体" w:eastAsia="宋体" w:cs="宋体"/>
                <w:color w:val="auto"/>
                <w:sz w:val="21"/>
                <w:szCs w:val="21"/>
                <w:highlight w:val="none"/>
                <w:u w:val="none"/>
                <w:vertAlign w:val="baseline"/>
                <w:lang w:val="en-US" w:eastAsia="zh-CN" w:bidi="ar"/>
              </w:rPr>
              <w:t>重要参数</w:t>
            </w:r>
            <w:bookmarkEnd w:id="298"/>
            <w:bookmarkEnd w:id="299"/>
          </w:p>
        </w:tc>
      </w:tr>
      <w:tr w14:paraId="3D7C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367D44DD">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■13.2土壤可分析元素中至少镉、砷、铅、铜、锑元素应满足：仪器量检出限至GB 15618-2018表1农用地土壤污染风险筛选值表1中的最小值范围浓度，相对误差≤20%，重复性RSD≤12%；【正偏离：相对误差≤15%，重复性RSD≤10%；无偏离：相对误差≤20%，重复性RSD≤12%。投标时需提供有资质检测单位依照规定方法出具的实际样品CMA</w:t>
            </w:r>
            <w:r>
              <w:rPr>
                <w:rFonts w:hint="eastAsia" w:ascii="宋体" w:hAnsi="宋体" w:eastAsia="宋体" w:cs="宋体"/>
                <w:color w:val="auto"/>
                <w:sz w:val="21"/>
                <w:szCs w:val="21"/>
                <w:highlight w:val="none"/>
                <w:lang w:val="en-US" w:eastAsia="zh-CN"/>
              </w:rPr>
              <w:t>或CNAS</w:t>
            </w:r>
            <w:r>
              <w:rPr>
                <w:rFonts w:hint="eastAsia" w:ascii="宋体" w:hAnsi="宋体" w:eastAsia="宋体" w:cs="宋体"/>
                <w:i w:val="0"/>
                <w:iCs w:val="0"/>
                <w:color w:val="auto"/>
                <w:kern w:val="0"/>
                <w:sz w:val="21"/>
                <w:szCs w:val="21"/>
                <w:highlight w:val="none"/>
                <w:u w:val="none"/>
                <w:lang w:val="en-US" w:eastAsia="zh-CN" w:bidi="ar"/>
              </w:rPr>
              <w:t>检测报告，并加盖投标人单位公章】</w:t>
            </w:r>
          </w:p>
        </w:tc>
        <w:tc>
          <w:tcPr>
            <w:tcW w:w="1696" w:type="dxa"/>
            <w:noWrap w:val="0"/>
            <w:vAlign w:val="center"/>
          </w:tcPr>
          <w:p w14:paraId="67644EB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bookmarkStart w:id="300" w:name="_Toc2727"/>
            <w:bookmarkStart w:id="301" w:name="_Toc25864"/>
            <w:r>
              <w:rPr>
                <w:rFonts w:hint="eastAsia" w:ascii="宋体" w:hAnsi="宋体" w:eastAsia="宋体" w:cs="宋体"/>
                <w:color w:val="auto"/>
                <w:sz w:val="21"/>
                <w:szCs w:val="21"/>
                <w:highlight w:val="none"/>
                <w:u w:val="none"/>
                <w:vertAlign w:val="baseline"/>
                <w:lang w:val="en-US" w:eastAsia="zh-CN" w:bidi="ar"/>
              </w:rPr>
              <w:t>重要参数</w:t>
            </w:r>
            <w:bookmarkEnd w:id="300"/>
            <w:bookmarkEnd w:id="301"/>
          </w:p>
        </w:tc>
      </w:tr>
      <w:tr w14:paraId="3E17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574B8383">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▲14.单次测量时间：水质（含水富集时间）及土壤直接测样时间≤600秒。【投标时需提供产品彩页或有关证明材料并加盖投标人单位公章】</w:t>
            </w:r>
          </w:p>
        </w:tc>
        <w:tc>
          <w:tcPr>
            <w:tcW w:w="1696" w:type="dxa"/>
            <w:noWrap w:val="0"/>
            <w:vAlign w:val="center"/>
          </w:tcPr>
          <w:p w14:paraId="7C1ED439">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bookmarkStart w:id="302" w:name="_Toc17240"/>
            <w:bookmarkStart w:id="303" w:name="_Toc18088"/>
            <w:r>
              <w:rPr>
                <w:rFonts w:hint="eastAsia" w:ascii="宋体" w:hAnsi="宋体" w:eastAsia="宋体" w:cs="宋体"/>
                <w:color w:val="auto"/>
                <w:sz w:val="21"/>
                <w:szCs w:val="21"/>
                <w:highlight w:val="none"/>
                <w:u w:val="none"/>
                <w:vertAlign w:val="baseline"/>
                <w:lang w:val="en-US" w:eastAsia="zh-CN"/>
              </w:rPr>
              <w:t>实质性参数</w:t>
            </w:r>
            <w:bookmarkEnd w:id="302"/>
            <w:bookmarkEnd w:id="303"/>
          </w:p>
        </w:tc>
      </w:tr>
      <w:tr w14:paraId="1FE2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7D3E128B">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u w:val="singl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二、单套配置要求（包含但不限于以下）</w:t>
            </w:r>
          </w:p>
        </w:tc>
        <w:tc>
          <w:tcPr>
            <w:tcW w:w="1696" w:type="dxa"/>
            <w:noWrap w:val="0"/>
            <w:vAlign w:val="center"/>
          </w:tcPr>
          <w:p w14:paraId="5CE130A2">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u w:val="none"/>
                <w:vertAlign w:val="baseline"/>
                <w:lang w:val="en-US" w:eastAsia="zh-CN" w:bidi="ar"/>
              </w:rPr>
              <w:t>/</w:t>
            </w:r>
          </w:p>
        </w:tc>
      </w:tr>
      <w:tr w14:paraId="4DBA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55794A6C">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1.主机（含水质和土壤分析模块或功能）1台（内置曲线包含但不限于镉、汞、砷、硒、铅、铬、铜、镍、锌、铁、锰、铊、锑、银，锡，铟、锶、钼、钡、钒、钛、钴、六价铬等元素）；</w:t>
            </w:r>
          </w:p>
        </w:tc>
        <w:tc>
          <w:tcPr>
            <w:tcW w:w="1696" w:type="dxa"/>
            <w:noWrap w:val="0"/>
            <w:vAlign w:val="center"/>
          </w:tcPr>
          <w:p w14:paraId="68B7606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rPr>
              <w:t>一般参数</w:t>
            </w:r>
          </w:p>
        </w:tc>
      </w:tr>
      <w:tr w14:paraId="6D8C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14D5EF28">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2.水质富集装置1台；</w:t>
            </w:r>
          </w:p>
        </w:tc>
        <w:tc>
          <w:tcPr>
            <w:tcW w:w="1696" w:type="dxa"/>
            <w:noWrap w:val="0"/>
            <w:vAlign w:val="center"/>
          </w:tcPr>
          <w:p w14:paraId="1807E7B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rPr>
              <w:t>一般参数</w:t>
            </w:r>
          </w:p>
        </w:tc>
      </w:tr>
      <w:tr w14:paraId="39AA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12347566">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3.土壤（固废）研磨装置1台；（包含但不限于机械研磨仪、100目筛子、加热烘干仪、玛瑙研磨锅）；</w:t>
            </w:r>
          </w:p>
        </w:tc>
        <w:tc>
          <w:tcPr>
            <w:tcW w:w="1696" w:type="dxa"/>
            <w:noWrap w:val="0"/>
            <w:vAlign w:val="center"/>
          </w:tcPr>
          <w:p w14:paraId="11147A2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rPr>
              <w:t>一般参数</w:t>
            </w:r>
          </w:p>
        </w:tc>
      </w:tr>
      <w:tr w14:paraId="2A8C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6" w:type="dxa"/>
            <w:noWrap w:val="0"/>
            <w:vAlign w:val="center"/>
          </w:tcPr>
          <w:p w14:paraId="1ED15299">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4.蓝牙打印机1个；</w:t>
            </w:r>
          </w:p>
        </w:tc>
        <w:tc>
          <w:tcPr>
            <w:tcW w:w="1696" w:type="dxa"/>
            <w:noWrap w:val="0"/>
            <w:vAlign w:val="center"/>
          </w:tcPr>
          <w:p w14:paraId="24822B70">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rPr>
              <w:t>一般参数</w:t>
            </w:r>
          </w:p>
        </w:tc>
      </w:tr>
      <w:tr w14:paraId="43C5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62748040">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▲5.样品测试套装满足500个水质样品测试量，含水样富集所需的全部试剂、耗材等；【投标时需提供拟配置试剂、耗材清单列表及照片图片】</w:t>
            </w:r>
          </w:p>
        </w:tc>
        <w:tc>
          <w:tcPr>
            <w:tcW w:w="1696" w:type="dxa"/>
            <w:noWrap w:val="0"/>
            <w:vAlign w:val="center"/>
          </w:tcPr>
          <w:p w14:paraId="794446B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bookmarkStart w:id="304" w:name="_Toc22513"/>
            <w:bookmarkStart w:id="305" w:name="_Toc10136"/>
            <w:r>
              <w:rPr>
                <w:rFonts w:hint="eastAsia" w:ascii="宋体" w:hAnsi="宋体" w:eastAsia="宋体" w:cs="宋体"/>
                <w:color w:val="auto"/>
                <w:sz w:val="21"/>
                <w:szCs w:val="21"/>
                <w:highlight w:val="none"/>
                <w:u w:val="none"/>
                <w:vertAlign w:val="baseline"/>
                <w:lang w:val="en-US" w:eastAsia="zh-CN"/>
              </w:rPr>
              <w:t>实质性参数</w:t>
            </w:r>
            <w:bookmarkEnd w:id="304"/>
            <w:bookmarkEnd w:id="305"/>
          </w:p>
        </w:tc>
      </w:tr>
      <w:tr w14:paraId="3249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0165E841">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▲6.样品测试套装满足500个土壤样品测试量，含所需的全部试剂、耗材等；【投标时需提供拟配置试剂、耗材清单列表及照片图片】</w:t>
            </w:r>
          </w:p>
        </w:tc>
        <w:tc>
          <w:tcPr>
            <w:tcW w:w="1696" w:type="dxa"/>
            <w:noWrap w:val="0"/>
            <w:vAlign w:val="center"/>
          </w:tcPr>
          <w:p w14:paraId="07354C8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bookmarkStart w:id="306" w:name="_Toc27979"/>
            <w:bookmarkStart w:id="307" w:name="_Toc5301"/>
            <w:r>
              <w:rPr>
                <w:rFonts w:hint="eastAsia" w:ascii="宋体" w:hAnsi="宋体" w:eastAsia="宋体" w:cs="宋体"/>
                <w:color w:val="auto"/>
                <w:sz w:val="21"/>
                <w:szCs w:val="21"/>
                <w:highlight w:val="none"/>
                <w:u w:val="none"/>
                <w:vertAlign w:val="baseline"/>
                <w:lang w:val="en-US" w:eastAsia="zh-CN"/>
              </w:rPr>
              <w:t>实质性参数</w:t>
            </w:r>
            <w:bookmarkEnd w:id="306"/>
            <w:bookmarkEnd w:id="307"/>
          </w:p>
        </w:tc>
      </w:tr>
      <w:tr w14:paraId="6BDA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7472BCD7">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7.仪器使用说明书（包括纸质资料及仪器使用维护视频资料）；</w:t>
            </w:r>
          </w:p>
        </w:tc>
        <w:tc>
          <w:tcPr>
            <w:tcW w:w="1696" w:type="dxa"/>
            <w:noWrap w:val="0"/>
            <w:vAlign w:val="center"/>
          </w:tcPr>
          <w:p w14:paraId="421FADB4">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rPr>
              <w:t>一般参数</w:t>
            </w:r>
          </w:p>
        </w:tc>
      </w:tr>
      <w:tr w14:paraId="62D5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5EBC9306">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8.仪器收纳箱1个；</w:t>
            </w:r>
          </w:p>
        </w:tc>
        <w:tc>
          <w:tcPr>
            <w:tcW w:w="1696" w:type="dxa"/>
            <w:noWrap w:val="0"/>
            <w:vAlign w:val="center"/>
          </w:tcPr>
          <w:p w14:paraId="62D6753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rPr>
              <w:t>一般参数</w:t>
            </w:r>
          </w:p>
        </w:tc>
      </w:tr>
      <w:tr w14:paraId="3A68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4A2A65C6">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9.辐射安全检测报告1份；</w:t>
            </w:r>
          </w:p>
        </w:tc>
        <w:tc>
          <w:tcPr>
            <w:tcW w:w="1696" w:type="dxa"/>
            <w:noWrap w:val="0"/>
            <w:vAlign w:val="center"/>
          </w:tcPr>
          <w:p w14:paraId="32FD637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rPr>
              <w:t>一般参数</w:t>
            </w:r>
          </w:p>
        </w:tc>
      </w:tr>
      <w:tr w14:paraId="0AA5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7B1183DD">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10.土壤、水质有证标准物质各1套（至少包含镉、砷、铅、铜、锑等元素）。</w:t>
            </w:r>
          </w:p>
        </w:tc>
        <w:tc>
          <w:tcPr>
            <w:tcW w:w="1696" w:type="dxa"/>
            <w:noWrap w:val="0"/>
            <w:vAlign w:val="center"/>
          </w:tcPr>
          <w:p w14:paraId="265394E2">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rPr>
              <w:t>一般参数</w:t>
            </w:r>
          </w:p>
        </w:tc>
      </w:tr>
      <w:tr w14:paraId="5FDC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14:paraId="0E4933B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rPr>
            </w:pPr>
            <w:bookmarkStart w:id="308" w:name="_Toc11308"/>
            <w:bookmarkStart w:id="309" w:name="_Toc11286"/>
            <w:r>
              <w:rPr>
                <w:rFonts w:hint="eastAsia" w:ascii="宋体" w:hAnsi="宋体" w:eastAsia="宋体" w:cs="宋体"/>
                <w:b w:val="0"/>
                <w:bCs w:val="0"/>
                <w:color w:val="auto"/>
                <w:sz w:val="21"/>
                <w:szCs w:val="21"/>
                <w:highlight w:val="none"/>
                <w:lang w:eastAsia="zh-CN"/>
              </w:rPr>
              <w:t>便携式流速测量仪（</w:t>
            </w:r>
            <w:r>
              <w:rPr>
                <w:rFonts w:hint="eastAsia" w:ascii="宋体" w:hAnsi="宋体" w:eastAsia="宋体" w:cs="宋体"/>
                <w:b w:val="0"/>
                <w:bCs w:val="0"/>
                <w:color w:val="auto"/>
                <w:sz w:val="21"/>
                <w:szCs w:val="21"/>
                <w:highlight w:val="none"/>
                <w:lang w:val="en-US" w:eastAsia="zh-CN"/>
              </w:rPr>
              <w:t>一般参数9项</w:t>
            </w:r>
            <w:r>
              <w:rPr>
                <w:rFonts w:hint="eastAsia" w:ascii="宋体" w:hAnsi="宋体" w:eastAsia="宋体" w:cs="宋体"/>
                <w:b w:val="0"/>
                <w:bCs w:val="0"/>
                <w:color w:val="auto"/>
                <w:sz w:val="21"/>
                <w:szCs w:val="21"/>
                <w:highlight w:val="none"/>
                <w:lang w:eastAsia="zh-CN"/>
              </w:rPr>
              <w:t>）</w:t>
            </w:r>
            <w:bookmarkEnd w:id="308"/>
            <w:bookmarkEnd w:id="309"/>
          </w:p>
        </w:tc>
      </w:tr>
      <w:tr w14:paraId="3B67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197CE37C">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一、核心功能要求</w:t>
            </w:r>
          </w:p>
        </w:tc>
        <w:tc>
          <w:tcPr>
            <w:tcW w:w="1696" w:type="dxa"/>
            <w:noWrap w:val="0"/>
            <w:vAlign w:val="center"/>
          </w:tcPr>
          <w:p w14:paraId="289E5B9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bookmarkStart w:id="310" w:name="_Toc25668"/>
            <w:bookmarkStart w:id="311" w:name="_Toc5168"/>
            <w:r>
              <w:rPr>
                <w:rFonts w:hint="eastAsia" w:ascii="宋体" w:hAnsi="宋体" w:eastAsia="宋体" w:cs="宋体"/>
                <w:color w:val="auto"/>
                <w:sz w:val="21"/>
                <w:szCs w:val="21"/>
                <w:highlight w:val="none"/>
                <w:u w:val="none"/>
                <w:vertAlign w:val="baseline"/>
                <w:lang w:val="en-US" w:eastAsia="zh-CN"/>
              </w:rPr>
              <w:t>/</w:t>
            </w:r>
            <w:bookmarkEnd w:id="310"/>
            <w:bookmarkEnd w:id="311"/>
          </w:p>
        </w:tc>
      </w:tr>
      <w:tr w14:paraId="2DC3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17F2ED82">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1.测量参数：支持测量流速、流量和水位参数；</w:t>
            </w:r>
          </w:p>
        </w:tc>
        <w:tc>
          <w:tcPr>
            <w:tcW w:w="1696" w:type="dxa"/>
            <w:noWrap w:val="0"/>
            <w:vAlign w:val="center"/>
          </w:tcPr>
          <w:p w14:paraId="345235D5">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vertAlign w:val="baseline"/>
                <w:lang w:val="en-US" w:eastAsia="zh-CN"/>
              </w:rPr>
              <w:t>一般参数</w:t>
            </w:r>
          </w:p>
        </w:tc>
      </w:tr>
      <w:tr w14:paraId="7D53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444D59CB">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▲2.流速测量原理：多普勒超声波原理或电磁感应原理；【投标时需提供产品彩页或有关证明材料并加盖投标人单位公章】</w:t>
            </w:r>
          </w:p>
        </w:tc>
        <w:tc>
          <w:tcPr>
            <w:tcW w:w="1696" w:type="dxa"/>
            <w:noWrap w:val="0"/>
            <w:vAlign w:val="center"/>
          </w:tcPr>
          <w:p w14:paraId="307C1280">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bookmarkStart w:id="312" w:name="_Toc18165"/>
            <w:bookmarkStart w:id="313" w:name="_Toc20189"/>
            <w:r>
              <w:rPr>
                <w:rFonts w:hint="eastAsia" w:ascii="宋体" w:hAnsi="宋体" w:eastAsia="宋体" w:cs="宋体"/>
                <w:color w:val="auto"/>
                <w:sz w:val="21"/>
                <w:szCs w:val="21"/>
                <w:highlight w:val="none"/>
                <w:u w:val="none"/>
                <w:vertAlign w:val="baseline"/>
                <w:lang w:val="en-US" w:eastAsia="zh-CN"/>
              </w:rPr>
              <w:t>实质性参数</w:t>
            </w:r>
            <w:bookmarkEnd w:id="312"/>
            <w:bookmarkEnd w:id="313"/>
          </w:p>
        </w:tc>
      </w:tr>
      <w:tr w14:paraId="5E93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02E21ED4">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3.数据存储：内置大容量数据存储器；</w:t>
            </w:r>
          </w:p>
        </w:tc>
        <w:tc>
          <w:tcPr>
            <w:tcW w:w="1696" w:type="dxa"/>
            <w:noWrap w:val="0"/>
            <w:vAlign w:val="center"/>
          </w:tcPr>
          <w:p w14:paraId="394B4E8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vertAlign w:val="baseline"/>
                <w:lang w:val="en-US" w:eastAsia="zh-CN"/>
              </w:rPr>
              <w:t>一般参数</w:t>
            </w:r>
          </w:p>
        </w:tc>
      </w:tr>
      <w:tr w14:paraId="1D15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0F0ABD82">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4.显示功能：配备背光液晶显示屏，能够实时显示测量数据和图形曲线。</w:t>
            </w:r>
          </w:p>
        </w:tc>
        <w:tc>
          <w:tcPr>
            <w:tcW w:w="1696" w:type="dxa"/>
            <w:noWrap w:val="0"/>
            <w:vAlign w:val="center"/>
          </w:tcPr>
          <w:p w14:paraId="7785A36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vertAlign w:val="baseline"/>
                <w:lang w:val="en-US" w:eastAsia="zh-CN"/>
              </w:rPr>
              <w:t>一般参数</w:t>
            </w:r>
          </w:p>
        </w:tc>
      </w:tr>
      <w:tr w14:paraId="65DA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06F3493D">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二、技术性能参数</w:t>
            </w:r>
          </w:p>
        </w:tc>
        <w:tc>
          <w:tcPr>
            <w:tcW w:w="1696" w:type="dxa"/>
            <w:noWrap w:val="0"/>
            <w:vAlign w:val="center"/>
          </w:tcPr>
          <w:p w14:paraId="53464F9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bookmarkStart w:id="314" w:name="_Toc1166"/>
            <w:bookmarkStart w:id="315" w:name="_Toc32351"/>
            <w:r>
              <w:rPr>
                <w:rFonts w:hint="eastAsia" w:ascii="宋体" w:hAnsi="宋体" w:eastAsia="宋体" w:cs="宋体"/>
                <w:color w:val="auto"/>
                <w:sz w:val="21"/>
                <w:szCs w:val="21"/>
                <w:highlight w:val="none"/>
                <w:u w:val="none"/>
                <w:vertAlign w:val="baseline"/>
                <w:lang w:val="en-US" w:eastAsia="zh-CN"/>
              </w:rPr>
              <w:t>/</w:t>
            </w:r>
            <w:bookmarkEnd w:id="314"/>
            <w:bookmarkEnd w:id="315"/>
          </w:p>
        </w:tc>
      </w:tr>
      <w:tr w14:paraId="295A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35C01822">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1.流速测量</w:t>
            </w:r>
          </w:p>
        </w:tc>
        <w:tc>
          <w:tcPr>
            <w:tcW w:w="1696" w:type="dxa"/>
            <w:noWrap w:val="0"/>
            <w:vAlign w:val="center"/>
          </w:tcPr>
          <w:p w14:paraId="28CB6F8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bookmarkStart w:id="316" w:name="_Toc9337"/>
            <w:bookmarkStart w:id="317" w:name="_Toc9279"/>
            <w:r>
              <w:rPr>
                <w:rFonts w:hint="eastAsia" w:ascii="宋体" w:hAnsi="宋体" w:eastAsia="宋体" w:cs="宋体"/>
                <w:color w:val="auto"/>
                <w:sz w:val="21"/>
                <w:szCs w:val="21"/>
                <w:highlight w:val="none"/>
                <w:u w:val="none"/>
                <w:vertAlign w:val="baseline"/>
                <w:lang w:val="en-US" w:eastAsia="zh-CN"/>
              </w:rPr>
              <w:t>/</w:t>
            </w:r>
            <w:bookmarkEnd w:id="316"/>
            <w:bookmarkEnd w:id="317"/>
          </w:p>
        </w:tc>
      </w:tr>
      <w:tr w14:paraId="0E94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30B5BC2B">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▲1.1测量范围：0.02m/s～5.0m/s；【投标时需提供产品彩页或有关证明材料并加盖投标人单位公章】</w:t>
            </w:r>
          </w:p>
        </w:tc>
        <w:tc>
          <w:tcPr>
            <w:tcW w:w="1696" w:type="dxa"/>
            <w:noWrap w:val="0"/>
            <w:vAlign w:val="center"/>
          </w:tcPr>
          <w:p w14:paraId="1816FA39">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bookmarkStart w:id="318" w:name="_Toc30365"/>
            <w:bookmarkStart w:id="319" w:name="_Toc5346"/>
            <w:r>
              <w:rPr>
                <w:rFonts w:hint="eastAsia" w:ascii="宋体" w:hAnsi="宋体" w:eastAsia="宋体" w:cs="宋体"/>
                <w:color w:val="auto"/>
                <w:sz w:val="21"/>
                <w:szCs w:val="21"/>
                <w:highlight w:val="none"/>
                <w:u w:val="none"/>
                <w:vertAlign w:val="baseline"/>
                <w:lang w:val="en-US" w:eastAsia="zh-CN"/>
              </w:rPr>
              <w:t>实质性参数</w:t>
            </w:r>
            <w:bookmarkEnd w:id="318"/>
            <w:bookmarkEnd w:id="319"/>
          </w:p>
        </w:tc>
      </w:tr>
      <w:tr w14:paraId="0CD4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0E1D172D">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▲1.2测量精度：优于±5%；【投标时需提供产品彩页或有关证明材料并加盖投标人单位公章】</w:t>
            </w:r>
          </w:p>
        </w:tc>
        <w:tc>
          <w:tcPr>
            <w:tcW w:w="1696" w:type="dxa"/>
            <w:noWrap w:val="0"/>
            <w:vAlign w:val="center"/>
          </w:tcPr>
          <w:p w14:paraId="049B75E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bookmarkStart w:id="320" w:name="_Toc9974"/>
            <w:bookmarkStart w:id="321" w:name="_Toc17313"/>
            <w:r>
              <w:rPr>
                <w:rFonts w:hint="eastAsia" w:ascii="宋体" w:hAnsi="宋体" w:eastAsia="宋体" w:cs="宋体"/>
                <w:color w:val="auto"/>
                <w:sz w:val="21"/>
                <w:szCs w:val="21"/>
                <w:highlight w:val="none"/>
                <w:u w:val="none"/>
                <w:vertAlign w:val="baseline"/>
                <w:lang w:val="en-US" w:eastAsia="zh-CN"/>
              </w:rPr>
              <w:t>实质性参数</w:t>
            </w:r>
            <w:bookmarkEnd w:id="320"/>
            <w:bookmarkEnd w:id="321"/>
          </w:p>
        </w:tc>
      </w:tr>
      <w:tr w14:paraId="25D7C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4667E9F2">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2.水位测量</w:t>
            </w:r>
          </w:p>
        </w:tc>
        <w:tc>
          <w:tcPr>
            <w:tcW w:w="1696" w:type="dxa"/>
            <w:noWrap w:val="0"/>
            <w:vAlign w:val="center"/>
          </w:tcPr>
          <w:p w14:paraId="68C9131F">
            <w:pPr>
              <w:pStyle w:val="31"/>
              <w:keepNext w:val="0"/>
              <w:keepLines w:val="0"/>
              <w:pageBreakBefore w:val="0"/>
              <w:kinsoku/>
              <w:wordWrap/>
              <w:overflowPunct/>
              <w:topLinePunct w:val="0"/>
              <w:autoSpaceDE/>
              <w:autoSpaceDN/>
              <w:bidi w:val="0"/>
              <w:adjustRightInd/>
              <w:spacing w:line="400" w:lineRule="exact"/>
              <w:jc w:val="center"/>
              <w:textAlignment w:val="auto"/>
              <w:outlineLvl w:val="9"/>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vertAlign w:val="baseline"/>
                <w:lang w:val="en-US" w:eastAsia="zh-CN"/>
              </w:rPr>
              <w:t>/</w:t>
            </w:r>
          </w:p>
        </w:tc>
      </w:tr>
      <w:tr w14:paraId="1F7A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44F17773">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▲2.1测量范围：0～3m；【投标时需提供产品彩页或有关证明材料并加盖投标人单位公章】</w:t>
            </w:r>
          </w:p>
        </w:tc>
        <w:tc>
          <w:tcPr>
            <w:tcW w:w="1696" w:type="dxa"/>
            <w:noWrap w:val="0"/>
            <w:vAlign w:val="center"/>
          </w:tcPr>
          <w:p w14:paraId="36CACCB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bookmarkStart w:id="322" w:name="_Toc11345"/>
            <w:bookmarkStart w:id="323" w:name="_Toc32545"/>
            <w:r>
              <w:rPr>
                <w:rFonts w:hint="eastAsia" w:ascii="宋体" w:hAnsi="宋体" w:eastAsia="宋体" w:cs="宋体"/>
                <w:color w:val="auto"/>
                <w:sz w:val="21"/>
                <w:szCs w:val="21"/>
                <w:highlight w:val="none"/>
                <w:u w:val="none"/>
                <w:vertAlign w:val="baseline"/>
                <w:lang w:val="en-US" w:eastAsia="zh-CN"/>
              </w:rPr>
              <w:t>实质性参数</w:t>
            </w:r>
            <w:bookmarkEnd w:id="322"/>
            <w:bookmarkEnd w:id="323"/>
          </w:p>
        </w:tc>
      </w:tr>
      <w:tr w14:paraId="58907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13FEEF18">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▲2.2测量精度：±0.2%测量值或±0.2cm；【投标时需提供产品彩页或有关证明材料并加盖投标人单位公章】</w:t>
            </w:r>
          </w:p>
        </w:tc>
        <w:tc>
          <w:tcPr>
            <w:tcW w:w="1696" w:type="dxa"/>
            <w:noWrap w:val="0"/>
            <w:vAlign w:val="center"/>
          </w:tcPr>
          <w:p w14:paraId="1D28FEC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bookmarkStart w:id="324" w:name="_Toc22619"/>
            <w:bookmarkStart w:id="325" w:name="_Toc30972"/>
            <w:r>
              <w:rPr>
                <w:rFonts w:hint="eastAsia" w:ascii="宋体" w:hAnsi="宋体" w:eastAsia="宋体" w:cs="宋体"/>
                <w:color w:val="auto"/>
                <w:sz w:val="21"/>
                <w:szCs w:val="21"/>
                <w:highlight w:val="none"/>
                <w:u w:val="none"/>
                <w:vertAlign w:val="baseline"/>
                <w:lang w:val="en-US" w:eastAsia="zh-CN"/>
              </w:rPr>
              <w:t>实质性参数</w:t>
            </w:r>
            <w:bookmarkEnd w:id="324"/>
            <w:bookmarkEnd w:id="325"/>
          </w:p>
        </w:tc>
      </w:tr>
      <w:tr w14:paraId="4314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75A782CB">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三、环境适应性</w:t>
            </w:r>
          </w:p>
        </w:tc>
        <w:tc>
          <w:tcPr>
            <w:tcW w:w="1696" w:type="dxa"/>
            <w:noWrap w:val="0"/>
            <w:vAlign w:val="center"/>
          </w:tcPr>
          <w:p w14:paraId="05ED26D4">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bookmarkStart w:id="326" w:name="_Toc23804"/>
            <w:bookmarkStart w:id="327" w:name="_Toc16554"/>
            <w:r>
              <w:rPr>
                <w:rFonts w:hint="eastAsia" w:ascii="宋体" w:hAnsi="宋体" w:eastAsia="宋体" w:cs="宋体"/>
                <w:color w:val="auto"/>
                <w:sz w:val="21"/>
                <w:szCs w:val="21"/>
                <w:highlight w:val="none"/>
                <w:u w:val="none"/>
                <w:vertAlign w:val="baseline"/>
                <w:lang w:val="en-US" w:eastAsia="zh-CN"/>
              </w:rPr>
              <w:t>/</w:t>
            </w:r>
            <w:bookmarkEnd w:id="326"/>
            <w:bookmarkEnd w:id="327"/>
          </w:p>
        </w:tc>
      </w:tr>
      <w:tr w14:paraId="345F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26ECBCF3">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1.防护等级：</w:t>
            </w:r>
            <w:r>
              <w:rPr>
                <w:rFonts w:hint="eastAsia" w:ascii="宋体" w:hAnsi="宋体" w:eastAsia="宋体" w:cs="宋体"/>
                <w:bCs/>
                <w:color w:val="auto"/>
                <w:sz w:val="21"/>
                <w:szCs w:val="21"/>
                <w:highlight w:val="none"/>
                <w:lang w:val="en-US" w:eastAsia="zh-CN"/>
              </w:rPr>
              <w:t>传感器IP68，主机不低于IP65</w:t>
            </w:r>
            <w:r>
              <w:rPr>
                <w:rFonts w:hint="eastAsia" w:ascii="宋体" w:hAnsi="宋体" w:eastAsia="宋体" w:cs="宋体"/>
                <w:i w:val="0"/>
                <w:iCs w:val="0"/>
                <w:color w:val="auto"/>
                <w:kern w:val="0"/>
                <w:sz w:val="21"/>
                <w:szCs w:val="21"/>
                <w:highlight w:val="none"/>
                <w:u w:val="none"/>
                <w:lang w:val="en-US" w:eastAsia="zh-CN" w:bidi="ar"/>
              </w:rPr>
              <w:t>；</w:t>
            </w:r>
          </w:p>
        </w:tc>
        <w:tc>
          <w:tcPr>
            <w:tcW w:w="1696" w:type="dxa"/>
            <w:noWrap w:val="0"/>
            <w:vAlign w:val="center"/>
          </w:tcPr>
          <w:p w14:paraId="4D6F35F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vertAlign w:val="baseline"/>
                <w:lang w:val="en-US" w:eastAsia="zh-CN"/>
              </w:rPr>
              <w:t>一般参数</w:t>
            </w:r>
          </w:p>
        </w:tc>
      </w:tr>
      <w:tr w14:paraId="1A9D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64D2DA26">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2.适用场景：适用于河道、渠道、管道等各种规则和不规则断面。</w:t>
            </w:r>
          </w:p>
        </w:tc>
        <w:tc>
          <w:tcPr>
            <w:tcW w:w="1696" w:type="dxa"/>
            <w:noWrap w:val="0"/>
            <w:vAlign w:val="center"/>
          </w:tcPr>
          <w:p w14:paraId="5F4D7E3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vertAlign w:val="baseline"/>
                <w:lang w:val="en-US" w:eastAsia="zh-CN"/>
              </w:rPr>
              <w:t>一般参数</w:t>
            </w:r>
          </w:p>
        </w:tc>
      </w:tr>
      <w:tr w14:paraId="63B0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30E2804D">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四、单套配置要求</w:t>
            </w:r>
          </w:p>
        </w:tc>
        <w:tc>
          <w:tcPr>
            <w:tcW w:w="1696" w:type="dxa"/>
            <w:noWrap w:val="0"/>
            <w:vAlign w:val="center"/>
          </w:tcPr>
          <w:p w14:paraId="73867A6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bookmarkStart w:id="328" w:name="_Toc31438"/>
            <w:bookmarkStart w:id="329" w:name="_Toc2918"/>
            <w:r>
              <w:rPr>
                <w:rFonts w:hint="eastAsia" w:ascii="宋体" w:hAnsi="宋体" w:eastAsia="宋体" w:cs="宋体"/>
                <w:color w:val="auto"/>
                <w:sz w:val="21"/>
                <w:szCs w:val="21"/>
                <w:highlight w:val="none"/>
                <w:u w:val="none"/>
                <w:vertAlign w:val="baseline"/>
                <w:lang w:val="en-US" w:eastAsia="zh-CN"/>
              </w:rPr>
              <w:t>/</w:t>
            </w:r>
            <w:bookmarkEnd w:id="328"/>
            <w:bookmarkEnd w:id="329"/>
          </w:p>
        </w:tc>
      </w:tr>
      <w:tr w14:paraId="3E80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6010B373">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1.手持主机1台；</w:t>
            </w:r>
          </w:p>
        </w:tc>
        <w:tc>
          <w:tcPr>
            <w:tcW w:w="1696" w:type="dxa"/>
            <w:noWrap w:val="0"/>
            <w:vAlign w:val="center"/>
          </w:tcPr>
          <w:p w14:paraId="4D1E6462">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vertAlign w:val="baseline"/>
                <w:lang w:val="en-US" w:eastAsia="zh-CN"/>
              </w:rPr>
              <w:t>一般参数</w:t>
            </w:r>
          </w:p>
        </w:tc>
      </w:tr>
      <w:tr w14:paraId="165A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6FC4FC47">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▲2.传感器1台；【投标时需提供拟配置装置清单列表及照片图片】</w:t>
            </w:r>
          </w:p>
        </w:tc>
        <w:tc>
          <w:tcPr>
            <w:tcW w:w="1696" w:type="dxa"/>
            <w:noWrap w:val="0"/>
            <w:vAlign w:val="center"/>
          </w:tcPr>
          <w:p w14:paraId="1A98FA3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bookmarkStart w:id="330" w:name="_Toc21356"/>
            <w:bookmarkStart w:id="331" w:name="_Toc11580"/>
            <w:r>
              <w:rPr>
                <w:rFonts w:hint="eastAsia" w:ascii="宋体" w:hAnsi="宋体" w:eastAsia="宋体" w:cs="宋体"/>
                <w:color w:val="auto"/>
                <w:sz w:val="21"/>
                <w:szCs w:val="21"/>
                <w:highlight w:val="none"/>
                <w:u w:val="none"/>
                <w:vertAlign w:val="baseline"/>
                <w:lang w:val="en-US" w:eastAsia="zh-CN"/>
              </w:rPr>
              <w:t>实质性参数</w:t>
            </w:r>
            <w:bookmarkEnd w:id="330"/>
            <w:bookmarkEnd w:id="331"/>
          </w:p>
        </w:tc>
      </w:tr>
      <w:tr w14:paraId="0B7E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023F3989">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▲3.配套配件1套，提供全套测量配件（测杆、支架、电缆等），电缆长度≥10m，测杆长度≥2m；【投标时需提供拟配置装置清单列表及照片图片】</w:t>
            </w:r>
          </w:p>
        </w:tc>
        <w:tc>
          <w:tcPr>
            <w:tcW w:w="1696" w:type="dxa"/>
            <w:noWrap w:val="0"/>
            <w:vAlign w:val="center"/>
          </w:tcPr>
          <w:p w14:paraId="2E15B3C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bookmarkStart w:id="332" w:name="_Toc30537"/>
            <w:bookmarkStart w:id="333" w:name="_Toc9102"/>
            <w:r>
              <w:rPr>
                <w:rFonts w:hint="eastAsia" w:ascii="宋体" w:hAnsi="宋体" w:eastAsia="宋体" w:cs="宋体"/>
                <w:color w:val="auto"/>
                <w:sz w:val="21"/>
                <w:szCs w:val="21"/>
                <w:highlight w:val="none"/>
                <w:u w:val="none"/>
                <w:vertAlign w:val="baseline"/>
                <w:lang w:val="en-US" w:eastAsia="zh-CN"/>
              </w:rPr>
              <w:t>实质性参数</w:t>
            </w:r>
            <w:bookmarkEnd w:id="332"/>
            <w:bookmarkEnd w:id="333"/>
          </w:p>
        </w:tc>
      </w:tr>
      <w:tr w14:paraId="5C03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24D44809">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4.配套收纳箱1个；</w:t>
            </w:r>
          </w:p>
        </w:tc>
        <w:tc>
          <w:tcPr>
            <w:tcW w:w="1696" w:type="dxa"/>
            <w:noWrap w:val="0"/>
            <w:vAlign w:val="center"/>
          </w:tcPr>
          <w:p w14:paraId="75D8DEF0">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vertAlign w:val="baseline"/>
                <w:lang w:val="en-US" w:eastAsia="zh-CN"/>
              </w:rPr>
              <w:t>一般参数</w:t>
            </w:r>
          </w:p>
        </w:tc>
      </w:tr>
      <w:tr w14:paraId="7154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184EE05D">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5.技术文档：提供完整的中文使用手册和技术规范；</w:t>
            </w:r>
          </w:p>
        </w:tc>
        <w:tc>
          <w:tcPr>
            <w:tcW w:w="1696" w:type="dxa"/>
            <w:noWrap w:val="0"/>
            <w:vAlign w:val="center"/>
          </w:tcPr>
          <w:p w14:paraId="4DB382D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vertAlign w:val="baseline"/>
                <w:lang w:val="en-US" w:eastAsia="zh-CN"/>
              </w:rPr>
              <w:t>一般参数</w:t>
            </w:r>
          </w:p>
        </w:tc>
      </w:tr>
      <w:tr w14:paraId="1E7F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7AA73B24">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6.视频资料：供货时提供设备操作演示视频。</w:t>
            </w:r>
          </w:p>
        </w:tc>
        <w:tc>
          <w:tcPr>
            <w:tcW w:w="1696" w:type="dxa"/>
            <w:noWrap w:val="0"/>
            <w:vAlign w:val="center"/>
          </w:tcPr>
          <w:p w14:paraId="68CDA80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vertAlign w:val="baseline"/>
                <w:lang w:val="en-US" w:eastAsia="zh-CN"/>
              </w:rPr>
              <w:t>一般参数</w:t>
            </w:r>
          </w:p>
        </w:tc>
      </w:tr>
      <w:tr w14:paraId="0F90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14:paraId="367ED6E2">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rPr>
            </w:pPr>
            <w:bookmarkStart w:id="334" w:name="_Toc20192"/>
            <w:bookmarkStart w:id="335" w:name="_Toc2983"/>
            <w:r>
              <w:rPr>
                <w:rFonts w:hint="eastAsia" w:ascii="宋体" w:hAnsi="宋体" w:eastAsia="宋体" w:cs="宋体"/>
                <w:b w:val="0"/>
                <w:bCs w:val="0"/>
                <w:color w:val="auto"/>
                <w:sz w:val="21"/>
                <w:szCs w:val="21"/>
                <w:highlight w:val="none"/>
                <w:lang w:eastAsia="zh-CN"/>
              </w:rPr>
              <w:t>便携式测深仪（</w:t>
            </w:r>
            <w:r>
              <w:rPr>
                <w:rFonts w:hint="eastAsia" w:ascii="宋体" w:hAnsi="宋体" w:eastAsia="宋体" w:cs="宋体"/>
                <w:b w:val="0"/>
                <w:bCs w:val="0"/>
                <w:color w:val="auto"/>
                <w:sz w:val="21"/>
                <w:szCs w:val="21"/>
                <w:highlight w:val="none"/>
                <w:lang w:val="en-US" w:eastAsia="zh-CN"/>
              </w:rPr>
              <w:t>一般参数12项</w:t>
            </w:r>
            <w:r>
              <w:rPr>
                <w:rFonts w:hint="eastAsia" w:ascii="宋体" w:hAnsi="宋体" w:eastAsia="宋体" w:cs="宋体"/>
                <w:b w:val="0"/>
                <w:bCs w:val="0"/>
                <w:color w:val="auto"/>
                <w:sz w:val="21"/>
                <w:szCs w:val="21"/>
                <w:highlight w:val="none"/>
                <w:lang w:eastAsia="zh-CN"/>
              </w:rPr>
              <w:t>）</w:t>
            </w:r>
            <w:bookmarkEnd w:id="334"/>
            <w:bookmarkEnd w:id="335"/>
          </w:p>
        </w:tc>
      </w:tr>
      <w:tr w14:paraId="24E2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0106D8EE">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一、核心功能要求</w:t>
            </w:r>
          </w:p>
        </w:tc>
        <w:tc>
          <w:tcPr>
            <w:tcW w:w="1696" w:type="dxa"/>
            <w:noWrap w:val="0"/>
            <w:vAlign w:val="center"/>
          </w:tcPr>
          <w:p w14:paraId="73C11F34">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bookmarkStart w:id="336" w:name="_Toc14969"/>
            <w:bookmarkStart w:id="337" w:name="_Toc18202"/>
            <w:r>
              <w:rPr>
                <w:rFonts w:hint="eastAsia" w:ascii="宋体" w:hAnsi="宋体" w:eastAsia="宋体" w:cs="宋体"/>
                <w:color w:val="auto"/>
                <w:sz w:val="21"/>
                <w:szCs w:val="21"/>
                <w:highlight w:val="none"/>
                <w:u w:val="none"/>
                <w:vertAlign w:val="baseline"/>
                <w:lang w:val="en-US" w:eastAsia="zh-CN"/>
              </w:rPr>
              <w:t>/</w:t>
            </w:r>
            <w:bookmarkEnd w:id="336"/>
            <w:bookmarkEnd w:id="337"/>
          </w:p>
        </w:tc>
      </w:tr>
      <w:tr w14:paraId="7DC26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1BF3810E">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1.测量参数：支持测量水深参数；</w:t>
            </w:r>
          </w:p>
        </w:tc>
        <w:tc>
          <w:tcPr>
            <w:tcW w:w="1696" w:type="dxa"/>
            <w:noWrap w:val="0"/>
            <w:vAlign w:val="center"/>
          </w:tcPr>
          <w:p w14:paraId="130100E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vertAlign w:val="baseline"/>
                <w:lang w:val="en-US" w:eastAsia="zh-CN"/>
              </w:rPr>
              <w:t>一般参数</w:t>
            </w:r>
          </w:p>
        </w:tc>
      </w:tr>
      <w:tr w14:paraId="18D5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630E6266">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2.水深测量原理：超声波原理；</w:t>
            </w:r>
          </w:p>
        </w:tc>
        <w:tc>
          <w:tcPr>
            <w:tcW w:w="1696" w:type="dxa"/>
            <w:noWrap w:val="0"/>
            <w:vAlign w:val="center"/>
          </w:tcPr>
          <w:p w14:paraId="5109A9D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vertAlign w:val="baseline"/>
                <w:lang w:val="en-US" w:eastAsia="zh-CN"/>
              </w:rPr>
              <w:t>一般参数</w:t>
            </w:r>
          </w:p>
        </w:tc>
      </w:tr>
      <w:tr w14:paraId="6D69B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0BFC7411">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二、技术性能参数</w:t>
            </w:r>
          </w:p>
        </w:tc>
        <w:tc>
          <w:tcPr>
            <w:tcW w:w="1696" w:type="dxa"/>
            <w:noWrap w:val="0"/>
            <w:vAlign w:val="center"/>
          </w:tcPr>
          <w:p w14:paraId="7BD26626">
            <w:pPr>
              <w:pStyle w:val="31"/>
              <w:keepNext w:val="0"/>
              <w:keepLines w:val="0"/>
              <w:pageBreakBefore w:val="0"/>
              <w:kinsoku/>
              <w:wordWrap/>
              <w:overflowPunct/>
              <w:topLinePunct w:val="0"/>
              <w:autoSpaceDE/>
              <w:autoSpaceDN/>
              <w:bidi w:val="0"/>
              <w:adjustRightInd/>
              <w:spacing w:line="400" w:lineRule="exact"/>
              <w:jc w:val="center"/>
              <w:textAlignment w:val="auto"/>
              <w:outlineLvl w:val="9"/>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vertAlign w:val="baseline"/>
                <w:lang w:val="en-US" w:eastAsia="zh-CN"/>
              </w:rPr>
              <w:t>/</w:t>
            </w:r>
          </w:p>
        </w:tc>
      </w:tr>
      <w:tr w14:paraId="685F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47D605D3">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▲1.测量原理：超声波测量法；【投标时需提供产品彩页或有关证明材料并加盖投标人单位公章】</w:t>
            </w:r>
          </w:p>
        </w:tc>
        <w:tc>
          <w:tcPr>
            <w:tcW w:w="1696" w:type="dxa"/>
            <w:noWrap w:val="0"/>
            <w:vAlign w:val="center"/>
          </w:tcPr>
          <w:p w14:paraId="32F8E560">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bookmarkStart w:id="338" w:name="_Toc23657"/>
            <w:bookmarkStart w:id="339" w:name="_Toc675"/>
            <w:r>
              <w:rPr>
                <w:rFonts w:hint="eastAsia" w:ascii="宋体" w:hAnsi="宋体" w:eastAsia="宋体" w:cs="宋体"/>
                <w:color w:val="auto"/>
                <w:sz w:val="21"/>
                <w:szCs w:val="21"/>
                <w:highlight w:val="none"/>
                <w:u w:val="none"/>
                <w:vertAlign w:val="baseline"/>
                <w:lang w:val="en-US" w:eastAsia="zh-CN"/>
              </w:rPr>
              <w:t>实质性参数</w:t>
            </w:r>
            <w:bookmarkEnd w:id="338"/>
            <w:bookmarkEnd w:id="339"/>
          </w:p>
        </w:tc>
      </w:tr>
      <w:tr w14:paraId="4B32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6A8E7211">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▲2.测量范围：最大水深≥100m；【投标时需提供产品彩页或有关证明材料并加盖投标人单位公章】</w:t>
            </w:r>
          </w:p>
        </w:tc>
        <w:tc>
          <w:tcPr>
            <w:tcW w:w="1696" w:type="dxa"/>
            <w:noWrap w:val="0"/>
            <w:vAlign w:val="center"/>
          </w:tcPr>
          <w:p w14:paraId="6F64C85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bookmarkStart w:id="340" w:name="_Toc25484"/>
            <w:bookmarkStart w:id="341" w:name="_Toc19154"/>
            <w:r>
              <w:rPr>
                <w:rFonts w:hint="eastAsia" w:ascii="宋体" w:hAnsi="宋体" w:eastAsia="宋体" w:cs="宋体"/>
                <w:color w:val="auto"/>
                <w:sz w:val="21"/>
                <w:szCs w:val="21"/>
                <w:highlight w:val="none"/>
                <w:u w:val="none"/>
                <w:vertAlign w:val="baseline"/>
                <w:lang w:val="en-US" w:eastAsia="zh-CN"/>
              </w:rPr>
              <w:t>实质性参数</w:t>
            </w:r>
            <w:bookmarkEnd w:id="340"/>
            <w:bookmarkEnd w:id="341"/>
          </w:p>
        </w:tc>
      </w:tr>
      <w:tr w14:paraId="592B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0B424E46">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▲3.盲区：≤0.8m；【投标时需提供产品彩页或有关证明材料并加盖投标人单位公章】</w:t>
            </w:r>
          </w:p>
        </w:tc>
        <w:tc>
          <w:tcPr>
            <w:tcW w:w="1696" w:type="dxa"/>
            <w:noWrap w:val="0"/>
            <w:vAlign w:val="center"/>
          </w:tcPr>
          <w:p w14:paraId="726ED87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bookmarkStart w:id="342" w:name="_Toc12653"/>
            <w:bookmarkStart w:id="343" w:name="_Toc11793"/>
            <w:r>
              <w:rPr>
                <w:rFonts w:hint="eastAsia" w:ascii="宋体" w:hAnsi="宋体" w:eastAsia="宋体" w:cs="宋体"/>
                <w:color w:val="auto"/>
                <w:sz w:val="21"/>
                <w:szCs w:val="21"/>
                <w:highlight w:val="none"/>
                <w:u w:val="none"/>
                <w:vertAlign w:val="baseline"/>
                <w:lang w:val="en-US" w:eastAsia="zh-CN"/>
              </w:rPr>
              <w:t>实质性参数</w:t>
            </w:r>
            <w:bookmarkEnd w:id="342"/>
            <w:bookmarkEnd w:id="343"/>
          </w:p>
        </w:tc>
      </w:tr>
      <w:tr w14:paraId="2C49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5B0EB81F">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4.分辨率：≤1mm；【投标时需提供产品彩页或有关证明材料并加盖投标人单位公章】</w:t>
            </w:r>
          </w:p>
        </w:tc>
        <w:tc>
          <w:tcPr>
            <w:tcW w:w="1696" w:type="dxa"/>
            <w:noWrap w:val="0"/>
            <w:vAlign w:val="center"/>
          </w:tcPr>
          <w:p w14:paraId="46DD477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vertAlign w:val="baseline"/>
                <w:lang w:val="en-US" w:eastAsia="zh-CN"/>
              </w:rPr>
              <w:t>一般参数</w:t>
            </w:r>
          </w:p>
        </w:tc>
      </w:tr>
      <w:tr w14:paraId="05DC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13A6D0A0">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▲5.测量精度：≤±1%；【投标时需提供产品彩页或有关证明材料并加盖投标人单位公章】</w:t>
            </w:r>
          </w:p>
        </w:tc>
        <w:tc>
          <w:tcPr>
            <w:tcW w:w="1696" w:type="dxa"/>
            <w:noWrap w:val="0"/>
            <w:vAlign w:val="center"/>
          </w:tcPr>
          <w:p w14:paraId="05D047D0">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bookmarkStart w:id="344" w:name="_Toc12443"/>
            <w:bookmarkStart w:id="345" w:name="_Toc26371"/>
            <w:r>
              <w:rPr>
                <w:rFonts w:hint="eastAsia" w:ascii="宋体" w:hAnsi="宋体" w:eastAsia="宋体" w:cs="宋体"/>
                <w:color w:val="auto"/>
                <w:sz w:val="21"/>
                <w:szCs w:val="21"/>
                <w:highlight w:val="none"/>
                <w:u w:val="none"/>
                <w:vertAlign w:val="baseline"/>
                <w:lang w:val="en-US" w:eastAsia="zh-CN"/>
              </w:rPr>
              <w:t>实质性参数</w:t>
            </w:r>
            <w:bookmarkEnd w:id="344"/>
            <w:bookmarkEnd w:id="345"/>
          </w:p>
        </w:tc>
      </w:tr>
      <w:tr w14:paraId="5954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64A0B942">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6.工作频率：</w:t>
            </w:r>
            <w:r>
              <w:rPr>
                <w:rFonts w:hint="eastAsia" w:ascii="宋体" w:hAnsi="宋体" w:eastAsia="宋体" w:cs="宋体"/>
                <w:bCs/>
                <w:color w:val="auto"/>
                <w:sz w:val="21"/>
                <w:szCs w:val="21"/>
                <w:highlight w:val="none"/>
                <w:lang w:val="en-US" w:eastAsia="zh-CN"/>
              </w:rPr>
              <w:t>200～2000kHz</w:t>
            </w:r>
            <w:r>
              <w:rPr>
                <w:rFonts w:hint="eastAsia" w:ascii="宋体" w:hAnsi="宋体" w:eastAsia="宋体" w:cs="宋体"/>
                <w:i w:val="0"/>
                <w:iCs w:val="0"/>
                <w:color w:val="auto"/>
                <w:kern w:val="0"/>
                <w:sz w:val="21"/>
                <w:szCs w:val="21"/>
                <w:highlight w:val="none"/>
                <w:u w:val="none"/>
                <w:lang w:val="en-US" w:eastAsia="zh-CN" w:bidi="ar"/>
              </w:rPr>
              <w:t>；</w:t>
            </w:r>
          </w:p>
        </w:tc>
        <w:tc>
          <w:tcPr>
            <w:tcW w:w="1696" w:type="dxa"/>
            <w:noWrap w:val="0"/>
            <w:vAlign w:val="center"/>
          </w:tcPr>
          <w:p w14:paraId="5765D830">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vertAlign w:val="baseline"/>
                <w:lang w:val="en-US" w:eastAsia="zh-CN"/>
              </w:rPr>
              <w:t>一般参数</w:t>
            </w:r>
          </w:p>
        </w:tc>
      </w:tr>
      <w:tr w14:paraId="2522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0A6A5202">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7.标定：出厂标定，可现场校准；</w:t>
            </w:r>
          </w:p>
        </w:tc>
        <w:tc>
          <w:tcPr>
            <w:tcW w:w="1696" w:type="dxa"/>
            <w:noWrap w:val="0"/>
            <w:vAlign w:val="center"/>
          </w:tcPr>
          <w:p w14:paraId="086A7DC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vertAlign w:val="baseline"/>
                <w:lang w:val="en-US" w:eastAsia="zh-CN"/>
              </w:rPr>
              <w:t>一般参数</w:t>
            </w:r>
          </w:p>
        </w:tc>
      </w:tr>
      <w:tr w14:paraId="02EF5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71001C5F">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8.显示：液晶显示屏（LCD）；</w:t>
            </w:r>
          </w:p>
        </w:tc>
        <w:tc>
          <w:tcPr>
            <w:tcW w:w="1696" w:type="dxa"/>
            <w:noWrap w:val="0"/>
            <w:vAlign w:val="center"/>
          </w:tcPr>
          <w:p w14:paraId="5E47A0E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vertAlign w:val="baseline"/>
                <w:lang w:val="en-US" w:eastAsia="zh-CN"/>
              </w:rPr>
              <w:t>一般参数</w:t>
            </w:r>
          </w:p>
        </w:tc>
      </w:tr>
      <w:tr w14:paraId="2BC7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2467B81D">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9.防护等级：主机优于IP</w:t>
            </w:r>
            <w:r>
              <w:rPr>
                <w:rFonts w:hint="eastAsia" w:ascii="宋体" w:hAnsi="宋体" w:cs="宋体"/>
                <w:i w:val="0"/>
                <w:iCs w:val="0"/>
                <w:color w:val="auto"/>
                <w:kern w:val="0"/>
                <w:sz w:val="21"/>
                <w:szCs w:val="21"/>
                <w:highlight w:val="none"/>
                <w:u w:val="none"/>
                <w:lang w:val="en-US" w:eastAsia="zh-CN" w:bidi="ar"/>
              </w:rPr>
              <w:t>55</w:t>
            </w:r>
            <w:r>
              <w:rPr>
                <w:rFonts w:hint="eastAsia" w:ascii="宋体" w:hAnsi="宋体" w:eastAsia="宋体" w:cs="宋体"/>
                <w:i w:val="0"/>
                <w:iCs w:val="0"/>
                <w:color w:val="auto"/>
                <w:kern w:val="0"/>
                <w:sz w:val="21"/>
                <w:szCs w:val="21"/>
                <w:highlight w:val="none"/>
                <w:u w:val="none"/>
                <w:lang w:val="en-US" w:eastAsia="zh-CN" w:bidi="ar"/>
              </w:rPr>
              <w:t>，传感器IP68；</w:t>
            </w:r>
          </w:p>
        </w:tc>
        <w:tc>
          <w:tcPr>
            <w:tcW w:w="1696" w:type="dxa"/>
            <w:noWrap w:val="0"/>
            <w:vAlign w:val="center"/>
          </w:tcPr>
          <w:p w14:paraId="442E7E9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vertAlign w:val="baseline"/>
                <w:lang w:val="en-US" w:eastAsia="zh-CN"/>
              </w:rPr>
              <w:t>一般参数</w:t>
            </w:r>
          </w:p>
        </w:tc>
      </w:tr>
      <w:tr w14:paraId="7C4A3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203CCDD5">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▲10.工作电池：内置可充电电池或使用市售干电池；【投标时需提供产品彩页或有关证明材料并加盖投标人单位公章】</w:t>
            </w:r>
          </w:p>
        </w:tc>
        <w:tc>
          <w:tcPr>
            <w:tcW w:w="1696" w:type="dxa"/>
            <w:noWrap w:val="0"/>
            <w:vAlign w:val="center"/>
          </w:tcPr>
          <w:p w14:paraId="2C2F310C">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bookmarkStart w:id="346" w:name="_Toc11856"/>
            <w:bookmarkStart w:id="347" w:name="_Toc30408"/>
            <w:r>
              <w:rPr>
                <w:rFonts w:hint="eastAsia" w:ascii="宋体" w:hAnsi="宋体" w:eastAsia="宋体" w:cs="宋体"/>
                <w:color w:val="auto"/>
                <w:sz w:val="21"/>
                <w:szCs w:val="21"/>
                <w:highlight w:val="none"/>
                <w:u w:val="none"/>
                <w:vertAlign w:val="baseline"/>
                <w:lang w:val="en-US" w:eastAsia="zh-CN"/>
              </w:rPr>
              <w:t>实质性参数</w:t>
            </w:r>
            <w:bookmarkEnd w:id="346"/>
            <w:bookmarkEnd w:id="347"/>
          </w:p>
        </w:tc>
      </w:tr>
      <w:tr w14:paraId="555D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5733374C">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11.重量：主机≤800g 传感器≤800g；</w:t>
            </w:r>
          </w:p>
        </w:tc>
        <w:tc>
          <w:tcPr>
            <w:tcW w:w="1696" w:type="dxa"/>
            <w:noWrap w:val="0"/>
            <w:vAlign w:val="center"/>
          </w:tcPr>
          <w:p w14:paraId="0A539B7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vertAlign w:val="baseline"/>
                <w:lang w:val="en-US" w:eastAsia="zh-CN"/>
              </w:rPr>
              <w:t>一般参数</w:t>
            </w:r>
          </w:p>
        </w:tc>
      </w:tr>
      <w:tr w14:paraId="5347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242E32D7">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▲12.传感器电缆：≥10m；【投标时需提供产品彩页或有关证明材料并加盖投标人单位公章】</w:t>
            </w:r>
          </w:p>
        </w:tc>
        <w:tc>
          <w:tcPr>
            <w:tcW w:w="1696" w:type="dxa"/>
            <w:noWrap w:val="0"/>
            <w:vAlign w:val="center"/>
          </w:tcPr>
          <w:p w14:paraId="7F309154">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bookmarkStart w:id="348" w:name="_Toc20905"/>
            <w:bookmarkStart w:id="349" w:name="_Toc729"/>
            <w:r>
              <w:rPr>
                <w:rFonts w:hint="eastAsia" w:ascii="宋体" w:hAnsi="宋体" w:eastAsia="宋体" w:cs="宋体"/>
                <w:color w:val="auto"/>
                <w:sz w:val="21"/>
                <w:szCs w:val="21"/>
                <w:highlight w:val="none"/>
                <w:u w:val="none"/>
                <w:vertAlign w:val="baseline"/>
                <w:lang w:val="en-US" w:eastAsia="zh-CN"/>
              </w:rPr>
              <w:t>实质性参数</w:t>
            </w:r>
            <w:bookmarkEnd w:id="348"/>
            <w:bookmarkEnd w:id="349"/>
          </w:p>
        </w:tc>
      </w:tr>
      <w:tr w14:paraId="6EAB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28DD4DC1">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13.工作温度：-20-70℃。</w:t>
            </w:r>
          </w:p>
        </w:tc>
        <w:tc>
          <w:tcPr>
            <w:tcW w:w="1696" w:type="dxa"/>
            <w:noWrap w:val="0"/>
            <w:vAlign w:val="center"/>
          </w:tcPr>
          <w:p w14:paraId="3CFDD0F4">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vertAlign w:val="baseline"/>
                <w:lang w:val="en-US" w:eastAsia="zh-CN"/>
              </w:rPr>
              <w:t>一般参数</w:t>
            </w:r>
          </w:p>
        </w:tc>
      </w:tr>
      <w:tr w14:paraId="708A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407B2410">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三、单套配置要求</w:t>
            </w:r>
          </w:p>
        </w:tc>
        <w:tc>
          <w:tcPr>
            <w:tcW w:w="1696" w:type="dxa"/>
            <w:noWrap w:val="0"/>
            <w:vAlign w:val="center"/>
          </w:tcPr>
          <w:p w14:paraId="35BDAC0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bookmarkStart w:id="350" w:name="_Toc5560"/>
            <w:bookmarkStart w:id="351" w:name="_Toc28805"/>
            <w:r>
              <w:rPr>
                <w:rFonts w:hint="eastAsia" w:ascii="宋体" w:hAnsi="宋体" w:eastAsia="宋体" w:cs="宋体"/>
                <w:color w:val="auto"/>
                <w:sz w:val="21"/>
                <w:szCs w:val="21"/>
                <w:highlight w:val="none"/>
                <w:u w:val="none"/>
                <w:vertAlign w:val="baseline"/>
                <w:lang w:val="en-US" w:eastAsia="zh-CN"/>
              </w:rPr>
              <w:t>/</w:t>
            </w:r>
            <w:bookmarkEnd w:id="350"/>
            <w:bookmarkEnd w:id="351"/>
          </w:p>
        </w:tc>
      </w:tr>
      <w:tr w14:paraId="6717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413E33D5">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1.手持主机1台；</w:t>
            </w:r>
          </w:p>
        </w:tc>
        <w:tc>
          <w:tcPr>
            <w:tcW w:w="1696" w:type="dxa"/>
            <w:noWrap w:val="0"/>
            <w:vAlign w:val="center"/>
          </w:tcPr>
          <w:p w14:paraId="0CAD063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vertAlign w:val="baseline"/>
                <w:lang w:val="en-US" w:eastAsia="zh-CN"/>
              </w:rPr>
              <w:t>一般参数</w:t>
            </w:r>
          </w:p>
        </w:tc>
      </w:tr>
      <w:tr w14:paraId="4D70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144FD306">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▲2.传感器及线缆1套；【投标时需提供拟配置装置清单列表及照片图片】</w:t>
            </w:r>
          </w:p>
        </w:tc>
        <w:tc>
          <w:tcPr>
            <w:tcW w:w="1696" w:type="dxa"/>
            <w:noWrap w:val="0"/>
            <w:vAlign w:val="center"/>
          </w:tcPr>
          <w:p w14:paraId="5E9B2F3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bookmarkStart w:id="352" w:name="_Toc22984"/>
            <w:bookmarkStart w:id="353" w:name="_Toc21526"/>
            <w:r>
              <w:rPr>
                <w:rFonts w:hint="eastAsia" w:ascii="宋体" w:hAnsi="宋体" w:eastAsia="宋体" w:cs="宋体"/>
                <w:color w:val="auto"/>
                <w:sz w:val="21"/>
                <w:szCs w:val="21"/>
                <w:highlight w:val="none"/>
                <w:u w:val="none"/>
                <w:vertAlign w:val="baseline"/>
                <w:lang w:val="en-US" w:eastAsia="zh-CN"/>
              </w:rPr>
              <w:t>实质性参数</w:t>
            </w:r>
            <w:bookmarkEnd w:id="352"/>
            <w:bookmarkEnd w:id="353"/>
          </w:p>
        </w:tc>
      </w:tr>
      <w:tr w14:paraId="7BFA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30917F3B">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3.配套收纳箱1个；</w:t>
            </w:r>
          </w:p>
        </w:tc>
        <w:tc>
          <w:tcPr>
            <w:tcW w:w="1696" w:type="dxa"/>
            <w:noWrap w:val="0"/>
            <w:vAlign w:val="center"/>
          </w:tcPr>
          <w:p w14:paraId="29BC2E5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vertAlign w:val="baseline"/>
                <w:lang w:val="en-US" w:eastAsia="zh-CN"/>
              </w:rPr>
              <w:t>一般参数</w:t>
            </w:r>
          </w:p>
        </w:tc>
      </w:tr>
      <w:tr w14:paraId="2159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6" w:type="dxa"/>
            <w:noWrap w:val="0"/>
            <w:vAlign w:val="center"/>
          </w:tcPr>
          <w:p w14:paraId="14069997">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4.仪器操作使用及维保资料各1份。</w:t>
            </w:r>
          </w:p>
        </w:tc>
        <w:tc>
          <w:tcPr>
            <w:tcW w:w="1696" w:type="dxa"/>
            <w:noWrap w:val="0"/>
            <w:vAlign w:val="center"/>
          </w:tcPr>
          <w:p w14:paraId="1076732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vertAlign w:val="baseline"/>
                <w:lang w:val="en-US" w:eastAsia="zh-CN"/>
              </w:rPr>
              <w:t>一般参数</w:t>
            </w:r>
          </w:p>
        </w:tc>
      </w:tr>
    </w:tbl>
    <w:p w14:paraId="6CC01CF3">
      <w:pPr>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br w:type="page"/>
      </w:r>
    </w:p>
    <w:p w14:paraId="33FCEAC8">
      <w:pPr>
        <w:pStyle w:val="31"/>
        <w:keepNext w:val="0"/>
        <w:keepLines w:val="0"/>
        <w:pageBreakBefore w:val="0"/>
        <w:widowControl w:val="0"/>
        <w:kinsoku/>
        <w:wordWrap/>
        <w:overflowPunct/>
        <w:topLinePunct w:val="0"/>
        <w:autoSpaceDE/>
        <w:autoSpaceDN/>
        <w:bidi w:val="0"/>
        <w:spacing w:line="400" w:lineRule="exact"/>
        <w:ind w:firstLine="0" w:firstLineChars="0"/>
        <w:outlineLvl w:val="1"/>
        <w:rPr>
          <w:rFonts w:hint="eastAsia" w:ascii="宋体" w:hAnsi="宋体" w:eastAsia="宋体" w:cs="宋体"/>
          <w:b/>
          <w:bCs/>
          <w:color w:val="auto"/>
          <w:kern w:val="0"/>
          <w:sz w:val="21"/>
          <w:szCs w:val="21"/>
          <w:highlight w:val="none"/>
        </w:rPr>
      </w:pPr>
      <w:bookmarkStart w:id="354" w:name="_Toc13335"/>
      <w:bookmarkStart w:id="355" w:name="_Toc11138"/>
      <w:bookmarkStart w:id="356" w:name="_Toc22644"/>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kern w:val="0"/>
          <w:sz w:val="21"/>
          <w:szCs w:val="21"/>
          <w:highlight w:val="none"/>
          <w:lang w:val="en-US" w:eastAsia="zh-CN" w:bidi="ar-SA"/>
        </w:rPr>
        <w:t>标项</w:t>
      </w:r>
      <w:r>
        <w:rPr>
          <w:rFonts w:hint="eastAsia" w:ascii="宋体" w:hAnsi="宋体" w:cs="宋体"/>
          <w:b/>
          <w:bCs/>
          <w:color w:val="auto"/>
          <w:kern w:val="0"/>
          <w:sz w:val="21"/>
          <w:szCs w:val="21"/>
          <w:highlight w:val="none"/>
          <w:lang w:val="en-US" w:eastAsia="zh-CN" w:bidi="ar-SA"/>
        </w:rPr>
        <w:t>二</w:t>
      </w:r>
      <w:r>
        <w:rPr>
          <w:rFonts w:hint="eastAsia" w:ascii="宋体" w:hAnsi="宋体" w:eastAsia="宋体" w:cs="宋体"/>
          <w:b/>
          <w:bCs/>
          <w:color w:val="auto"/>
          <w:kern w:val="0"/>
          <w:sz w:val="21"/>
          <w:szCs w:val="21"/>
          <w:highlight w:val="none"/>
          <w:lang w:val="en-US" w:eastAsia="zh-CN" w:bidi="ar-SA"/>
        </w:rPr>
        <w:t>（分包</w:t>
      </w:r>
      <w:r>
        <w:rPr>
          <w:rFonts w:hint="eastAsia" w:ascii="宋体" w:hAnsi="宋体" w:cs="宋体"/>
          <w:b/>
          <w:bCs/>
          <w:color w:val="auto"/>
          <w:kern w:val="0"/>
          <w:sz w:val="21"/>
          <w:szCs w:val="21"/>
          <w:highlight w:val="none"/>
          <w:lang w:val="en-US" w:eastAsia="zh-CN" w:bidi="ar-SA"/>
        </w:rPr>
        <w:t>2</w:t>
      </w:r>
      <w:r>
        <w:rPr>
          <w:rFonts w:hint="eastAsia" w:ascii="宋体" w:hAnsi="宋体" w:eastAsia="宋体" w:cs="宋体"/>
          <w:b/>
          <w:bCs/>
          <w:color w:val="auto"/>
          <w:kern w:val="0"/>
          <w:sz w:val="21"/>
          <w:szCs w:val="21"/>
          <w:highlight w:val="none"/>
          <w:lang w:val="en-US" w:eastAsia="zh-CN" w:bidi="ar-SA"/>
        </w:rPr>
        <w:t>）</w:t>
      </w:r>
      <w:r>
        <w:rPr>
          <w:rFonts w:hint="eastAsia" w:ascii="宋体" w:hAnsi="宋体" w:eastAsia="宋体" w:cs="宋体"/>
          <w:b/>
          <w:bCs/>
          <w:color w:val="auto"/>
          <w:sz w:val="21"/>
          <w:szCs w:val="21"/>
          <w:highlight w:val="none"/>
        </w:rPr>
        <w:t>评标标准</w:t>
      </w:r>
      <w:bookmarkEnd w:id="354"/>
      <w:bookmarkEnd w:id="355"/>
      <w:bookmarkEnd w:id="356"/>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9"/>
        <w:gridCol w:w="875"/>
        <w:gridCol w:w="6672"/>
        <w:gridCol w:w="6"/>
      </w:tblGrid>
      <w:tr w14:paraId="7D98A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468BC7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
              </w:rPr>
            </w:pPr>
            <w:bookmarkStart w:id="357" w:name="_Toc22917"/>
            <w:r>
              <w:rPr>
                <w:rFonts w:hint="eastAsia" w:ascii="宋体" w:hAnsi="宋体" w:eastAsia="宋体" w:cs="宋体"/>
                <w:b/>
                <w:bCs/>
                <w:color w:val="auto"/>
                <w:kern w:val="2"/>
                <w:sz w:val="21"/>
                <w:szCs w:val="21"/>
                <w:highlight w:val="none"/>
                <w:lang w:val="en-US" w:eastAsia="zh-CN" w:bidi="ar"/>
              </w:rPr>
              <w:t>评标项目</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DC32C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kern w:val="2"/>
                <w:sz w:val="21"/>
                <w:szCs w:val="21"/>
                <w:highlight w:val="none"/>
                <w:lang w:val="en-US" w:eastAsia="zh-CN" w:bidi="ar"/>
              </w:rPr>
              <w:t>评标</w:t>
            </w:r>
          </w:p>
          <w:p w14:paraId="508470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分值</w:t>
            </w:r>
          </w:p>
        </w:tc>
        <w:tc>
          <w:tcPr>
            <w:tcW w:w="6672" w:type="dxa"/>
            <w:tcBorders>
              <w:top w:val="single" w:color="000000" w:sz="4" w:space="0"/>
              <w:left w:val="single" w:color="000000" w:sz="4" w:space="0"/>
              <w:bottom w:val="single" w:color="000000" w:sz="4" w:space="0"/>
              <w:right w:val="single" w:color="000000" w:sz="4" w:space="0"/>
            </w:tcBorders>
            <w:noWrap w:val="0"/>
            <w:vAlign w:val="center"/>
          </w:tcPr>
          <w:p w14:paraId="223BEB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评标方法描述</w:t>
            </w:r>
          </w:p>
        </w:tc>
      </w:tr>
      <w:tr w14:paraId="37FBE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1B6420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（一）价格分（满分30分）</w:t>
            </w:r>
          </w:p>
        </w:tc>
      </w:tr>
      <w:tr w14:paraId="5B5AE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61538F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投标报价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B5E52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30分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33C5B5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1.评标报价为投标人的投标报价进行政策性扣除后的价格，评标报价只是作为评标时使用。最终中标人的中标金额等于投标报价。</w:t>
            </w:r>
          </w:p>
          <w:p w14:paraId="0A06D0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2.中小微企业、监狱企业、残疾人福利性单位的价格政策：</w:t>
            </w:r>
          </w:p>
          <w:p w14:paraId="097F5B0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根据《政府采购促进中小企业发展管理办法》（财库〔2020〕46号）及《广西壮族自治区财政厅关于持续优化政府采购营商环境推动高质量发展的通知》（桂财采〔2024〕55号）的规定，投标产品制造商全部属于《政府采购促进中小企业发展管理办法》规定的小微企业的，对投标报价给予10%的扣除，扣除后的价格为评标价，即评标价=投标报价×（1–10%）；用扣除后的价格参加评审；大中型企业与小微企业组成联合体或者大中型企业向一家或者多家小微企业分包，且联合协议或者分包意向协议约定小微企业的合同份额占到合同总金额30%以上的，对联合体或者大中型企业的报价给予6%（工程项目为2%）的扣除，扣除后的价格为评标价，即评标价=投标报价×（1–6%）；不符合上述给予扣除情形的，评标价=投标报价。</w:t>
            </w:r>
          </w:p>
          <w:p w14:paraId="153957F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565B94E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bookmarkStart w:id="358" w:name="_Toc14574"/>
            <w:bookmarkStart w:id="359" w:name="_Toc32367"/>
            <w:bookmarkStart w:id="360" w:name="_Toc6967"/>
            <w:r>
              <w:rPr>
                <w:rFonts w:hint="eastAsia" w:ascii="宋体" w:hAnsi="宋体" w:eastAsia="宋体" w:cs="宋体"/>
                <w:color w:val="auto"/>
                <w:kern w:val="2"/>
                <w:sz w:val="21"/>
                <w:szCs w:val="21"/>
                <w:highlight w:val="none"/>
                <w:lang w:val="en-US" w:eastAsia="zh-CN" w:bidi="ar"/>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bookmarkEnd w:id="358"/>
            <w:bookmarkEnd w:id="359"/>
            <w:bookmarkEnd w:id="360"/>
          </w:p>
          <w:p w14:paraId="5A263E1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3.支持本国产品的价格政策：</w:t>
            </w:r>
          </w:p>
          <w:p w14:paraId="177DEA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既有本国产品又有非本国产品参与竞争的，依法对本国产品给予价格评审优惠，对本国产品的报价给予20%的价格扣除，用扣除后的价格参与评审，即评审价=投标报价×（1-20%）。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适用情形详见“投标人须知前附表”的规定。对供应商所出具的《声明函》完整性、准确性进行审查。符合澄清补正情形的，应以书面形式要求供应商澄清补正，澄清补正后仍不符合要求的，不享受价格评审优惠。</w:t>
            </w:r>
          </w:p>
          <w:p w14:paraId="2FB2D2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所有供应商提供参与投标竞争的均为本国产品，则不再执行支持本国产品价格评审优惠的扶植政策。</w:t>
            </w:r>
          </w:p>
          <w:p w14:paraId="0491009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4.本国产品价格扣除政策与中小微企业、监狱企业、残疾人福利性单位价格扣除政策可重复享受，统一在原投标报价的基础上进行价格扣除。</w:t>
            </w:r>
          </w:p>
          <w:p w14:paraId="5B72B8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5.满足招标文件要求且评标报价最低的评标报价为评标基准价，其价格分为满分。</w:t>
            </w:r>
          </w:p>
          <w:p w14:paraId="4BFD65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6.价格分计算公式：</w:t>
            </w:r>
          </w:p>
          <w:p w14:paraId="0FF00B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价格分=(评标基准价／评标报价)×30分。</w:t>
            </w:r>
          </w:p>
          <w:p w14:paraId="25E9848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7.（1）政府采购评审中出现下列情形之一的，评审委员会应当启动异常低价投标审查程序：</w:t>
            </w:r>
          </w:p>
          <w:p w14:paraId="0D02EDF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①投标报价低于全部通过符合性审查供应商投标报价平均值65%的，即投标报价＜全部通过符合性审查供应商投标报价平均值×65%；</w:t>
            </w:r>
          </w:p>
          <w:p w14:paraId="7EDC50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 2 \* GB3 \* MERGEFORMAT </w:instrText>
            </w:r>
            <w:r>
              <w:rPr>
                <w:rFonts w:hint="eastAsia" w:ascii="宋体" w:hAnsi="宋体" w:eastAsia="宋体" w:cs="宋体"/>
                <w:color w:val="auto"/>
                <w:kern w:val="2"/>
                <w:sz w:val="21"/>
                <w:szCs w:val="21"/>
                <w:highlight w:val="none"/>
                <w:lang w:val="en-US" w:eastAsia="zh-CN" w:bidi="ar"/>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投标报价低于通过符合性审查的次低报价供应商投标报价65%的，即投标报价＜通过符合性审查的次低报价供应商投标报价×65%；</w:t>
            </w:r>
          </w:p>
          <w:p w14:paraId="3005DD1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 3 \* GB3 \* MERGEFORMAT </w:instrText>
            </w:r>
            <w:r>
              <w:rPr>
                <w:rFonts w:hint="eastAsia" w:ascii="宋体" w:hAnsi="宋体" w:eastAsia="宋体" w:cs="宋体"/>
                <w:color w:val="auto"/>
                <w:kern w:val="2"/>
                <w:sz w:val="21"/>
                <w:szCs w:val="21"/>
                <w:highlight w:val="none"/>
                <w:lang w:val="en-US" w:eastAsia="zh-CN" w:bidi="ar"/>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投标报价低于采购项目最高限价65%的，即投标报价＜采购项目最高限价×65%；</w:t>
            </w:r>
          </w:p>
          <w:p w14:paraId="6A35C1E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 4 \* GB3 \* MERGEFORMAT </w:instrText>
            </w:r>
            <w:r>
              <w:rPr>
                <w:rFonts w:hint="eastAsia" w:ascii="宋体" w:hAnsi="宋体" w:eastAsia="宋体" w:cs="宋体"/>
                <w:color w:val="auto"/>
                <w:kern w:val="2"/>
                <w:sz w:val="21"/>
                <w:szCs w:val="21"/>
                <w:highlight w:val="none"/>
                <w:lang w:val="en-US" w:eastAsia="zh-CN" w:bidi="ar"/>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评审委员会基于专业判断，认为供应商报价过低，有可能影响产品质量或者不能诚信履约的其他情形。</w:t>
            </w:r>
          </w:p>
          <w:p w14:paraId="64BA6C0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（2）评审委员会启动异常低价投标审查后，属于前述第①项至第</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 4 \* GB3 \* MERGEFORMAT </w:instrText>
            </w:r>
            <w:r>
              <w:rPr>
                <w:rFonts w:hint="eastAsia" w:ascii="宋体" w:hAnsi="宋体" w:eastAsia="宋体" w:cs="宋体"/>
                <w:color w:val="auto"/>
                <w:kern w:val="2"/>
                <w:sz w:val="21"/>
                <w:szCs w:val="21"/>
                <w:highlight w:val="none"/>
                <w:lang w:val="en-US" w:eastAsia="zh-CN" w:bidi="ar"/>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 3 \* GB3 \* MERGEFORMAT </w:instrText>
            </w:r>
            <w:r>
              <w:rPr>
                <w:rFonts w:hint="eastAsia" w:ascii="宋体" w:hAnsi="宋体" w:eastAsia="宋体" w:cs="宋体"/>
                <w:color w:val="auto"/>
                <w:kern w:val="2"/>
                <w:sz w:val="21"/>
                <w:szCs w:val="21"/>
                <w:highlight w:val="none"/>
                <w:lang w:val="en-US" w:eastAsia="zh-CN" w:bidi="ar"/>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项情形，供应商已随投标文件一并提交相关书面说明及必要的证明材料的，在评审现场可不再重复提交。</w:t>
            </w:r>
          </w:p>
          <w:p w14:paraId="51BBD9C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评审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6245F89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7C267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（5）异常低价投标审查的启动原因、审查意见和审查结果应当在评审报告中记录，并随供应商提供的相关书面说明及证明材料，以及评审委员会有关互联网浏览、查询历史一并归档。</w:t>
            </w:r>
          </w:p>
        </w:tc>
      </w:tr>
      <w:tr w14:paraId="5B35D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077234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（二）技术分（满分</w:t>
            </w:r>
            <w:r>
              <w:rPr>
                <w:rFonts w:hint="eastAsia" w:ascii="宋体" w:hAnsi="宋体" w:cs="宋体"/>
                <w:color w:val="auto"/>
                <w:kern w:val="2"/>
                <w:sz w:val="21"/>
                <w:szCs w:val="21"/>
                <w:highlight w:val="none"/>
                <w:lang w:val="en-US" w:eastAsia="zh-CN" w:bidi="ar"/>
              </w:rPr>
              <w:t>65</w:t>
            </w:r>
            <w:r>
              <w:rPr>
                <w:rFonts w:hint="eastAsia" w:ascii="宋体" w:hAnsi="宋体" w:eastAsia="宋体" w:cs="宋体"/>
                <w:color w:val="auto"/>
                <w:kern w:val="2"/>
                <w:sz w:val="21"/>
                <w:szCs w:val="21"/>
                <w:highlight w:val="none"/>
                <w:lang w:val="en-US" w:eastAsia="zh-CN" w:bidi="ar"/>
              </w:rPr>
              <w:t>分）</w:t>
            </w:r>
          </w:p>
        </w:tc>
      </w:tr>
      <w:tr w14:paraId="7078F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2CA74A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设备技术参数响应</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D1C07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w:t>
            </w:r>
            <w:r>
              <w:rPr>
                <w:rFonts w:hint="eastAsia" w:ascii="宋体" w:hAnsi="宋体" w:cs="宋体"/>
                <w:color w:val="auto"/>
                <w:kern w:val="2"/>
                <w:sz w:val="21"/>
                <w:szCs w:val="21"/>
                <w:highlight w:val="none"/>
                <w:lang w:val="en-US" w:eastAsia="zh-CN" w:bidi="ar"/>
              </w:rPr>
              <w:t>29</w:t>
            </w:r>
            <w:r>
              <w:rPr>
                <w:rFonts w:hint="eastAsia" w:ascii="宋体" w:hAnsi="宋体" w:eastAsia="宋体" w:cs="宋体"/>
                <w:color w:val="auto"/>
                <w:kern w:val="2"/>
                <w:sz w:val="21"/>
                <w:szCs w:val="21"/>
                <w:highlight w:val="none"/>
                <w:lang w:val="en-US" w:eastAsia="zh-CN" w:bidi="ar"/>
              </w:rPr>
              <w:t>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417C2F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根据投标人的设备技术参数响应情况对应以下要求评分：</w:t>
            </w:r>
          </w:p>
          <w:p w14:paraId="7FAD8A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一般参数（包含配置清单）共76项，每一项符合（无负偏离）得0.25分，满分19分。</w:t>
            </w:r>
          </w:p>
          <w:p w14:paraId="3C8C1F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重要参数共2项，如参数符合（无负偏离）的，每一项得2.5分；如参数为正偏离的，每一项得5分。满分10分。</w:t>
            </w:r>
          </w:p>
          <w:p w14:paraId="5209F3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注：</w:t>
            </w:r>
          </w:p>
          <w:p w14:paraId="0F0678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一般参数指未标注“▲”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的指标参数。</w:t>
            </w:r>
            <w:r>
              <w:rPr>
                <w:rFonts w:hint="eastAsia" w:ascii="宋体" w:hAnsi="宋体" w:eastAsia="宋体" w:cs="宋体"/>
                <w:color w:val="auto"/>
                <w:sz w:val="21"/>
                <w:szCs w:val="21"/>
                <w:highlight w:val="none"/>
                <w:lang w:val="en-US" w:eastAsia="zh-CN"/>
              </w:rPr>
              <w:t>重要参数</w:t>
            </w:r>
            <w:r>
              <w:rPr>
                <w:rFonts w:hint="eastAsia" w:ascii="宋体" w:hAnsi="宋体" w:eastAsia="宋体" w:cs="宋体"/>
                <w:color w:val="auto"/>
                <w:sz w:val="21"/>
                <w:szCs w:val="21"/>
                <w:highlight w:val="none"/>
                <w:lang w:val="en-US"/>
              </w:rPr>
              <w:t>指标注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的指标参数</w:t>
            </w:r>
            <w:r>
              <w:rPr>
                <w:rFonts w:hint="eastAsia" w:ascii="宋体" w:hAnsi="宋体" w:eastAsia="宋体" w:cs="宋体"/>
                <w:color w:val="auto"/>
                <w:sz w:val="21"/>
                <w:szCs w:val="21"/>
                <w:highlight w:val="none"/>
                <w:lang w:val="en-US" w:eastAsia="zh-CN"/>
              </w:rPr>
              <w:t>。</w:t>
            </w:r>
          </w:p>
          <w:p w14:paraId="0CAEB9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（2）根据技术偏离表及相关证明材料进行评分，凡采购需求中有明确要求提供截图或照片或其他佐证材料等资料的，评审时以所提供的资料为评分依据。</w:t>
            </w:r>
          </w:p>
          <w:p w14:paraId="3C190D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（3）投标人的技术参数有正偏离的，须在技术偏离表中列明，凡采购需求中有明确提供相关佐证材料的，须在投标文件中附上，否则不予认可。</w:t>
            </w:r>
          </w:p>
        </w:tc>
      </w:tr>
      <w:tr w14:paraId="56173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237CA2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项目实施方案</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24FA1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w:t>
            </w:r>
            <w:r>
              <w:rPr>
                <w:rFonts w:hint="eastAsia" w:ascii="宋体" w:hAnsi="宋体" w:cs="宋体"/>
                <w:color w:val="auto"/>
                <w:kern w:val="2"/>
                <w:sz w:val="21"/>
                <w:szCs w:val="21"/>
                <w:highlight w:val="none"/>
                <w:lang w:val="en-US" w:eastAsia="zh-CN" w:bidi="ar"/>
              </w:rPr>
              <w:t>13</w:t>
            </w:r>
            <w:r>
              <w:rPr>
                <w:rFonts w:hint="eastAsia" w:ascii="宋体" w:hAnsi="宋体" w:eastAsia="宋体" w:cs="宋体"/>
                <w:color w:val="auto"/>
                <w:kern w:val="2"/>
                <w:sz w:val="21"/>
                <w:szCs w:val="21"/>
                <w:highlight w:val="none"/>
                <w:lang w:val="en-US" w:eastAsia="zh-CN" w:bidi="ar"/>
              </w:rPr>
              <w:t>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4F06F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由评委根据投标人提供的项目实施方案内容进行独立评审：</w:t>
            </w:r>
          </w:p>
          <w:p w14:paraId="094746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一档（</w:t>
            </w:r>
            <w:r>
              <w:rPr>
                <w:rFonts w:hint="eastAsia" w:ascii="宋体" w:hAnsi="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分）：有实施方案，基本满足项目实施要求。</w:t>
            </w:r>
          </w:p>
          <w:p w14:paraId="1DD835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二档（</w:t>
            </w:r>
            <w:r>
              <w:rPr>
                <w:rFonts w:hint="eastAsia" w:ascii="宋体" w:hAnsi="宋体" w:cs="宋体"/>
                <w:color w:val="auto"/>
                <w:kern w:val="2"/>
                <w:sz w:val="21"/>
                <w:szCs w:val="21"/>
                <w:highlight w:val="none"/>
                <w:lang w:val="en-US" w:eastAsia="zh-CN" w:bidi="ar"/>
              </w:rPr>
              <w:t>8</w:t>
            </w:r>
            <w:r>
              <w:rPr>
                <w:rFonts w:hint="eastAsia" w:ascii="宋体" w:hAnsi="宋体" w:eastAsia="宋体" w:cs="宋体"/>
                <w:color w:val="auto"/>
                <w:kern w:val="2"/>
                <w:sz w:val="21"/>
                <w:szCs w:val="21"/>
                <w:highlight w:val="none"/>
                <w:lang w:val="en-US" w:eastAsia="zh-CN" w:bidi="ar"/>
              </w:rPr>
              <w:t>分）：实施方案阐述较全，包含有实施计划、组织机构、人员安排、供货保障措施、应急保障措施等。</w:t>
            </w:r>
          </w:p>
          <w:p w14:paraId="366F6B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三档（</w:t>
            </w:r>
            <w:r>
              <w:rPr>
                <w:rFonts w:hint="eastAsia" w:ascii="宋体" w:hAnsi="宋体" w:cs="宋体"/>
                <w:color w:val="auto"/>
                <w:kern w:val="2"/>
                <w:sz w:val="21"/>
                <w:szCs w:val="21"/>
                <w:highlight w:val="none"/>
                <w:lang w:val="en-US" w:eastAsia="zh-CN" w:bidi="ar"/>
              </w:rPr>
              <w:t>13</w:t>
            </w:r>
            <w:r>
              <w:rPr>
                <w:rFonts w:hint="eastAsia" w:ascii="宋体" w:hAnsi="宋体" w:eastAsia="宋体" w:cs="宋体"/>
                <w:color w:val="auto"/>
                <w:kern w:val="2"/>
                <w:sz w:val="21"/>
                <w:szCs w:val="21"/>
                <w:highlight w:val="none"/>
                <w:lang w:val="en-US" w:eastAsia="zh-CN" w:bidi="ar"/>
              </w:rPr>
              <w:t>分）：实施方案阐述详细，提出较符合采购人单位实际的措施安排，包含但不限于实施计划、组织机构、人员安排、供货保障措施、应急保障措施、安装调试工程师和周期安排具体可行、验收措施保障得当等。</w:t>
            </w:r>
          </w:p>
          <w:p w14:paraId="687BCA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不满足一档的不得分。</w:t>
            </w:r>
          </w:p>
        </w:tc>
      </w:tr>
      <w:tr w14:paraId="571C7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1E7015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质量保障方案</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92AB2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w:t>
            </w:r>
            <w:r>
              <w:rPr>
                <w:rFonts w:hint="eastAsia" w:ascii="宋体" w:hAnsi="宋体" w:cs="宋体"/>
                <w:color w:val="auto"/>
                <w:kern w:val="2"/>
                <w:sz w:val="21"/>
                <w:szCs w:val="21"/>
                <w:highlight w:val="none"/>
                <w:lang w:val="en-US" w:eastAsia="zh-CN" w:bidi="ar"/>
              </w:rPr>
              <w:t>12</w:t>
            </w:r>
            <w:r>
              <w:rPr>
                <w:rFonts w:hint="eastAsia" w:ascii="宋体" w:hAnsi="宋体" w:eastAsia="宋体" w:cs="宋体"/>
                <w:color w:val="auto"/>
                <w:kern w:val="2"/>
                <w:sz w:val="21"/>
                <w:szCs w:val="21"/>
                <w:highlight w:val="none"/>
                <w:lang w:val="en-US" w:eastAsia="zh-CN" w:bidi="ar"/>
              </w:rPr>
              <w:t>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0DBFCB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由评委根据投标人提供的质量保障方案内容进行独立评审：</w:t>
            </w:r>
          </w:p>
          <w:p w14:paraId="4C860E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一档（</w:t>
            </w:r>
            <w:r>
              <w:rPr>
                <w:rFonts w:hint="eastAsia" w:ascii="宋体" w:hAnsi="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分）：有质量保证方案，能满足项目需求中的质量保证要求；</w:t>
            </w:r>
          </w:p>
          <w:p w14:paraId="3A7ECC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二档（</w:t>
            </w:r>
            <w:r>
              <w:rPr>
                <w:rFonts w:hint="eastAsia" w:ascii="宋体" w:hAnsi="宋体" w:cs="宋体"/>
                <w:color w:val="auto"/>
                <w:kern w:val="2"/>
                <w:sz w:val="21"/>
                <w:szCs w:val="21"/>
                <w:highlight w:val="none"/>
                <w:lang w:val="en-US" w:eastAsia="zh-CN" w:bidi="ar"/>
              </w:rPr>
              <w:t>7</w:t>
            </w:r>
            <w:r>
              <w:rPr>
                <w:rFonts w:hint="eastAsia" w:ascii="宋体" w:hAnsi="宋体" w:eastAsia="宋体" w:cs="宋体"/>
                <w:color w:val="auto"/>
                <w:kern w:val="2"/>
                <w:sz w:val="21"/>
                <w:szCs w:val="21"/>
                <w:highlight w:val="none"/>
                <w:lang w:val="en-US" w:eastAsia="zh-CN" w:bidi="ar"/>
              </w:rPr>
              <w:t>分）：有详细的质量保证方案，能根据项目需求中的质量保证要求，逐条做出详细的质量保证方案计划。</w:t>
            </w:r>
          </w:p>
          <w:p w14:paraId="245AFC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三档（</w:t>
            </w:r>
            <w:r>
              <w:rPr>
                <w:rFonts w:hint="eastAsia" w:ascii="宋体" w:hAnsi="宋体" w:cs="宋体"/>
                <w:color w:val="auto"/>
                <w:kern w:val="2"/>
                <w:sz w:val="21"/>
                <w:szCs w:val="21"/>
                <w:highlight w:val="none"/>
                <w:lang w:val="en-US" w:eastAsia="zh-CN" w:bidi="ar"/>
              </w:rPr>
              <w:t>12</w:t>
            </w:r>
            <w:r>
              <w:rPr>
                <w:rFonts w:hint="eastAsia" w:ascii="宋体" w:hAnsi="宋体" w:eastAsia="宋体" w:cs="宋体"/>
                <w:color w:val="auto"/>
                <w:kern w:val="2"/>
                <w:sz w:val="21"/>
                <w:szCs w:val="21"/>
                <w:highlight w:val="none"/>
                <w:lang w:val="en-US" w:eastAsia="zh-CN" w:bidi="ar"/>
              </w:rPr>
              <w:t>分）：有详细的质量保证方案，能根据项目需求中的质量保证要求，逐条做出详细的符合采购人单位实际的质量保证方案计划，明确具体环节保障人员，有保障重点及难点分析并提出针对性的解决方案。</w:t>
            </w:r>
          </w:p>
          <w:p w14:paraId="5F7710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不满足一档的不得分。</w:t>
            </w:r>
          </w:p>
        </w:tc>
      </w:tr>
      <w:tr w14:paraId="36893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5BBB34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售后服务方案</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08083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w:t>
            </w:r>
            <w:r>
              <w:rPr>
                <w:rFonts w:hint="eastAsia" w:ascii="宋体" w:hAnsi="宋体" w:cs="宋体"/>
                <w:color w:val="auto"/>
                <w:kern w:val="2"/>
                <w:sz w:val="21"/>
                <w:szCs w:val="21"/>
                <w:highlight w:val="none"/>
                <w:lang w:val="en-US" w:eastAsia="zh-CN" w:bidi="ar"/>
              </w:rPr>
              <w:t>11</w:t>
            </w:r>
            <w:r>
              <w:rPr>
                <w:rFonts w:hint="eastAsia" w:ascii="宋体" w:hAnsi="宋体" w:eastAsia="宋体" w:cs="宋体"/>
                <w:color w:val="auto"/>
                <w:kern w:val="2"/>
                <w:sz w:val="21"/>
                <w:szCs w:val="21"/>
                <w:highlight w:val="none"/>
                <w:lang w:val="en-US" w:eastAsia="zh-CN" w:bidi="ar"/>
              </w:rPr>
              <w:t>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1B2FA2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由评委根据投标人提供的售后服务方案内容进行独立评审：</w:t>
            </w:r>
          </w:p>
          <w:p w14:paraId="5919BB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一档（1分）：满足项目质保期及售后服务要求，有定期回访及培训的。</w:t>
            </w:r>
          </w:p>
          <w:p w14:paraId="3ECE85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二档（</w:t>
            </w:r>
            <w:r>
              <w:rPr>
                <w:rFonts w:hint="eastAsia" w:ascii="宋体" w:hAnsi="宋体" w:cs="宋体"/>
                <w:color w:val="auto"/>
                <w:kern w:val="2"/>
                <w:sz w:val="21"/>
                <w:szCs w:val="21"/>
                <w:highlight w:val="none"/>
                <w:lang w:val="en-US" w:eastAsia="zh-CN" w:bidi="ar"/>
              </w:rPr>
              <w:t>6</w:t>
            </w:r>
            <w:r>
              <w:rPr>
                <w:rFonts w:hint="eastAsia" w:ascii="宋体" w:hAnsi="宋体" w:eastAsia="宋体" w:cs="宋体"/>
                <w:color w:val="auto"/>
                <w:kern w:val="2"/>
                <w:sz w:val="21"/>
                <w:szCs w:val="21"/>
                <w:highlight w:val="none"/>
                <w:lang w:val="en-US" w:eastAsia="zh-CN" w:bidi="ar"/>
              </w:rPr>
              <w:t>分）：优于项目质保期及售后服务要求，在接到采购人维修要求后应立即响应并在1小时内提出解决方案，4小时内到达现场对故障进行处理，维修过程中所需材料中标人在接到通知后应及时提供,最长不超过18小时必须送达采购人。若48小时内无法修复的，应36小时内提供相应备用设备并负责安装调试；定期回访一年不少于2次，回访方案详细；培训组织能根据不同产品制定详细的培训方案。</w:t>
            </w:r>
          </w:p>
          <w:p w14:paraId="73CB91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三档（</w:t>
            </w:r>
            <w:r>
              <w:rPr>
                <w:rFonts w:hint="eastAsia" w:ascii="宋体" w:hAnsi="宋体" w:cs="宋体"/>
                <w:color w:val="auto"/>
                <w:kern w:val="2"/>
                <w:sz w:val="21"/>
                <w:szCs w:val="21"/>
                <w:highlight w:val="none"/>
                <w:lang w:val="en-US" w:eastAsia="zh-CN" w:bidi="ar"/>
              </w:rPr>
              <w:t>11</w:t>
            </w:r>
            <w:r>
              <w:rPr>
                <w:rFonts w:hint="eastAsia" w:ascii="宋体" w:hAnsi="宋体" w:eastAsia="宋体" w:cs="宋体"/>
                <w:color w:val="auto"/>
                <w:kern w:val="2"/>
                <w:sz w:val="21"/>
                <w:szCs w:val="21"/>
                <w:highlight w:val="none"/>
                <w:lang w:val="en-US" w:eastAsia="zh-CN" w:bidi="ar"/>
              </w:rPr>
              <w:t>分）：高于项目质保期及售后服务要求，质保期有延长，在接到采购人维修要求后应立即响应并在0.5小时内提出解决方案，4小时内到达现场对故障进行处理，维修过程中所需材料中标人在接到通知后应及时提供,最长不超过12小时必须送达采购人。若48小时内无法修复的，应24小时内提供相应备用设备并负责安装调试；定期回访一年不少于4次，回访方案详细，有回访重点，能针对回访遇到的问题提出解决方案；培训组织能根据采购人单位实际出发，针对本分标的不同产品制定个性化培训方案，能结合产品特点给出科学合理的设备拓展升级方案。</w:t>
            </w:r>
          </w:p>
          <w:p w14:paraId="75702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不满足一档的不得分。</w:t>
            </w:r>
          </w:p>
        </w:tc>
      </w:tr>
      <w:tr w14:paraId="1FF0F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5E9D7D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（三）商务分（满分</w:t>
            </w:r>
            <w:r>
              <w:rPr>
                <w:rFonts w:hint="eastAsia" w:ascii="宋体" w:hAnsi="宋体" w:cs="宋体"/>
                <w:color w:val="auto"/>
                <w:kern w:val="2"/>
                <w:sz w:val="21"/>
                <w:szCs w:val="21"/>
                <w:highlight w:val="none"/>
                <w:lang w:val="en-US" w:eastAsia="zh-CN" w:bidi="ar"/>
              </w:rPr>
              <w:t>5</w:t>
            </w:r>
            <w:r>
              <w:rPr>
                <w:rFonts w:hint="eastAsia" w:ascii="宋体" w:hAnsi="宋体" w:eastAsia="宋体" w:cs="宋体"/>
                <w:color w:val="auto"/>
                <w:kern w:val="2"/>
                <w:sz w:val="21"/>
                <w:szCs w:val="21"/>
                <w:highlight w:val="none"/>
                <w:lang w:val="en-US" w:eastAsia="zh-CN" w:bidi="ar"/>
              </w:rPr>
              <w:t>分）</w:t>
            </w:r>
          </w:p>
        </w:tc>
      </w:tr>
      <w:tr w14:paraId="3D25A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14F916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业绩分</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0FC71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w:t>
            </w:r>
            <w:r>
              <w:rPr>
                <w:rFonts w:hint="eastAsia" w:ascii="宋体" w:hAnsi="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01AC73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投标人或投标产品生产厂家自2021年1月1日以来有过同类设备业绩（</w:t>
            </w:r>
            <w:r>
              <w:rPr>
                <w:rFonts w:hint="eastAsia" w:ascii="宋体" w:hAnsi="宋体" w:eastAsia="宋体" w:cs="宋体"/>
                <w:color w:val="auto"/>
                <w:sz w:val="21"/>
                <w:szCs w:val="21"/>
                <w:highlight w:val="none"/>
                <w:lang w:val="en-US" w:eastAsia="zh-CN"/>
              </w:rPr>
              <w:t>多接收电感耦合等离子体质谱仪</w:t>
            </w:r>
            <w:r>
              <w:rPr>
                <w:rFonts w:hint="eastAsia" w:ascii="宋体" w:hAnsi="宋体" w:eastAsia="宋体" w:cs="宋体"/>
                <w:color w:val="auto"/>
                <w:kern w:val="2"/>
                <w:sz w:val="21"/>
                <w:szCs w:val="21"/>
                <w:highlight w:val="none"/>
                <w:lang w:val="en-US" w:eastAsia="zh-CN" w:bidi="ar"/>
              </w:rPr>
              <w:t>），每个业绩得</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分，本项满分</w:t>
            </w:r>
            <w:r>
              <w:rPr>
                <w:rFonts w:hint="eastAsia" w:ascii="宋体" w:hAnsi="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分。</w:t>
            </w:r>
          </w:p>
          <w:p w14:paraId="718265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注：必须提供中标/成交通知书或合同（首页、签字盖章页、产品所在页）复印件等证明材料复印件并加盖公章，否则不得分。</w:t>
            </w:r>
          </w:p>
        </w:tc>
      </w:tr>
      <w:tr w14:paraId="5D7AA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185E6A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政策功能分</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81886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满分1分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563818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属于财政部《节能产品政府采购品目清单》内优先采购（清单内未标注“★”的品目）的产品[投标文件中提供有效的认证证书复印件及品目清单（标注出投标产品在品目清单中所属的品目）]，每提供一项得0.5分，满分0.5分。</w:t>
            </w:r>
          </w:p>
          <w:p w14:paraId="46043A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（2）属于财政部《环境标志产品政府采购品目清单》内的产品[投标文件中提供有效的认证证书复印件及品目清单（标注出投标产品在品目清单中所属的品目）]，每提供一项得0.5分，满分0.5分。</w:t>
            </w:r>
          </w:p>
          <w:p w14:paraId="04D7D8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（3）非节能、环境标志产品的不得分。</w:t>
            </w:r>
          </w:p>
        </w:tc>
      </w:tr>
      <w:tr w14:paraId="64DFE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29FD41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总得分=（一）+（二）+（三）</w:t>
            </w:r>
          </w:p>
        </w:tc>
      </w:tr>
    </w:tbl>
    <w:p w14:paraId="50236EA5">
      <w:pPr>
        <w:rPr>
          <w:rFonts w:hint="eastAsia" w:ascii="宋体" w:hAnsi="宋体" w:eastAsia="宋体" w:cs="宋体"/>
          <w:color w:val="auto"/>
          <w:sz w:val="21"/>
          <w:szCs w:val="21"/>
          <w:highlight w:val="none"/>
        </w:rPr>
      </w:pPr>
    </w:p>
    <w:p w14:paraId="558F7671">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outlineLvl w:val="2"/>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附件：分包2技术参数指标等级对照表</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1"/>
        <w:gridCol w:w="1501"/>
      </w:tblGrid>
      <w:tr w14:paraId="37CF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14:paraId="55CB485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bidi="ar"/>
              </w:rPr>
            </w:pPr>
            <w:bookmarkStart w:id="361" w:name="_Toc26958"/>
            <w:bookmarkStart w:id="362" w:name="_Toc4270"/>
            <w:r>
              <w:rPr>
                <w:rFonts w:hint="eastAsia" w:ascii="宋体" w:hAnsi="宋体" w:eastAsia="宋体" w:cs="宋体"/>
                <w:b/>
                <w:bCs/>
                <w:color w:val="auto"/>
                <w:sz w:val="21"/>
                <w:szCs w:val="21"/>
                <w:highlight w:val="none"/>
                <w:u w:val="none"/>
                <w:vertAlign w:val="baseline"/>
                <w:lang w:val="en-US" w:eastAsia="zh-CN" w:bidi="ar"/>
              </w:rPr>
              <w:t>技术参数指标等级对照表</w:t>
            </w:r>
            <w:bookmarkEnd w:id="361"/>
            <w:bookmarkEnd w:id="362"/>
          </w:p>
        </w:tc>
      </w:tr>
      <w:tr w14:paraId="5FCB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14:paraId="0A71859B">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bidi="ar"/>
              </w:rPr>
            </w:pPr>
            <w:bookmarkStart w:id="363" w:name="_Toc28840"/>
            <w:bookmarkStart w:id="364" w:name="_Toc2015"/>
            <w:r>
              <w:rPr>
                <w:rFonts w:hint="eastAsia" w:ascii="宋体" w:hAnsi="宋体" w:eastAsia="宋体" w:cs="宋体"/>
                <w:color w:val="auto"/>
                <w:sz w:val="21"/>
                <w:szCs w:val="21"/>
                <w:highlight w:val="none"/>
                <w:u w:val="none"/>
                <w:vertAlign w:val="baseline"/>
                <w:lang w:val="en-US" w:eastAsia="zh-CN" w:bidi="ar"/>
              </w:rPr>
              <w:t>一般参数指标合计76项，重要参数指标合计2项</w:t>
            </w:r>
            <w:bookmarkEnd w:id="363"/>
            <w:bookmarkEnd w:id="364"/>
          </w:p>
        </w:tc>
      </w:tr>
      <w:tr w14:paraId="45E8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top"/>
          </w:tcPr>
          <w:p w14:paraId="7E0927F2">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bidi="ar"/>
              </w:rPr>
            </w:pPr>
            <w:bookmarkStart w:id="365" w:name="_Toc8087"/>
            <w:bookmarkStart w:id="366" w:name="_Toc11469"/>
            <w:r>
              <w:rPr>
                <w:rFonts w:hint="eastAsia" w:ascii="宋体" w:hAnsi="宋体" w:eastAsia="宋体" w:cs="宋体"/>
                <w:color w:val="auto"/>
                <w:spacing w:val="0"/>
                <w:sz w:val="21"/>
                <w:szCs w:val="21"/>
                <w:highlight w:val="none"/>
                <w:lang w:bidi="ar"/>
              </w:rPr>
              <w:t>技术</w:t>
            </w:r>
            <w:r>
              <w:rPr>
                <w:rFonts w:hint="eastAsia" w:ascii="宋体" w:hAnsi="宋体" w:eastAsia="宋体" w:cs="宋体"/>
                <w:color w:val="auto"/>
                <w:spacing w:val="0"/>
                <w:sz w:val="21"/>
                <w:szCs w:val="21"/>
                <w:highlight w:val="none"/>
                <w:lang w:val="en-US" w:eastAsia="zh-CN" w:bidi="ar"/>
              </w:rPr>
              <w:t>参数</w:t>
            </w:r>
            <w:r>
              <w:rPr>
                <w:rFonts w:hint="eastAsia" w:ascii="宋体" w:hAnsi="宋体" w:eastAsia="宋体" w:cs="宋体"/>
                <w:color w:val="auto"/>
                <w:spacing w:val="0"/>
                <w:sz w:val="21"/>
                <w:szCs w:val="21"/>
                <w:highlight w:val="none"/>
                <w:lang w:bidi="ar"/>
              </w:rPr>
              <w:t>指标要求</w:t>
            </w:r>
            <w:bookmarkEnd w:id="365"/>
            <w:bookmarkEnd w:id="366"/>
          </w:p>
        </w:tc>
        <w:tc>
          <w:tcPr>
            <w:tcW w:w="1501" w:type="dxa"/>
            <w:noWrap w:val="0"/>
            <w:vAlign w:val="top"/>
          </w:tcPr>
          <w:p w14:paraId="46F1534C">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bidi="ar"/>
              </w:rPr>
            </w:pPr>
            <w:bookmarkStart w:id="367" w:name="_Toc9702"/>
            <w:bookmarkStart w:id="368" w:name="_Toc25427"/>
            <w:r>
              <w:rPr>
                <w:rFonts w:hint="eastAsia" w:ascii="宋体" w:hAnsi="宋体" w:eastAsia="宋体" w:cs="宋体"/>
                <w:color w:val="auto"/>
                <w:sz w:val="21"/>
                <w:szCs w:val="21"/>
                <w:highlight w:val="none"/>
                <w:u w:val="none"/>
                <w:vertAlign w:val="baseline"/>
                <w:lang w:val="en-US" w:eastAsia="zh-CN" w:bidi="ar"/>
              </w:rPr>
              <w:t>指标等级</w:t>
            </w:r>
            <w:bookmarkEnd w:id="367"/>
            <w:bookmarkEnd w:id="368"/>
          </w:p>
        </w:tc>
      </w:tr>
      <w:tr w14:paraId="0804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14:paraId="75F7D6D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bidi="ar"/>
              </w:rPr>
            </w:pPr>
            <w:bookmarkStart w:id="369" w:name="_Toc6722"/>
            <w:bookmarkStart w:id="370" w:name="_Toc6806"/>
            <w:r>
              <w:rPr>
                <w:rFonts w:hint="eastAsia" w:ascii="宋体" w:hAnsi="宋体" w:eastAsia="宋体" w:cs="宋体"/>
                <w:color w:val="auto"/>
                <w:sz w:val="21"/>
                <w:szCs w:val="21"/>
                <w:highlight w:val="none"/>
                <w:lang w:val="en-US" w:eastAsia="zh-CN"/>
              </w:rPr>
              <w:t>多接收电感耦合等离子体质谱仪</w:t>
            </w:r>
            <w:bookmarkEnd w:id="369"/>
            <w:bookmarkEnd w:id="370"/>
          </w:p>
        </w:tc>
      </w:tr>
      <w:tr w14:paraId="5E29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89CF60F">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一、设备功能</w:t>
            </w:r>
          </w:p>
        </w:tc>
        <w:tc>
          <w:tcPr>
            <w:tcW w:w="1501" w:type="dxa"/>
            <w:noWrap w:val="0"/>
            <w:vAlign w:val="center"/>
          </w:tcPr>
          <w:p w14:paraId="144D898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bidi="ar"/>
              </w:rPr>
            </w:pPr>
            <w:bookmarkStart w:id="371" w:name="_Toc8926"/>
            <w:bookmarkStart w:id="372" w:name="_Toc18084"/>
            <w:r>
              <w:rPr>
                <w:rFonts w:hint="eastAsia" w:ascii="宋体" w:hAnsi="宋体" w:eastAsia="宋体" w:cs="宋体"/>
                <w:color w:val="auto"/>
                <w:sz w:val="21"/>
                <w:szCs w:val="21"/>
                <w:highlight w:val="none"/>
                <w:u w:val="none"/>
                <w:vertAlign w:val="baseline"/>
                <w:lang w:val="en-US" w:eastAsia="zh-CN" w:bidi="ar"/>
              </w:rPr>
              <w:t>/</w:t>
            </w:r>
            <w:bookmarkEnd w:id="371"/>
            <w:bookmarkEnd w:id="372"/>
          </w:p>
        </w:tc>
      </w:tr>
      <w:tr w14:paraId="58CB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C4AA2C0">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多接收电感耦合等离子体串联质谱仪(MC-ICP-MS/MS)是既可测定同位素又可测定痕量元素的多功能、高精度的分析仪器。主要用于同位素分析和同位素年代学分析，除地学研究如地质、地理、考古、古环境重建外，可用于化学、化工、生物和环境等相关的分析领域。</w:t>
            </w:r>
          </w:p>
        </w:tc>
        <w:tc>
          <w:tcPr>
            <w:tcW w:w="1501" w:type="dxa"/>
            <w:noWrap w:val="0"/>
            <w:vAlign w:val="center"/>
          </w:tcPr>
          <w:p w14:paraId="0CBA42F5">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bidi="ar"/>
              </w:rPr>
            </w:pPr>
            <w:r>
              <w:rPr>
                <w:rFonts w:hint="eastAsia" w:ascii="宋体" w:hAnsi="宋体" w:eastAsia="宋体" w:cs="宋体"/>
                <w:color w:val="auto"/>
                <w:sz w:val="21"/>
                <w:szCs w:val="21"/>
                <w:highlight w:val="none"/>
                <w:u w:val="none"/>
                <w:vertAlign w:val="baseline"/>
                <w:lang w:val="en-US" w:eastAsia="zh-CN" w:bidi="ar"/>
              </w:rPr>
              <w:t>一般参数</w:t>
            </w:r>
          </w:p>
        </w:tc>
      </w:tr>
      <w:tr w14:paraId="65EF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473A96A">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u w:val="singl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二、工作条件</w:t>
            </w:r>
          </w:p>
        </w:tc>
        <w:tc>
          <w:tcPr>
            <w:tcW w:w="1501" w:type="dxa"/>
            <w:noWrap w:val="0"/>
            <w:vAlign w:val="center"/>
          </w:tcPr>
          <w:p w14:paraId="41968A5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w:t>
            </w:r>
          </w:p>
        </w:tc>
      </w:tr>
      <w:tr w14:paraId="75D48BA0">
        <w:tblPrEx>
          <w:tblCellMar>
            <w:top w:w="0" w:type="dxa"/>
            <w:left w:w="108" w:type="dxa"/>
            <w:bottom w:w="0" w:type="dxa"/>
            <w:right w:w="108" w:type="dxa"/>
          </w:tblCellMar>
        </w:tblPrEx>
        <w:tc>
          <w:tcPr>
            <w:tcW w:w="7021" w:type="dxa"/>
            <w:noWrap w:val="0"/>
            <w:vAlign w:val="center"/>
          </w:tcPr>
          <w:p w14:paraId="76C406F4">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u w:val="singl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2.1 适于在-30℃～45℃,0-90%RH 环境条件下运输及保存；</w:t>
            </w:r>
          </w:p>
        </w:tc>
        <w:tc>
          <w:tcPr>
            <w:tcW w:w="1501" w:type="dxa"/>
            <w:noWrap w:val="0"/>
            <w:vAlign w:val="center"/>
          </w:tcPr>
          <w:p w14:paraId="5E8DAF9B">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325E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AA03B41">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u w:val="singl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2.2实验室温度：18 ℃-24 ℃，温度变化＜1℃/hr；相对湿度：50 - 60%；</w:t>
            </w:r>
          </w:p>
        </w:tc>
        <w:tc>
          <w:tcPr>
            <w:tcW w:w="1501" w:type="dxa"/>
            <w:noWrap w:val="0"/>
            <w:vAlign w:val="center"/>
          </w:tcPr>
          <w:p w14:paraId="5DB134E9">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53AF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021" w:type="dxa"/>
            <w:noWrap w:val="0"/>
            <w:vAlign w:val="center"/>
          </w:tcPr>
          <w:p w14:paraId="5906E7C9">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u w:val="singl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2.3适于电源380 V/220 V±10%，地线要求：独立地线，零地电压＜5 V；电源插头、插座须符合中国相关标准或提供相应的转换插头、插座，使之符合中国标准；</w:t>
            </w:r>
          </w:p>
        </w:tc>
        <w:tc>
          <w:tcPr>
            <w:tcW w:w="1501" w:type="dxa"/>
            <w:noWrap w:val="0"/>
            <w:vAlign w:val="center"/>
          </w:tcPr>
          <w:p w14:paraId="2DE6CB6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1DBE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7C12A42">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u w:val="singl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2.4 提供适合仪器正常工作的水循环冷却系统，工作温度20～40℃，控温精度±0.5℃,可长时间连续运行；</w:t>
            </w:r>
          </w:p>
        </w:tc>
        <w:tc>
          <w:tcPr>
            <w:tcW w:w="1501" w:type="dxa"/>
            <w:noWrap w:val="0"/>
            <w:vAlign w:val="center"/>
          </w:tcPr>
          <w:p w14:paraId="39F1EE4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61FE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8790161">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2.5 所投产品对使用条件若有特殊要求(如水、电、环境电磁干扰、地磁、振动、空 气等)须在投标文件中详细说明。仪器可长期稳定连续运行。</w:t>
            </w:r>
          </w:p>
        </w:tc>
        <w:tc>
          <w:tcPr>
            <w:tcW w:w="1501" w:type="dxa"/>
            <w:noWrap w:val="0"/>
            <w:vAlign w:val="center"/>
          </w:tcPr>
          <w:p w14:paraId="5ED73EB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464D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06F984B">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三、仪器系统配置组成</w:t>
            </w:r>
          </w:p>
        </w:tc>
        <w:tc>
          <w:tcPr>
            <w:tcW w:w="1501" w:type="dxa"/>
            <w:noWrap w:val="0"/>
            <w:vAlign w:val="center"/>
          </w:tcPr>
          <w:p w14:paraId="679048C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w:t>
            </w:r>
          </w:p>
        </w:tc>
      </w:tr>
      <w:tr w14:paraId="58CE9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61E1DD8">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多接收电感耦合等离子体质谱仪整套设备1套，主要包含：样品引入系统、等离子体（ICP)离子源、ICP接口、离子透镜、双聚焦质量分析器、多接收检测系统、高真空系统、数据采集和处理系统、循环水冷系统、安全保护系统及其他仪器正常工作的标准组件。</w:t>
            </w:r>
          </w:p>
        </w:tc>
        <w:tc>
          <w:tcPr>
            <w:tcW w:w="1501" w:type="dxa"/>
            <w:noWrap w:val="0"/>
            <w:vAlign w:val="center"/>
          </w:tcPr>
          <w:p w14:paraId="31E22A25">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w:t>
            </w:r>
          </w:p>
        </w:tc>
      </w:tr>
      <w:tr w14:paraId="1673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31B8605">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3.1 样品引入系统：</w:t>
            </w:r>
          </w:p>
        </w:tc>
        <w:tc>
          <w:tcPr>
            <w:tcW w:w="1501" w:type="dxa"/>
            <w:noWrap w:val="0"/>
            <w:vAlign w:val="center"/>
          </w:tcPr>
          <w:p w14:paraId="06CFD0F4">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w:t>
            </w:r>
          </w:p>
        </w:tc>
      </w:tr>
      <w:tr w14:paraId="154E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50B1BAE">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3.1.1可快速拆卸的旋流雾化进样系统。</w:t>
            </w:r>
          </w:p>
        </w:tc>
        <w:tc>
          <w:tcPr>
            <w:tcW w:w="1501" w:type="dxa"/>
            <w:noWrap w:val="0"/>
            <w:vAlign w:val="center"/>
          </w:tcPr>
          <w:p w14:paraId="106F81B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6CF9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8528B7F">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3.1.2自吸微流同心雾化器；</w:t>
            </w:r>
          </w:p>
        </w:tc>
        <w:tc>
          <w:tcPr>
            <w:tcW w:w="1501" w:type="dxa"/>
            <w:noWrap w:val="0"/>
            <w:vAlign w:val="center"/>
          </w:tcPr>
          <w:p w14:paraId="698F9CE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7972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2CE8E92">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3.1.3蠕动泵≥3通道，流速可控，蠕动泵转速范围≥1～25rpm；</w:t>
            </w:r>
          </w:p>
        </w:tc>
        <w:tc>
          <w:tcPr>
            <w:tcW w:w="1501" w:type="dxa"/>
            <w:noWrap w:val="0"/>
            <w:vAlign w:val="center"/>
          </w:tcPr>
          <w:p w14:paraId="3E781C5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3844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663F2F4">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3.1.4配自动进样器(含有机玻璃罩，用于同位素分析。)和膜去溶进样系统(用于溶液去溶干法分析)各一套（包含自动进样器和膜去溶进样系统的标配、试剂瓶、备用气管、泵管、接头等）；</w:t>
            </w:r>
          </w:p>
        </w:tc>
        <w:tc>
          <w:tcPr>
            <w:tcW w:w="1501" w:type="dxa"/>
            <w:noWrap w:val="0"/>
            <w:vAlign w:val="center"/>
          </w:tcPr>
          <w:p w14:paraId="2FBF7624">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673F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014461D">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3.1.5与膜去溶和激光剥蚀系统相匹配的接口装置；</w:t>
            </w:r>
          </w:p>
        </w:tc>
        <w:tc>
          <w:tcPr>
            <w:tcW w:w="1501" w:type="dxa"/>
            <w:noWrap w:val="0"/>
            <w:vAlign w:val="center"/>
          </w:tcPr>
          <w:p w14:paraId="5DC6B320">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1103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EFC2C1F">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3.2 ICP离子源</w:t>
            </w:r>
          </w:p>
        </w:tc>
        <w:tc>
          <w:tcPr>
            <w:tcW w:w="1501" w:type="dxa"/>
            <w:noWrap w:val="0"/>
            <w:vAlign w:val="center"/>
          </w:tcPr>
          <w:p w14:paraId="3C2E3AF2">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w:t>
            </w:r>
          </w:p>
        </w:tc>
      </w:tr>
      <w:tr w14:paraId="0F53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D3243CB">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3.2.1 0-2kW、27 MHz 固态射频RF发生器；稳定工作范围≥500～1600W，在不同工作模式（溶液雾化、液相、膜去溶、激光剥蚀等进样方式）条件下反射功率均≤5W；</w:t>
            </w:r>
          </w:p>
        </w:tc>
        <w:tc>
          <w:tcPr>
            <w:tcW w:w="1501" w:type="dxa"/>
            <w:noWrap w:val="0"/>
            <w:vAlign w:val="center"/>
          </w:tcPr>
          <w:p w14:paraId="63E40AA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09E3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2F9988A">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3.2.2 ICP石英炬管，自准直；</w:t>
            </w:r>
          </w:p>
        </w:tc>
        <w:tc>
          <w:tcPr>
            <w:tcW w:w="1501" w:type="dxa"/>
            <w:noWrap w:val="0"/>
            <w:vAlign w:val="center"/>
          </w:tcPr>
          <w:p w14:paraId="66457F4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767D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C05A600">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3.2.3 水冷铜线圈；</w:t>
            </w:r>
          </w:p>
        </w:tc>
        <w:tc>
          <w:tcPr>
            <w:tcW w:w="1501" w:type="dxa"/>
            <w:noWrap w:val="0"/>
            <w:vAlign w:val="center"/>
          </w:tcPr>
          <w:p w14:paraId="304479B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6D0D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13AEF76">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3.2.4 ICP炬管X/Y/Z三维台，高稳定性，位置精确可移动调节（移动精度≤0.1mm）；ICP炬管的X/Y/Z位置、点火和RF输出功率完全由计算机调控；</w:t>
            </w:r>
          </w:p>
        </w:tc>
        <w:tc>
          <w:tcPr>
            <w:tcW w:w="1501" w:type="dxa"/>
            <w:noWrap w:val="0"/>
            <w:vAlign w:val="center"/>
          </w:tcPr>
          <w:p w14:paraId="7A73021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64380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E3AEDF2">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3.2.5包含≥3路气体流量控制器：至少满足冷却气、辅助气、载气3路气体流量由软件精确调控；</w:t>
            </w:r>
          </w:p>
        </w:tc>
        <w:tc>
          <w:tcPr>
            <w:tcW w:w="1501" w:type="dxa"/>
            <w:noWrap w:val="0"/>
            <w:vAlign w:val="center"/>
          </w:tcPr>
          <w:p w14:paraId="5269C1C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5123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78A3C7B">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3.3 ICP接口</w:t>
            </w:r>
          </w:p>
        </w:tc>
        <w:tc>
          <w:tcPr>
            <w:tcW w:w="1501" w:type="dxa"/>
            <w:noWrap w:val="0"/>
            <w:vAlign w:val="center"/>
          </w:tcPr>
          <w:p w14:paraId="4A7935E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w:t>
            </w:r>
          </w:p>
        </w:tc>
      </w:tr>
      <w:tr w14:paraId="4500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3E3D7E9">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3.3.1由采样锥和截取锥组成ICP接口，配备水冷及其安全保护装置；排风系统;</w:t>
            </w:r>
          </w:p>
        </w:tc>
        <w:tc>
          <w:tcPr>
            <w:tcW w:w="1501" w:type="dxa"/>
            <w:noWrap w:val="0"/>
            <w:vAlign w:val="center"/>
          </w:tcPr>
          <w:p w14:paraId="0210E60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25530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59D196D">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3.3.2等离子体接口易于和各进样系统联接及切换；点火操作中即可进行各外设之间的切换（如湿法转换至干法）；</w:t>
            </w:r>
          </w:p>
        </w:tc>
        <w:tc>
          <w:tcPr>
            <w:tcW w:w="1501" w:type="dxa"/>
            <w:noWrap w:val="0"/>
            <w:vAlign w:val="center"/>
          </w:tcPr>
          <w:p w14:paraId="26771CD4">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27DD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B7D10D5">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3.3.3接口区配备大抽速干泵（抽速≥100 m</w:t>
            </w:r>
            <w:r>
              <w:rPr>
                <w:rFonts w:hint="eastAsia" w:ascii="宋体" w:hAnsi="宋体" w:eastAsia="宋体" w:cs="宋体"/>
                <w:i w:val="0"/>
                <w:iCs w:val="0"/>
                <w:color w:val="auto"/>
                <w:kern w:val="0"/>
                <w:sz w:val="21"/>
                <w:szCs w:val="21"/>
                <w:highlight w:val="none"/>
                <w:u w:val="none"/>
                <w:vertAlign w:val="superscript"/>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/h）；</w:t>
            </w:r>
          </w:p>
        </w:tc>
        <w:tc>
          <w:tcPr>
            <w:tcW w:w="1501" w:type="dxa"/>
            <w:noWrap w:val="0"/>
            <w:vAlign w:val="center"/>
          </w:tcPr>
          <w:p w14:paraId="5A25AE6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3BF0B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1E4F4DC">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3.4 离子传输及透镜系统</w:t>
            </w:r>
          </w:p>
        </w:tc>
        <w:tc>
          <w:tcPr>
            <w:tcW w:w="1501" w:type="dxa"/>
            <w:noWrap w:val="0"/>
            <w:vAlign w:val="center"/>
          </w:tcPr>
          <w:p w14:paraId="39A8668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w:t>
            </w:r>
          </w:p>
        </w:tc>
      </w:tr>
      <w:tr w14:paraId="7F1E8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51ED2A8">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■3.4.1离子透镜系统：插拔式提取透镜，易于维护更换；离子加速电压≥6Kv；【加速电压＞6Kv为正偏离，投标时需提供仪器界面截图并加盖投标人单位公章】</w:t>
            </w:r>
          </w:p>
        </w:tc>
        <w:tc>
          <w:tcPr>
            <w:tcW w:w="1501" w:type="dxa"/>
            <w:noWrap w:val="0"/>
            <w:vAlign w:val="center"/>
          </w:tcPr>
          <w:p w14:paraId="6A91B63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single"/>
                <w:vertAlign w:val="baseline"/>
                <w:lang w:val="en-US" w:eastAsia="zh-CN"/>
              </w:rPr>
              <w:t xml:space="preserve">重要参数               </w:t>
            </w:r>
          </w:p>
        </w:tc>
      </w:tr>
      <w:tr w14:paraId="56D2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7314891">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3.4.2入射狭缝宽度可调，最高分辨能力（RP） R</w:t>
            </w:r>
            <w:r>
              <w:rPr>
                <w:rFonts w:hint="eastAsia" w:ascii="宋体" w:hAnsi="宋体" w:eastAsia="宋体" w:cs="宋体"/>
                <w:i w:val="0"/>
                <w:iCs w:val="0"/>
                <w:color w:val="auto"/>
                <w:kern w:val="0"/>
                <w:sz w:val="21"/>
                <w:szCs w:val="21"/>
                <w:highlight w:val="none"/>
                <w:u w:val="none"/>
                <w:vertAlign w:val="subscript"/>
                <w:lang w:val="en-US" w:eastAsia="zh-CN" w:bidi="ar"/>
              </w:rPr>
              <w:t>edge5%, 95%</w:t>
            </w:r>
            <w:r>
              <w:rPr>
                <w:rFonts w:hint="eastAsia" w:ascii="宋体" w:hAnsi="宋体" w:eastAsia="宋体" w:cs="宋体"/>
                <w:i w:val="0"/>
                <w:iCs w:val="0"/>
                <w:color w:val="auto"/>
                <w:kern w:val="0"/>
                <w:sz w:val="21"/>
                <w:szCs w:val="21"/>
                <w:highlight w:val="none"/>
                <w:u w:val="none"/>
                <w:lang w:val="en-US" w:eastAsia="zh-CN" w:bidi="ar"/>
              </w:rPr>
              <w:t>≥8500而保持平顶峰且离子传输效率相对于低分辨率≥10%；</w:t>
            </w:r>
          </w:p>
        </w:tc>
        <w:tc>
          <w:tcPr>
            <w:tcW w:w="1501" w:type="dxa"/>
            <w:noWrap w:val="0"/>
            <w:vAlign w:val="center"/>
          </w:tcPr>
          <w:p w14:paraId="4FF7C83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2EDA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4F60340">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3.4.3变焦离子光学系统；</w:t>
            </w:r>
          </w:p>
        </w:tc>
        <w:tc>
          <w:tcPr>
            <w:tcW w:w="1501" w:type="dxa"/>
            <w:noWrap w:val="0"/>
            <w:vAlign w:val="center"/>
          </w:tcPr>
          <w:p w14:paraId="4E99C199">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4014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9021011">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3.5 双聚焦质量分析系统</w:t>
            </w:r>
          </w:p>
        </w:tc>
        <w:tc>
          <w:tcPr>
            <w:tcW w:w="1501" w:type="dxa"/>
            <w:noWrap w:val="0"/>
            <w:vAlign w:val="center"/>
          </w:tcPr>
          <w:p w14:paraId="0DD3C2A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w:t>
            </w:r>
          </w:p>
        </w:tc>
      </w:tr>
      <w:tr w14:paraId="7C565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9713CA5">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3.5.1双聚焦质量分析系统包括静电场分析器和扇形磁场分析器；</w:t>
            </w:r>
          </w:p>
        </w:tc>
        <w:tc>
          <w:tcPr>
            <w:tcW w:w="1501" w:type="dxa"/>
            <w:noWrap w:val="0"/>
            <w:vAlign w:val="center"/>
          </w:tcPr>
          <w:p w14:paraId="0B97DD5C">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3423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8223E8C">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3.5.2质量范围≥4～300amu，可同时测定离子质量数范围≥17%；</w:t>
            </w:r>
          </w:p>
        </w:tc>
        <w:tc>
          <w:tcPr>
            <w:tcW w:w="1501" w:type="dxa"/>
            <w:noWrap w:val="0"/>
            <w:vAlign w:val="center"/>
          </w:tcPr>
          <w:p w14:paraId="42F64B25">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334C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D522BE7">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3.6 多接收检测系统</w:t>
            </w:r>
          </w:p>
        </w:tc>
        <w:tc>
          <w:tcPr>
            <w:tcW w:w="1501" w:type="dxa"/>
            <w:noWrap w:val="0"/>
            <w:vAlign w:val="center"/>
          </w:tcPr>
          <w:p w14:paraId="5801C7B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w:t>
            </w:r>
          </w:p>
        </w:tc>
      </w:tr>
      <w:tr w14:paraId="00BC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92C7464">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3.6.1法拉第杯：法拉第杯大于等于10个，保证近100%的接收效率；可校正增益消除杯接收效率系数；法拉第杯噪音＜20μV（≤2E-16A，4s</w:t>
            </w:r>
            <w:r>
              <w:rPr>
                <w:rFonts w:hint="eastAsia" w:ascii="宋体" w:hAnsi="宋体" w:eastAsia="宋体" w:cs="宋体"/>
                <w:color w:val="auto"/>
                <w:sz w:val="21"/>
                <w:szCs w:val="21"/>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5s积分，</w:t>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vertAlign w:val="superscript"/>
              </w:rPr>
              <w:t>11</w:t>
            </w:r>
            <w:r>
              <w:rPr>
                <w:rFonts w:hint="eastAsia" w:ascii="宋体" w:hAnsi="宋体" w:eastAsia="宋体" w:cs="宋体"/>
                <w:color w:val="auto"/>
                <w:sz w:val="21"/>
                <w:szCs w:val="21"/>
                <w:highlight w:val="none"/>
              </w:rPr>
              <w:t>Ω</w:t>
            </w:r>
            <w:r>
              <w:rPr>
                <w:rFonts w:hint="eastAsia" w:ascii="宋体" w:hAnsi="宋体" w:eastAsia="宋体" w:cs="宋体"/>
                <w:i w:val="0"/>
                <w:iCs w:val="0"/>
                <w:color w:val="auto"/>
                <w:kern w:val="0"/>
                <w:sz w:val="21"/>
                <w:szCs w:val="21"/>
                <w:highlight w:val="none"/>
                <w:u w:val="none"/>
                <w:lang w:val="en-US" w:eastAsia="zh-CN" w:bidi="ar"/>
              </w:rPr>
              <w:t>放大器），</w:t>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vertAlign w:val="superscript"/>
              </w:rPr>
              <w:t>11</w:t>
            </w:r>
            <w:r>
              <w:rPr>
                <w:rFonts w:hint="eastAsia" w:ascii="宋体" w:hAnsi="宋体" w:eastAsia="宋体" w:cs="宋体"/>
                <w:color w:val="auto"/>
                <w:sz w:val="21"/>
                <w:szCs w:val="21"/>
                <w:highlight w:val="none"/>
              </w:rPr>
              <w:t>Ω</w:t>
            </w:r>
            <w:r>
              <w:rPr>
                <w:rFonts w:hint="eastAsia" w:ascii="宋体" w:hAnsi="宋体" w:eastAsia="宋体" w:cs="宋体"/>
                <w:i w:val="0"/>
                <w:iCs w:val="0"/>
                <w:color w:val="auto"/>
                <w:kern w:val="0"/>
                <w:sz w:val="21"/>
                <w:szCs w:val="21"/>
                <w:highlight w:val="none"/>
                <w:u w:val="none"/>
                <w:lang w:val="en-US" w:eastAsia="zh-CN" w:bidi="ar"/>
              </w:rPr>
              <w:t>放大器信号响应时间≤0.1s，tau校正放大器衰减在10V信号停止≤2s后低于10ppm，可校正消除放大器衰减系数；</w:t>
            </w:r>
          </w:p>
        </w:tc>
        <w:tc>
          <w:tcPr>
            <w:tcW w:w="1501" w:type="dxa"/>
            <w:noWrap w:val="0"/>
            <w:vAlign w:val="center"/>
          </w:tcPr>
          <w:p w14:paraId="13004A30">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0AA99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A2870CB">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3.6.2除所有法拉第杯标配10</w:t>
            </w:r>
            <w:r>
              <w:rPr>
                <w:rFonts w:hint="eastAsia" w:ascii="宋体" w:hAnsi="宋体" w:eastAsia="宋体" w:cs="宋体"/>
                <w:i w:val="0"/>
                <w:iCs w:val="0"/>
                <w:color w:val="auto"/>
                <w:kern w:val="0"/>
                <w:sz w:val="21"/>
                <w:szCs w:val="21"/>
                <w:highlight w:val="none"/>
                <w:u w:val="none"/>
                <w:vertAlign w:val="superscript"/>
                <w:lang w:val="en-US" w:eastAsia="zh-CN" w:bidi="ar"/>
              </w:rPr>
              <w:t>11</w:t>
            </w:r>
            <w:r>
              <w:rPr>
                <w:rFonts w:hint="eastAsia" w:ascii="宋体" w:hAnsi="宋体" w:eastAsia="宋体" w:cs="宋体"/>
                <w:i w:val="0"/>
                <w:iCs w:val="0"/>
                <w:color w:val="auto"/>
                <w:kern w:val="0"/>
                <w:sz w:val="21"/>
                <w:szCs w:val="21"/>
                <w:highlight w:val="none"/>
                <w:u w:val="none"/>
                <w:lang w:val="en-US" w:eastAsia="zh-CN" w:bidi="ar"/>
              </w:rPr>
              <w:t>Ω电阻放大器外，额外低信号检测器5个以上（10</w:t>
            </w:r>
            <w:r>
              <w:rPr>
                <w:rFonts w:hint="eastAsia" w:ascii="宋体" w:hAnsi="宋体" w:eastAsia="宋体" w:cs="宋体"/>
                <w:i w:val="0"/>
                <w:iCs w:val="0"/>
                <w:color w:val="auto"/>
                <w:kern w:val="0"/>
                <w:sz w:val="21"/>
                <w:szCs w:val="21"/>
                <w:highlight w:val="none"/>
                <w:u w:val="none"/>
                <w:vertAlign w:val="superscript"/>
                <w:lang w:val="en-US" w:eastAsia="zh-CN" w:bidi="ar"/>
              </w:rPr>
              <w:t>13</w:t>
            </w:r>
            <w:r>
              <w:rPr>
                <w:rFonts w:hint="eastAsia" w:ascii="宋体" w:hAnsi="宋体" w:eastAsia="宋体" w:cs="宋体"/>
                <w:i w:val="0"/>
                <w:iCs w:val="0"/>
                <w:color w:val="auto"/>
                <w:kern w:val="0"/>
                <w:sz w:val="21"/>
                <w:szCs w:val="21"/>
                <w:highlight w:val="none"/>
                <w:u w:val="none"/>
                <w:lang w:val="en-US" w:eastAsia="zh-CN" w:bidi="ar"/>
              </w:rPr>
              <w:t>Ω电阻放大器或10</w:t>
            </w:r>
            <w:r>
              <w:rPr>
                <w:rFonts w:hint="eastAsia" w:ascii="宋体" w:hAnsi="宋体" w:eastAsia="宋体" w:cs="宋体"/>
                <w:i w:val="0"/>
                <w:iCs w:val="0"/>
                <w:color w:val="auto"/>
                <w:kern w:val="0"/>
                <w:sz w:val="21"/>
                <w:szCs w:val="21"/>
                <w:highlight w:val="none"/>
                <w:u w:val="none"/>
                <w:vertAlign w:val="superscript"/>
                <w:lang w:val="en-US" w:eastAsia="zh-CN" w:bidi="ar"/>
              </w:rPr>
              <w:t>12</w:t>
            </w:r>
            <w:r>
              <w:rPr>
                <w:rFonts w:hint="eastAsia" w:ascii="宋体" w:hAnsi="宋体" w:eastAsia="宋体" w:cs="宋体"/>
                <w:i w:val="0"/>
                <w:iCs w:val="0"/>
                <w:color w:val="auto"/>
                <w:kern w:val="0"/>
                <w:sz w:val="21"/>
                <w:szCs w:val="21"/>
                <w:highlight w:val="none"/>
                <w:u w:val="none"/>
                <w:lang w:val="en-US" w:eastAsia="zh-CN" w:bidi="ar"/>
              </w:rPr>
              <w:t>Ω电阻放大器或离子计数器），低信号检测器动态范围≥ 0～2Mcps，稳定性＜0.08%，噪音≤0.5 cps；</w:t>
            </w:r>
          </w:p>
        </w:tc>
        <w:tc>
          <w:tcPr>
            <w:tcW w:w="1501" w:type="dxa"/>
            <w:noWrap w:val="0"/>
            <w:vAlign w:val="center"/>
          </w:tcPr>
          <w:p w14:paraId="4B405E19">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65D9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86625DD">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3.6.3放大器设置：可通过软件更改法拉第杯与放大器的连接；软件通过电流校正板自动校正不同规格放大器的增益，全自动校正放大器响应时间和衰减时间；</w:t>
            </w:r>
          </w:p>
        </w:tc>
        <w:tc>
          <w:tcPr>
            <w:tcW w:w="1501" w:type="dxa"/>
            <w:noWrap w:val="0"/>
            <w:vAlign w:val="center"/>
          </w:tcPr>
          <w:p w14:paraId="63F71EAC">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5D07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4DFFA1E">
            <w:pPr>
              <w:keepNext w:val="0"/>
              <w:keepLines w:val="0"/>
              <w:pageBreakBefore w:val="0"/>
              <w:widowControl w:val="0"/>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3.6.4</w:t>
            </w:r>
            <w:r>
              <w:rPr>
                <w:rFonts w:hint="eastAsia" w:ascii="宋体" w:hAnsi="宋体" w:eastAsia="宋体" w:cs="宋体"/>
                <w:color w:val="auto"/>
                <w:sz w:val="21"/>
                <w:szCs w:val="21"/>
                <w:highlight w:val="none"/>
              </w:rPr>
              <w:t>法拉第杯检测信号范围：10</w:t>
            </w:r>
            <w:r>
              <w:rPr>
                <w:rFonts w:hint="eastAsia" w:ascii="宋体" w:hAnsi="宋体" w:eastAsia="宋体" w:cs="宋体"/>
                <w:color w:val="auto"/>
                <w:sz w:val="21"/>
                <w:szCs w:val="21"/>
                <w:highlight w:val="none"/>
                <w:vertAlign w:val="superscript"/>
              </w:rPr>
              <w:t>11</w:t>
            </w:r>
            <w:r>
              <w:rPr>
                <w:rFonts w:hint="eastAsia" w:ascii="宋体" w:hAnsi="宋体" w:eastAsia="宋体" w:cs="宋体"/>
                <w:color w:val="auto"/>
                <w:sz w:val="21"/>
                <w:szCs w:val="21"/>
                <w:highlight w:val="none"/>
              </w:rPr>
              <w:t>Ω放大器电阻的法拉第杯，信号范围≥0～55V；10</w:t>
            </w:r>
            <w:r>
              <w:rPr>
                <w:rFonts w:hint="eastAsia" w:ascii="宋体" w:hAnsi="宋体" w:eastAsia="宋体" w:cs="宋体"/>
                <w:color w:val="auto"/>
                <w:sz w:val="21"/>
                <w:szCs w:val="21"/>
                <w:highlight w:val="none"/>
                <w:vertAlign w:val="superscript"/>
              </w:rPr>
              <w:t>13</w:t>
            </w:r>
            <w:r>
              <w:rPr>
                <w:rFonts w:hint="eastAsia" w:ascii="宋体" w:hAnsi="宋体" w:eastAsia="宋体" w:cs="宋体"/>
                <w:color w:val="auto"/>
                <w:sz w:val="21"/>
                <w:szCs w:val="21"/>
                <w:highlight w:val="none"/>
              </w:rPr>
              <w:t>Ω：0</w:t>
            </w:r>
            <w:r>
              <w:rPr>
                <w:rFonts w:hint="eastAsia" w:ascii="宋体" w:hAnsi="宋体" w:eastAsia="宋体" w:cs="宋体"/>
                <w:bCs/>
                <w:color w:val="auto"/>
                <w:sz w:val="21"/>
                <w:szCs w:val="21"/>
                <w:highlight w:val="none"/>
                <w:lang w:val="en-US" w:eastAsia="zh-CN"/>
              </w:rPr>
              <w:t>～</w:t>
            </w:r>
            <w:r>
              <w:rPr>
                <w:rFonts w:hint="eastAsia" w:ascii="宋体" w:hAnsi="宋体" w:eastAsia="宋体" w:cs="宋体"/>
                <w:color w:val="auto"/>
                <w:sz w:val="21"/>
                <w:szCs w:val="21"/>
                <w:highlight w:val="none"/>
              </w:rPr>
              <w:t>0.55V。</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正偏离：</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vertAlign w:val="superscript"/>
              </w:rPr>
              <w:t>11</w:t>
            </w:r>
            <w:r>
              <w:rPr>
                <w:rFonts w:hint="eastAsia" w:ascii="宋体" w:hAnsi="宋体" w:eastAsia="宋体" w:cs="宋体"/>
                <w:color w:val="auto"/>
                <w:sz w:val="21"/>
                <w:szCs w:val="21"/>
                <w:highlight w:val="none"/>
              </w:rPr>
              <w:t>Ω放大器电阻的法拉第杯</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信号范围＞0～55V；</w:t>
            </w:r>
            <w:r>
              <w:rPr>
                <w:rFonts w:hint="eastAsia" w:ascii="宋体" w:hAnsi="宋体" w:eastAsia="宋体" w:cs="宋体"/>
                <w:color w:val="auto"/>
                <w:sz w:val="21"/>
                <w:szCs w:val="21"/>
                <w:highlight w:val="none"/>
                <w:lang w:val="en-US" w:eastAsia="zh-CN"/>
              </w:rPr>
              <w:t>无偏离：</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vertAlign w:val="superscript"/>
                <w:lang w:val="en-US" w:eastAsia="zh-CN"/>
              </w:rPr>
              <w:t>11</w:t>
            </w:r>
            <w:r>
              <w:rPr>
                <w:rFonts w:hint="eastAsia" w:ascii="宋体" w:hAnsi="宋体" w:cs="宋体"/>
                <w:color w:val="auto"/>
                <w:sz w:val="21"/>
                <w:szCs w:val="21"/>
                <w:highlight w:val="none"/>
                <w:lang w:val="en-US" w:eastAsia="zh-CN"/>
              </w:rPr>
              <w:t>Ω放大器电阻的法拉第杯的</w:t>
            </w:r>
            <w:r>
              <w:rPr>
                <w:rFonts w:hint="eastAsia" w:ascii="宋体" w:hAnsi="宋体" w:eastAsia="宋体" w:cs="宋体"/>
                <w:color w:val="auto"/>
                <w:sz w:val="21"/>
                <w:szCs w:val="21"/>
                <w:highlight w:val="none"/>
              </w:rPr>
              <w:t>信号范围0～55V</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投标时需提供</w:t>
            </w:r>
            <w:r>
              <w:rPr>
                <w:rFonts w:hint="eastAsia" w:ascii="宋体" w:hAnsi="宋体" w:eastAsia="宋体" w:cs="宋体"/>
                <w:color w:val="auto"/>
                <w:sz w:val="21"/>
                <w:szCs w:val="21"/>
                <w:highlight w:val="none"/>
                <w:lang w:val="en-US" w:eastAsia="zh-CN"/>
              </w:rPr>
              <w:t>投标时需提供操作软件界面的参数截图或照片并加盖投标人单位公章</w:t>
            </w:r>
            <w:r>
              <w:rPr>
                <w:rFonts w:hint="eastAsia" w:ascii="宋体" w:hAnsi="宋体" w:eastAsia="宋体" w:cs="宋体"/>
                <w:color w:val="auto"/>
                <w:sz w:val="21"/>
                <w:szCs w:val="21"/>
                <w:highlight w:val="none"/>
                <w:lang w:eastAsia="zh-CN"/>
              </w:rPr>
              <w:t>】</w:t>
            </w:r>
          </w:p>
        </w:tc>
        <w:tc>
          <w:tcPr>
            <w:tcW w:w="1501" w:type="dxa"/>
            <w:noWrap w:val="0"/>
            <w:vAlign w:val="center"/>
          </w:tcPr>
          <w:p w14:paraId="1666A63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single"/>
                <w:vertAlign w:val="baseline"/>
                <w:lang w:val="en-US" w:eastAsia="zh-CN"/>
              </w:rPr>
              <w:t>重要参数</w:t>
            </w:r>
          </w:p>
        </w:tc>
      </w:tr>
      <w:tr w14:paraId="3C23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BA0C0F1">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3.6.5放大器室恒温控制，精度≤0.1℃，稳定性≤0.1℃/h；</w:t>
            </w:r>
          </w:p>
        </w:tc>
        <w:tc>
          <w:tcPr>
            <w:tcW w:w="1501" w:type="dxa"/>
            <w:noWrap w:val="0"/>
            <w:vAlign w:val="center"/>
          </w:tcPr>
          <w:p w14:paraId="1B157880">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6A66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BD5DC32">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3.6.6与激光联用时，可一次激光采样用法拉第杯和离子计数器同时静态测定和瞬时信号（TRA）测定同位素的相关比值。</w:t>
            </w:r>
          </w:p>
        </w:tc>
        <w:tc>
          <w:tcPr>
            <w:tcW w:w="1501" w:type="dxa"/>
            <w:noWrap w:val="0"/>
            <w:vAlign w:val="center"/>
          </w:tcPr>
          <w:p w14:paraId="436DDFE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073A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7021" w:type="dxa"/>
            <w:noWrap w:val="0"/>
            <w:vAlign w:val="center"/>
          </w:tcPr>
          <w:p w14:paraId="53901FE1">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3.7 真空系统</w:t>
            </w:r>
          </w:p>
          <w:p w14:paraId="74A65B6C">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完全受隔离阀保护的多级分子泵和/或离子泵真空系统，分子泵采用水冷保护。在点火工作状态下，ICP接口部分的真空≤1</w:t>
            </w:r>
            <w:r>
              <w:rPr>
                <w:rFonts w:hint="eastAsia" w:ascii="宋体" w:hAnsi="宋体" w:eastAsia="宋体" w:cs="宋体"/>
                <w:i w:val="0"/>
                <w:iCs w:val="0"/>
                <w:color w:val="auto"/>
                <w:kern w:val="0"/>
                <w:sz w:val="21"/>
                <w:szCs w:val="21"/>
                <w:highlight w:val="none"/>
                <w:u w:val="none"/>
                <w:vertAlign w:val="superscript"/>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mbar，分析器部分的真空度 ≤10</w:t>
            </w:r>
            <w:r>
              <w:rPr>
                <w:rFonts w:hint="eastAsia" w:ascii="宋体" w:hAnsi="宋体" w:eastAsia="宋体" w:cs="宋体"/>
                <w:i w:val="0"/>
                <w:iCs w:val="0"/>
                <w:color w:val="auto"/>
                <w:kern w:val="0"/>
                <w:sz w:val="21"/>
                <w:szCs w:val="21"/>
                <w:highlight w:val="none"/>
                <w:u w:val="none"/>
                <w:vertAlign w:val="superscript"/>
                <w:lang w:val="en-US" w:eastAsia="zh-CN" w:bidi="ar"/>
              </w:rPr>
              <w:t xml:space="preserve">-8 </w:t>
            </w:r>
            <w:r>
              <w:rPr>
                <w:rFonts w:hint="eastAsia" w:ascii="宋体" w:hAnsi="宋体" w:eastAsia="宋体" w:cs="宋体"/>
                <w:i w:val="0"/>
                <w:iCs w:val="0"/>
                <w:color w:val="auto"/>
                <w:kern w:val="0"/>
                <w:sz w:val="21"/>
                <w:szCs w:val="21"/>
                <w:highlight w:val="none"/>
                <w:u w:val="none"/>
                <w:lang w:val="en-US" w:eastAsia="zh-CN" w:bidi="ar"/>
              </w:rPr>
              <w:t>mbar。配备烘烤装置，烘烤后可恢复高真空度。</w:t>
            </w:r>
          </w:p>
        </w:tc>
        <w:tc>
          <w:tcPr>
            <w:tcW w:w="1501" w:type="dxa"/>
            <w:noWrap w:val="0"/>
            <w:vAlign w:val="center"/>
          </w:tcPr>
          <w:p w14:paraId="0A53DF7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577E8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7021" w:type="dxa"/>
            <w:noWrap w:val="0"/>
            <w:vAlign w:val="center"/>
          </w:tcPr>
          <w:p w14:paraId="5E22ADD1">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3.8 循环水冷系统</w:t>
            </w:r>
          </w:p>
          <w:p w14:paraId="349F94F1">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满足ICP接口、负载RF线圈、RF发生器、分子泵、磁铁等部件的冷却。</w:t>
            </w:r>
          </w:p>
        </w:tc>
        <w:tc>
          <w:tcPr>
            <w:tcW w:w="1501" w:type="dxa"/>
            <w:noWrap w:val="0"/>
            <w:vAlign w:val="center"/>
          </w:tcPr>
          <w:p w14:paraId="386A339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38FF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7021" w:type="dxa"/>
            <w:noWrap w:val="0"/>
            <w:vAlign w:val="center"/>
          </w:tcPr>
          <w:p w14:paraId="6A3EA2F0">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3.9安全保护系统</w:t>
            </w:r>
          </w:p>
          <w:p w14:paraId="3D47F657">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仪器对RF发生器、真空系统、质量分析器、高压电源和高温等离子体炬等带有自动安全保护装置。</w:t>
            </w:r>
          </w:p>
        </w:tc>
        <w:tc>
          <w:tcPr>
            <w:tcW w:w="1501" w:type="dxa"/>
            <w:noWrap w:val="0"/>
            <w:vAlign w:val="center"/>
          </w:tcPr>
          <w:p w14:paraId="0ED51362">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07C8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CA809BB">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四、仪器技术指标</w:t>
            </w:r>
          </w:p>
        </w:tc>
        <w:tc>
          <w:tcPr>
            <w:tcW w:w="1501" w:type="dxa"/>
            <w:noWrap w:val="0"/>
            <w:vAlign w:val="center"/>
          </w:tcPr>
          <w:p w14:paraId="686610F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w:t>
            </w:r>
          </w:p>
        </w:tc>
      </w:tr>
      <w:tr w14:paraId="1851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021" w:type="dxa"/>
            <w:noWrap w:val="0"/>
            <w:vAlign w:val="center"/>
          </w:tcPr>
          <w:p w14:paraId="63C211F3">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4.1信号稳定性</w:t>
            </w:r>
          </w:p>
          <w:p w14:paraId="565882B0">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在不同锥条件下，稳定性（RSD）＜2%/(2h)；</w:t>
            </w:r>
          </w:p>
        </w:tc>
        <w:tc>
          <w:tcPr>
            <w:tcW w:w="1501" w:type="dxa"/>
            <w:noWrap w:val="0"/>
            <w:vAlign w:val="center"/>
          </w:tcPr>
          <w:p w14:paraId="7913719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6AD2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021" w:type="dxa"/>
            <w:noWrap w:val="0"/>
            <w:vAlign w:val="center"/>
          </w:tcPr>
          <w:p w14:paraId="146A9B7E">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4.2系统稳定性</w:t>
            </w:r>
          </w:p>
          <w:p w14:paraId="5D9EAF53">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系统质量稳定性＜50 ppm/h；</w:t>
            </w:r>
          </w:p>
        </w:tc>
        <w:tc>
          <w:tcPr>
            <w:tcW w:w="1501" w:type="dxa"/>
            <w:noWrap w:val="0"/>
            <w:vAlign w:val="center"/>
          </w:tcPr>
          <w:p w14:paraId="443B25CC">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391B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9A6E34B">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4.3分辨率</w:t>
            </w:r>
          </w:p>
        </w:tc>
        <w:tc>
          <w:tcPr>
            <w:tcW w:w="1501" w:type="dxa"/>
            <w:noWrap w:val="0"/>
            <w:vAlign w:val="center"/>
          </w:tcPr>
          <w:p w14:paraId="0498812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single"/>
                <w:vertAlign w:val="baseline"/>
                <w:lang w:val="en-US" w:eastAsia="zh-CN"/>
              </w:rPr>
              <w:t>/</w:t>
            </w:r>
          </w:p>
        </w:tc>
      </w:tr>
      <w:tr w14:paraId="3EDC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588C3FD">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4.3.1 低分辨率：≥300（10%峰谷）；</w:t>
            </w:r>
          </w:p>
        </w:tc>
        <w:tc>
          <w:tcPr>
            <w:tcW w:w="1501" w:type="dxa"/>
            <w:noWrap w:val="0"/>
            <w:vAlign w:val="center"/>
          </w:tcPr>
          <w:p w14:paraId="664CA675">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28F0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71AB11B">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4.3.2 中分辨率：＞6000（边缘 5,95%）, 15%传输效率；</w:t>
            </w:r>
          </w:p>
        </w:tc>
        <w:tc>
          <w:tcPr>
            <w:tcW w:w="1501" w:type="dxa"/>
            <w:noWrap w:val="0"/>
            <w:vAlign w:val="center"/>
          </w:tcPr>
          <w:p w14:paraId="636777F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04C0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1DFFCB6">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 xml:space="preserve">4.3.3 高分辨率：89000（边缘 5,95%），10%传输效率； </w:t>
            </w:r>
          </w:p>
        </w:tc>
        <w:tc>
          <w:tcPr>
            <w:tcW w:w="1501" w:type="dxa"/>
            <w:noWrap w:val="0"/>
            <w:vAlign w:val="center"/>
          </w:tcPr>
          <w:p w14:paraId="68074F05">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0155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021" w:type="dxa"/>
            <w:noWrap w:val="0"/>
            <w:vAlign w:val="center"/>
          </w:tcPr>
          <w:p w14:paraId="18AEF303">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4.4质量分析范围</w:t>
            </w:r>
          </w:p>
          <w:p w14:paraId="659AF974">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质量分析范围≥4～300amu；质量色散范围≥17%；</w:t>
            </w:r>
            <w:r>
              <w:rPr>
                <w:rFonts w:hint="eastAsia" w:ascii="宋体" w:hAnsi="宋体" w:eastAsia="宋体" w:cs="宋体"/>
                <w:b/>
                <w:bCs/>
                <w:i w:val="0"/>
                <w:iCs w:val="0"/>
                <w:color w:val="auto"/>
                <w:kern w:val="0"/>
                <w:sz w:val="21"/>
                <w:szCs w:val="21"/>
                <w:highlight w:val="none"/>
                <w:u w:val="none"/>
                <w:lang w:val="en-US" w:eastAsia="zh-CN" w:bidi="ar"/>
              </w:rPr>
              <w:t xml:space="preserve"> </w:t>
            </w:r>
          </w:p>
        </w:tc>
        <w:tc>
          <w:tcPr>
            <w:tcW w:w="1501" w:type="dxa"/>
            <w:noWrap w:val="0"/>
            <w:vAlign w:val="center"/>
          </w:tcPr>
          <w:p w14:paraId="7491384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3D8A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7021" w:type="dxa"/>
            <w:noWrap w:val="0"/>
            <w:vAlign w:val="center"/>
          </w:tcPr>
          <w:p w14:paraId="3A2BF741">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4.5法拉第杯及放大器</w:t>
            </w:r>
          </w:p>
          <w:p w14:paraId="34E99771">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法拉第杯背景噪音≤20 μV，Tau校正后，</w:t>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vertAlign w:val="superscript"/>
              </w:rPr>
              <w:t>11</w:t>
            </w:r>
            <w:r>
              <w:rPr>
                <w:rFonts w:hint="eastAsia" w:ascii="宋体" w:hAnsi="宋体" w:eastAsia="宋体" w:cs="宋体"/>
                <w:color w:val="auto"/>
                <w:sz w:val="21"/>
                <w:szCs w:val="21"/>
                <w:highlight w:val="none"/>
              </w:rPr>
              <w:t>Ω</w:t>
            </w:r>
            <w:r>
              <w:rPr>
                <w:rFonts w:hint="eastAsia" w:ascii="宋体" w:hAnsi="宋体" w:eastAsia="宋体" w:cs="宋体"/>
                <w:b w:val="0"/>
                <w:bCs w:val="0"/>
                <w:color w:val="auto"/>
                <w:sz w:val="21"/>
                <w:szCs w:val="21"/>
                <w:highlight w:val="none"/>
              </w:rPr>
              <w:t>放大器响应衰减在信号停止≤2s后低于10ppm；10</w:t>
            </w:r>
            <w:r>
              <w:rPr>
                <w:rFonts w:hint="eastAsia" w:ascii="宋体" w:hAnsi="宋体" w:eastAsia="宋体" w:cs="宋体"/>
                <w:b w:val="0"/>
                <w:bCs w:val="0"/>
                <w:color w:val="auto"/>
                <w:sz w:val="21"/>
                <w:szCs w:val="21"/>
                <w:highlight w:val="none"/>
                <w:vertAlign w:val="superscript"/>
              </w:rPr>
              <w:t>13</w:t>
            </w:r>
            <w:r>
              <w:rPr>
                <w:rFonts w:hint="eastAsia" w:ascii="宋体" w:hAnsi="宋体" w:eastAsia="宋体" w:cs="宋体"/>
                <w:b w:val="0"/>
                <w:bCs w:val="0"/>
                <w:color w:val="auto"/>
                <w:sz w:val="21"/>
                <w:szCs w:val="21"/>
                <w:highlight w:val="none"/>
              </w:rPr>
              <w:t>Ω放大器响应衰减时间≤ 8秒内低于100 ppm;</w:t>
            </w:r>
          </w:p>
        </w:tc>
        <w:tc>
          <w:tcPr>
            <w:tcW w:w="1501" w:type="dxa"/>
            <w:noWrap w:val="0"/>
            <w:vAlign w:val="center"/>
          </w:tcPr>
          <w:p w14:paraId="722BC47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7E4E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ABD334A">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4.6 离子计数器</w:t>
            </w:r>
          </w:p>
        </w:tc>
        <w:tc>
          <w:tcPr>
            <w:tcW w:w="1501" w:type="dxa"/>
            <w:noWrap w:val="0"/>
            <w:vAlign w:val="center"/>
          </w:tcPr>
          <w:p w14:paraId="5E5D9190">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single"/>
                <w:vertAlign w:val="baseline"/>
                <w:lang w:val="en-US" w:eastAsia="zh-CN"/>
              </w:rPr>
              <w:t>/</w:t>
            </w:r>
          </w:p>
        </w:tc>
      </w:tr>
      <w:tr w14:paraId="06C6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AE282F4">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4.6.1动态范围：0-1.2 Mcps；</w:t>
            </w:r>
          </w:p>
        </w:tc>
        <w:tc>
          <w:tcPr>
            <w:tcW w:w="1501" w:type="dxa"/>
            <w:noWrap w:val="0"/>
            <w:vAlign w:val="center"/>
          </w:tcPr>
          <w:p w14:paraId="4DE430C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6CB14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6AEC6C4">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4.6.2噪音：＜0.1cps ；</w:t>
            </w:r>
          </w:p>
        </w:tc>
        <w:tc>
          <w:tcPr>
            <w:tcW w:w="1501" w:type="dxa"/>
            <w:noWrap w:val="0"/>
            <w:vAlign w:val="center"/>
          </w:tcPr>
          <w:p w14:paraId="65E7458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1D12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A5A64B7">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4.6.3稳定性：＜0.1 %/hr (RSD) at 100,000cps；</w:t>
            </w:r>
          </w:p>
        </w:tc>
        <w:tc>
          <w:tcPr>
            <w:tcW w:w="1501" w:type="dxa"/>
            <w:noWrap w:val="0"/>
            <w:vAlign w:val="center"/>
          </w:tcPr>
          <w:p w14:paraId="774C8440">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1062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03F9D7D">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4.7丰度灵敏度</w:t>
            </w:r>
            <w:r>
              <w:rPr>
                <w:rFonts w:hint="eastAsia" w:ascii="宋体" w:hAnsi="宋体" w:eastAsia="宋体" w:cs="宋体"/>
                <w:i w:val="0"/>
                <w:iCs w:val="0"/>
                <w:color w:val="auto"/>
                <w:kern w:val="0"/>
                <w:sz w:val="21"/>
                <w:szCs w:val="21"/>
                <w:highlight w:val="none"/>
                <w:u w:val="none"/>
                <w:lang w:val="en-US" w:eastAsia="zh-CN" w:bidi="ar"/>
              </w:rPr>
              <w:t>（237U）：＜5 ppm；</w:t>
            </w:r>
          </w:p>
        </w:tc>
        <w:tc>
          <w:tcPr>
            <w:tcW w:w="1501" w:type="dxa"/>
            <w:noWrap w:val="0"/>
            <w:vAlign w:val="center"/>
          </w:tcPr>
          <w:p w14:paraId="21B4D36B">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07DE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7" w:hRule="atLeast"/>
        </w:trPr>
        <w:tc>
          <w:tcPr>
            <w:tcW w:w="7021" w:type="dxa"/>
            <w:noWrap w:val="0"/>
            <w:vAlign w:val="center"/>
          </w:tcPr>
          <w:p w14:paraId="61445AE5">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▲4.8 信号灵敏度【投标时需提供仪器厂商检测数据统计报告或其他同等效力检测报告并加盖投标人单位公章】</w:t>
            </w:r>
          </w:p>
          <w:p w14:paraId="1FBDD175">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4.8.1使用100μL/min雾化器湿法进样获得的信号灵敏度（标准锥）（V/ppm）</w:t>
            </w:r>
          </w:p>
          <w:p w14:paraId="01015E8C">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Li≥15；Fe≥6（MR)；Sr≥40；Nd≥45；Hf≥45；Pb≥50；U≥50；</w:t>
            </w:r>
          </w:p>
          <w:p w14:paraId="3DED5818">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4.8.2 使用100μL/min PFA雾化器膜去溶干法进样获得的信号灵敏度（V/ppm）</w:t>
            </w:r>
          </w:p>
          <w:p w14:paraId="612671B5">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Li≥500；Fe≥40；Sr≥900；Nd≥700；Hf≥1000；Pb≥1200；U≥1000；</w:t>
            </w:r>
          </w:p>
        </w:tc>
        <w:tc>
          <w:tcPr>
            <w:tcW w:w="1501" w:type="dxa"/>
            <w:noWrap w:val="0"/>
            <w:vAlign w:val="center"/>
          </w:tcPr>
          <w:p w14:paraId="2533CBD5">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实质性参数</w:t>
            </w:r>
          </w:p>
        </w:tc>
      </w:tr>
      <w:tr w14:paraId="3994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21" w:type="dxa"/>
            <w:noWrap w:val="0"/>
            <w:vAlign w:val="center"/>
          </w:tcPr>
          <w:p w14:paraId="3983C89C">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▲4.9分析精密度【投标时需提供仪器厂商检测数据统计报告或其他同等效力检测报告并加盖投标人单位公章】</w:t>
            </w:r>
          </w:p>
          <w:p w14:paraId="4A99A395">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使用标准样品锥和截取锥、100μL/min石英雾化器湿法进样和使用高灵敏度样品锥和截取锥、100μL/min PFA雾化器膜去溶进样，常规样品分析不少于10次测量的同位素比值均达到以下精密度 (与准确度同时进行)，</w:t>
            </w:r>
          </w:p>
          <w:p w14:paraId="4762B120">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同位素比值的内精度RSE(1s,n≥10)和外精度RSD(1s,n≥10）分别优于：</w:t>
            </w:r>
          </w:p>
          <w:p w14:paraId="642D85C9">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7Li/6Li≤100 ppm和≤200ppm；</w:t>
            </w:r>
          </w:p>
          <w:p w14:paraId="690C1A1A">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87Sr/86Sr≤15 ppm和≤15ppm；</w:t>
            </w:r>
          </w:p>
          <w:p w14:paraId="278733FE">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143Nd/144Nd≤15 ppm和≤15 ppm；</w:t>
            </w:r>
          </w:p>
          <w:p w14:paraId="408C4858">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176Hf/177Hf≤15 ppm和≤15ppm；</w:t>
            </w:r>
          </w:p>
          <w:p w14:paraId="63FA1CA0">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207Pb/206Pb≤15ppm和≤15 ppm；</w:t>
            </w:r>
          </w:p>
          <w:p w14:paraId="4AC9B6ED">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206Pb/204Pb≤40 ppm和≤60 ppm；</w:t>
            </w:r>
          </w:p>
          <w:p w14:paraId="5C8D04C2">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235U/238U≤200ppm和≤200 ppm。</w:t>
            </w:r>
          </w:p>
        </w:tc>
        <w:tc>
          <w:tcPr>
            <w:tcW w:w="1501" w:type="dxa"/>
            <w:noWrap w:val="0"/>
            <w:vAlign w:val="center"/>
          </w:tcPr>
          <w:p w14:paraId="66CE9995">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实质性参数</w:t>
            </w:r>
          </w:p>
        </w:tc>
      </w:tr>
      <w:tr w14:paraId="003A7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5" w:hRule="atLeast"/>
        </w:trPr>
        <w:tc>
          <w:tcPr>
            <w:tcW w:w="7021" w:type="dxa"/>
            <w:noWrap w:val="0"/>
            <w:vAlign w:val="center"/>
          </w:tcPr>
          <w:p w14:paraId="5E175B3A">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4.10分析准确度</w:t>
            </w:r>
          </w:p>
          <w:p w14:paraId="25996F4C">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使用不同采样锥和截取锥组合，在100 μL/min石英雾化器湿法进样和100μL/min PFA雾化器膜去溶干法进样，准确度满足以下条件（与精度同时测定），</w:t>
            </w:r>
          </w:p>
          <w:p w14:paraId="31E73CF2">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同位素比准确度（相对于参考值的RE）：</w:t>
            </w:r>
          </w:p>
          <w:p w14:paraId="6FDD5AF1">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87Sr/86Sr= 0.71022-0.71030(SRM 987)；</w:t>
            </w:r>
          </w:p>
          <w:p w14:paraId="61225474">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143Nd/144Nd=0.511542-0.511580 Natural)；</w:t>
            </w:r>
          </w:p>
          <w:p w14:paraId="24513295">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176Hf/177Hf=0.282145-0.282175(Natural)；</w:t>
            </w:r>
          </w:p>
          <w:p w14:paraId="6915F474">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206Pb/204Pb=16.926-16.934(SRM 981+TI corr.)；</w:t>
            </w:r>
          </w:p>
          <w:p w14:paraId="42046B4C">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207Pb/206Pb=0.9145-0.9146(SRM 981+TI corr.)；</w:t>
            </w:r>
          </w:p>
          <w:p w14:paraId="00882718">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208Pb/206Pb=2.1660-2.1664(SRM 981+TI corr.)；</w:t>
            </w:r>
          </w:p>
        </w:tc>
        <w:tc>
          <w:tcPr>
            <w:tcW w:w="1501" w:type="dxa"/>
            <w:noWrap w:val="0"/>
            <w:vAlign w:val="center"/>
          </w:tcPr>
          <w:p w14:paraId="537BC17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328C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740CE10">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5 数据采集和处理系统</w:t>
            </w:r>
          </w:p>
        </w:tc>
        <w:tc>
          <w:tcPr>
            <w:tcW w:w="1501" w:type="dxa"/>
            <w:noWrap w:val="0"/>
            <w:vAlign w:val="center"/>
          </w:tcPr>
          <w:p w14:paraId="000FB75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single"/>
                <w:vertAlign w:val="baseline"/>
                <w:lang w:val="en-US" w:eastAsia="zh-CN"/>
              </w:rPr>
              <w:t>/</w:t>
            </w:r>
          </w:p>
        </w:tc>
      </w:tr>
      <w:tr w14:paraId="3C25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EEDD129">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5.1</w:t>
            </w:r>
            <w:r>
              <w:rPr>
                <w:rFonts w:hint="eastAsia" w:ascii="宋体" w:hAnsi="宋体" w:eastAsia="宋体" w:cs="宋体"/>
                <w:i w:val="0"/>
                <w:iCs w:val="0"/>
                <w:color w:val="auto"/>
                <w:kern w:val="0"/>
                <w:sz w:val="21"/>
                <w:szCs w:val="21"/>
                <w:highlight w:val="none"/>
                <w:u w:val="none"/>
                <w:lang w:val="en-US" w:eastAsia="zh-CN" w:bidi="ar"/>
              </w:rPr>
              <w:t>配备齐全的实时数据采集和处理硬件的软件，可用于优化仪器状态、样品测试、数据处理的全套软件安装包。主要包括：</w:t>
            </w:r>
          </w:p>
        </w:tc>
        <w:tc>
          <w:tcPr>
            <w:tcW w:w="1501" w:type="dxa"/>
            <w:noWrap w:val="0"/>
            <w:vAlign w:val="center"/>
          </w:tcPr>
          <w:p w14:paraId="1BA0C4F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single"/>
                <w:vertAlign w:val="baseline"/>
                <w:lang w:val="en-US" w:eastAsia="zh-CN"/>
              </w:rPr>
              <w:t>/</w:t>
            </w:r>
          </w:p>
        </w:tc>
      </w:tr>
      <w:tr w14:paraId="6287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FBDF47B">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5.1.1炬管位置、气流量、质谱分析器套峰调节，自动进样控制；</w:t>
            </w:r>
          </w:p>
        </w:tc>
        <w:tc>
          <w:tcPr>
            <w:tcW w:w="1501" w:type="dxa"/>
            <w:noWrap w:val="0"/>
            <w:vAlign w:val="center"/>
          </w:tcPr>
          <w:p w14:paraId="2779DEB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11817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FB87D37">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5.1.2单接收器、静态和动态多接收器、法拉第杯接收器与离子计数器混合模式的数据采集，法拉第杯接收器与离子计数器混合模式的增益校正等；</w:t>
            </w:r>
          </w:p>
        </w:tc>
        <w:tc>
          <w:tcPr>
            <w:tcW w:w="1501" w:type="dxa"/>
            <w:noWrap w:val="0"/>
            <w:vAlign w:val="center"/>
          </w:tcPr>
          <w:p w14:paraId="7AF6E57B">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0870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26AA6A9">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5.1.3同位素稀释法和标准添加法处理；质量歧视校正；内标归一化；丰度校正；漂移和干扰校正；</w:t>
            </w:r>
          </w:p>
        </w:tc>
        <w:tc>
          <w:tcPr>
            <w:tcW w:w="1501" w:type="dxa"/>
            <w:noWrap w:val="0"/>
            <w:vAlign w:val="center"/>
          </w:tcPr>
          <w:p w14:paraId="018E1C99">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5C00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0B0E467">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5.1.4软件可离线安装在个人电脑；具有全部数据存取和离线处理功能；</w:t>
            </w:r>
          </w:p>
        </w:tc>
        <w:tc>
          <w:tcPr>
            <w:tcW w:w="1501" w:type="dxa"/>
            <w:noWrap w:val="0"/>
            <w:vAlign w:val="center"/>
          </w:tcPr>
          <w:p w14:paraId="53DB8D6B">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33FE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D823D8F">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5.1.5瞬时信号采集和分析处理功能（TRA模式，可以最短进行总积分时间≤0.1s的瞬时信号采集，软件瞬时信号显示响应没有延迟），并且可以利用第三方软件进行数据处理；</w:t>
            </w:r>
          </w:p>
        </w:tc>
        <w:tc>
          <w:tcPr>
            <w:tcW w:w="1501" w:type="dxa"/>
            <w:noWrap w:val="0"/>
            <w:vAlign w:val="center"/>
          </w:tcPr>
          <w:p w14:paraId="3A56EF1C">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2886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8C1DBAD">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5.1.6质谱可与第三方外设（例如LA等）双向通讯（配激光联用装置、通讯线等实现多种激光联用）；</w:t>
            </w:r>
          </w:p>
        </w:tc>
        <w:tc>
          <w:tcPr>
            <w:tcW w:w="1501" w:type="dxa"/>
            <w:noWrap w:val="0"/>
            <w:vAlign w:val="center"/>
          </w:tcPr>
          <w:p w14:paraId="1012ABA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316B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7F11EB8">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▲5.1.7灵敏度、分辨率、套峰、检测器校正可自动完成；【投标时需提供仪器自动校正运行步骤记录日志并加盖投标人单位公章】</w:t>
            </w:r>
          </w:p>
        </w:tc>
        <w:tc>
          <w:tcPr>
            <w:tcW w:w="1501" w:type="dxa"/>
            <w:noWrap w:val="0"/>
            <w:vAlign w:val="center"/>
          </w:tcPr>
          <w:p w14:paraId="4DEE6C3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实质性参数</w:t>
            </w:r>
          </w:p>
        </w:tc>
      </w:tr>
      <w:tr w14:paraId="42A9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9609E96">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六、配置要求：</w:t>
            </w:r>
          </w:p>
        </w:tc>
        <w:tc>
          <w:tcPr>
            <w:tcW w:w="1501" w:type="dxa"/>
            <w:noWrap w:val="0"/>
            <w:vAlign w:val="center"/>
          </w:tcPr>
          <w:p w14:paraId="7ABB6C4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single"/>
                <w:vertAlign w:val="baseline"/>
                <w:lang w:val="en-US" w:eastAsia="zh-CN"/>
              </w:rPr>
              <w:t>/</w:t>
            </w:r>
          </w:p>
        </w:tc>
      </w:tr>
      <w:tr w14:paraId="35E8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080A975">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6.1多接收等离子体质谱仪主机1台，包括：</w:t>
            </w:r>
          </w:p>
        </w:tc>
        <w:tc>
          <w:tcPr>
            <w:tcW w:w="1501" w:type="dxa"/>
            <w:noWrap w:val="0"/>
            <w:vAlign w:val="center"/>
          </w:tcPr>
          <w:p w14:paraId="49B6EF30">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single"/>
                <w:vertAlign w:val="baseline"/>
                <w:lang w:val="en-US" w:eastAsia="zh-CN"/>
              </w:rPr>
              <w:t>/</w:t>
            </w:r>
          </w:p>
        </w:tc>
      </w:tr>
      <w:tr w14:paraId="3DBD9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007DA00">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（1）标准进样系统(含自动进样器和膜去溶系统，并配有机玻璃罩)；</w:t>
            </w:r>
          </w:p>
        </w:tc>
        <w:tc>
          <w:tcPr>
            <w:tcW w:w="1501" w:type="dxa"/>
            <w:noWrap w:val="0"/>
            <w:vAlign w:val="center"/>
          </w:tcPr>
          <w:p w14:paraId="191DEA00">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none"/>
                <w:vertAlign w:val="baseline"/>
                <w:lang w:val="en-US" w:eastAsia="zh-CN" w:bidi="ar"/>
              </w:rPr>
            </w:pPr>
            <w:r>
              <w:rPr>
                <w:rFonts w:hint="eastAsia" w:ascii="宋体" w:hAnsi="宋体" w:eastAsia="宋体" w:cs="宋体"/>
                <w:color w:val="auto"/>
                <w:sz w:val="21"/>
                <w:szCs w:val="21"/>
                <w:highlight w:val="none"/>
                <w:u w:val="none"/>
                <w:vertAlign w:val="baseline"/>
                <w:lang w:val="en-US" w:eastAsia="zh-CN" w:bidi="ar"/>
              </w:rPr>
              <w:t>一般参数</w:t>
            </w:r>
          </w:p>
        </w:tc>
      </w:tr>
      <w:tr w14:paraId="4C4A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58BD6F0">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（2）等离子体接口(含大抽速干泵)；双聚焦离子光学系统；</w:t>
            </w:r>
          </w:p>
        </w:tc>
        <w:tc>
          <w:tcPr>
            <w:tcW w:w="1501" w:type="dxa"/>
            <w:noWrap w:val="0"/>
            <w:vAlign w:val="center"/>
          </w:tcPr>
          <w:p w14:paraId="1A90D632">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059E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BF28E05">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（3）至少10个以上法拉第杯；</w:t>
            </w:r>
          </w:p>
        </w:tc>
        <w:tc>
          <w:tcPr>
            <w:tcW w:w="1501" w:type="dxa"/>
            <w:noWrap w:val="0"/>
            <w:vAlign w:val="center"/>
          </w:tcPr>
          <w:p w14:paraId="615AB20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52567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D1957BC">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（4）所有法拉第杯标配10</w:t>
            </w:r>
            <w:r>
              <w:rPr>
                <w:rFonts w:hint="eastAsia" w:ascii="宋体" w:hAnsi="宋体" w:eastAsia="宋体" w:cs="宋体"/>
                <w:i w:val="0"/>
                <w:iCs w:val="0"/>
                <w:color w:val="auto"/>
                <w:kern w:val="0"/>
                <w:sz w:val="21"/>
                <w:szCs w:val="21"/>
                <w:highlight w:val="none"/>
                <w:u w:val="none"/>
                <w:vertAlign w:val="superscript"/>
                <w:lang w:val="en-US" w:eastAsia="zh-CN" w:bidi="ar"/>
              </w:rPr>
              <w:t>11</w:t>
            </w:r>
            <w:r>
              <w:rPr>
                <w:rFonts w:hint="eastAsia" w:ascii="宋体" w:hAnsi="宋体" w:eastAsia="宋体" w:cs="宋体"/>
                <w:i w:val="0"/>
                <w:iCs w:val="0"/>
                <w:color w:val="auto"/>
                <w:kern w:val="0"/>
                <w:sz w:val="21"/>
                <w:szCs w:val="21"/>
                <w:highlight w:val="none"/>
                <w:u w:val="none"/>
                <w:lang w:val="en-US" w:eastAsia="zh-CN" w:bidi="ar"/>
              </w:rPr>
              <w:t>Ω电阻放大器；</w:t>
            </w:r>
          </w:p>
        </w:tc>
        <w:tc>
          <w:tcPr>
            <w:tcW w:w="1501" w:type="dxa"/>
            <w:noWrap w:val="0"/>
            <w:vAlign w:val="center"/>
          </w:tcPr>
          <w:p w14:paraId="756B32B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676C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6F971E2">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（5）低信号检测器5个以上（10</w:t>
            </w:r>
            <w:r>
              <w:rPr>
                <w:rFonts w:hint="eastAsia" w:ascii="宋体" w:hAnsi="宋体" w:eastAsia="宋体" w:cs="宋体"/>
                <w:i w:val="0"/>
                <w:iCs w:val="0"/>
                <w:color w:val="auto"/>
                <w:kern w:val="0"/>
                <w:sz w:val="21"/>
                <w:szCs w:val="21"/>
                <w:highlight w:val="none"/>
                <w:u w:val="none"/>
                <w:vertAlign w:val="superscript"/>
                <w:lang w:val="en-US" w:eastAsia="zh-CN" w:bidi="ar"/>
              </w:rPr>
              <w:t>13</w:t>
            </w:r>
            <w:r>
              <w:rPr>
                <w:rFonts w:hint="eastAsia" w:ascii="宋体" w:hAnsi="宋体" w:eastAsia="宋体" w:cs="宋体"/>
                <w:i w:val="0"/>
                <w:iCs w:val="0"/>
                <w:color w:val="auto"/>
                <w:kern w:val="0"/>
                <w:sz w:val="21"/>
                <w:szCs w:val="21"/>
                <w:highlight w:val="none"/>
                <w:u w:val="none"/>
                <w:lang w:val="en-US" w:eastAsia="zh-CN" w:bidi="ar"/>
              </w:rPr>
              <w:t>Ω电阻放大器或10</w:t>
            </w:r>
            <w:r>
              <w:rPr>
                <w:rFonts w:hint="eastAsia" w:ascii="宋体" w:hAnsi="宋体" w:eastAsia="宋体" w:cs="宋体"/>
                <w:i w:val="0"/>
                <w:iCs w:val="0"/>
                <w:color w:val="auto"/>
                <w:kern w:val="0"/>
                <w:sz w:val="21"/>
                <w:szCs w:val="21"/>
                <w:highlight w:val="none"/>
                <w:u w:val="none"/>
                <w:vertAlign w:val="superscript"/>
                <w:lang w:val="en-US" w:eastAsia="zh-CN" w:bidi="ar"/>
              </w:rPr>
              <w:t>12</w:t>
            </w:r>
            <w:r>
              <w:rPr>
                <w:rFonts w:hint="eastAsia" w:ascii="宋体" w:hAnsi="宋体" w:eastAsia="宋体" w:cs="宋体"/>
                <w:i w:val="0"/>
                <w:iCs w:val="0"/>
                <w:color w:val="auto"/>
                <w:kern w:val="0"/>
                <w:sz w:val="21"/>
                <w:szCs w:val="21"/>
                <w:highlight w:val="none"/>
                <w:u w:val="none"/>
                <w:lang w:val="en-US" w:eastAsia="zh-CN" w:bidi="ar"/>
              </w:rPr>
              <w:t>Ω电阻放大器或离子计数器）；</w:t>
            </w:r>
          </w:p>
        </w:tc>
        <w:tc>
          <w:tcPr>
            <w:tcW w:w="1501" w:type="dxa"/>
            <w:noWrap w:val="0"/>
            <w:vAlign w:val="center"/>
          </w:tcPr>
          <w:p w14:paraId="38FD7DA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49DC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D9D310A">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（6）氢化物发生器1套；</w:t>
            </w:r>
          </w:p>
        </w:tc>
        <w:tc>
          <w:tcPr>
            <w:tcW w:w="1501" w:type="dxa"/>
            <w:noWrap w:val="0"/>
            <w:vAlign w:val="center"/>
          </w:tcPr>
          <w:p w14:paraId="30129A9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16B3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7E760EA">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6.2智能数据采集和处理工作站；</w:t>
            </w:r>
          </w:p>
        </w:tc>
        <w:tc>
          <w:tcPr>
            <w:tcW w:w="1501" w:type="dxa"/>
            <w:noWrap w:val="0"/>
            <w:vAlign w:val="center"/>
          </w:tcPr>
          <w:p w14:paraId="4FD5FA8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2DEC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5B79072">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6.3中央控制系统（内存≥16GB(DDR5)，主监视器≥24英寸，扩展监视器≥32英寸，双面输出设备）；</w:t>
            </w:r>
          </w:p>
        </w:tc>
        <w:tc>
          <w:tcPr>
            <w:tcW w:w="1501" w:type="dxa"/>
            <w:noWrap w:val="0"/>
            <w:vAlign w:val="center"/>
          </w:tcPr>
          <w:p w14:paraId="1FBB494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3959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B7B67A7">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6.4专用数据处理系统（</w:t>
            </w:r>
            <w:r>
              <w:rPr>
                <w:rFonts w:hint="eastAsia" w:ascii="宋体" w:hAnsi="宋体" w:eastAsia="宋体" w:cs="宋体"/>
                <w:i w:val="0"/>
                <w:iCs w:val="0"/>
                <w:strike w:val="0"/>
                <w:color w:val="auto"/>
                <w:kern w:val="0"/>
                <w:sz w:val="21"/>
                <w:szCs w:val="21"/>
                <w:highlight w:val="none"/>
                <w:lang w:val="en-US" w:eastAsia="zh-CN" w:bidi="ar"/>
              </w:rPr>
              <w:t>不低于</w:t>
            </w:r>
            <w:r>
              <w:rPr>
                <w:rFonts w:hint="eastAsia" w:ascii="宋体" w:hAnsi="宋体" w:eastAsia="宋体" w:cs="宋体"/>
                <w:i w:val="0"/>
                <w:iCs w:val="0"/>
                <w:color w:val="auto"/>
                <w:kern w:val="0"/>
                <w:sz w:val="21"/>
                <w:szCs w:val="21"/>
                <w:highlight w:val="none"/>
                <w:u w:val="none"/>
                <w:lang w:val="en-US" w:eastAsia="zh-CN" w:bidi="ar"/>
              </w:rPr>
              <w:t>CPU Intel Xeon Platinum 8173M*2个 总56核112线程，主频2.0G睿频3.5GHZ，内存≥512GB(DDR4)，固态硬盘≥2T M.2SSD，显卡RTX5060 8G独显，监视器≥32英寸）；</w:t>
            </w:r>
          </w:p>
        </w:tc>
        <w:tc>
          <w:tcPr>
            <w:tcW w:w="1501" w:type="dxa"/>
            <w:noWrap w:val="0"/>
            <w:vAlign w:val="center"/>
          </w:tcPr>
          <w:p w14:paraId="5D9D8E79">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515E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9B98252">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6.5冷却循环水器1台；</w:t>
            </w:r>
          </w:p>
        </w:tc>
        <w:tc>
          <w:tcPr>
            <w:tcW w:w="1501" w:type="dxa"/>
            <w:noWrap w:val="0"/>
            <w:vAlign w:val="center"/>
          </w:tcPr>
          <w:p w14:paraId="78C1AD9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6490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6CF19E6">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6.6 主机消耗品包1包；</w:t>
            </w:r>
          </w:p>
        </w:tc>
        <w:tc>
          <w:tcPr>
            <w:tcW w:w="1501" w:type="dxa"/>
            <w:noWrap w:val="0"/>
            <w:vAlign w:val="center"/>
          </w:tcPr>
          <w:p w14:paraId="31B34C3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0F3B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9D019DD">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6.7湿法用样品锥和截取锥各3个；</w:t>
            </w:r>
          </w:p>
        </w:tc>
        <w:tc>
          <w:tcPr>
            <w:tcW w:w="1501" w:type="dxa"/>
            <w:noWrap w:val="0"/>
            <w:vAlign w:val="center"/>
          </w:tcPr>
          <w:p w14:paraId="4C31B369">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39E7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4406AC1">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6.8干法用样品锥和截取锥各3个；</w:t>
            </w:r>
          </w:p>
        </w:tc>
        <w:tc>
          <w:tcPr>
            <w:tcW w:w="1501" w:type="dxa"/>
            <w:noWrap w:val="0"/>
            <w:vAlign w:val="center"/>
          </w:tcPr>
          <w:p w14:paraId="7D8C833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59B6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392C0B3">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6.9 炬管2 根；</w:t>
            </w:r>
          </w:p>
        </w:tc>
        <w:tc>
          <w:tcPr>
            <w:tcW w:w="1501" w:type="dxa"/>
            <w:noWrap w:val="0"/>
            <w:vAlign w:val="center"/>
          </w:tcPr>
          <w:p w14:paraId="2C666E4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011B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D90C3AF">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6.10矩管中心管2根；</w:t>
            </w:r>
          </w:p>
        </w:tc>
        <w:tc>
          <w:tcPr>
            <w:tcW w:w="1501" w:type="dxa"/>
            <w:noWrap w:val="0"/>
            <w:vAlign w:val="center"/>
          </w:tcPr>
          <w:p w14:paraId="455294F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0572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66FB46A">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6.11玻璃雾化器1个；</w:t>
            </w:r>
          </w:p>
        </w:tc>
        <w:tc>
          <w:tcPr>
            <w:tcW w:w="1501" w:type="dxa"/>
            <w:noWrap w:val="0"/>
            <w:vAlign w:val="center"/>
          </w:tcPr>
          <w:p w14:paraId="147BAF8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5B2CE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66EAD01">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6.12 PFA同心雾化器2个；</w:t>
            </w:r>
          </w:p>
        </w:tc>
        <w:tc>
          <w:tcPr>
            <w:tcW w:w="1501" w:type="dxa"/>
            <w:noWrap w:val="0"/>
            <w:vAlign w:val="center"/>
          </w:tcPr>
          <w:p w14:paraId="40CFFAA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7808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5463D8C">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6.13狭缝套装（含低、中、高分辨率三种规格狭缝），3 套；</w:t>
            </w:r>
          </w:p>
        </w:tc>
        <w:tc>
          <w:tcPr>
            <w:tcW w:w="1501" w:type="dxa"/>
            <w:noWrap w:val="0"/>
            <w:vAlign w:val="center"/>
          </w:tcPr>
          <w:p w14:paraId="01C46C1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1AFC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3D6EFE9">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6.14测试液1瓶；</w:t>
            </w:r>
          </w:p>
        </w:tc>
        <w:tc>
          <w:tcPr>
            <w:tcW w:w="1501" w:type="dxa"/>
            <w:noWrap w:val="0"/>
            <w:vAlign w:val="center"/>
          </w:tcPr>
          <w:p w14:paraId="4390C612">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6E65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F49BE1E">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6.15石墨垫200个；</w:t>
            </w:r>
          </w:p>
        </w:tc>
        <w:tc>
          <w:tcPr>
            <w:tcW w:w="1501" w:type="dxa"/>
            <w:noWrap w:val="0"/>
            <w:vAlign w:val="center"/>
          </w:tcPr>
          <w:p w14:paraId="3CB19BF4">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35A6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0A1C4EF">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6.16设备验收必备的标准物质（除4.10的指标外，至少还应包含铬、银、汞、铊的同位素标准物质）；</w:t>
            </w:r>
          </w:p>
        </w:tc>
        <w:tc>
          <w:tcPr>
            <w:tcW w:w="1501" w:type="dxa"/>
            <w:noWrap w:val="0"/>
            <w:vAlign w:val="center"/>
          </w:tcPr>
          <w:p w14:paraId="4A7B27D4">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2AB4F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8603DF2">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6.17电源保护装置(输出电压为220V，功率满足系统需求并留有50%余量，1 小时) 1套；</w:t>
            </w:r>
          </w:p>
        </w:tc>
        <w:tc>
          <w:tcPr>
            <w:tcW w:w="1501" w:type="dxa"/>
            <w:noWrap w:val="0"/>
            <w:vAlign w:val="center"/>
          </w:tcPr>
          <w:p w14:paraId="57899D6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7FCE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0AE4A44">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6.18 PFA亚沸蒸酸器3套（可纯化硝酸、盐酸、氢氟酸；酸纯化过程在密闭环境下进行；所有接触液体的部件均为高纯PFA材质；蒸馏温度为40℃至90℃之间可调；</w:t>
            </w:r>
            <w:r>
              <w:rPr>
                <w:rFonts w:hint="eastAsia" w:ascii="宋体" w:hAnsi="宋体" w:eastAsia="宋体" w:cs="宋体"/>
                <w:b/>
                <w:bCs/>
                <w:i w:val="0"/>
                <w:iCs w:val="0"/>
                <w:color w:val="auto"/>
                <w:kern w:val="0"/>
                <w:sz w:val="21"/>
                <w:szCs w:val="21"/>
                <w:highlight w:val="none"/>
                <w:u w:val="none"/>
                <w:lang w:val="en-US" w:eastAsia="zh-CN" w:bidi="ar"/>
              </w:rPr>
              <w:t>容积1L；最大蒸馏速度可实现蒸酸（HNO3,HCl,HF）1 升/24 小时；可自动加酸排酸；</w:t>
            </w:r>
            <w:r>
              <w:rPr>
                <w:rFonts w:hint="eastAsia" w:ascii="宋体" w:hAnsi="宋体" w:eastAsia="宋体" w:cs="宋体"/>
                <w:i w:val="0"/>
                <w:iCs w:val="0"/>
                <w:color w:val="auto"/>
                <w:kern w:val="0"/>
                <w:sz w:val="21"/>
                <w:szCs w:val="21"/>
                <w:highlight w:val="none"/>
                <w:u w:val="none"/>
                <w:lang w:val="en-US" w:eastAsia="zh-CN" w:bidi="ar"/>
              </w:rPr>
              <w:t>有过热保护功能，无需水冷；产品配套齐全，配套的PFA试剂瓶，PFA烧杯，备用FEP透明管、试剂瓶密封盖，无需外购其他产品，安装及可使用）；</w:t>
            </w:r>
          </w:p>
        </w:tc>
        <w:tc>
          <w:tcPr>
            <w:tcW w:w="1501" w:type="dxa"/>
            <w:noWrap w:val="0"/>
            <w:vAlign w:val="center"/>
          </w:tcPr>
          <w:p w14:paraId="3DB1EE8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25A5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3E6EE71">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6.19 纯水仪（产水流速可达10L/h；一级超纯水产水水质电阻率：18.2 MΩ•cm＠25℃；总有机碳含量(TOC)：＜5ppb；主机和取水臂上均可显示关键水质参数，其中水温、电阻率、TOC必不可少；确保水质可以满足MC-ICP-MS上机要求，并且达到或超过各种标准中规定的I级水质，如GB6682、ASTM、CAP、ISO 3696、USP、EP和ChP中规定的试剂级超纯水要求）；</w:t>
            </w:r>
          </w:p>
        </w:tc>
        <w:tc>
          <w:tcPr>
            <w:tcW w:w="1501" w:type="dxa"/>
            <w:noWrap w:val="0"/>
            <w:vAlign w:val="center"/>
          </w:tcPr>
          <w:p w14:paraId="33CF7A34">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5928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BFD7C12">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6.20移动终端1台（内存32G，16寸）</w:t>
            </w:r>
            <w:r>
              <w:rPr>
                <w:rFonts w:hint="eastAsia" w:ascii="宋体" w:hAnsi="宋体" w:eastAsia="宋体" w:cs="宋体"/>
                <w:i w:val="0"/>
                <w:iCs w:val="0"/>
                <w:strike w:val="0"/>
                <w:color w:val="auto"/>
                <w:kern w:val="0"/>
                <w:sz w:val="21"/>
                <w:szCs w:val="21"/>
                <w:highlight w:val="none"/>
                <w:lang w:val="en-US" w:eastAsia="zh-CN" w:bidi="ar"/>
              </w:rPr>
              <w:t>；</w:t>
            </w:r>
          </w:p>
        </w:tc>
        <w:tc>
          <w:tcPr>
            <w:tcW w:w="1501" w:type="dxa"/>
            <w:noWrap w:val="0"/>
            <w:vAlign w:val="center"/>
          </w:tcPr>
          <w:p w14:paraId="60BE5FD0">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2172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24DAF18">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6.21 防腐电热板3台（耐强酸强碱，表面为PFA特氟龙涂层，电热板面积＞600*400mm，最高工作温度＞220℃，温控精度±1℃，）；</w:t>
            </w:r>
          </w:p>
        </w:tc>
        <w:tc>
          <w:tcPr>
            <w:tcW w:w="1501" w:type="dxa"/>
            <w:noWrap w:val="0"/>
            <w:vAlign w:val="center"/>
          </w:tcPr>
          <w:p w14:paraId="7F7B772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r w14:paraId="37F2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EF2EC4F">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6.22 PFA试剂瓶(250mL5个，500mL10个）</w:t>
            </w:r>
          </w:p>
        </w:tc>
        <w:tc>
          <w:tcPr>
            <w:tcW w:w="1501" w:type="dxa"/>
            <w:noWrap w:val="0"/>
            <w:vAlign w:val="center"/>
          </w:tcPr>
          <w:p w14:paraId="4F8C368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vertAlign w:val="baseline"/>
                <w:lang w:val="en-US" w:eastAsia="zh-CN" w:bidi="ar"/>
              </w:rPr>
              <w:t>一般参数</w:t>
            </w:r>
          </w:p>
        </w:tc>
      </w:tr>
    </w:tbl>
    <w:p w14:paraId="55D6421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3510D07A">
      <w:pPr>
        <w:pStyle w:val="31"/>
        <w:keepNext w:val="0"/>
        <w:keepLines w:val="0"/>
        <w:pageBreakBefore w:val="0"/>
        <w:widowControl w:val="0"/>
        <w:kinsoku/>
        <w:wordWrap/>
        <w:overflowPunct/>
        <w:topLinePunct w:val="0"/>
        <w:autoSpaceDE/>
        <w:autoSpaceDN/>
        <w:bidi w:val="0"/>
        <w:spacing w:line="400" w:lineRule="exact"/>
        <w:ind w:firstLine="0" w:firstLineChars="0"/>
        <w:outlineLvl w:val="1"/>
        <w:rPr>
          <w:rFonts w:hint="eastAsia" w:ascii="宋体" w:hAnsi="宋体" w:eastAsia="宋体" w:cs="宋体"/>
          <w:b/>
          <w:bCs/>
          <w:color w:val="auto"/>
          <w:kern w:val="0"/>
          <w:sz w:val="21"/>
          <w:szCs w:val="21"/>
          <w:highlight w:val="none"/>
        </w:rPr>
      </w:pPr>
      <w:bookmarkStart w:id="373" w:name="_Toc31954"/>
      <w:bookmarkStart w:id="374" w:name="_Toc25568"/>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kern w:val="0"/>
          <w:sz w:val="21"/>
          <w:szCs w:val="21"/>
          <w:highlight w:val="none"/>
          <w:lang w:val="en-US" w:eastAsia="zh-CN" w:bidi="ar-SA"/>
        </w:rPr>
        <w:t>标项</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（分包</w:t>
      </w:r>
      <w:r>
        <w:rPr>
          <w:rFonts w:hint="eastAsia" w:ascii="宋体" w:hAnsi="宋体" w:cs="宋体"/>
          <w:b/>
          <w:bCs/>
          <w:color w:val="auto"/>
          <w:kern w:val="0"/>
          <w:sz w:val="21"/>
          <w:szCs w:val="21"/>
          <w:highlight w:val="none"/>
          <w:lang w:val="en-US" w:eastAsia="zh-CN" w:bidi="ar-SA"/>
        </w:rPr>
        <w:t>3</w:t>
      </w:r>
      <w:r>
        <w:rPr>
          <w:rFonts w:hint="eastAsia" w:ascii="宋体" w:hAnsi="宋体" w:eastAsia="宋体" w:cs="宋体"/>
          <w:b/>
          <w:bCs/>
          <w:color w:val="auto"/>
          <w:kern w:val="0"/>
          <w:sz w:val="21"/>
          <w:szCs w:val="21"/>
          <w:highlight w:val="none"/>
          <w:lang w:val="en-US" w:eastAsia="zh-CN" w:bidi="ar-SA"/>
        </w:rPr>
        <w:t>）</w:t>
      </w:r>
      <w:r>
        <w:rPr>
          <w:rFonts w:hint="eastAsia" w:ascii="宋体" w:hAnsi="宋体" w:eastAsia="宋体" w:cs="宋体"/>
          <w:b/>
          <w:bCs/>
          <w:color w:val="auto"/>
          <w:sz w:val="21"/>
          <w:szCs w:val="21"/>
          <w:highlight w:val="none"/>
        </w:rPr>
        <w:t>评标标准</w:t>
      </w:r>
      <w:bookmarkEnd w:id="373"/>
      <w:bookmarkEnd w:id="374"/>
    </w:p>
    <w:bookmarkEnd w:id="357"/>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9"/>
        <w:gridCol w:w="875"/>
        <w:gridCol w:w="6672"/>
        <w:gridCol w:w="6"/>
      </w:tblGrid>
      <w:tr w14:paraId="7C98B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48BBA5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
              </w:rPr>
            </w:pPr>
            <w:bookmarkStart w:id="375" w:name="_Toc8587"/>
            <w:bookmarkStart w:id="376" w:name="_Toc27930"/>
            <w:r>
              <w:rPr>
                <w:rFonts w:hint="eastAsia" w:ascii="宋体" w:hAnsi="宋体" w:eastAsia="宋体" w:cs="宋体"/>
                <w:b/>
                <w:bCs/>
                <w:color w:val="auto"/>
                <w:kern w:val="2"/>
                <w:sz w:val="21"/>
                <w:szCs w:val="21"/>
                <w:highlight w:val="none"/>
                <w:lang w:val="en-US" w:eastAsia="zh-CN" w:bidi="ar"/>
              </w:rPr>
              <w:t>评标项目</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5A2A5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kern w:val="2"/>
                <w:sz w:val="21"/>
                <w:szCs w:val="21"/>
                <w:highlight w:val="none"/>
                <w:lang w:val="en-US" w:eastAsia="zh-CN" w:bidi="ar"/>
              </w:rPr>
              <w:t>评标</w:t>
            </w:r>
          </w:p>
          <w:p w14:paraId="7AD2EE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分值</w:t>
            </w:r>
          </w:p>
        </w:tc>
        <w:tc>
          <w:tcPr>
            <w:tcW w:w="6672" w:type="dxa"/>
            <w:tcBorders>
              <w:top w:val="single" w:color="000000" w:sz="4" w:space="0"/>
              <w:left w:val="single" w:color="000000" w:sz="4" w:space="0"/>
              <w:bottom w:val="single" w:color="000000" w:sz="4" w:space="0"/>
              <w:right w:val="single" w:color="000000" w:sz="4" w:space="0"/>
            </w:tcBorders>
            <w:noWrap w:val="0"/>
            <w:vAlign w:val="center"/>
          </w:tcPr>
          <w:p w14:paraId="7DC036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评标方法描述</w:t>
            </w:r>
          </w:p>
        </w:tc>
      </w:tr>
      <w:tr w14:paraId="325B8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668333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（一）价格分（满分30分）</w:t>
            </w:r>
          </w:p>
        </w:tc>
      </w:tr>
      <w:tr w14:paraId="10421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14620D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投标报价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C901B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30分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46162B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1.分标3为专门面向中小企业（中小微企业、监狱企业、残疾人福利性单位）采购项目，不再执行中小企业价格评审优惠的扶持政策。</w:t>
            </w:r>
          </w:p>
          <w:p w14:paraId="50ABE9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既有本国产品又有非本国产品参与竞争的，依法对本国产品给予价格评审优惠，对本国产品的报价给予20%的价格扣除，用扣除后的价格参与评审，即评审价=投标报价×（1-20%）。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适用情形详见“投标人须知前附表”的规定。对供应商所出具的《声明函》完整性、准确性进行审查。符合澄清补正情形的，应以书面形式要求供应商澄清补正，澄清补正后仍不符合要求的，不享受价格评审优惠。</w:t>
            </w:r>
          </w:p>
          <w:p w14:paraId="00F766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所有供应商提供参与投标竞争的均为本国产品，则不再执行支持本国产品价格评审优惠的扶植政策。</w:t>
            </w:r>
          </w:p>
          <w:p w14:paraId="637420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3.本国产品价格扣除政策与中小微企业、监狱企业、残疾人福利性单位价格扣除政策可重复享受，统一在原投标报价的基础上进行价格扣除。</w:t>
            </w:r>
          </w:p>
          <w:p w14:paraId="1507A1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4.满足招标文件要求且评标报价最低的评标报价为评标基准价，其价格分为满分。</w:t>
            </w:r>
          </w:p>
          <w:p w14:paraId="40929A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5.价格分计算公式：</w:t>
            </w:r>
          </w:p>
          <w:p w14:paraId="671213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价格分=(评标基准价／评标报价)×30分。</w:t>
            </w:r>
          </w:p>
          <w:p w14:paraId="49E52E9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6.异常低价审查</w:t>
            </w:r>
          </w:p>
          <w:p w14:paraId="17852D3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（1）政府采购评审中出现下列情形之一的，评审委员会应当启动异常低价投标审查程序：</w:t>
            </w:r>
          </w:p>
          <w:p w14:paraId="12C5B30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①投标报价低于全部通过符合性审查供应商投标报价平均值65%的，即投标报价＜全部通过符合性审查供应商投标报价平均值×65%；</w:t>
            </w:r>
          </w:p>
          <w:p w14:paraId="3592E99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 2 \* GB3 \* MERGEFORMAT </w:instrText>
            </w:r>
            <w:r>
              <w:rPr>
                <w:rFonts w:hint="eastAsia" w:ascii="宋体" w:hAnsi="宋体" w:eastAsia="宋体" w:cs="宋体"/>
                <w:color w:val="auto"/>
                <w:kern w:val="2"/>
                <w:sz w:val="21"/>
                <w:szCs w:val="21"/>
                <w:highlight w:val="none"/>
                <w:lang w:val="en-US" w:eastAsia="zh-CN" w:bidi="ar"/>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投标报价低于通过符合性审查的次低报价供应商投标报价65%的，即投标报价＜通过符合性审查的次低报价供应商投标报价×65%；</w:t>
            </w:r>
          </w:p>
          <w:p w14:paraId="17DB0E0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 3 \* GB3 \* MERGEFORMAT </w:instrText>
            </w:r>
            <w:r>
              <w:rPr>
                <w:rFonts w:hint="eastAsia" w:ascii="宋体" w:hAnsi="宋体" w:eastAsia="宋体" w:cs="宋体"/>
                <w:color w:val="auto"/>
                <w:kern w:val="2"/>
                <w:sz w:val="21"/>
                <w:szCs w:val="21"/>
                <w:highlight w:val="none"/>
                <w:lang w:val="en-US" w:eastAsia="zh-CN" w:bidi="ar"/>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投标报价低于采购项目最高限价65%的，即投标报价＜采购项目最高限价×65%；</w:t>
            </w:r>
          </w:p>
          <w:p w14:paraId="12B8770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 4 \* GB3 \* MERGEFORMAT </w:instrText>
            </w:r>
            <w:r>
              <w:rPr>
                <w:rFonts w:hint="eastAsia" w:ascii="宋体" w:hAnsi="宋体" w:eastAsia="宋体" w:cs="宋体"/>
                <w:color w:val="auto"/>
                <w:kern w:val="2"/>
                <w:sz w:val="21"/>
                <w:szCs w:val="21"/>
                <w:highlight w:val="none"/>
                <w:lang w:val="en-US" w:eastAsia="zh-CN" w:bidi="ar"/>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评审委员会基于专业判断，认为供应商报价过低，有可能影响产品质量或者不能诚信履约的其他情形。</w:t>
            </w:r>
          </w:p>
          <w:p w14:paraId="1B631E0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（2）评审委员会启动异常低价投标审查后，属于前述第①项至第</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 4 \* GB3 \* MERGEFORMAT </w:instrText>
            </w:r>
            <w:r>
              <w:rPr>
                <w:rFonts w:hint="eastAsia" w:ascii="宋体" w:hAnsi="宋体" w:eastAsia="宋体" w:cs="宋体"/>
                <w:color w:val="auto"/>
                <w:kern w:val="2"/>
                <w:sz w:val="21"/>
                <w:szCs w:val="21"/>
                <w:highlight w:val="none"/>
                <w:lang w:val="en-US" w:eastAsia="zh-CN" w:bidi="ar"/>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 3 \* GB3 \* MERGEFORMAT </w:instrText>
            </w:r>
            <w:r>
              <w:rPr>
                <w:rFonts w:hint="eastAsia" w:ascii="宋体" w:hAnsi="宋体" w:eastAsia="宋体" w:cs="宋体"/>
                <w:color w:val="auto"/>
                <w:kern w:val="2"/>
                <w:sz w:val="21"/>
                <w:szCs w:val="21"/>
                <w:highlight w:val="none"/>
                <w:lang w:val="en-US" w:eastAsia="zh-CN" w:bidi="ar"/>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项情形，供应商已随投标文件一并提交相关书面说明及必要的证明材料的，在评审现场可不再重复提交。</w:t>
            </w:r>
          </w:p>
          <w:p w14:paraId="1D0F1E7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评审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4E92CB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C10A0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（5）异常低价投标审查的启动原因、审查意见和审查结果应当在评审报告中记录，并随供应商提供的相关书面说明及证明材料，以及评审委员会有关互联网浏览、查询历史一并归档。</w:t>
            </w:r>
          </w:p>
        </w:tc>
      </w:tr>
      <w:tr w14:paraId="30944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735DC6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（二）技术分（满分</w:t>
            </w:r>
            <w:r>
              <w:rPr>
                <w:rFonts w:hint="eastAsia" w:ascii="宋体" w:hAnsi="宋体" w:cs="宋体"/>
                <w:color w:val="auto"/>
                <w:kern w:val="2"/>
                <w:sz w:val="21"/>
                <w:szCs w:val="21"/>
                <w:highlight w:val="none"/>
                <w:lang w:val="en-US" w:eastAsia="zh-CN" w:bidi="ar"/>
              </w:rPr>
              <w:t>65</w:t>
            </w:r>
            <w:r>
              <w:rPr>
                <w:rFonts w:hint="eastAsia" w:ascii="宋体" w:hAnsi="宋体" w:eastAsia="宋体" w:cs="宋体"/>
                <w:color w:val="auto"/>
                <w:kern w:val="2"/>
                <w:sz w:val="21"/>
                <w:szCs w:val="21"/>
                <w:highlight w:val="none"/>
                <w:lang w:val="en-US" w:eastAsia="zh-CN" w:bidi="ar"/>
              </w:rPr>
              <w:t>分）</w:t>
            </w:r>
          </w:p>
        </w:tc>
      </w:tr>
      <w:tr w14:paraId="18352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571B32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设备技术参数响应</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6E148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w:t>
            </w:r>
            <w:r>
              <w:rPr>
                <w:rFonts w:hint="eastAsia" w:ascii="宋体" w:hAnsi="宋体" w:cs="宋体"/>
                <w:color w:val="auto"/>
                <w:kern w:val="2"/>
                <w:sz w:val="21"/>
                <w:szCs w:val="21"/>
                <w:highlight w:val="none"/>
                <w:lang w:val="en-US" w:eastAsia="zh-CN" w:bidi="ar"/>
              </w:rPr>
              <w:t>31</w:t>
            </w:r>
            <w:r>
              <w:rPr>
                <w:rFonts w:hint="eastAsia" w:ascii="宋体" w:hAnsi="宋体" w:eastAsia="宋体" w:cs="宋体"/>
                <w:color w:val="auto"/>
                <w:kern w:val="2"/>
                <w:sz w:val="21"/>
                <w:szCs w:val="21"/>
                <w:highlight w:val="none"/>
                <w:lang w:val="en-US" w:eastAsia="zh-CN" w:bidi="ar"/>
              </w:rPr>
              <w:t>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6FE0B0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根据投标人的设备技术参数响应情况对应以下要求评分：</w:t>
            </w:r>
          </w:p>
          <w:p w14:paraId="215BD3EC">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一般参数（包含配置清单）共65项，每一项符合（无负偏离）得0.2分，满分13分。</w:t>
            </w:r>
          </w:p>
          <w:p w14:paraId="13259C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重要参数共6项，如参数符合（无负偏离）的，每一项得1.5分；如参数为正偏离的，每一项得3分。满分1</w:t>
            </w:r>
            <w:r>
              <w:rPr>
                <w:rFonts w:hint="eastAsia" w:ascii="宋体" w:hAnsi="宋体" w:cs="宋体"/>
                <w:color w:val="auto"/>
                <w:kern w:val="2"/>
                <w:sz w:val="21"/>
                <w:szCs w:val="21"/>
                <w:highlight w:val="none"/>
                <w:lang w:val="en-US" w:eastAsia="zh-CN" w:bidi="ar"/>
              </w:rPr>
              <w:t>8</w:t>
            </w:r>
            <w:r>
              <w:rPr>
                <w:rFonts w:hint="eastAsia" w:ascii="宋体" w:hAnsi="宋体" w:eastAsia="宋体" w:cs="宋体"/>
                <w:color w:val="auto"/>
                <w:kern w:val="2"/>
                <w:sz w:val="21"/>
                <w:szCs w:val="21"/>
                <w:highlight w:val="none"/>
                <w:lang w:val="en-US" w:eastAsia="zh-CN" w:bidi="ar"/>
              </w:rPr>
              <w:t>分</w:t>
            </w:r>
            <w:r>
              <w:rPr>
                <w:rFonts w:hint="eastAsia" w:ascii="仿宋" w:hAnsi="仿宋" w:eastAsia="仿宋" w:cs="仿宋"/>
                <w:color w:val="auto"/>
                <w:kern w:val="2"/>
                <w:sz w:val="24"/>
                <w:szCs w:val="24"/>
                <w:highlight w:val="none"/>
                <w:lang w:val="en-US" w:eastAsia="zh-CN" w:bidi="ar"/>
              </w:rPr>
              <w:t>。</w:t>
            </w:r>
          </w:p>
          <w:p w14:paraId="557A91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val="en-US"/>
              </w:rPr>
              <w:t>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一般参数指未标注“▲”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的指标参数。</w:t>
            </w:r>
            <w:r>
              <w:rPr>
                <w:rFonts w:hint="eastAsia" w:ascii="宋体" w:hAnsi="宋体" w:eastAsia="宋体" w:cs="宋体"/>
                <w:color w:val="auto"/>
                <w:sz w:val="21"/>
                <w:szCs w:val="21"/>
                <w:highlight w:val="none"/>
                <w:lang w:val="en-US" w:eastAsia="zh-CN"/>
              </w:rPr>
              <w:t>重要参数</w:t>
            </w:r>
            <w:r>
              <w:rPr>
                <w:rFonts w:hint="eastAsia" w:ascii="宋体" w:hAnsi="宋体" w:eastAsia="宋体" w:cs="宋体"/>
                <w:color w:val="auto"/>
                <w:sz w:val="21"/>
                <w:szCs w:val="21"/>
                <w:highlight w:val="none"/>
                <w:lang w:val="en-US"/>
              </w:rPr>
              <w:t>指标注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的指标参数</w:t>
            </w:r>
            <w:r>
              <w:rPr>
                <w:rFonts w:hint="eastAsia" w:ascii="宋体" w:hAnsi="宋体" w:eastAsia="宋体" w:cs="宋体"/>
                <w:color w:val="auto"/>
                <w:sz w:val="21"/>
                <w:szCs w:val="21"/>
                <w:highlight w:val="none"/>
                <w:lang w:val="en-US" w:eastAsia="zh-CN"/>
              </w:rPr>
              <w:t>。</w:t>
            </w:r>
          </w:p>
          <w:p w14:paraId="5B3298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（2）根据技术偏离表及相关证明材料进行评分，凡采购需求中有明确要求提供截图或照片或其他佐证材料等资料的，评审时以所提供的资料为评分依据。</w:t>
            </w:r>
          </w:p>
          <w:p w14:paraId="6E927E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（3）投标人的技术参数有正偏离的，须在技术偏离表中列明，凡采购需求中有明确提供相关佐证材料的，须在投标文件中附上，否则不予认可。</w:t>
            </w:r>
          </w:p>
        </w:tc>
      </w:tr>
      <w:tr w14:paraId="1A233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30B44E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项目实施方案</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4588A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w:t>
            </w:r>
            <w:r>
              <w:rPr>
                <w:rFonts w:hint="eastAsia" w:ascii="宋体" w:hAnsi="宋体" w:cs="宋体"/>
                <w:color w:val="auto"/>
                <w:kern w:val="2"/>
                <w:sz w:val="21"/>
                <w:szCs w:val="21"/>
                <w:highlight w:val="none"/>
                <w:lang w:val="en-US" w:eastAsia="zh-CN" w:bidi="ar"/>
              </w:rPr>
              <w:t>12</w:t>
            </w:r>
            <w:r>
              <w:rPr>
                <w:rFonts w:hint="eastAsia" w:ascii="宋体" w:hAnsi="宋体" w:eastAsia="宋体" w:cs="宋体"/>
                <w:color w:val="auto"/>
                <w:kern w:val="2"/>
                <w:sz w:val="21"/>
                <w:szCs w:val="21"/>
                <w:highlight w:val="none"/>
                <w:lang w:val="en-US" w:eastAsia="zh-CN" w:bidi="ar"/>
              </w:rPr>
              <w:t>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41B030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由评委根据投标人提供的项目实施方案内容进行独立评审：</w:t>
            </w:r>
          </w:p>
          <w:p w14:paraId="5637B4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一档（</w:t>
            </w:r>
            <w:r>
              <w:rPr>
                <w:rFonts w:hint="eastAsia" w:ascii="宋体" w:hAnsi="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分）：有实施方案，基本满足项目实施要求。</w:t>
            </w:r>
          </w:p>
          <w:p w14:paraId="01E85B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二档（</w:t>
            </w:r>
            <w:r>
              <w:rPr>
                <w:rFonts w:hint="eastAsia" w:ascii="宋体" w:hAnsi="宋体" w:cs="宋体"/>
                <w:color w:val="auto"/>
                <w:kern w:val="2"/>
                <w:sz w:val="21"/>
                <w:szCs w:val="21"/>
                <w:highlight w:val="none"/>
                <w:lang w:val="en-US" w:eastAsia="zh-CN" w:bidi="ar"/>
              </w:rPr>
              <w:t>7</w:t>
            </w:r>
            <w:r>
              <w:rPr>
                <w:rFonts w:hint="eastAsia" w:ascii="宋体" w:hAnsi="宋体" w:eastAsia="宋体" w:cs="宋体"/>
                <w:color w:val="auto"/>
                <w:kern w:val="2"/>
                <w:sz w:val="21"/>
                <w:szCs w:val="21"/>
                <w:highlight w:val="none"/>
                <w:lang w:val="en-US" w:eastAsia="zh-CN" w:bidi="ar"/>
              </w:rPr>
              <w:t>分）：实施方案阐述较全，包含有实施计划、组织机构、人员安排、供货保障措施、应急保障措施等。</w:t>
            </w:r>
          </w:p>
          <w:p w14:paraId="2B1902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三档（</w:t>
            </w:r>
            <w:r>
              <w:rPr>
                <w:rFonts w:hint="eastAsia" w:ascii="宋体" w:hAnsi="宋体" w:cs="宋体"/>
                <w:color w:val="auto"/>
                <w:kern w:val="2"/>
                <w:sz w:val="21"/>
                <w:szCs w:val="21"/>
                <w:highlight w:val="none"/>
                <w:lang w:val="en-US" w:eastAsia="zh-CN" w:bidi="ar"/>
              </w:rPr>
              <w:t>12</w:t>
            </w:r>
            <w:r>
              <w:rPr>
                <w:rFonts w:hint="eastAsia" w:ascii="宋体" w:hAnsi="宋体" w:eastAsia="宋体" w:cs="宋体"/>
                <w:color w:val="auto"/>
                <w:kern w:val="2"/>
                <w:sz w:val="21"/>
                <w:szCs w:val="21"/>
                <w:highlight w:val="none"/>
                <w:lang w:val="en-US" w:eastAsia="zh-CN" w:bidi="ar"/>
              </w:rPr>
              <w:t>分）：实施方案阐述详细，提出较符合采购人单位实际的措施安排，包含但不限于实施计划、组织机构、人员安排、供货保障措施、应急保障措施、安装调试工程师和周期安排具体可行、验收措施保障得当等。</w:t>
            </w:r>
          </w:p>
          <w:p w14:paraId="02F0C0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不满足一档的不得分。</w:t>
            </w:r>
          </w:p>
        </w:tc>
      </w:tr>
      <w:tr w14:paraId="5A13A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6AB86E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质量保障方案</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1199E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w:t>
            </w:r>
            <w:r>
              <w:rPr>
                <w:rFonts w:hint="eastAsia" w:ascii="宋体" w:hAnsi="宋体" w:cs="宋体"/>
                <w:color w:val="auto"/>
                <w:kern w:val="2"/>
                <w:sz w:val="21"/>
                <w:szCs w:val="21"/>
                <w:highlight w:val="none"/>
                <w:lang w:val="en-US" w:eastAsia="zh-CN" w:bidi="ar"/>
              </w:rPr>
              <w:t>11</w:t>
            </w:r>
            <w:r>
              <w:rPr>
                <w:rFonts w:hint="eastAsia" w:ascii="宋体" w:hAnsi="宋体" w:eastAsia="宋体" w:cs="宋体"/>
                <w:color w:val="auto"/>
                <w:kern w:val="2"/>
                <w:sz w:val="21"/>
                <w:szCs w:val="21"/>
                <w:highlight w:val="none"/>
                <w:lang w:val="en-US" w:eastAsia="zh-CN" w:bidi="ar"/>
              </w:rPr>
              <w:t>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7DCE7A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由评委根据投标人提供的质量保障方案内容进行独立评审：</w:t>
            </w:r>
          </w:p>
          <w:p w14:paraId="5FA3DE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一档（1分）：有质量保证方案，能满足项目需求中的质量保证要求；</w:t>
            </w:r>
          </w:p>
          <w:p w14:paraId="39F15F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二档（</w:t>
            </w:r>
            <w:r>
              <w:rPr>
                <w:rFonts w:hint="eastAsia" w:ascii="宋体" w:hAnsi="宋体" w:cs="宋体"/>
                <w:color w:val="auto"/>
                <w:kern w:val="2"/>
                <w:sz w:val="21"/>
                <w:szCs w:val="21"/>
                <w:highlight w:val="none"/>
                <w:lang w:val="en-US" w:eastAsia="zh-CN" w:bidi="ar"/>
              </w:rPr>
              <w:t>6</w:t>
            </w:r>
            <w:r>
              <w:rPr>
                <w:rFonts w:hint="eastAsia" w:ascii="宋体" w:hAnsi="宋体" w:eastAsia="宋体" w:cs="宋体"/>
                <w:color w:val="auto"/>
                <w:kern w:val="2"/>
                <w:sz w:val="21"/>
                <w:szCs w:val="21"/>
                <w:highlight w:val="none"/>
                <w:lang w:val="en-US" w:eastAsia="zh-CN" w:bidi="ar"/>
              </w:rPr>
              <w:t>分）：有详细的质量保证方案，能根据项目需求中的质量保证要求，逐条做出详细的质量保证方案计划。</w:t>
            </w:r>
          </w:p>
          <w:p w14:paraId="210C96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三档（</w:t>
            </w:r>
            <w:r>
              <w:rPr>
                <w:rFonts w:hint="eastAsia" w:ascii="宋体" w:hAnsi="宋体" w:cs="宋体"/>
                <w:color w:val="auto"/>
                <w:kern w:val="2"/>
                <w:sz w:val="21"/>
                <w:szCs w:val="21"/>
                <w:highlight w:val="none"/>
                <w:lang w:val="en-US" w:eastAsia="zh-CN" w:bidi="ar"/>
              </w:rPr>
              <w:t>11</w:t>
            </w:r>
            <w:r>
              <w:rPr>
                <w:rFonts w:hint="eastAsia" w:ascii="宋体" w:hAnsi="宋体" w:eastAsia="宋体" w:cs="宋体"/>
                <w:color w:val="auto"/>
                <w:kern w:val="2"/>
                <w:sz w:val="21"/>
                <w:szCs w:val="21"/>
                <w:highlight w:val="none"/>
                <w:lang w:val="en-US" w:eastAsia="zh-CN" w:bidi="ar"/>
              </w:rPr>
              <w:t>分）：有详细的质量保证方案，能根据项目需求中的质量保证要求，逐条做出详细的符合采购人单位实际的质量保证方案计划，明确具体环节保障人员，有保障重点及难点分析并提出针对性的解决方案。</w:t>
            </w:r>
          </w:p>
          <w:p w14:paraId="52C3C8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不满足一档的不得分。</w:t>
            </w:r>
          </w:p>
        </w:tc>
      </w:tr>
      <w:tr w14:paraId="7A993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5C9FF4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售后服务方案</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0E883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w:t>
            </w:r>
            <w:r>
              <w:rPr>
                <w:rFonts w:hint="eastAsia" w:ascii="宋体" w:hAnsi="宋体" w:cs="宋体"/>
                <w:color w:val="auto"/>
                <w:kern w:val="2"/>
                <w:sz w:val="21"/>
                <w:szCs w:val="21"/>
                <w:highlight w:val="none"/>
                <w:lang w:val="en-US" w:eastAsia="zh-CN" w:bidi="ar"/>
              </w:rPr>
              <w:t>11</w:t>
            </w:r>
            <w:r>
              <w:rPr>
                <w:rFonts w:hint="eastAsia" w:ascii="宋体" w:hAnsi="宋体" w:eastAsia="宋体" w:cs="宋体"/>
                <w:color w:val="auto"/>
                <w:kern w:val="2"/>
                <w:sz w:val="21"/>
                <w:szCs w:val="21"/>
                <w:highlight w:val="none"/>
                <w:lang w:val="en-US" w:eastAsia="zh-CN" w:bidi="ar"/>
              </w:rPr>
              <w:t>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3A7674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由评委根据投标人提供的售后服务方案内容进行独立评审：</w:t>
            </w:r>
          </w:p>
          <w:p w14:paraId="4A55A1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一档（</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分）：满足项目质保期及售后服务要求，有定期回访及培训的。</w:t>
            </w:r>
          </w:p>
          <w:p w14:paraId="765E35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二档（6分）：优于项目质保期及售后服务要求，在接到采购人维修要求后应立即响应并在1小时内提出解决方案，4小时内到达现场对故障进行处理，维修过程中所需材料中标人在接到通知后应及时提供,最长不超过18小时必须送达采购人。若48小时内无法修复的，应36小时内提供相应备用设备并负责安装调试；定期回访一年不少于2次，回访方案详细；培训组织能根据产品制定详细的培训方案。</w:t>
            </w:r>
          </w:p>
          <w:p w14:paraId="709A65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三档（</w:t>
            </w:r>
            <w:r>
              <w:rPr>
                <w:rFonts w:hint="eastAsia" w:ascii="宋体" w:hAnsi="宋体" w:cs="宋体"/>
                <w:color w:val="auto"/>
                <w:kern w:val="2"/>
                <w:sz w:val="21"/>
                <w:szCs w:val="21"/>
                <w:highlight w:val="none"/>
                <w:lang w:val="en-US" w:eastAsia="zh-CN" w:bidi="ar"/>
              </w:rPr>
              <w:t>11</w:t>
            </w:r>
            <w:r>
              <w:rPr>
                <w:rFonts w:hint="eastAsia" w:ascii="宋体" w:hAnsi="宋体" w:eastAsia="宋体" w:cs="宋体"/>
                <w:color w:val="auto"/>
                <w:kern w:val="2"/>
                <w:sz w:val="21"/>
                <w:szCs w:val="21"/>
                <w:highlight w:val="none"/>
                <w:lang w:val="en-US" w:eastAsia="zh-CN" w:bidi="ar"/>
              </w:rPr>
              <w:t>分）：高于项目质保期及售后服务要求，质保期有延长，在接到采购人维修要求后应立即响应并在0.5小时内提出解决方案，4小时内到达现场对故障进行处理，维修过程中所需材料中标人在接到通知后应及时提供,最长不超过12小时必须送达采购人。若48小时内无法修复的，应24小时内提供相应备用设备并负责安装调试；定期回访一年不少于4次，回访方案详细，有回访重点，能针对回访遇到的问题提出解决方案；培训组织能根据采购人单位实际出发，针对本分标的不同产品制定个性化培训方案，能结合产品特点给出科学合理的设备拓展升级方案。</w:t>
            </w:r>
          </w:p>
          <w:p w14:paraId="07FADF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不满足一档的不得分。</w:t>
            </w:r>
          </w:p>
        </w:tc>
      </w:tr>
      <w:tr w14:paraId="408ED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74DD7D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（三）商务分（满分</w:t>
            </w:r>
            <w:r>
              <w:rPr>
                <w:rFonts w:hint="eastAsia" w:ascii="宋体" w:hAnsi="宋体" w:cs="宋体"/>
                <w:color w:val="auto"/>
                <w:kern w:val="2"/>
                <w:sz w:val="21"/>
                <w:szCs w:val="21"/>
                <w:highlight w:val="none"/>
                <w:lang w:val="en-US" w:eastAsia="zh-CN" w:bidi="ar"/>
              </w:rPr>
              <w:t>5</w:t>
            </w:r>
            <w:r>
              <w:rPr>
                <w:rFonts w:hint="eastAsia" w:ascii="宋体" w:hAnsi="宋体" w:eastAsia="宋体" w:cs="宋体"/>
                <w:color w:val="auto"/>
                <w:kern w:val="2"/>
                <w:sz w:val="21"/>
                <w:szCs w:val="21"/>
                <w:highlight w:val="none"/>
                <w:lang w:val="en-US" w:eastAsia="zh-CN" w:bidi="ar"/>
              </w:rPr>
              <w:t>分）</w:t>
            </w:r>
          </w:p>
        </w:tc>
      </w:tr>
      <w:tr w14:paraId="69F5D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4D436A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业绩分</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39E80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w:t>
            </w:r>
            <w:r>
              <w:rPr>
                <w:rFonts w:hint="eastAsia" w:ascii="宋体" w:hAnsi="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3BFA8D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投标人或投标产品生产厂家自2021年1月1日以来有过同类设备业绩（地下水洗井采样设备），每个业绩得</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分，本项满分</w:t>
            </w:r>
            <w:r>
              <w:rPr>
                <w:rFonts w:hint="eastAsia" w:ascii="宋体" w:hAnsi="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分。</w:t>
            </w:r>
          </w:p>
          <w:p w14:paraId="025135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注：必须提供中标/成交通知书或合同（首页、签字盖章页、产品所在页）复印件等证明材料复印件并加盖公章，否则不得分。</w:t>
            </w:r>
          </w:p>
        </w:tc>
      </w:tr>
      <w:tr w14:paraId="77D39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36D059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政策功能分</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2927F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满分1分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6BC483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属于财政部《节能产品政府采购品目清单》内优先采购（清单内未标注“★”的品目）的产品[投标文件中提供有效的认证证书复印件及品目清单（标注出投标产品在品目清单中所属的品目）]，每提供一项得0.5分，满分0.5分。</w:t>
            </w:r>
          </w:p>
          <w:p w14:paraId="2F098E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（2）属于财政部《环境标志产品政府采购品目清单》内的产品[投标文件中提供有效的认证证书复印件及品目清单（标注出投标产品在品目清单中所属的品目）]，每提供一项得0.5分，满分0.5分。</w:t>
            </w:r>
          </w:p>
          <w:p w14:paraId="22333E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（3）非节能、环境标志产品的不得分。</w:t>
            </w:r>
          </w:p>
        </w:tc>
      </w:tr>
      <w:tr w14:paraId="016DA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73A0E3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总得分=（一）+（二）+（三）</w:t>
            </w:r>
          </w:p>
        </w:tc>
      </w:tr>
    </w:tbl>
    <w:p w14:paraId="2BA831C5">
      <w:pPr>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br w:type="page"/>
      </w:r>
    </w:p>
    <w:p w14:paraId="4A6F4E3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outlineLvl w:val="2"/>
        <w:rPr>
          <w:rFonts w:hint="default"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附件：分包3技术参数指标等级对照表</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1"/>
        <w:gridCol w:w="1501"/>
      </w:tblGrid>
      <w:tr w14:paraId="5384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14:paraId="463E5F9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377" w:name="_Toc16526"/>
            <w:bookmarkStart w:id="378" w:name="_Toc15446"/>
            <w:r>
              <w:rPr>
                <w:rFonts w:hint="eastAsia" w:ascii="宋体" w:hAnsi="宋体" w:eastAsia="宋体" w:cs="宋体"/>
                <w:b/>
                <w:bCs/>
                <w:color w:val="auto"/>
                <w:sz w:val="21"/>
                <w:szCs w:val="21"/>
                <w:highlight w:val="none"/>
                <w:u w:val="none"/>
                <w:vertAlign w:val="baseline"/>
                <w:lang w:val="en-US" w:eastAsia="zh-CN" w:bidi="ar"/>
              </w:rPr>
              <w:t>技术参数指标等级对照表</w:t>
            </w:r>
            <w:bookmarkEnd w:id="377"/>
            <w:bookmarkEnd w:id="378"/>
          </w:p>
        </w:tc>
      </w:tr>
      <w:tr w14:paraId="57404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14:paraId="7EF7B55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379" w:name="_Toc7085"/>
            <w:bookmarkStart w:id="380" w:name="_Toc4072"/>
            <w:r>
              <w:rPr>
                <w:rFonts w:hint="eastAsia" w:ascii="宋体" w:hAnsi="宋体" w:eastAsia="宋体" w:cs="宋体"/>
                <w:b w:val="0"/>
                <w:bCs w:val="0"/>
                <w:color w:val="auto"/>
                <w:sz w:val="21"/>
                <w:szCs w:val="21"/>
                <w:highlight w:val="none"/>
                <w:u w:val="none"/>
                <w:vertAlign w:val="baseline"/>
                <w:lang w:val="en-US" w:eastAsia="zh-CN" w:bidi="ar"/>
              </w:rPr>
              <w:t>一般参数指标合计</w:t>
            </w:r>
            <w:r>
              <w:rPr>
                <w:rFonts w:hint="eastAsia" w:ascii="宋体" w:hAnsi="宋体" w:cs="宋体"/>
                <w:b w:val="0"/>
                <w:bCs w:val="0"/>
                <w:color w:val="auto"/>
                <w:sz w:val="21"/>
                <w:szCs w:val="21"/>
                <w:highlight w:val="none"/>
                <w:u w:val="none"/>
                <w:vertAlign w:val="baseline"/>
                <w:lang w:val="en-US" w:eastAsia="zh-CN" w:bidi="ar"/>
              </w:rPr>
              <w:t>65</w:t>
            </w:r>
            <w:r>
              <w:rPr>
                <w:rFonts w:hint="eastAsia" w:ascii="宋体" w:hAnsi="宋体" w:eastAsia="宋体" w:cs="宋体"/>
                <w:b w:val="0"/>
                <w:bCs w:val="0"/>
                <w:color w:val="auto"/>
                <w:sz w:val="21"/>
                <w:szCs w:val="21"/>
                <w:highlight w:val="none"/>
                <w:u w:val="none"/>
                <w:vertAlign w:val="baseline"/>
                <w:lang w:val="en-US" w:eastAsia="zh-CN" w:bidi="ar"/>
              </w:rPr>
              <w:t>项</w:t>
            </w:r>
            <w:bookmarkEnd w:id="379"/>
            <w:bookmarkEnd w:id="380"/>
            <w:r>
              <w:rPr>
                <w:rFonts w:hint="eastAsia" w:ascii="宋体" w:hAnsi="宋体" w:eastAsia="宋体" w:cs="宋体"/>
                <w:b w:val="0"/>
                <w:bCs w:val="0"/>
                <w:color w:val="auto"/>
                <w:sz w:val="21"/>
                <w:szCs w:val="21"/>
                <w:highlight w:val="none"/>
                <w:u w:val="none"/>
                <w:vertAlign w:val="baseline"/>
                <w:lang w:val="en-US" w:eastAsia="zh-CN" w:bidi="ar"/>
              </w:rPr>
              <w:t>，重要参数指标合计6项</w:t>
            </w:r>
          </w:p>
        </w:tc>
      </w:tr>
      <w:tr w14:paraId="6FCB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top"/>
          </w:tcPr>
          <w:p w14:paraId="0205632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381" w:name="_Toc23249"/>
            <w:bookmarkStart w:id="382" w:name="_Toc4248"/>
            <w:r>
              <w:rPr>
                <w:rFonts w:hint="eastAsia" w:ascii="宋体" w:hAnsi="宋体" w:eastAsia="宋体" w:cs="宋体"/>
                <w:b w:val="0"/>
                <w:bCs w:val="0"/>
                <w:color w:val="auto"/>
                <w:spacing w:val="0"/>
                <w:sz w:val="21"/>
                <w:szCs w:val="21"/>
                <w:highlight w:val="none"/>
                <w:lang w:bidi="ar"/>
              </w:rPr>
              <w:t>技术</w:t>
            </w:r>
            <w:r>
              <w:rPr>
                <w:rFonts w:hint="eastAsia" w:ascii="宋体" w:hAnsi="宋体" w:eastAsia="宋体" w:cs="宋体"/>
                <w:b w:val="0"/>
                <w:bCs w:val="0"/>
                <w:color w:val="auto"/>
                <w:spacing w:val="0"/>
                <w:sz w:val="21"/>
                <w:szCs w:val="21"/>
                <w:highlight w:val="none"/>
                <w:lang w:val="en-US" w:eastAsia="zh-CN" w:bidi="ar"/>
              </w:rPr>
              <w:t>参数</w:t>
            </w:r>
            <w:r>
              <w:rPr>
                <w:rFonts w:hint="eastAsia" w:ascii="宋体" w:hAnsi="宋体" w:eastAsia="宋体" w:cs="宋体"/>
                <w:b w:val="0"/>
                <w:bCs w:val="0"/>
                <w:color w:val="auto"/>
                <w:spacing w:val="0"/>
                <w:sz w:val="21"/>
                <w:szCs w:val="21"/>
                <w:highlight w:val="none"/>
                <w:lang w:bidi="ar"/>
              </w:rPr>
              <w:t>指标要求</w:t>
            </w:r>
            <w:bookmarkEnd w:id="381"/>
            <w:bookmarkEnd w:id="382"/>
          </w:p>
        </w:tc>
        <w:tc>
          <w:tcPr>
            <w:tcW w:w="1501" w:type="dxa"/>
            <w:noWrap w:val="0"/>
            <w:vAlign w:val="top"/>
          </w:tcPr>
          <w:p w14:paraId="116D6D00">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383" w:name="_Toc27801"/>
            <w:bookmarkStart w:id="384" w:name="_Toc21627"/>
            <w:r>
              <w:rPr>
                <w:rFonts w:hint="eastAsia" w:ascii="宋体" w:hAnsi="宋体" w:eastAsia="宋体" w:cs="宋体"/>
                <w:b w:val="0"/>
                <w:bCs w:val="0"/>
                <w:color w:val="auto"/>
                <w:sz w:val="21"/>
                <w:szCs w:val="21"/>
                <w:highlight w:val="none"/>
                <w:u w:val="none"/>
                <w:vertAlign w:val="baseline"/>
                <w:lang w:val="en-US" w:eastAsia="zh-CN" w:bidi="ar"/>
              </w:rPr>
              <w:t>指标等级</w:t>
            </w:r>
            <w:bookmarkEnd w:id="383"/>
            <w:bookmarkEnd w:id="384"/>
          </w:p>
        </w:tc>
      </w:tr>
      <w:tr w14:paraId="18B9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gridSpan w:val="2"/>
            <w:noWrap w:val="0"/>
            <w:vAlign w:val="top"/>
          </w:tcPr>
          <w:p w14:paraId="64B3C23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385" w:name="_Toc21913"/>
            <w:bookmarkStart w:id="386" w:name="_Toc16488"/>
            <w:r>
              <w:rPr>
                <w:rFonts w:hint="eastAsia" w:ascii="宋体" w:hAnsi="宋体" w:eastAsia="宋体" w:cs="宋体"/>
                <w:b w:val="0"/>
                <w:bCs w:val="0"/>
                <w:color w:val="auto"/>
                <w:sz w:val="21"/>
                <w:szCs w:val="21"/>
                <w:highlight w:val="none"/>
                <w:u w:val="none"/>
                <w:vertAlign w:val="baseline"/>
                <w:lang w:val="en-US" w:eastAsia="zh-CN" w:bidi="ar"/>
              </w:rPr>
              <w:t>地下水采样设备</w:t>
            </w:r>
            <w:bookmarkEnd w:id="385"/>
            <w:bookmarkEnd w:id="386"/>
          </w:p>
        </w:tc>
      </w:tr>
      <w:tr w14:paraId="09A2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2FB2726">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一、适用范围</w:t>
            </w:r>
          </w:p>
        </w:tc>
        <w:tc>
          <w:tcPr>
            <w:tcW w:w="1501" w:type="dxa"/>
            <w:noWrap w:val="0"/>
            <w:vAlign w:val="center"/>
          </w:tcPr>
          <w:p w14:paraId="530809A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387" w:name="_Toc23484"/>
            <w:bookmarkStart w:id="388" w:name="_Toc31121"/>
            <w:r>
              <w:rPr>
                <w:rFonts w:hint="eastAsia" w:ascii="宋体" w:hAnsi="宋体" w:eastAsia="宋体" w:cs="宋体"/>
                <w:b w:val="0"/>
                <w:bCs w:val="0"/>
                <w:color w:val="auto"/>
                <w:sz w:val="21"/>
                <w:szCs w:val="21"/>
                <w:highlight w:val="none"/>
                <w:u w:val="none"/>
                <w:vertAlign w:val="baseline"/>
                <w:lang w:val="en-US" w:eastAsia="zh-CN" w:bidi="ar"/>
              </w:rPr>
              <w:t>/</w:t>
            </w:r>
            <w:bookmarkEnd w:id="387"/>
            <w:bookmarkEnd w:id="388"/>
          </w:p>
        </w:tc>
      </w:tr>
      <w:tr w14:paraId="607F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C34B81E">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用于地下水水质监测。</w:t>
            </w:r>
          </w:p>
        </w:tc>
        <w:tc>
          <w:tcPr>
            <w:tcW w:w="1501" w:type="dxa"/>
            <w:noWrap w:val="0"/>
            <w:vAlign w:val="center"/>
          </w:tcPr>
          <w:p w14:paraId="0CC6489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930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539195D">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二、基本要求</w:t>
            </w:r>
          </w:p>
        </w:tc>
        <w:tc>
          <w:tcPr>
            <w:tcW w:w="1501" w:type="dxa"/>
            <w:noWrap w:val="0"/>
            <w:vAlign w:val="center"/>
          </w:tcPr>
          <w:p w14:paraId="1F776E0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389" w:name="_Toc13868"/>
            <w:bookmarkStart w:id="390" w:name="_Toc15135"/>
            <w:r>
              <w:rPr>
                <w:rFonts w:hint="eastAsia" w:ascii="宋体" w:hAnsi="宋体" w:eastAsia="宋体" w:cs="宋体"/>
                <w:b w:val="0"/>
                <w:bCs w:val="0"/>
                <w:color w:val="auto"/>
                <w:sz w:val="21"/>
                <w:szCs w:val="21"/>
                <w:highlight w:val="none"/>
                <w:u w:val="none"/>
                <w:vertAlign w:val="baseline"/>
                <w:lang w:val="en-US" w:eastAsia="zh-CN" w:bidi="ar"/>
              </w:rPr>
              <w:t>/</w:t>
            </w:r>
            <w:bookmarkEnd w:id="389"/>
            <w:bookmarkEnd w:id="390"/>
          </w:p>
        </w:tc>
      </w:tr>
      <w:tr w14:paraId="1879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3F7BDA3">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满足《地下水环境质量监测技术规范》（HJ164-2020）、《地块土壤和地下水中挥发性有机物采样技术导则》（HJ1019-2019）、《建设用地土壤污染风险管控和修复监测技术导则》（HJ25.2-2019）标准要求。</w:t>
            </w:r>
          </w:p>
        </w:tc>
        <w:tc>
          <w:tcPr>
            <w:tcW w:w="1501" w:type="dxa"/>
            <w:noWrap w:val="0"/>
            <w:vAlign w:val="center"/>
          </w:tcPr>
          <w:p w14:paraId="21ECCDD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699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8638B9F">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三、仪器要求</w:t>
            </w:r>
          </w:p>
        </w:tc>
        <w:tc>
          <w:tcPr>
            <w:tcW w:w="1501" w:type="dxa"/>
            <w:noWrap w:val="0"/>
            <w:vAlign w:val="center"/>
          </w:tcPr>
          <w:p w14:paraId="64AA0C7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391" w:name="_Toc12370"/>
            <w:bookmarkStart w:id="392" w:name="_Toc14218"/>
            <w:r>
              <w:rPr>
                <w:rFonts w:hint="eastAsia" w:ascii="宋体" w:hAnsi="宋体" w:eastAsia="宋体" w:cs="宋体"/>
                <w:b w:val="0"/>
                <w:bCs w:val="0"/>
                <w:color w:val="auto"/>
                <w:sz w:val="21"/>
                <w:szCs w:val="21"/>
                <w:highlight w:val="none"/>
                <w:u w:val="none"/>
                <w:vertAlign w:val="baseline"/>
                <w:lang w:val="en-US" w:eastAsia="zh-CN" w:bidi="ar"/>
              </w:rPr>
              <w:t>/</w:t>
            </w:r>
            <w:bookmarkEnd w:id="391"/>
            <w:bookmarkEnd w:id="392"/>
          </w:p>
        </w:tc>
      </w:tr>
      <w:tr w14:paraId="0F4A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73922DF">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1.气囊泵</w:t>
            </w:r>
          </w:p>
        </w:tc>
        <w:tc>
          <w:tcPr>
            <w:tcW w:w="1501" w:type="dxa"/>
            <w:noWrap w:val="0"/>
            <w:vAlign w:val="center"/>
          </w:tcPr>
          <w:p w14:paraId="3D88457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393" w:name="_Toc6995"/>
            <w:bookmarkStart w:id="394" w:name="_Toc6996"/>
            <w:r>
              <w:rPr>
                <w:rFonts w:hint="eastAsia" w:ascii="宋体" w:hAnsi="宋体" w:eastAsia="宋体" w:cs="宋体"/>
                <w:b w:val="0"/>
                <w:bCs w:val="0"/>
                <w:color w:val="auto"/>
                <w:sz w:val="21"/>
                <w:szCs w:val="21"/>
                <w:highlight w:val="none"/>
                <w:u w:val="none"/>
                <w:vertAlign w:val="baseline"/>
                <w:lang w:val="en-US" w:eastAsia="zh-CN" w:bidi="ar"/>
              </w:rPr>
              <w:t>/</w:t>
            </w:r>
            <w:bookmarkEnd w:id="393"/>
            <w:bookmarkEnd w:id="394"/>
          </w:p>
        </w:tc>
      </w:tr>
      <w:tr w14:paraId="7FF7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90A0988">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1.1气囊泵体：外壳（外泵体）直径≤50mm；外壳（外泵体）材质316不锈钢；</w:t>
            </w:r>
          </w:p>
        </w:tc>
        <w:tc>
          <w:tcPr>
            <w:tcW w:w="1501" w:type="dxa"/>
            <w:noWrap w:val="0"/>
            <w:vAlign w:val="center"/>
          </w:tcPr>
          <w:p w14:paraId="1A8C2EF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D1C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5F6D349">
            <w:pPr>
              <w:keepNext w:val="0"/>
              <w:keepLines w:val="0"/>
              <w:pageBreakBefore w:val="0"/>
              <w:widowControl w:val="0"/>
              <w:numPr>
                <w:ilvl w:val="0"/>
                <w:numId w:val="0"/>
              </w:numPr>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Cs/>
                <w:color w:val="auto"/>
                <w:sz w:val="21"/>
                <w:szCs w:val="21"/>
                <w:highlight w:val="none"/>
              </w:rPr>
              <w:t>■1.2扬程≥60米</w:t>
            </w: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正偏离：</w:t>
            </w:r>
            <w:r>
              <w:rPr>
                <w:rFonts w:hint="eastAsia" w:ascii="宋体" w:hAnsi="宋体" w:eastAsia="宋体" w:cs="宋体"/>
                <w:bCs/>
                <w:color w:val="auto"/>
                <w:sz w:val="21"/>
                <w:szCs w:val="21"/>
                <w:highlight w:val="none"/>
              </w:rPr>
              <w:t>扬程＞60米</w:t>
            </w: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无偏离：</w:t>
            </w:r>
            <w:r>
              <w:rPr>
                <w:rFonts w:hint="eastAsia" w:ascii="宋体" w:hAnsi="宋体" w:eastAsia="宋体" w:cs="宋体"/>
                <w:bCs/>
                <w:color w:val="auto"/>
                <w:sz w:val="21"/>
                <w:szCs w:val="21"/>
                <w:highlight w:val="none"/>
              </w:rPr>
              <w:t>扬程</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60米</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投标时需提供产品彩页或有关证明材料并加盖投标人单位公章】</w:t>
            </w:r>
          </w:p>
        </w:tc>
        <w:tc>
          <w:tcPr>
            <w:tcW w:w="1501" w:type="dxa"/>
            <w:noWrap w:val="0"/>
            <w:vAlign w:val="center"/>
          </w:tcPr>
          <w:p w14:paraId="3150C2A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cs="宋体"/>
                <w:b w:val="0"/>
                <w:bCs w:val="0"/>
                <w:color w:val="auto"/>
                <w:sz w:val="21"/>
                <w:szCs w:val="21"/>
                <w:highlight w:val="none"/>
                <w:u w:val="none"/>
                <w:vertAlign w:val="baseline"/>
                <w:lang w:val="en-US" w:eastAsia="zh-CN" w:bidi="ar"/>
              </w:rPr>
              <w:t>重要</w:t>
            </w:r>
            <w:r>
              <w:rPr>
                <w:rFonts w:hint="eastAsia" w:ascii="宋体" w:hAnsi="宋体" w:eastAsia="宋体" w:cs="宋体"/>
                <w:b w:val="0"/>
                <w:bCs w:val="0"/>
                <w:color w:val="auto"/>
                <w:sz w:val="21"/>
                <w:szCs w:val="21"/>
                <w:highlight w:val="none"/>
                <w:u w:val="none"/>
                <w:vertAlign w:val="baseline"/>
                <w:lang w:val="en-US" w:eastAsia="zh-CN" w:bidi="ar"/>
              </w:rPr>
              <w:t>参数</w:t>
            </w:r>
          </w:p>
        </w:tc>
      </w:tr>
      <w:tr w14:paraId="2278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7ECBAB8">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1.3气囊泵控制系统：流量控制至少满足流量范围：0.1L/min～0.5L/min，控制系统具备水位泄降控制模块，控制系统连接多功能水位尺（具备泄降控制功能），实现水位泄降与采样单元自动联动控制，泄降水位不超过10cm；</w:t>
            </w:r>
          </w:p>
        </w:tc>
        <w:tc>
          <w:tcPr>
            <w:tcW w:w="1501" w:type="dxa"/>
            <w:noWrap w:val="0"/>
            <w:vAlign w:val="center"/>
          </w:tcPr>
          <w:p w14:paraId="0212DAA2">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395" w:name="_Toc2806"/>
            <w:bookmarkStart w:id="396" w:name="_Toc27577"/>
            <w:r>
              <w:rPr>
                <w:rFonts w:hint="eastAsia" w:ascii="宋体" w:hAnsi="宋体" w:eastAsia="宋体" w:cs="宋体"/>
                <w:b w:val="0"/>
                <w:bCs w:val="0"/>
                <w:color w:val="auto"/>
                <w:sz w:val="21"/>
                <w:szCs w:val="21"/>
                <w:highlight w:val="none"/>
                <w:u w:val="none"/>
                <w:vertAlign w:val="baseline"/>
                <w:lang w:val="en-US" w:eastAsia="zh-CN" w:bidi="ar"/>
              </w:rPr>
              <w:t>实质性参数</w:t>
            </w:r>
            <w:bookmarkEnd w:id="395"/>
            <w:bookmarkEnd w:id="396"/>
          </w:p>
        </w:tc>
      </w:tr>
      <w:tr w14:paraId="76E2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C1FE7BA">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1.4气囊采用聚四氟乙烯（PTFE）材质；容量≥150ml，进水方式：底部进水；【投标时需提供产品彩页或有关证明材料并加盖投标人单位公章】</w:t>
            </w:r>
          </w:p>
        </w:tc>
        <w:tc>
          <w:tcPr>
            <w:tcW w:w="1501" w:type="dxa"/>
            <w:noWrap w:val="0"/>
            <w:vAlign w:val="center"/>
          </w:tcPr>
          <w:p w14:paraId="167D8E4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A73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6A829DA">
            <w:pPr>
              <w:keepNext w:val="0"/>
              <w:keepLines w:val="0"/>
              <w:pageBreakBefore w:val="0"/>
              <w:widowControl w:val="0"/>
              <w:numPr>
                <w:ilvl w:val="0"/>
                <w:numId w:val="0"/>
              </w:numPr>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Cs/>
                <w:color w:val="auto"/>
                <w:sz w:val="21"/>
                <w:szCs w:val="21"/>
                <w:highlight w:val="none"/>
                <w:lang w:val="en-US" w:eastAsia="zh-CN"/>
              </w:rPr>
              <w:t>■1.5采样管长度比扬程多20米以上，输水管材质为聚四氟乙烯材质或具有聚四氟乙烯内衬的聚乙烯软管, 管线内径为0.5～1 cm；【</w:t>
            </w:r>
            <w:r>
              <w:rPr>
                <w:rFonts w:hint="eastAsia" w:ascii="宋体" w:hAnsi="宋体" w:cs="宋体"/>
                <w:bCs/>
                <w:color w:val="auto"/>
                <w:sz w:val="21"/>
                <w:szCs w:val="21"/>
                <w:highlight w:val="none"/>
                <w:lang w:val="en-US" w:eastAsia="zh-CN"/>
              </w:rPr>
              <w:t>正偏离：</w:t>
            </w:r>
            <w:r>
              <w:rPr>
                <w:rFonts w:hint="eastAsia" w:ascii="宋体" w:hAnsi="宋体" w:eastAsia="宋体" w:cs="宋体"/>
                <w:bCs/>
                <w:color w:val="auto"/>
                <w:sz w:val="21"/>
                <w:szCs w:val="21"/>
                <w:highlight w:val="none"/>
                <w:lang w:val="en-US" w:eastAsia="zh-CN"/>
              </w:rPr>
              <w:t>采样管长度</w:t>
            </w:r>
            <w:r>
              <w:rPr>
                <w:rFonts w:hint="eastAsia" w:ascii="宋体" w:hAnsi="宋体" w:cs="宋体"/>
                <w:bCs/>
                <w:color w:val="auto"/>
                <w:sz w:val="21"/>
                <w:szCs w:val="21"/>
                <w:highlight w:val="none"/>
                <w:lang w:val="en-US" w:eastAsia="zh-CN"/>
              </w:rPr>
              <w:t>、输水管材质、管线内径均符合参数要求；无偏离：</w:t>
            </w:r>
            <w:r>
              <w:rPr>
                <w:rFonts w:hint="eastAsia" w:ascii="宋体" w:hAnsi="宋体" w:eastAsia="宋体" w:cs="宋体"/>
                <w:bCs/>
                <w:color w:val="auto"/>
                <w:sz w:val="21"/>
                <w:szCs w:val="21"/>
                <w:highlight w:val="none"/>
                <w:lang w:val="en-US" w:eastAsia="zh-CN"/>
              </w:rPr>
              <w:t>采样管长度</w:t>
            </w:r>
            <w:r>
              <w:rPr>
                <w:rFonts w:hint="eastAsia" w:ascii="宋体" w:hAnsi="宋体" w:cs="宋体"/>
                <w:bCs/>
                <w:color w:val="auto"/>
                <w:sz w:val="21"/>
                <w:szCs w:val="21"/>
                <w:highlight w:val="none"/>
                <w:lang w:val="en-US" w:eastAsia="zh-CN"/>
              </w:rPr>
              <w:t>、输水管材质、管线内径仅部分符合参数要求</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投标时需提供产品彩页或有关证明材料并加盖投标人单位公章】</w:t>
            </w:r>
          </w:p>
        </w:tc>
        <w:tc>
          <w:tcPr>
            <w:tcW w:w="1501" w:type="dxa"/>
            <w:noWrap w:val="0"/>
            <w:vAlign w:val="center"/>
          </w:tcPr>
          <w:p w14:paraId="24F80DE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cs="宋体"/>
                <w:b w:val="0"/>
                <w:bCs w:val="0"/>
                <w:color w:val="auto"/>
                <w:sz w:val="21"/>
                <w:szCs w:val="21"/>
                <w:highlight w:val="none"/>
                <w:u w:val="none"/>
                <w:vertAlign w:val="baseline"/>
                <w:lang w:val="en-US" w:eastAsia="zh-CN" w:bidi="ar"/>
              </w:rPr>
              <w:t>重要</w:t>
            </w:r>
            <w:r>
              <w:rPr>
                <w:rFonts w:hint="eastAsia" w:ascii="宋体" w:hAnsi="宋体" w:eastAsia="宋体" w:cs="宋体"/>
                <w:b w:val="0"/>
                <w:bCs w:val="0"/>
                <w:color w:val="auto"/>
                <w:sz w:val="21"/>
                <w:szCs w:val="21"/>
                <w:highlight w:val="none"/>
                <w:u w:val="none"/>
                <w:vertAlign w:val="baseline"/>
                <w:lang w:val="en-US" w:eastAsia="zh-CN" w:bidi="ar"/>
              </w:rPr>
              <w:t>参数</w:t>
            </w:r>
          </w:p>
        </w:tc>
      </w:tr>
      <w:tr w14:paraId="33971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47442C6">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1.6电源：220V交流电源；</w:t>
            </w:r>
          </w:p>
        </w:tc>
        <w:tc>
          <w:tcPr>
            <w:tcW w:w="1501" w:type="dxa"/>
            <w:noWrap w:val="0"/>
            <w:vAlign w:val="center"/>
          </w:tcPr>
          <w:p w14:paraId="5206A295">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7B5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56B2C97">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1.7防护等级：不低于IP65；</w:t>
            </w:r>
          </w:p>
        </w:tc>
        <w:tc>
          <w:tcPr>
            <w:tcW w:w="1501" w:type="dxa"/>
            <w:noWrap w:val="0"/>
            <w:vAlign w:val="center"/>
          </w:tcPr>
          <w:p w14:paraId="21627985">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4E6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A8DF32C">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1.8满电电池容量≥3度电，功率≥1.5kw，锂电池，重量≤20kg；</w:t>
            </w:r>
          </w:p>
        </w:tc>
        <w:tc>
          <w:tcPr>
            <w:tcW w:w="1501" w:type="dxa"/>
            <w:noWrap w:val="0"/>
            <w:vAlign w:val="center"/>
          </w:tcPr>
          <w:p w14:paraId="46C62505">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3CA7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5E9A54D">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2.低流量采样泵</w:t>
            </w:r>
          </w:p>
        </w:tc>
        <w:tc>
          <w:tcPr>
            <w:tcW w:w="1501" w:type="dxa"/>
            <w:noWrap w:val="0"/>
            <w:vAlign w:val="center"/>
          </w:tcPr>
          <w:p w14:paraId="60CBFD0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397" w:name="_Toc9895"/>
            <w:bookmarkStart w:id="398" w:name="_Toc1706"/>
            <w:r>
              <w:rPr>
                <w:rFonts w:hint="eastAsia" w:ascii="宋体" w:hAnsi="宋体" w:eastAsia="宋体" w:cs="宋体"/>
                <w:b w:val="0"/>
                <w:bCs w:val="0"/>
                <w:color w:val="auto"/>
                <w:sz w:val="21"/>
                <w:szCs w:val="21"/>
                <w:highlight w:val="none"/>
                <w:u w:val="none"/>
                <w:vertAlign w:val="baseline"/>
                <w:lang w:val="en-US" w:eastAsia="zh-CN" w:bidi="ar"/>
              </w:rPr>
              <w:t>/</w:t>
            </w:r>
            <w:bookmarkEnd w:id="397"/>
            <w:bookmarkEnd w:id="398"/>
          </w:p>
        </w:tc>
      </w:tr>
      <w:tr w14:paraId="1CD6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1" w:type="dxa"/>
            <w:noWrap w:val="0"/>
            <w:vAlign w:val="center"/>
          </w:tcPr>
          <w:p w14:paraId="01780C34">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2.1潜水泵体：泵头直径≤50mm，泵体材质316不锈钢；</w:t>
            </w:r>
          </w:p>
        </w:tc>
        <w:tc>
          <w:tcPr>
            <w:tcW w:w="1501" w:type="dxa"/>
            <w:noWrap w:val="0"/>
            <w:vAlign w:val="center"/>
          </w:tcPr>
          <w:p w14:paraId="73B6A9A2">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258C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24517FC">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▲2.2扬程≥70米；【投标时需提供产品彩页或有关证明材料并加盖投标人单位公章】</w:t>
            </w:r>
          </w:p>
        </w:tc>
        <w:tc>
          <w:tcPr>
            <w:tcW w:w="1501" w:type="dxa"/>
            <w:noWrap w:val="0"/>
            <w:vAlign w:val="center"/>
          </w:tcPr>
          <w:p w14:paraId="4E51798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399" w:name="_Toc32153"/>
            <w:bookmarkStart w:id="400" w:name="_Toc29453"/>
            <w:r>
              <w:rPr>
                <w:rFonts w:hint="eastAsia" w:ascii="宋体" w:hAnsi="宋体" w:eastAsia="宋体" w:cs="宋体"/>
                <w:b w:val="0"/>
                <w:bCs w:val="0"/>
                <w:color w:val="auto"/>
                <w:sz w:val="21"/>
                <w:szCs w:val="21"/>
                <w:highlight w:val="none"/>
                <w:u w:val="none"/>
                <w:vertAlign w:val="baseline"/>
                <w:lang w:val="en-US" w:eastAsia="zh-CN" w:bidi="ar"/>
              </w:rPr>
              <w:t>实质性参数</w:t>
            </w:r>
            <w:bookmarkEnd w:id="399"/>
            <w:bookmarkEnd w:id="400"/>
          </w:p>
        </w:tc>
      </w:tr>
      <w:tr w14:paraId="19190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2D601D4">
            <w:pPr>
              <w:keepNext w:val="0"/>
              <w:keepLines w:val="0"/>
              <w:pageBreakBefore w:val="0"/>
              <w:widowControl w:val="0"/>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Cs/>
                <w:color w:val="auto"/>
                <w:sz w:val="21"/>
                <w:szCs w:val="21"/>
                <w:highlight w:val="none"/>
              </w:rPr>
              <w:t>■2.3流量控制至少满足流量范围：0.</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L/min～1L/min</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正偏离：</w:t>
            </w:r>
            <w:r>
              <w:rPr>
                <w:rFonts w:hint="eastAsia" w:ascii="宋体" w:hAnsi="宋体" w:eastAsia="宋体" w:cs="宋体"/>
                <w:bCs/>
                <w:color w:val="auto"/>
                <w:sz w:val="21"/>
                <w:szCs w:val="21"/>
                <w:highlight w:val="none"/>
              </w:rPr>
              <w:t>流量范围</w:t>
            </w:r>
            <w:r>
              <w:rPr>
                <w:rFonts w:hint="eastAsia" w:ascii="宋体" w:hAnsi="宋体" w:cs="宋体"/>
                <w:bCs/>
                <w:color w:val="auto"/>
                <w:sz w:val="21"/>
                <w:szCs w:val="21"/>
                <w:highlight w:val="none"/>
                <w:lang w:val="en-US" w:eastAsia="zh-CN"/>
              </w:rPr>
              <w:t>下限＜0.1</w:t>
            </w:r>
            <w:r>
              <w:rPr>
                <w:rFonts w:hint="eastAsia" w:ascii="宋体" w:hAnsi="宋体" w:eastAsia="宋体" w:cs="宋体"/>
                <w:bCs/>
                <w:color w:val="auto"/>
                <w:sz w:val="21"/>
                <w:szCs w:val="21"/>
                <w:highlight w:val="none"/>
              </w:rPr>
              <w:t>L/min</w:t>
            </w:r>
            <w:r>
              <w:rPr>
                <w:rFonts w:hint="eastAsia" w:ascii="宋体" w:hAnsi="宋体" w:cs="宋体"/>
                <w:bCs/>
                <w:color w:val="auto"/>
                <w:sz w:val="21"/>
                <w:szCs w:val="21"/>
                <w:highlight w:val="none"/>
                <w:lang w:val="en-US" w:eastAsia="zh-CN"/>
              </w:rPr>
              <w:t>且</w:t>
            </w:r>
            <w:r>
              <w:rPr>
                <w:rFonts w:hint="eastAsia" w:ascii="宋体" w:hAnsi="宋体" w:eastAsia="宋体" w:cs="宋体"/>
                <w:bCs/>
                <w:color w:val="auto"/>
                <w:sz w:val="21"/>
                <w:szCs w:val="21"/>
                <w:highlight w:val="none"/>
              </w:rPr>
              <w:t>流量范围</w:t>
            </w:r>
            <w:r>
              <w:rPr>
                <w:rFonts w:hint="eastAsia" w:ascii="宋体" w:hAnsi="宋体" w:cs="宋体"/>
                <w:bCs/>
                <w:color w:val="auto"/>
                <w:sz w:val="21"/>
                <w:szCs w:val="21"/>
                <w:highlight w:val="none"/>
                <w:lang w:val="en-US" w:eastAsia="zh-CN"/>
              </w:rPr>
              <w:t>上限＞</w:t>
            </w:r>
            <w:r>
              <w:rPr>
                <w:rFonts w:hint="eastAsia" w:ascii="宋体" w:hAnsi="宋体" w:eastAsia="宋体" w:cs="宋体"/>
                <w:bCs/>
                <w:color w:val="auto"/>
                <w:sz w:val="21"/>
                <w:szCs w:val="21"/>
                <w:highlight w:val="none"/>
              </w:rPr>
              <w:t>1L/min</w:t>
            </w:r>
            <w:r>
              <w:rPr>
                <w:rFonts w:hint="eastAsia" w:ascii="宋体" w:hAnsi="宋体" w:cs="宋体"/>
                <w:bCs/>
                <w:color w:val="auto"/>
                <w:sz w:val="21"/>
                <w:szCs w:val="21"/>
                <w:highlight w:val="none"/>
                <w:lang w:val="en-US" w:eastAsia="zh-CN"/>
              </w:rPr>
              <w:t>；无偏离：</w:t>
            </w:r>
            <w:r>
              <w:rPr>
                <w:rFonts w:hint="eastAsia" w:ascii="宋体" w:hAnsi="宋体" w:eastAsia="宋体" w:cs="宋体"/>
                <w:bCs/>
                <w:color w:val="auto"/>
                <w:sz w:val="21"/>
                <w:szCs w:val="21"/>
                <w:highlight w:val="none"/>
              </w:rPr>
              <w:t>流量范围</w:t>
            </w:r>
            <w:r>
              <w:rPr>
                <w:rFonts w:hint="eastAsia" w:ascii="宋体" w:hAnsi="宋体" w:cs="宋体"/>
                <w:bCs/>
                <w:color w:val="auto"/>
                <w:sz w:val="21"/>
                <w:szCs w:val="21"/>
                <w:highlight w:val="none"/>
                <w:lang w:val="en-US" w:eastAsia="zh-CN"/>
              </w:rPr>
              <w:t>下限≤0.1</w:t>
            </w:r>
            <w:r>
              <w:rPr>
                <w:rFonts w:hint="eastAsia" w:ascii="宋体" w:hAnsi="宋体" w:eastAsia="宋体" w:cs="宋体"/>
                <w:bCs/>
                <w:color w:val="auto"/>
                <w:sz w:val="21"/>
                <w:szCs w:val="21"/>
                <w:highlight w:val="none"/>
              </w:rPr>
              <w:t>L/min</w:t>
            </w:r>
            <w:r>
              <w:rPr>
                <w:rFonts w:hint="eastAsia" w:ascii="宋体" w:hAnsi="宋体" w:cs="宋体"/>
                <w:bCs/>
                <w:color w:val="auto"/>
                <w:sz w:val="21"/>
                <w:szCs w:val="21"/>
                <w:highlight w:val="none"/>
                <w:lang w:val="en-US" w:eastAsia="zh-CN"/>
              </w:rPr>
              <w:t>或</w:t>
            </w:r>
            <w:r>
              <w:rPr>
                <w:rFonts w:hint="eastAsia" w:ascii="宋体" w:hAnsi="宋体" w:eastAsia="宋体" w:cs="宋体"/>
                <w:bCs/>
                <w:color w:val="auto"/>
                <w:sz w:val="21"/>
                <w:szCs w:val="21"/>
                <w:highlight w:val="none"/>
              </w:rPr>
              <w:t>流量范围</w:t>
            </w:r>
            <w:r>
              <w:rPr>
                <w:rFonts w:hint="eastAsia" w:ascii="宋体" w:hAnsi="宋体" w:cs="宋体"/>
                <w:bCs/>
                <w:color w:val="auto"/>
                <w:sz w:val="21"/>
                <w:szCs w:val="21"/>
                <w:highlight w:val="none"/>
                <w:lang w:val="en-US" w:eastAsia="zh-CN"/>
              </w:rPr>
              <w:t>上限≥</w:t>
            </w:r>
            <w:r>
              <w:rPr>
                <w:rFonts w:hint="eastAsia" w:ascii="宋体" w:hAnsi="宋体" w:eastAsia="宋体" w:cs="宋体"/>
                <w:bCs/>
                <w:color w:val="auto"/>
                <w:sz w:val="21"/>
                <w:szCs w:val="21"/>
                <w:highlight w:val="none"/>
              </w:rPr>
              <w:t>1L/min</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投标时需提供产品彩页或有关证明材料并加盖投标人单位公章</w:t>
            </w:r>
            <w:r>
              <w:rPr>
                <w:rFonts w:hint="eastAsia" w:ascii="宋体" w:hAnsi="宋体" w:eastAsia="宋体" w:cs="宋体"/>
                <w:bCs/>
                <w:color w:val="auto"/>
                <w:sz w:val="21"/>
                <w:szCs w:val="21"/>
                <w:highlight w:val="none"/>
                <w:lang w:eastAsia="zh-CN"/>
              </w:rPr>
              <w:t>】</w:t>
            </w:r>
          </w:p>
        </w:tc>
        <w:tc>
          <w:tcPr>
            <w:tcW w:w="1501" w:type="dxa"/>
            <w:noWrap w:val="0"/>
            <w:vAlign w:val="center"/>
          </w:tcPr>
          <w:p w14:paraId="757AC13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cs="宋体"/>
                <w:b w:val="0"/>
                <w:bCs w:val="0"/>
                <w:color w:val="auto"/>
                <w:sz w:val="21"/>
                <w:szCs w:val="21"/>
                <w:highlight w:val="none"/>
                <w:u w:val="none"/>
                <w:vertAlign w:val="baseline"/>
                <w:lang w:val="en-US" w:eastAsia="zh-CN" w:bidi="ar"/>
              </w:rPr>
              <w:t>重要</w:t>
            </w:r>
            <w:r>
              <w:rPr>
                <w:rFonts w:hint="eastAsia" w:ascii="宋体" w:hAnsi="宋体" w:eastAsia="宋体" w:cs="宋体"/>
                <w:b w:val="0"/>
                <w:bCs w:val="0"/>
                <w:color w:val="auto"/>
                <w:sz w:val="21"/>
                <w:szCs w:val="21"/>
                <w:highlight w:val="none"/>
                <w:u w:val="none"/>
                <w:vertAlign w:val="baseline"/>
                <w:lang w:val="en-US" w:eastAsia="zh-CN" w:bidi="ar"/>
              </w:rPr>
              <w:t>参数</w:t>
            </w:r>
          </w:p>
        </w:tc>
      </w:tr>
      <w:tr w14:paraId="2FF5F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4889B52">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2.4输水管材质为聚四氟乙烯材质或具有聚四氟乙烯内衬的聚乙烯软管，管线内径0.5～1 cm；</w:t>
            </w:r>
          </w:p>
        </w:tc>
        <w:tc>
          <w:tcPr>
            <w:tcW w:w="1501" w:type="dxa"/>
            <w:noWrap w:val="0"/>
            <w:vAlign w:val="center"/>
          </w:tcPr>
          <w:p w14:paraId="39ADB859">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4E6D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1861C2D">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2.5电源：220V交流电源；</w:t>
            </w:r>
          </w:p>
        </w:tc>
        <w:tc>
          <w:tcPr>
            <w:tcW w:w="1501" w:type="dxa"/>
            <w:noWrap w:val="0"/>
            <w:vAlign w:val="center"/>
          </w:tcPr>
          <w:p w14:paraId="730FD93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101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0B0FF17">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2.6防护等级：不低于IP65；</w:t>
            </w:r>
          </w:p>
        </w:tc>
        <w:tc>
          <w:tcPr>
            <w:tcW w:w="1501" w:type="dxa"/>
            <w:noWrap w:val="0"/>
            <w:vAlign w:val="center"/>
          </w:tcPr>
          <w:p w14:paraId="3307FEE2">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3A09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3165D3E">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2.7钢丝绳、电缆及采样管长度均比扬程多20米。</w:t>
            </w:r>
          </w:p>
        </w:tc>
        <w:tc>
          <w:tcPr>
            <w:tcW w:w="1501" w:type="dxa"/>
            <w:noWrap w:val="0"/>
            <w:vAlign w:val="center"/>
          </w:tcPr>
          <w:p w14:paraId="0A682E52">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6EF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5C6F45E">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3.洗井泵</w:t>
            </w:r>
          </w:p>
        </w:tc>
        <w:tc>
          <w:tcPr>
            <w:tcW w:w="1501" w:type="dxa"/>
            <w:noWrap w:val="0"/>
            <w:vAlign w:val="center"/>
          </w:tcPr>
          <w:p w14:paraId="4715A94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01" w:name="_Toc19317"/>
            <w:bookmarkStart w:id="402" w:name="_Toc17993"/>
            <w:r>
              <w:rPr>
                <w:rFonts w:hint="eastAsia" w:ascii="宋体" w:hAnsi="宋体" w:eastAsia="宋体" w:cs="宋体"/>
                <w:b w:val="0"/>
                <w:bCs w:val="0"/>
                <w:color w:val="auto"/>
                <w:sz w:val="21"/>
                <w:szCs w:val="21"/>
                <w:highlight w:val="none"/>
                <w:u w:val="none"/>
                <w:vertAlign w:val="baseline"/>
                <w:lang w:val="en-US" w:eastAsia="zh-CN" w:bidi="ar"/>
              </w:rPr>
              <w:t>/</w:t>
            </w:r>
            <w:bookmarkEnd w:id="401"/>
            <w:bookmarkEnd w:id="402"/>
          </w:p>
        </w:tc>
      </w:tr>
      <w:tr w14:paraId="7F76C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A9959CA">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3.1潜水泵体：泵头直径≤50mm，泵体材质316不锈钢；</w:t>
            </w:r>
          </w:p>
        </w:tc>
        <w:tc>
          <w:tcPr>
            <w:tcW w:w="1501" w:type="dxa"/>
            <w:noWrap w:val="0"/>
            <w:vAlign w:val="center"/>
          </w:tcPr>
          <w:p w14:paraId="6508021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4A62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5574019">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▲3.2扬程≥75米；【投标时需提供产品彩页或有关证明材料并加盖投标人单位公章】</w:t>
            </w:r>
          </w:p>
        </w:tc>
        <w:tc>
          <w:tcPr>
            <w:tcW w:w="1501" w:type="dxa"/>
            <w:noWrap w:val="0"/>
            <w:vAlign w:val="center"/>
          </w:tcPr>
          <w:p w14:paraId="0B40BEBB">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03" w:name="_Toc26121"/>
            <w:bookmarkStart w:id="404" w:name="_Toc6691"/>
            <w:r>
              <w:rPr>
                <w:rFonts w:hint="eastAsia" w:ascii="宋体" w:hAnsi="宋体" w:eastAsia="宋体" w:cs="宋体"/>
                <w:b w:val="0"/>
                <w:bCs w:val="0"/>
                <w:color w:val="auto"/>
                <w:sz w:val="21"/>
                <w:szCs w:val="21"/>
                <w:highlight w:val="none"/>
                <w:u w:val="none"/>
                <w:vertAlign w:val="baseline"/>
                <w:lang w:val="en-US" w:eastAsia="zh-CN" w:bidi="ar"/>
              </w:rPr>
              <w:t>实质性参数</w:t>
            </w:r>
            <w:bookmarkEnd w:id="403"/>
            <w:bookmarkEnd w:id="404"/>
          </w:p>
        </w:tc>
      </w:tr>
      <w:tr w14:paraId="2B93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4FC94D6">
            <w:pPr>
              <w:keepNext w:val="0"/>
              <w:keepLines w:val="0"/>
              <w:pageBreakBefore w:val="0"/>
              <w:widowControl w:val="0"/>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Cs/>
                <w:color w:val="auto"/>
                <w:sz w:val="21"/>
                <w:szCs w:val="21"/>
                <w:highlight w:val="none"/>
                <w:lang w:val="en-US" w:eastAsia="zh-CN"/>
              </w:rPr>
              <w:t>■3.3流量控制至少满足流量范围：1L/min～30L/min；【</w:t>
            </w:r>
            <w:r>
              <w:rPr>
                <w:rFonts w:hint="eastAsia" w:ascii="宋体" w:hAnsi="宋体" w:cs="宋体"/>
                <w:bCs/>
                <w:color w:val="auto"/>
                <w:sz w:val="21"/>
                <w:szCs w:val="21"/>
                <w:highlight w:val="none"/>
                <w:lang w:val="en-US" w:eastAsia="zh-CN"/>
              </w:rPr>
              <w:t>正偏离：</w:t>
            </w:r>
            <w:r>
              <w:rPr>
                <w:rFonts w:hint="eastAsia" w:ascii="宋体" w:hAnsi="宋体" w:eastAsia="宋体" w:cs="宋体"/>
                <w:bCs/>
                <w:color w:val="auto"/>
                <w:sz w:val="21"/>
                <w:szCs w:val="21"/>
                <w:highlight w:val="none"/>
              </w:rPr>
              <w:t>流量范围</w:t>
            </w:r>
            <w:r>
              <w:rPr>
                <w:rFonts w:hint="eastAsia" w:ascii="宋体" w:hAnsi="宋体" w:cs="宋体"/>
                <w:bCs/>
                <w:color w:val="auto"/>
                <w:sz w:val="21"/>
                <w:szCs w:val="21"/>
                <w:highlight w:val="none"/>
                <w:lang w:val="en-US" w:eastAsia="zh-CN"/>
              </w:rPr>
              <w:t>下限＜1</w:t>
            </w:r>
            <w:r>
              <w:rPr>
                <w:rFonts w:hint="eastAsia" w:ascii="宋体" w:hAnsi="宋体" w:eastAsia="宋体" w:cs="宋体"/>
                <w:bCs/>
                <w:color w:val="auto"/>
                <w:sz w:val="21"/>
                <w:szCs w:val="21"/>
                <w:highlight w:val="none"/>
              </w:rPr>
              <w:t>L/min</w:t>
            </w:r>
            <w:r>
              <w:rPr>
                <w:rFonts w:hint="eastAsia" w:ascii="宋体" w:hAnsi="宋体" w:cs="宋体"/>
                <w:bCs/>
                <w:color w:val="auto"/>
                <w:sz w:val="21"/>
                <w:szCs w:val="21"/>
                <w:highlight w:val="none"/>
                <w:lang w:val="en-US" w:eastAsia="zh-CN"/>
              </w:rPr>
              <w:t>且</w:t>
            </w:r>
            <w:r>
              <w:rPr>
                <w:rFonts w:hint="eastAsia" w:ascii="宋体" w:hAnsi="宋体" w:eastAsia="宋体" w:cs="宋体"/>
                <w:bCs/>
                <w:color w:val="auto"/>
                <w:sz w:val="21"/>
                <w:szCs w:val="21"/>
                <w:highlight w:val="none"/>
              </w:rPr>
              <w:t>流量范围</w:t>
            </w:r>
            <w:r>
              <w:rPr>
                <w:rFonts w:hint="eastAsia" w:ascii="宋体" w:hAnsi="宋体" w:cs="宋体"/>
                <w:bCs/>
                <w:color w:val="auto"/>
                <w:sz w:val="21"/>
                <w:szCs w:val="21"/>
                <w:highlight w:val="none"/>
                <w:lang w:val="en-US" w:eastAsia="zh-CN"/>
              </w:rPr>
              <w:t>上限＞30</w:t>
            </w:r>
            <w:r>
              <w:rPr>
                <w:rFonts w:hint="eastAsia" w:ascii="宋体" w:hAnsi="宋体" w:eastAsia="宋体" w:cs="宋体"/>
                <w:bCs/>
                <w:color w:val="auto"/>
                <w:sz w:val="21"/>
                <w:szCs w:val="21"/>
                <w:highlight w:val="none"/>
              </w:rPr>
              <w:t>L/min</w:t>
            </w:r>
            <w:r>
              <w:rPr>
                <w:rFonts w:hint="eastAsia" w:ascii="宋体" w:hAnsi="宋体" w:cs="宋体"/>
                <w:bCs/>
                <w:color w:val="auto"/>
                <w:sz w:val="21"/>
                <w:szCs w:val="21"/>
                <w:highlight w:val="none"/>
                <w:lang w:val="en-US" w:eastAsia="zh-CN"/>
              </w:rPr>
              <w:t>；无偏离：</w:t>
            </w:r>
            <w:r>
              <w:rPr>
                <w:rFonts w:hint="eastAsia" w:ascii="宋体" w:hAnsi="宋体" w:eastAsia="宋体" w:cs="宋体"/>
                <w:bCs/>
                <w:color w:val="auto"/>
                <w:sz w:val="21"/>
                <w:szCs w:val="21"/>
                <w:highlight w:val="none"/>
              </w:rPr>
              <w:t>流量范围</w:t>
            </w:r>
            <w:r>
              <w:rPr>
                <w:rFonts w:hint="eastAsia" w:ascii="宋体" w:hAnsi="宋体" w:cs="宋体"/>
                <w:bCs/>
                <w:color w:val="auto"/>
                <w:sz w:val="21"/>
                <w:szCs w:val="21"/>
                <w:highlight w:val="none"/>
                <w:lang w:val="en-US" w:eastAsia="zh-CN"/>
              </w:rPr>
              <w:t>下限≤1</w:t>
            </w:r>
            <w:r>
              <w:rPr>
                <w:rFonts w:hint="eastAsia" w:ascii="宋体" w:hAnsi="宋体" w:eastAsia="宋体" w:cs="宋体"/>
                <w:bCs/>
                <w:color w:val="auto"/>
                <w:sz w:val="21"/>
                <w:szCs w:val="21"/>
                <w:highlight w:val="none"/>
              </w:rPr>
              <w:t>L/min</w:t>
            </w:r>
            <w:r>
              <w:rPr>
                <w:rFonts w:hint="eastAsia" w:ascii="宋体" w:hAnsi="宋体" w:cs="宋体"/>
                <w:bCs/>
                <w:color w:val="auto"/>
                <w:sz w:val="21"/>
                <w:szCs w:val="21"/>
                <w:highlight w:val="none"/>
                <w:lang w:val="en-US" w:eastAsia="zh-CN"/>
              </w:rPr>
              <w:t>或</w:t>
            </w:r>
            <w:r>
              <w:rPr>
                <w:rFonts w:hint="eastAsia" w:ascii="宋体" w:hAnsi="宋体" w:eastAsia="宋体" w:cs="宋体"/>
                <w:bCs/>
                <w:color w:val="auto"/>
                <w:sz w:val="21"/>
                <w:szCs w:val="21"/>
                <w:highlight w:val="none"/>
              </w:rPr>
              <w:t>流量范围</w:t>
            </w:r>
            <w:r>
              <w:rPr>
                <w:rFonts w:hint="eastAsia" w:ascii="宋体" w:hAnsi="宋体" w:cs="宋体"/>
                <w:bCs/>
                <w:color w:val="auto"/>
                <w:sz w:val="21"/>
                <w:szCs w:val="21"/>
                <w:highlight w:val="none"/>
                <w:lang w:val="en-US" w:eastAsia="zh-CN"/>
              </w:rPr>
              <w:t>上限≥30</w:t>
            </w:r>
            <w:r>
              <w:rPr>
                <w:rFonts w:hint="eastAsia" w:ascii="宋体" w:hAnsi="宋体" w:eastAsia="宋体" w:cs="宋体"/>
                <w:bCs/>
                <w:color w:val="auto"/>
                <w:sz w:val="21"/>
                <w:szCs w:val="21"/>
                <w:highlight w:val="none"/>
              </w:rPr>
              <w:t>L/min</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投标时需提供产品彩页或有关证明材料并加盖投标人单位公章】</w:t>
            </w:r>
          </w:p>
        </w:tc>
        <w:tc>
          <w:tcPr>
            <w:tcW w:w="1501" w:type="dxa"/>
            <w:noWrap w:val="0"/>
            <w:vAlign w:val="center"/>
          </w:tcPr>
          <w:p w14:paraId="4D7C65C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cs="宋体"/>
                <w:b w:val="0"/>
                <w:bCs w:val="0"/>
                <w:color w:val="auto"/>
                <w:sz w:val="21"/>
                <w:szCs w:val="21"/>
                <w:highlight w:val="none"/>
                <w:u w:val="none"/>
                <w:vertAlign w:val="baseline"/>
                <w:lang w:val="en-US" w:eastAsia="zh-CN" w:bidi="ar"/>
              </w:rPr>
              <w:t>重要</w:t>
            </w:r>
            <w:r>
              <w:rPr>
                <w:rFonts w:hint="eastAsia" w:ascii="宋体" w:hAnsi="宋体" w:eastAsia="宋体" w:cs="宋体"/>
                <w:b w:val="0"/>
                <w:bCs w:val="0"/>
                <w:color w:val="auto"/>
                <w:sz w:val="21"/>
                <w:szCs w:val="21"/>
                <w:highlight w:val="none"/>
                <w:u w:val="none"/>
                <w:vertAlign w:val="baseline"/>
                <w:lang w:val="en-US" w:eastAsia="zh-CN" w:bidi="ar"/>
              </w:rPr>
              <w:t>参数</w:t>
            </w:r>
          </w:p>
        </w:tc>
      </w:tr>
      <w:tr w14:paraId="7088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6627604">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3.4电源：220V交流电源；</w:t>
            </w:r>
          </w:p>
        </w:tc>
        <w:tc>
          <w:tcPr>
            <w:tcW w:w="1501" w:type="dxa"/>
            <w:noWrap w:val="0"/>
            <w:vAlign w:val="center"/>
          </w:tcPr>
          <w:p w14:paraId="76D1B9E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7854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2793283">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3.5防护等级：不低于IP65；</w:t>
            </w:r>
          </w:p>
        </w:tc>
        <w:tc>
          <w:tcPr>
            <w:tcW w:w="1501" w:type="dxa"/>
            <w:noWrap w:val="0"/>
            <w:vAlign w:val="center"/>
          </w:tcPr>
          <w:p w14:paraId="5996EFD9">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4DBD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4AA8AA9">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3.6三角支架高度可调，最大展开高度≥1.5米；</w:t>
            </w:r>
          </w:p>
        </w:tc>
        <w:tc>
          <w:tcPr>
            <w:tcW w:w="1501" w:type="dxa"/>
            <w:noWrap w:val="0"/>
            <w:vAlign w:val="center"/>
          </w:tcPr>
          <w:p w14:paraId="64D329B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119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EBABCFA">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3.7钢丝绳、电缆及出水管长度均比扬程多20米；</w:t>
            </w:r>
          </w:p>
        </w:tc>
        <w:tc>
          <w:tcPr>
            <w:tcW w:w="1501" w:type="dxa"/>
            <w:noWrap w:val="0"/>
            <w:vAlign w:val="center"/>
          </w:tcPr>
          <w:p w14:paraId="7FD584F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3847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BA21282">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4.多参数水质监测仪</w:t>
            </w:r>
          </w:p>
        </w:tc>
        <w:tc>
          <w:tcPr>
            <w:tcW w:w="1501" w:type="dxa"/>
            <w:noWrap w:val="0"/>
            <w:vAlign w:val="center"/>
          </w:tcPr>
          <w:p w14:paraId="3F72ABAB">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05" w:name="_Toc6879"/>
            <w:bookmarkStart w:id="406" w:name="_Toc4420"/>
            <w:r>
              <w:rPr>
                <w:rFonts w:hint="eastAsia" w:ascii="宋体" w:hAnsi="宋体" w:eastAsia="宋体" w:cs="宋体"/>
                <w:b w:val="0"/>
                <w:bCs w:val="0"/>
                <w:color w:val="auto"/>
                <w:sz w:val="21"/>
                <w:szCs w:val="21"/>
                <w:highlight w:val="none"/>
                <w:u w:val="none"/>
                <w:vertAlign w:val="baseline"/>
                <w:lang w:val="en-US" w:eastAsia="zh-CN" w:bidi="ar"/>
              </w:rPr>
              <w:t>/</w:t>
            </w:r>
            <w:bookmarkEnd w:id="405"/>
            <w:bookmarkEnd w:id="406"/>
          </w:p>
        </w:tc>
      </w:tr>
      <w:tr w14:paraId="1312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E5A18F1">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4.1主要用途：适用于地下水中 pH 值、电导率、溶解氧、氧化还原电位、水温、浊度的测定；</w:t>
            </w:r>
          </w:p>
        </w:tc>
        <w:tc>
          <w:tcPr>
            <w:tcW w:w="1501" w:type="dxa"/>
            <w:noWrap w:val="0"/>
            <w:vAlign w:val="center"/>
          </w:tcPr>
          <w:p w14:paraId="1BB8026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619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260707E">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▲4.2 功能要求：在采样的同时可以实时对所采样品进行常规参数分析，配备低速洗井软件，可自动设置稳定参数及稳定范围，并通过指标动态，自动记录对比数据，并判断洗井是否完成；【投标时需提供操作软件界面截图或照片并加盖投标人单位公章】</w:t>
            </w:r>
          </w:p>
        </w:tc>
        <w:tc>
          <w:tcPr>
            <w:tcW w:w="1501" w:type="dxa"/>
            <w:noWrap w:val="0"/>
            <w:vAlign w:val="center"/>
          </w:tcPr>
          <w:p w14:paraId="19DA6D2B">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07" w:name="_Toc23080"/>
            <w:bookmarkStart w:id="408" w:name="_Toc12034"/>
            <w:r>
              <w:rPr>
                <w:rFonts w:hint="eastAsia" w:ascii="宋体" w:hAnsi="宋体" w:eastAsia="宋体" w:cs="宋体"/>
                <w:b w:val="0"/>
                <w:bCs w:val="0"/>
                <w:color w:val="auto"/>
                <w:sz w:val="21"/>
                <w:szCs w:val="21"/>
                <w:highlight w:val="none"/>
                <w:u w:val="none"/>
                <w:vertAlign w:val="baseline"/>
                <w:lang w:val="en-US" w:eastAsia="zh-CN" w:bidi="ar"/>
              </w:rPr>
              <w:t>实质性参数</w:t>
            </w:r>
            <w:bookmarkEnd w:id="407"/>
            <w:bookmarkEnd w:id="408"/>
          </w:p>
        </w:tc>
      </w:tr>
      <w:tr w14:paraId="3031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8D38578">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▲4.3 传感器尺寸：所有传感器集于一体，全部传感器集成后的探头直径≤7.5cm，货物交付时需提供探头检测仪校准证书；【投标时需提供拟配置装置清单列表及照片图片】</w:t>
            </w:r>
          </w:p>
        </w:tc>
        <w:tc>
          <w:tcPr>
            <w:tcW w:w="1501" w:type="dxa"/>
            <w:noWrap w:val="0"/>
            <w:vAlign w:val="center"/>
          </w:tcPr>
          <w:p w14:paraId="6FE0483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09" w:name="_Toc12446"/>
            <w:bookmarkStart w:id="410" w:name="_Toc7333"/>
            <w:r>
              <w:rPr>
                <w:rFonts w:hint="eastAsia" w:ascii="宋体" w:hAnsi="宋体" w:eastAsia="宋体" w:cs="宋体"/>
                <w:b w:val="0"/>
                <w:bCs w:val="0"/>
                <w:color w:val="auto"/>
                <w:sz w:val="21"/>
                <w:szCs w:val="21"/>
                <w:highlight w:val="none"/>
                <w:u w:val="none"/>
                <w:vertAlign w:val="baseline"/>
                <w:lang w:val="en-US" w:eastAsia="zh-CN" w:bidi="ar"/>
              </w:rPr>
              <w:t>实质性参数</w:t>
            </w:r>
            <w:bookmarkEnd w:id="409"/>
            <w:bookmarkEnd w:id="410"/>
          </w:p>
        </w:tc>
      </w:tr>
      <w:tr w14:paraId="248C8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2A2B6C1">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4.4显示终端与传感器之间通过无线蓝牙连接，通过专业应用软件，方便数据采集，传输和管理，并在终端显示；</w:t>
            </w:r>
          </w:p>
        </w:tc>
        <w:tc>
          <w:tcPr>
            <w:tcW w:w="1501" w:type="dxa"/>
            <w:noWrap w:val="0"/>
            <w:vAlign w:val="center"/>
          </w:tcPr>
          <w:p w14:paraId="01B2137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98C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4B0E250">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4.5 防护等级：IP67 及以上；</w:t>
            </w:r>
          </w:p>
        </w:tc>
        <w:tc>
          <w:tcPr>
            <w:tcW w:w="1501" w:type="dxa"/>
            <w:noWrap w:val="0"/>
            <w:vAlign w:val="center"/>
          </w:tcPr>
          <w:p w14:paraId="302889D4">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7E7F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AFD8ECD">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▲4.6 温度传感器规格：范围0-45℃，准确度≤±0.2℃，分辨率≤0.1℃；【投标时需提供产品彩页或有关证明材料并加盖投标人单位公章】</w:t>
            </w:r>
          </w:p>
        </w:tc>
        <w:tc>
          <w:tcPr>
            <w:tcW w:w="1501" w:type="dxa"/>
            <w:noWrap w:val="0"/>
            <w:vAlign w:val="center"/>
          </w:tcPr>
          <w:p w14:paraId="4FD1F38C">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11" w:name="_Toc22496"/>
            <w:bookmarkStart w:id="412" w:name="_Toc23683"/>
            <w:r>
              <w:rPr>
                <w:rFonts w:hint="eastAsia" w:ascii="宋体" w:hAnsi="宋体" w:eastAsia="宋体" w:cs="宋体"/>
                <w:b w:val="0"/>
                <w:bCs w:val="0"/>
                <w:color w:val="auto"/>
                <w:sz w:val="21"/>
                <w:szCs w:val="21"/>
                <w:highlight w:val="none"/>
                <w:u w:val="none"/>
                <w:vertAlign w:val="baseline"/>
                <w:lang w:val="en-US" w:eastAsia="zh-CN" w:bidi="ar"/>
              </w:rPr>
              <w:t>实质性参数</w:t>
            </w:r>
            <w:bookmarkEnd w:id="411"/>
            <w:bookmarkEnd w:id="412"/>
          </w:p>
        </w:tc>
      </w:tr>
      <w:tr w14:paraId="4EF0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893C49D">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▲4.7 溶解氧传感器规格：范围0-20mg/L。 准确度≤±0.3mg/L。分辨率≤0.01mg/L；【投标时需提供产品彩页或有关证明材料并加盖投标人单位公章】</w:t>
            </w:r>
          </w:p>
        </w:tc>
        <w:tc>
          <w:tcPr>
            <w:tcW w:w="1501" w:type="dxa"/>
            <w:noWrap w:val="0"/>
            <w:vAlign w:val="center"/>
          </w:tcPr>
          <w:p w14:paraId="335557B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13" w:name="_Toc23912"/>
            <w:bookmarkStart w:id="414" w:name="_Toc30532"/>
            <w:r>
              <w:rPr>
                <w:rFonts w:hint="eastAsia" w:ascii="宋体" w:hAnsi="宋体" w:eastAsia="宋体" w:cs="宋体"/>
                <w:b w:val="0"/>
                <w:bCs w:val="0"/>
                <w:color w:val="auto"/>
                <w:sz w:val="21"/>
                <w:szCs w:val="21"/>
                <w:highlight w:val="none"/>
                <w:u w:val="none"/>
                <w:vertAlign w:val="baseline"/>
                <w:lang w:val="en-US" w:eastAsia="zh-CN" w:bidi="ar"/>
              </w:rPr>
              <w:t>实质性参数</w:t>
            </w:r>
            <w:bookmarkEnd w:id="413"/>
            <w:bookmarkEnd w:id="414"/>
          </w:p>
        </w:tc>
      </w:tr>
      <w:tr w14:paraId="1CFA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4635AE0">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▲4.8电导率传感器规格：范围0-100mS/cm； 准确度≤读数的±1％；分辨率≤0.01mS/cm；附有温度补偿装置；【投标时需提供产品彩页或有关证明材料并加盖投标人单位公章】</w:t>
            </w:r>
          </w:p>
        </w:tc>
        <w:tc>
          <w:tcPr>
            <w:tcW w:w="1501" w:type="dxa"/>
            <w:noWrap w:val="0"/>
            <w:vAlign w:val="center"/>
          </w:tcPr>
          <w:p w14:paraId="393B66DB">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15" w:name="_Toc22034"/>
            <w:bookmarkStart w:id="416" w:name="_Toc28851"/>
            <w:r>
              <w:rPr>
                <w:rFonts w:hint="eastAsia" w:ascii="宋体" w:hAnsi="宋体" w:eastAsia="宋体" w:cs="宋体"/>
                <w:b w:val="0"/>
                <w:bCs w:val="0"/>
                <w:color w:val="auto"/>
                <w:sz w:val="21"/>
                <w:szCs w:val="21"/>
                <w:highlight w:val="none"/>
                <w:u w:val="none"/>
                <w:vertAlign w:val="baseline"/>
                <w:lang w:val="en-US" w:eastAsia="zh-CN" w:bidi="ar"/>
              </w:rPr>
              <w:t>实质性参数</w:t>
            </w:r>
            <w:bookmarkEnd w:id="415"/>
            <w:bookmarkEnd w:id="416"/>
          </w:p>
        </w:tc>
      </w:tr>
      <w:tr w14:paraId="6416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031A28B">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▲4.9pH 值传感器规格：测定范围0-14，准确度≤±0.1pH，分辨率≤0.01pH；附有温度补偿装置；【投标时需提供产品彩页或有关证明材料并加盖投标人单位公章】</w:t>
            </w:r>
          </w:p>
        </w:tc>
        <w:tc>
          <w:tcPr>
            <w:tcW w:w="1501" w:type="dxa"/>
            <w:noWrap w:val="0"/>
            <w:vAlign w:val="center"/>
          </w:tcPr>
          <w:p w14:paraId="69ABA54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17" w:name="_Toc1014"/>
            <w:bookmarkStart w:id="418" w:name="_Toc5958"/>
            <w:r>
              <w:rPr>
                <w:rFonts w:hint="eastAsia" w:ascii="宋体" w:hAnsi="宋体" w:eastAsia="宋体" w:cs="宋体"/>
                <w:b w:val="0"/>
                <w:bCs w:val="0"/>
                <w:color w:val="auto"/>
                <w:sz w:val="21"/>
                <w:szCs w:val="21"/>
                <w:highlight w:val="none"/>
                <w:u w:val="none"/>
                <w:vertAlign w:val="baseline"/>
                <w:lang w:val="en-US" w:eastAsia="zh-CN" w:bidi="ar"/>
              </w:rPr>
              <w:t>实质性参数</w:t>
            </w:r>
            <w:bookmarkEnd w:id="417"/>
            <w:bookmarkEnd w:id="418"/>
          </w:p>
        </w:tc>
      </w:tr>
      <w:tr w14:paraId="78BC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DEBF0EC">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▲4.10 浊度探头自带清洁刷，具有自清洁功能。浊度传感器规格：范围0.3～1000NTU。准确度≤读数的±2%或±2NTU（取较大者）。分辨率≤0.1NTU；【投标时需提供产品彩页或有关证明材料并加盖投标人单位公章】</w:t>
            </w:r>
          </w:p>
        </w:tc>
        <w:tc>
          <w:tcPr>
            <w:tcW w:w="1501" w:type="dxa"/>
            <w:noWrap w:val="0"/>
            <w:vAlign w:val="center"/>
          </w:tcPr>
          <w:p w14:paraId="18E90CA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19" w:name="_Toc21713"/>
            <w:bookmarkStart w:id="420" w:name="_Toc24028"/>
            <w:r>
              <w:rPr>
                <w:rFonts w:hint="eastAsia" w:ascii="宋体" w:hAnsi="宋体" w:eastAsia="宋体" w:cs="宋体"/>
                <w:b w:val="0"/>
                <w:bCs w:val="0"/>
                <w:color w:val="auto"/>
                <w:sz w:val="21"/>
                <w:szCs w:val="21"/>
                <w:highlight w:val="none"/>
                <w:u w:val="none"/>
                <w:vertAlign w:val="baseline"/>
                <w:lang w:val="en-US" w:eastAsia="zh-CN" w:bidi="ar"/>
              </w:rPr>
              <w:t>实质性参数</w:t>
            </w:r>
            <w:bookmarkEnd w:id="419"/>
            <w:bookmarkEnd w:id="420"/>
          </w:p>
        </w:tc>
      </w:tr>
      <w:tr w14:paraId="768A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C8C5836">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▲4.11 ORP传感器规格：范围±999mV；准确度≤±20mV；分辨率≤1mV；【投标时需提供产品彩页或有关证明材料并加盖投标人单位公章】</w:t>
            </w:r>
          </w:p>
        </w:tc>
        <w:tc>
          <w:tcPr>
            <w:tcW w:w="1501" w:type="dxa"/>
            <w:noWrap w:val="0"/>
            <w:vAlign w:val="center"/>
          </w:tcPr>
          <w:p w14:paraId="32576479">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21" w:name="_Toc16986"/>
            <w:bookmarkStart w:id="422" w:name="_Toc11291"/>
            <w:r>
              <w:rPr>
                <w:rFonts w:hint="eastAsia" w:ascii="宋体" w:hAnsi="宋体" w:eastAsia="宋体" w:cs="宋体"/>
                <w:b w:val="0"/>
                <w:bCs w:val="0"/>
                <w:color w:val="auto"/>
                <w:sz w:val="21"/>
                <w:szCs w:val="21"/>
                <w:highlight w:val="none"/>
                <w:u w:val="none"/>
                <w:vertAlign w:val="baseline"/>
                <w:lang w:val="en-US" w:eastAsia="zh-CN" w:bidi="ar"/>
              </w:rPr>
              <w:t>实质性参数</w:t>
            </w:r>
            <w:bookmarkEnd w:id="421"/>
            <w:bookmarkEnd w:id="422"/>
          </w:p>
        </w:tc>
      </w:tr>
      <w:tr w14:paraId="37F7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CF8CB51">
            <w:pPr>
              <w:keepNext w:val="0"/>
              <w:keepLines w:val="0"/>
              <w:pageBreakBefore w:val="0"/>
              <w:widowControl w:val="0"/>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Cs/>
                <w:color w:val="auto"/>
                <w:sz w:val="21"/>
                <w:szCs w:val="21"/>
                <w:highlight w:val="none"/>
                <w:lang w:val="en-US" w:eastAsia="zh-CN"/>
              </w:rPr>
              <w:t>■4.12 带有多参数水质流通池，传感器可搭配流通池工作；【</w:t>
            </w:r>
            <w:r>
              <w:rPr>
                <w:rFonts w:hint="eastAsia" w:ascii="宋体" w:hAnsi="宋体" w:cs="宋体"/>
                <w:bCs/>
                <w:color w:val="auto"/>
                <w:sz w:val="21"/>
                <w:szCs w:val="21"/>
                <w:highlight w:val="none"/>
                <w:lang w:val="en-US" w:eastAsia="zh-CN"/>
              </w:rPr>
              <w:t>正偏离：</w:t>
            </w:r>
            <w:r>
              <w:rPr>
                <w:rFonts w:hint="eastAsia" w:ascii="宋体" w:hAnsi="宋体" w:eastAsia="宋体" w:cs="宋体"/>
                <w:bCs/>
                <w:color w:val="auto"/>
                <w:sz w:val="21"/>
                <w:szCs w:val="21"/>
                <w:highlight w:val="none"/>
                <w:lang w:val="en-US" w:eastAsia="zh-CN"/>
              </w:rPr>
              <w:t>流通池</w:t>
            </w:r>
            <w:r>
              <w:rPr>
                <w:rFonts w:hint="eastAsia" w:ascii="宋体" w:hAnsi="宋体" w:cs="宋体"/>
                <w:bCs/>
                <w:color w:val="auto"/>
                <w:sz w:val="21"/>
                <w:szCs w:val="21"/>
                <w:highlight w:val="none"/>
                <w:lang w:val="en-US" w:eastAsia="zh-CN"/>
              </w:rPr>
              <w:t>可同时搭载6个以上</w:t>
            </w:r>
            <w:r>
              <w:rPr>
                <w:rFonts w:hint="eastAsia" w:ascii="宋体" w:hAnsi="宋体" w:eastAsia="宋体" w:cs="宋体"/>
                <w:bCs/>
                <w:color w:val="auto"/>
                <w:sz w:val="21"/>
                <w:szCs w:val="21"/>
                <w:highlight w:val="none"/>
                <w:lang w:val="en-US" w:eastAsia="zh-CN"/>
              </w:rPr>
              <w:t>传感器</w:t>
            </w:r>
            <w:r>
              <w:rPr>
                <w:rFonts w:hint="eastAsia" w:ascii="宋体" w:hAnsi="宋体" w:cs="宋体"/>
                <w:bCs/>
                <w:color w:val="auto"/>
                <w:sz w:val="21"/>
                <w:szCs w:val="21"/>
                <w:highlight w:val="none"/>
                <w:lang w:val="en-US" w:eastAsia="zh-CN"/>
              </w:rPr>
              <w:t>；无偏离：</w:t>
            </w:r>
            <w:r>
              <w:rPr>
                <w:rFonts w:hint="eastAsia" w:ascii="宋体" w:hAnsi="宋体" w:eastAsia="宋体" w:cs="宋体"/>
                <w:bCs/>
                <w:color w:val="auto"/>
                <w:sz w:val="21"/>
                <w:szCs w:val="21"/>
                <w:highlight w:val="none"/>
                <w:lang w:val="en-US" w:eastAsia="zh-CN"/>
              </w:rPr>
              <w:t>流通池</w:t>
            </w:r>
            <w:r>
              <w:rPr>
                <w:rFonts w:hint="eastAsia" w:ascii="宋体" w:hAnsi="宋体" w:cs="宋体"/>
                <w:bCs/>
                <w:color w:val="auto"/>
                <w:sz w:val="21"/>
                <w:szCs w:val="21"/>
                <w:highlight w:val="none"/>
                <w:lang w:val="en-US" w:eastAsia="zh-CN"/>
              </w:rPr>
              <w:t>同时搭载6个</w:t>
            </w:r>
            <w:r>
              <w:rPr>
                <w:rFonts w:hint="eastAsia" w:ascii="宋体" w:hAnsi="宋体" w:eastAsia="宋体" w:cs="宋体"/>
                <w:bCs/>
                <w:color w:val="auto"/>
                <w:sz w:val="21"/>
                <w:szCs w:val="21"/>
                <w:highlight w:val="none"/>
                <w:lang w:val="en-US" w:eastAsia="zh-CN"/>
              </w:rPr>
              <w:t>传感器</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投标时需提供产品彩页或有关证明材料并加盖投标人单位公章】</w:t>
            </w:r>
          </w:p>
        </w:tc>
        <w:tc>
          <w:tcPr>
            <w:tcW w:w="1501" w:type="dxa"/>
            <w:noWrap w:val="0"/>
            <w:vAlign w:val="center"/>
          </w:tcPr>
          <w:p w14:paraId="4EE798A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cs="宋体"/>
                <w:b w:val="0"/>
                <w:bCs w:val="0"/>
                <w:color w:val="auto"/>
                <w:sz w:val="21"/>
                <w:szCs w:val="21"/>
                <w:highlight w:val="none"/>
                <w:u w:val="none"/>
                <w:vertAlign w:val="baseline"/>
                <w:lang w:val="en-US" w:eastAsia="zh-CN" w:bidi="ar"/>
              </w:rPr>
              <w:t>重要</w:t>
            </w:r>
            <w:r>
              <w:rPr>
                <w:rFonts w:hint="eastAsia" w:ascii="宋体" w:hAnsi="宋体" w:eastAsia="宋体" w:cs="宋体"/>
                <w:b w:val="0"/>
                <w:bCs w:val="0"/>
                <w:color w:val="auto"/>
                <w:sz w:val="21"/>
                <w:szCs w:val="21"/>
                <w:highlight w:val="none"/>
                <w:u w:val="none"/>
                <w:vertAlign w:val="baseline"/>
                <w:lang w:val="en-US" w:eastAsia="zh-CN" w:bidi="ar"/>
              </w:rPr>
              <w:t>参数</w:t>
            </w:r>
          </w:p>
        </w:tc>
      </w:tr>
      <w:tr w14:paraId="0E0F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BF8EB48">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4.13 数据显示终端显示面板≥8英寸；</w:t>
            </w:r>
          </w:p>
        </w:tc>
        <w:tc>
          <w:tcPr>
            <w:tcW w:w="1501" w:type="dxa"/>
            <w:noWrap w:val="0"/>
            <w:vAlign w:val="center"/>
          </w:tcPr>
          <w:p w14:paraId="4441F37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2E7A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6407D62">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5.井内水下视频成像系统</w:t>
            </w:r>
          </w:p>
        </w:tc>
        <w:tc>
          <w:tcPr>
            <w:tcW w:w="1501" w:type="dxa"/>
            <w:noWrap w:val="0"/>
            <w:vAlign w:val="center"/>
          </w:tcPr>
          <w:p w14:paraId="444A303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23" w:name="_Toc7740"/>
            <w:bookmarkStart w:id="424" w:name="_Toc685"/>
            <w:r>
              <w:rPr>
                <w:rFonts w:hint="eastAsia" w:ascii="宋体" w:hAnsi="宋体" w:eastAsia="宋体" w:cs="宋体"/>
                <w:b w:val="0"/>
                <w:bCs w:val="0"/>
                <w:color w:val="auto"/>
                <w:sz w:val="21"/>
                <w:szCs w:val="21"/>
                <w:highlight w:val="none"/>
                <w:u w:val="none"/>
                <w:vertAlign w:val="baseline"/>
                <w:lang w:val="en-US" w:eastAsia="zh-CN" w:bidi="ar"/>
              </w:rPr>
              <w:t>/</w:t>
            </w:r>
            <w:bookmarkEnd w:id="423"/>
            <w:bookmarkEnd w:id="424"/>
          </w:p>
        </w:tc>
      </w:tr>
      <w:tr w14:paraId="0CD7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FC55994">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▲5.1 CCD高清摄像头，配备全自动感光系统，镜头角度为360°环形圆周，还应能根据控制箱手动调节井下摄影机焦距；【投标时需提供拟配置装置清单列表及照片图片】</w:t>
            </w:r>
          </w:p>
        </w:tc>
        <w:tc>
          <w:tcPr>
            <w:tcW w:w="1501" w:type="dxa"/>
            <w:noWrap w:val="0"/>
            <w:vAlign w:val="center"/>
          </w:tcPr>
          <w:p w14:paraId="5C0348B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实质性参数</w:t>
            </w:r>
          </w:p>
        </w:tc>
      </w:tr>
      <w:tr w14:paraId="4B2D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DB02727">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5.2 LED屏幕尺寸不小于7英寸，全彩色显示，分辨率≥600*1024；</w:t>
            </w:r>
          </w:p>
        </w:tc>
        <w:tc>
          <w:tcPr>
            <w:tcW w:w="1501" w:type="dxa"/>
            <w:noWrap w:val="0"/>
            <w:vAlign w:val="center"/>
          </w:tcPr>
          <w:p w14:paraId="1B2B056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9099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FE489BB">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5.3 线缆长度≥100米；</w:t>
            </w:r>
          </w:p>
        </w:tc>
        <w:tc>
          <w:tcPr>
            <w:tcW w:w="1501" w:type="dxa"/>
            <w:noWrap w:val="0"/>
            <w:vAlign w:val="center"/>
          </w:tcPr>
          <w:p w14:paraId="0D1A4BBC">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7F1F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5BDF836">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5.4电源：220V交流电源；</w:t>
            </w:r>
          </w:p>
        </w:tc>
        <w:tc>
          <w:tcPr>
            <w:tcW w:w="1501" w:type="dxa"/>
            <w:noWrap w:val="0"/>
            <w:vAlign w:val="center"/>
          </w:tcPr>
          <w:p w14:paraId="2F2156A0">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74C7E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D4477F0">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5.5防护等级：不低于IP65；</w:t>
            </w:r>
          </w:p>
        </w:tc>
        <w:tc>
          <w:tcPr>
            <w:tcW w:w="1501" w:type="dxa"/>
            <w:noWrap w:val="0"/>
            <w:vAlign w:val="center"/>
          </w:tcPr>
          <w:p w14:paraId="554110D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20FDF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F9248A3">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5.6存贮内存≥16G；</w:t>
            </w:r>
          </w:p>
        </w:tc>
        <w:tc>
          <w:tcPr>
            <w:tcW w:w="1501" w:type="dxa"/>
            <w:noWrap w:val="0"/>
            <w:vAlign w:val="center"/>
          </w:tcPr>
          <w:p w14:paraId="7D0FDC4C">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5D2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FAF29D3">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6.多功能水位尺</w:t>
            </w:r>
          </w:p>
        </w:tc>
        <w:tc>
          <w:tcPr>
            <w:tcW w:w="1501" w:type="dxa"/>
            <w:noWrap w:val="0"/>
            <w:vAlign w:val="center"/>
          </w:tcPr>
          <w:p w14:paraId="62BA6E3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25" w:name="_Toc26134"/>
            <w:bookmarkStart w:id="426" w:name="_Toc26779"/>
            <w:r>
              <w:rPr>
                <w:rFonts w:hint="eastAsia" w:ascii="宋体" w:hAnsi="宋体" w:eastAsia="宋体" w:cs="宋体"/>
                <w:b w:val="0"/>
                <w:bCs w:val="0"/>
                <w:color w:val="auto"/>
                <w:sz w:val="21"/>
                <w:szCs w:val="21"/>
                <w:highlight w:val="none"/>
                <w:u w:val="none"/>
                <w:vertAlign w:val="baseline"/>
                <w:lang w:val="en-US" w:eastAsia="zh-CN" w:bidi="ar"/>
              </w:rPr>
              <w:t>/</w:t>
            </w:r>
            <w:bookmarkEnd w:id="425"/>
            <w:bookmarkEnd w:id="426"/>
          </w:p>
        </w:tc>
      </w:tr>
      <w:tr w14:paraId="41F6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945E7E4">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▲6.1具备静水位、泄降水位、井深测量功能；【投标时需提供拟配置装置清单列表及照片图片】</w:t>
            </w:r>
          </w:p>
        </w:tc>
        <w:tc>
          <w:tcPr>
            <w:tcW w:w="1501" w:type="dxa"/>
            <w:noWrap w:val="0"/>
            <w:vAlign w:val="center"/>
          </w:tcPr>
          <w:p w14:paraId="4D07773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27" w:name="_Toc16459"/>
            <w:bookmarkStart w:id="428" w:name="_Toc1538"/>
            <w:r>
              <w:rPr>
                <w:rFonts w:hint="eastAsia" w:ascii="宋体" w:hAnsi="宋体" w:eastAsia="宋体" w:cs="宋体"/>
                <w:b w:val="0"/>
                <w:bCs w:val="0"/>
                <w:color w:val="auto"/>
                <w:sz w:val="21"/>
                <w:szCs w:val="21"/>
                <w:highlight w:val="none"/>
                <w:u w:val="none"/>
                <w:vertAlign w:val="baseline"/>
                <w:lang w:val="en-US" w:eastAsia="zh-CN" w:bidi="ar"/>
              </w:rPr>
              <w:t>实质性参数</w:t>
            </w:r>
            <w:bookmarkEnd w:id="427"/>
            <w:bookmarkEnd w:id="428"/>
          </w:p>
        </w:tc>
      </w:tr>
      <w:tr w14:paraId="188B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1BB7AAE">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Cs/>
                <w:color w:val="auto"/>
                <w:sz w:val="21"/>
                <w:szCs w:val="21"/>
                <w:highlight w:val="none"/>
              </w:rPr>
              <w:t>■6.2测量范围0</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100</w:t>
            </w:r>
            <w:r>
              <w:rPr>
                <w:rFonts w:hint="eastAsia" w:ascii="宋体" w:hAnsi="宋体" w:eastAsia="宋体" w:cs="宋体"/>
                <w:bCs/>
                <w:color w:val="auto"/>
                <w:sz w:val="21"/>
                <w:szCs w:val="21"/>
                <w:highlight w:val="none"/>
                <w:lang w:val="en-US" w:eastAsia="zh-CN"/>
              </w:rPr>
              <w:t>m</w:t>
            </w:r>
            <w:r>
              <w:rPr>
                <w:rFonts w:hint="eastAsia" w:ascii="宋体" w:hAnsi="宋体" w:eastAsia="宋体" w:cs="宋体"/>
                <w:bCs/>
                <w:color w:val="auto"/>
                <w:sz w:val="21"/>
                <w:szCs w:val="21"/>
                <w:highlight w:val="none"/>
              </w:rPr>
              <w:t>，精度为1cm，最小分辨率1mm</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正偏离：</w:t>
            </w:r>
            <w:r>
              <w:rPr>
                <w:rFonts w:hint="eastAsia" w:ascii="宋体" w:hAnsi="宋体" w:eastAsia="宋体" w:cs="宋体"/>
                <w:bCs/>
                <w:color w:val="auto"/>
                <w:sz w:val="21"/>
                <w:szCs w:val="21"/>
                <w:highlight w:val="none"/>
              </w:rPr>
              <w:t>测量范围</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精度</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最小分辨率</w:t>
            </w:r>
            <w:r>
              <w:rPr>
                <w:rFonts w:hint="eastAsia" w:ascii="宋体" w:hAnsi="宋体" w:cs="宋体"/>
                <w:bCs/>
                <w:color w:val="auto"/>
                <w:sz w:val="21"/>
                <w:szCs w:val="21"/>
                <w:highlight w:val="none"/>
                <w:lang w:val="en-US" w:eastAsia="zh-CN"/>
              </w:rPr>
              <w:t>均符合参数要求；无偏离：</w:t>
            </w:r>
            <w:r>
              <w:rPr>
                <w:rFonts w:hint="eastAsia" w:ascii="宋体" w:hAnsi="宋体" w:eastAsia="宋体" w:cs="宋体"/>
                <w:bCs/>
                <w:color w:val="auto"/>
                <w:sz w:val="21"/>
                <w:szCs w:val="21"/>
                <w:highlight w:val="none"/>
              </w:rPr>
              <w:t>测量范围</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精度</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最小分辨率</w:t>
            </w:r>
            <w:r>
              <w:rPr>
                <w:rFonts w:hint="eastAsia" w:ascii="宋体" w:hAnsi="宋体" w:cs="宋体"/>
                <w:bCs/>
                <w:color w:val="auto"/>
                <w:sz w:val="21"/>
                <w:szCs w:val="21"/>
                <w:highlight w:val="none"/>
                <w:lang w:val="en-US" w:eastAsia="zh-CN"/>
              </w:rPr>
              <w:t>仅部分符合参数要求。</w:t>
            </w:r>
            <w:r>
              <w:rPr>
                <w:rFonts w:hint="eastAsia" w:ascii="宋体" w:hAnsi="宋体" w:eastAsia="宋体" w:cs="宋体"/>
                <w:bCs/>
                <w:color w:val="auto"/>
                <w:sz w:val="21"/>
                <w:szCs w:val="21"/>
                <w:highlight w:val="none"/>
                <w:lang w:val="en-US" w:eastAsia="zh-CN"/>
              </w:rPr>
              <w:t>投标时需提供产品彩页或有关证明材料并加盖投标人单位公章</w:t>
            </w:r>
            <w:r>
              <w:rPr>
                <w:rFonts w:hint="eastAsia" w:ascii="宋体" w:hAnsi="宋体" w:eastAsia="宋体" w:cs="宋体"/>
                <w:bCs/>
                <w:color w:val="auto"/>
                <w:sz w:val="21"/>
                <w:szCs w:val="21"/>
                <w:highlight w:val="none"/>
                <w:lang w:eastAsia="zh-CN"/>
              </w:rPr>
              <w:t>】</w:t>
            </w:r>
          </w:p>
        </w:tc>
        <w:tc>
          <w:tcPr>
            <w:tcW w:w="1501" w:type="dxa"/>
            <w:noWrap w:val="0"/>
            <w:vAlign w:val="center"/>
          </w:tcPr>
          <w:p w14:paraId="1ACA02C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cs="宋体"/>
                <w:b w:val="0"/>
                <w:bCs w:val="0"/>
                <w:color w:val="auto"/>
                <w:sz w:val="21"/>
                <w:szCs w:val="21"/>
                <w:highlight w:val="none"/>
                <w:u w:val="none"/>
                <w:vertAlign w:val="baseline"/>
                <w:lang w:val="en-US" w:eastAsia="zh-CN" w:bidi="ar"/>
              </w:rPr>
              <w:t>重要</w:t>
            </w:r>
            <w:r>
              <w:rPr>
                <w:rFonts w:hint="eastAsia" w:ascii="宋体" w:hAnsi="宋体" w:eastAsia="宋体" w:cs="宋体"/>
                <w:b w:val="0"/>
                <w:bCs w:val="0"/>
                <w:color w:val="auto"/>
                <w:sz w:val="21"/>
                <w:szCs w:val="21"/>
                <w:highlight w:val="none"/>
                <w:u w:val="none"/>
                <w:vertAlign w:val="baseline"/>
                <w:lang w:val="en-US" w:eastAsia="zh-CN" w:bidi="ar"/>
              </w:rPr>
              <w:t>参数</w:t>
            </w:r>
          </w:p>
        </w:tc>
      </w:tr>
      <w:tr w14:paraId="515C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5234C49">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6.3防护等级：不低于IP65；</w:t>
            </w:r>
          </w:p>
        </w:tc>
        <w:tc>
          <w:tcPr>
            <w:tcW w:w="1501" w:type="dxa"/>
            <w:noWrap w:val="0"/>
            <w:vAlign w:val="center"/>
          </w:tcPr>
          <w:p w14:paraId="3602987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308E4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932DB7B">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6.4探头材质：316不锈钢；</w:t>
            </w:r>
          </w:p>
        </w:tc>
        <w:tc>
          <w:tcPr>
            <w:tcW w:w="1501" w:type="dxa"/>
            <w:noWrap w:val="0"/>
            <w:vAlign w:val="center"/>
          </w:tcPr>
          <w:p w14:paraId="6781B1D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72CB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C35DB38">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6.5报警显示方式：灯光闪烁、蜂鸣器发声；</w:t>
            </w:r>
          </w:p>
        </w:tc>
        <w:tc>
          <w:tcPr>
            <w:tcW w:w="1501" w:type="dxa"/>
            <w:noWrap w:val="0"/>
            <w:vAlign w:val="center"/>
          </w:tcPr>
          <w:p w14:paraId="37A609E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7C9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BDD62F1">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7.便携式水质抽滤器</w:t>
            </w:r>
          </w:p>
        </w:tc>
        <w:tc>
          <w:tcPr>
            <w:tcW w:w="1501" w:type="dxa"/>
            <w:noWrap w:val="0"/>
            <w:vAlign w:val="center"/>
          </w:tcPr>
          <w:p w14:paraId="2B0E49A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29" w:name="_Toc24518"/>
            <w:bookmarkStart w:id="430" w:name="_Toc23566"/>
            <w:r>
              <w:rPr>
                <w:rFonts w:hint="eastAsia" w:ascii="宋体" w:hAnsi="宋体" w:eastAsia="宋体" w:cs="宋体"/>
                <w:b w:val="0"/>
                <w:bCs w:val="0"/>
                <w:color w:val="auto"/>
                <w:sz w:val="21"/>
                <w:szCs w:val="21"/>
                <w:highlight w:val="none"/>
                <w:u w:val="none"/>
                <w:vertAlign w:val="baseline"/>
                <w:lang w:val="en-US" w:eastAsia="zh-CN" w:bidi="ar"/>
              </w:rPr>
              <w:t>/</w:t>
            </w:r>
            <w:bookmarkEnd w:id="429"/>
            <w:bookmarkEnd w:id="430"/>
          </w:p>
        </w:tc>
      </w:tr>
      <w:tr w14:paraId="6893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E2A8376">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7.1滤膜材质0.45μm玻璃纤维，规格100mm；</w:t>
            </w:r>
          </w:p>
        </w:tc>
        <w:tc>
          <w:tcPr>
            <w:tcW w:w="1501" w:type="dxa"/>
            <w:noWrap w:val="0"/>
            <w:vAlign w:val="center"/>
          </w:tcPr>
          <w:p w14:paraId="281B98E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974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80979AB">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7.2一次抽滤体积≥400ml；</w:t>
            </w:r>
          </w:p>
        </w:tc>
        <w:tc>
          <w:tcPr>
            <w:tcW w:w="1501" w:type="dxa"/>
            <w:noWrap w:val="0"/>
            <w:vAlign w:val="center"/>
          </w:tcPr>
          <w:p w14:paraId="2B14A134">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3811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00ADB5C">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▲7.3负载真空能力≥-75kPa；【投标时需提供产品彩页或有关证明材料并加盖投标人单位公章】</w:t>
            </w:r>
          </w:p>
        </w:tc>
        <w:tc>
          <w:tcPr>
            <w:tcW w:w="1501" w:type="dxa"/>
            <w:noWrap w:val="0"/>
            <w:vAlign w:val="center"/>
          </w:tcPr>
          <w:p w14:paraId="1E20F8B5">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31" w:name="_Toc28505"/>
            <w:bookmarkStart w:id="432" w:name="_Toc31251"/>
            <w:r>
              <w:rPr>
                <w:rFonts w:hint="eastAsia" w:ascii="宋体" w:hAnsi="宋体" w:eastAsia="宋体" w:cs="宋体"/>
                <w:b w:val="0"/>
                <w:bCs w:val="0"/>
                <w:color w:val="auto"/>
                <w:sz w:val="21"/>
                <w:szCs w:val="21"/>
                <w:highlight w:val="none"/>
                <w:u w:val="none"/>
                <w:vertAlign w:val="baseline"/>
                <w:lang w:val="en-US" w:eastAsia="zh-CN" w:bidi="ar"/>
              </w:rPr>
              <w:t>实质性参数</w:t>
            </w:r>
            <w:bookmarkEnd w:id="431"/>
            <w:bookmarkEnd w:id="432"/>
          </w:p>
        </w:tc>
      </w:tr>
      <w:tr w14:paraId="766A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3C37DE1">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7.4满电续航时间≥10小时；</w:t>
            </w:r>
          </w:p>
        </w:tc>
        <w:tc>
          <w:tcPr>
            <w:tcW w:w="1501" w:type="dxa"/>
            <w:noWrap w:val="0"/>
            <w:vAlign w:val="center"/>
          </w:tcPr>
          <w:p w14:paraId="1249D36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A4E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1C503B8">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7.5整机重量≤5kg；</w:t>
            </w:r>
          </w:p>
        </w:tc>
        <w:tc>
          <w:tcPr>
            <w:tcW w:w="1501" w:type="dxa"/>
            <w:noWrap w:val="0"/>
            <w:vAlign w:val="center"/>
          </w:tcPr>
          <w:p w14:paraId="44403D9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4E270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6E24AF1">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7.6防护等级：不低于IP65；</w:t>
            </w:r>
          </w:p>
        </w:tc>
        <w:tc>
          <w:tcPr>
            <w:tcW w:w="1501" w:type="dxa"/>
            <w:noWrap w:val="0"/>
            <w:vAlign w:val="center"/>
          </w:tcPr>
          <w:p w14:paraId="485670E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5D1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E62F468">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8.贝勒管</w:t>
            </w:r>
          </w:p>
        </w:tc>
        <w:tc>
          <w:tcPr>
            <w:tcW w:w="1501" w:type="dxa"/>
            <w:noWrap w:val="0"/>
            <w:vAlign w:val="center"/>
          </w:tcPr>
          <w:p w14:paraId="12138CBB">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33" w:name="_Toc19439"/>
            <w:bookmarkStart w:id="434" w:name="_Toc30735"/>
            <w:r>
              <w:rPr>
                <w:rFonts w:hint="eastAsia" w:ascii="宋体" w:hAnsi="宋体" w:eastAsia="宋体" w:cs="宋体"/>
                <w:b w:val="0"/>
                <w:bCs w:val="0"/>
                <w:color w:val="auto"/>
                <w:sz w:val="21"/>
                <w:szCs w:val="21"/>
                <w:highlight w:val="none"/>
                <w:u w:val="none"/>
                <w:vertAlign w:val="baseline"/>
                <w:lang w:val="en-US" w:eastAsia="zh-CN" w:bidi="ar"/>
              </w:rPr>
              <w:t>/</w:t>
            </w:r>
            <w:bookmarkEnd w:id="433"/>
            <w:bookmarkEnd w:id="434"/>
          </w:p>
        </w:tc>
      </w:tr>
      <w:tr w14:paraId="76F17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84E2426">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8.1不锈钢贝勒管容量≥1L；</w:t>
            </w:r>
          </w:p>
        </w:tc>
        <w:tc>
          <w:tcPr>
            <w:tcW w:w="1501" w:type="dxa"/>
            <w:noWrap w:val="0"/>
            <w:vAlign w:val="center"/>
          </w:tcPr>
          <w:p w14:paraId="59B989F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4814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3759764">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8.2聚四氟乙烯（PTFE）贝勒管容量≥1L；</w:t>
            </w:r>
          </w:p>
        </w:tc>
        <w:tc>
          <w:tcPr>
            <w:tcW w:w="1501" w:type="dxa"/>
            <w:noWrap w:val="0"/>
            <w:vAlign w:val="center"/>
          </w:tcPr>
          <w:p w14:paraId="7DF391C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3801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78EF410">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四、配置要求</w:t>
            </w:r>
          </w:p>
        </w:tc>
        <w:tc>
          <w:tcPr>
            <w:tcW w:w="1501" w:type="dxa"/>
            <w:noWrap w:val="0"/>
            <w:vAlign w:val="center"/>
          </w:tcPr>
          <w:p w14:paraId="23A4360C">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35" w:name="_Toc8831"/>
            <w:bookmarkStart w:id="436" w:name="_Toc5502"/>
            <w:r>
              <w:rPr>
                <w:rFonts w:hint="eastAsia" w:ascii="宋体" w:hAnsi="宋体" w:eastAsia="宋体" w:cs="宋体"/>
                <w:b w:val="0"/>
                <w:bCs w:val="0"/>
                <w:color w:val="auto"/>
                <w:sz w:val="21"/>
                <w:szCs w:val="21"/>
                <w:highlight w:val="none"/>
                <w:u w:val="none"/>
                <w:vertAlign w:val="baseline"/>
                <w:lang w:val="en-US" w:eastAsia="zh-CN" w:bidi="ar"/>
              </w:rPr>
              <w:t>/</w:t>
            </w:r>
            <w:bookmarkEnd w:id="435"/>
            <w:bookmarkEnd w:id="436"/>
          </w:p>
        </w:tc>
      </w:tr>
      <w:tr w14:paraId="209D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853D718">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1.气囊泵</w:t>
            </w:r>
          </w:p>
        </w:tc>
        <w:tc>
          <w:tcPr>
            <w:tcW w:w="1501" w:type="dxa"/>
            <w:noWrap w:val="0"/>
            <w:vAlign w:val="center"/>
          </w:tcPr>
          <w:p w14:paraId="3FDD8EA4">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37" w:name="_Toc6694"/>
            <w:bookmarkStart w:id="438" w:name="_Toc9144"/>
            <w:r>
              <w:rPr>
                <w:rFonts w:hint="eastAsia" w:ascii="宋体" w:hAnsi="宋体" w:eastAsia="宋体" w:cs="宋体"/>
                <w:b w:val="0"/>
                <w:bCs w:val="0"/>
                <w:color w:val="auto"/>
                <w:sz w:val="21"/>
                <w:szCs w:val="21"/>
                <w:highlight w:val="none"/>
                <w:u w:val="none"/>
                <w:vertAlign w:val="baseline"/>
                <w:lang w:val="en-US" w:eastAsia="zh-CN" w:bidi="ar"/>
              </w:rPr>
              <w:t>/</w:t>
            </w:r>
            <w:bookmarkEnd w:id="437"/>
            <w:bookmarkEnd w:id="438"/>
          </w:p>
        </w:tc>
      </w:tr>
      <w:tr w14:paraId="5E98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54E6A3C">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1.1气囊泵（含空压机）1套；</w:t>
            </w:r>
          </w:p>
        </w:tc>
        <w:tc>
          <w:tcPr>
            <w:tcW w:w="1501" w:type="dxa"/>
            <w:noWrap w:val="0"/>
            <w:vAlign w:val="center"/>
          </w:tcPr>
          <w:p w14:paraId="47600D8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43D5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7C98641">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1.2变频控制器（含便携箱）1个；</w:t>
            </w:r>
          </w:p>
        </w:tc>
        <w:tc>
          <w:tcPr>
            <w:tcW w:w="1501" w:type="dxa"/>
            <w:noWrap w:val="0"/>
            <w:vAlign w:val="center"/>
          </w:tcPr>
          <w:p w14:paraId="074E7ABC">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399D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1286DA8">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1.3采样管束（输水管及空气管）及钢制盘管支架1套；</w:t>
            </w:r>
          </w:p>
        </w:tc>
        <w:tc>
          <w:tcPr>
            <w:tcW w:w="1501" w:type="dxa"/>
            <w:noWrap w:val="0"/>
            <w:vAlign w:val="center"/>
          </w:tcPr>
          <w:p w14:paraId="400BD8D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208F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D8779CA">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1.4锂电池模块1个；</w:t>
            </w:r>
          </w:p>
        </w:tc>
        <w:tc>
          <w:tcPr>
            <w:tcW w:w="1501" w:type="dxa"/>
            <w:noWrap w:val="0"/>
            <w:vAlign w:val="center"/>
          </w:tcPr>
          <w:p w14:paraId="37507A4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4BED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3B238B4">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1.5必配的备品备件（至少包括以下备品备件：聚四氟乙烯（PTFE）气囊5个、快接头10个、喉箍10个、防水胶带1卷、绝缘胶带1卷、带控制阀的不锈钢三通5个）；</w:t>
            </w:r>
          </w:p>
        </w:tc>
        <w:tc>
          <w:tcPr>
            <w:tcW w:w="1501" w:type="dxa"/>
            <w:noWrap w:val="0"/>
            <w:vAlign w:val="center"/>
          </w:tcPr>
          <w:p w14:paraId="16B4C5D4">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46DC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537A332">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1.6必配专用工具（工具箱至少包括以下工具：试电笔1个、一字起子2个、十字起子2个、钢丝钳1个、尖嘴钳1个、活动扳手1个、内六角扳手1组）；</w:t>
            </w:r>
          </w:p>
        </w:tc>
        <w:tc>
          <w:tcPr>
            <w:tcW w:w="1501" w:type="dxa"/>
            <w:noWrap w:val="0"/>
            <w:vAlign w:val="center"/>
          </w:tcPr>
          <w:p w14:paraId="7D9FB92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010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9CCE61C">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2.低流量采样泵</w:t>
            </w:r>
          </w:p>
        </w:tc>
        <w:tc>
          <w:tcPr>
            <w:tcW w:w="1501" w:type="dxa"/>
            <w:noWrap w:val="0"/>
            <w:vAlign w:val="center"/>
          </w:tcPr>
          <w:p w14:paraId="33C4305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39" w:name="_Toc15545"/>
            <w:bookmarkStart w:id="440" w:name="_Toc16386"/>
            <w:r>
              <w:rPr>
                <w:rFonts w:hint="eastAsia" w:ascii="宋体" w:hAnsi="宋体" w:eastAsia="宋体" w:cs="宋体"/>
                <w:b w:val="0"/>
                <w:bCs w:val="0"/>
                <w:color w:val="auto"/>
                <w:sz w:val="21"/>
                <w:szCs w:val="21"/>
                <w:highlight w:val="none"/>
                <w:u w:val="none"/>
                <w:vertAlign w:val="baseline"/>
                <w:lang w:val="en-US" w:eastAsia="zh-CN" w:bidi="ar"/>
              </w:rPr>
              <w:t>/</w:t>
            </w:r>
            <w:bookmarkEnd w:id="439"/>
            <w:bookmarkEnd w:id="440"/>
          </w:p>
        </w:tc>
      </w:tr>
      <w:tr w14:paraId="363C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5796CA6">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2.1潜水泵（配电缆）及钢制支架1套；</w:t>
            </w:r>
          </w:p>
        </w:tc>
        <w:tc>
          <w:tcPr>
            <w:tcW w:w="1501" w:type="dxa"/>
            <w:noWrap w:val="0"/>
            <w:vAlign w:val="center"/>
          </w:tcPr>
          <w:p w14:paraId="309FCED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43AE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6351D1C">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2.2变频控制器（含便携箱）1个；</w:t>
            </w:r>
          </w:p>
        </w:tc>
        <w:tc>
          <w:tcPr>
            <w:tcW w:w="1501" w:type="dxa"/>
            <w:noWrap w:val="0"/>
            <w:vAlign w:val="center"/>
          </w:tcPr>
          <w:p w14:paraId="07B8748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B79F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E516065">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2.3 输水管及钢制盘管支架1套；</w:t>
            </w:r>
          </w:p>
        </w:tc>
        <w:tc>
          <w:tcPr>
            <w:tcW w:w="1501" w:type="dxa"/>
            <w:noWrap w:val="0"/>
            <w:vAlign w:val="center"/>
          </w:tcPr>
          <w:p w14:paraId="6047D2A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2042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C137790">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 xml:space="preserve">2.4带刻度安全钢丝绳及线盘1个； </w:t>
            </w:r>
          </w:p>
        </w:tc>
        <w:tc>
          <w:tcPr>
            <w:tcW w:w="1501" w:type="dxa"/>
            <w:noWrap w:val="0"/>
            <w:vAlign w:val="center"/>
          </w:tcPr>
          <w:p w14:paraId="7C291144">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7910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181BB8C">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3.洗井泵</w:t>
            </w:r>
          </w:p>
        </w:tc>
        <w:tc>
          <w:tcPr>
            <w:tcW w:w="1501" w:type="dxa"/>
            <w:noWrap w:val="0"/>
            <w:vAlign w:val="center"/>
          </w:tcPr>
          <w:p w14:paraId="4EF69A6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41" w:name="_Toc21513"/>
            <w:bookmarkStart w:id="442" w:name="_Toc20753"/>
            <w:r>
              <w:rPr>
                <w:rFonts w:hint="eastAsia" w:ascii="宋体" w:hAnsi="宋体" w:eastAsia="宋体" w:cs="宋体"/>
                <w:b w:val="0"/>
                <w:bCs w:val="0"/>
                <w:color w:val="auto"/>
                <w:sz w:val="21"/>
                <w:szCs w:val="21"/>
                <w:highlight w:val="none"/>
                <w:u w:val="none"/>
                <w:vertAlign w:val="baseline"/>
                <w:lang w:val="en-US" w:eastAsia="zh-CN" w:bidi="ar"/>
              </w:rPr>
              <w:t>/</w:t>
            </w:r>
            <w:bookmarkEnd w:id="441"/>
            <w:bookmarkEnd w:id="442"/>
          </w:p>
        </w:tc>
      </w:tr>
      <w:tr w14:paraId="5409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96BB043">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3.1潜水泵（配电缆）及钢制支架 1套；</w:t>
            </w:r>
          </w:p>
        </w:tc>
        <w:tc>
          <w:tcPr>
            <w:tcW w:w="1501" w:type="dxa"/>
            <w:noWrap w:val="0"/>
            <w:vAlign w:val="center"/>
          </w:tcPr>
          <w:p w14:paraId="5B49467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88F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447C024">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3.2变频控制器（含便携箱）1个；</w:t>
            </w:r>
          </w:p>
        </w:tc>
        <w:tc>
          <w:tcPr>
            <w:tcW w:w="1501" w:type="dxa"/>
            <w:noWrap w:val="0"/>
            <w:vAlign w:val="center"/>
          </w:tcPr>
          <w:p w14:paraId="2BF6F2B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3686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2172C7B">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3.3 输水管及钢制盘管支架1套；</w:t>
            </w:r>
          </w:p>
        </w:tc>
        <w:tc>
          <w:tcPr>
            <w:tcW w:w="1501" w:type="dxa"/>
            <w:noWrap w:val="0"/>
            <w:vAlign w:val="center"/>
          </w:tcPr>
          <w:p w14:paraId="223D5099">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2BEB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266F102">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3.4三角支架（配滑轮组件）1套；</w:t>
            </w:r>
          </w:p>
        </w:tc>
        <w:tc>
          <w:tcPr>
            <w:tcW w:w="1501" w:type="dxa"/>
            <w:noWrap w:val="0"/>
            <w:vAlign w:val="center"/>
          </w:tcPr>
          <w:p w14:paraId="6CD030F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75A9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E6DE1AE">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4.多参数水质监测仪</w:t>
            </w:r>
          </w:p>
        </w:tc>
        <w:tc>
          <w:tcPr>
            <w:tcW w:w="1501" w:type="dxa"/>
            <w:noWrap w:val="0"/>
            <w:vAlign w:val="center"/>
          </w:tcPr>
          <w:p w14:paraId="2978E02C">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43" w:name="_Toc25960"/>
            <w:bookmarkStart w:id="444" w:name="_Toc16510"/>
            <w:r>
              <w:rPr>
                <w:rFonts w:hint="eastAsia" w:ascii="宋体" w:hAnsi="宋体" w:eastAsia="宋体" w:cs="宋体"/>
                <w:b w:val="0"/>
                <w:bCs w:val="0"/>
                <w:color w:val="auto"/>
                <w:sz w:val="21"/>
                <w:szCs w:val="21"/>
                <w:highlight w:val="none"/>
                <w:u w:val="none"/>
                <w:vertAlign w:val="baseline"/>
                <w:lang w:val="en-US" w:eastAsia="zh-CN" w:bidi="ar"/>
              </w:rPr>
              <w:t>/</w:t>
            </w:r>
            <w:bookmarkEnd w:id="443"/>
            <w:bookmarkEnd w:id="444"/>
          </w:p>
        </w:tc>
      </w:tr>
      <w:tr w14:paraId="2852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AAABC03">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4.1多参数水质分析模块1套；</w:t>
            </w:r>
          </w:p>
        </w:tc>
        <w:tc>
          <w:tcPr>
            <w:tcW w:w="1501" w:type="dxa"/>
            <w:noWrap w:val="0"/>
            <w:vAlign w:val="center"/>
          </w:tcPr>
          <w:p w14:paraId="31E14692">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0B8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8144551">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4.2校准溶液3套（≥5瓶）；</w:t>
            </w:r>
          </w:p>
        </w:tc>
        <w:tc>
          <w:tcPr>
            <w:tcW w:w="1501" w:type="dxa"/>
            <w:noWrap w:val="0"/>
            <w:vAlign w:val="center"/>
          </w:tcPr>
          <w:p w14:paraId="5512FC40">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29D9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339B8EA">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4.3溶解氧帽1个；</w:t>
            </w:r>
          </w:p>
        </w:tc>
        <w:tc>
          <w:tcPr>
            <w:tcW w:w="1501" w:type="dxa"/>
            <w:noWrap w:val="0"/>
            <w:vAlign w:val="center"/>
          </w:tcPr>
          <w:p w14:paraId="254005D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96AC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2E0BA00">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4.4流通池2个；</w:t>
            </w:r>
          </w:p>
        </w:tc>
        <w:tc>
          <w:tcPr>
            <w:tcW w:w="1501" w:type="dxa"/>
            <w:noWrap w:val="0"/>
            <w:vAlign w:val="center"/>
          </w:tcPr>
          <w:p w14:paraId="0D81B69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796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A2B01CB">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4.5数据显示终端（含配套操作软件）1个；</w:t>
            </w:r>
          </w:p>
        </w:tc>
        <w:tc>
          <w:tcPr>
            <w:tcW w:w="1501" w:type="dxa"/>
            <w:noWrap w:val="0"/>
            <w:vAlign w:val="center"/>
          </w:tcPr>
          <w:p w14:paraId="6490E572">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7979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278743F">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4.6便携箱1个；</w:t>
            </w:r>
          </w:p>
        </w:tc>
        <w:tc>
          <w:tcPr>
            <w:tcW w:w="1501" w:type="dxa"/>
            <w:noWrap w:val="0"/>
            <w:vAlign w:val="center"/>
          </w:tcPr>
          <w:p w14:paraId="6423938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C80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8FBDDC4">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5.井内水下视频成像系统</w:t>
            </w:r>
          </w:p>
        </w:tc>
        <w:tc>
          <w:tcPr>
            <w:tcW w:w="1501" w:type="dxa"/>
            <w:noWrap w:val="0"/>
            <w:vAlign w:val="center"/>
          </w:tcPr>
          <w:p w14:paraId="61493875">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45" w:name="_Toc30198"/>
            <w:bookmarkStart w:id="446" w:name="_Toc26891"/>
            <w:r>
              <w:rPr>
                <w:rFonts w:hint="eastAsia" w:ascii="宋体" w:hAnsi="宋体" w:eastAsia="宋体" w:cs="宋体"/>
                <w:b w:val="0"/>
                <w:bCs w:val="0"/>
                <w:color w:val="auto"/>
                <w:sz w:val="21"/>
                <w:szCs w:val="21"/>
                <w:highlight w:val="none"/>
                <w:u w:val="none"/>
                <w:vertAlign w:val="baseline"/>
                <w:lang w:val="en-US" w:eastAsia="zh-CN" w:bidi="ar"/>
              </w:rPr>
              <w:t>/</w:t>
            </w:r>
            <w:bookmarkEnd w:id="445"/>
            <w:bookmarkEnd w:id="446"/>
          </w:p>
        </w:tc>
      </w:tr>
      <w:tr w14:paraId="61C32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C424F2A">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5.1水下探头1个；</w:t>
            </w:r>
          </w:p>
        </w:tc>
        <w:tc>
          <w:tcPr>
            <w:tcW w:w="1501" w:type="dxa"/>
            <w:noWrap w:val="0"/>
            <w:vAlign w:val="center"/>
          </w:tcPr>
          <w:p w14:paraId="74D349E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44BB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1A2123C">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5.2控制显示器1个；</w:t>
            </w:r>
          </w:p>
        </w:tc>
        <w:tc>
          <w:tcPr>
            <w:tcW w:w="1501" w:type="dxa"/>
            <w:noWrap w:val="0"/>
            <w:vAlign w:val="center"/>
          </w:tcPr>
          <w:p w14:paraId="17DB07F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2F485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8972B2E">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5.3便携箱1个；</w:t>
            </w:r>
          </w:p>
        </w:tc>
        <w:tc>
          <w:tcPr>
            <w:tcW w:w="1501" w:type="dxa"/>
            <w:noWrap w:val="0"/>
            <w:vAlign w:val="center"/>
          </w:tcPr>
          <w:p w14:paraId="31B8774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656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A8A75E9">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6.多功能水位尺</w:t>
            </w:r>
          </w:p>
        </w:tc>
        <w:tc>
          <w:tcPr>
            <w:tcW w:w="1501" w:type="dxa"/>
            <w:noWrap w:val="0"/>
            <w:vAlign w:val="center"/>
          </w:tcPr>
          <w:p w14:paraId="28CA7C0B">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47" w:name="_Toc4450"/>
            <w:r>
              <w:rPr>
                <w:rFonts w:hint="eastAsia" w:ascii="宋体" w:hAnsi="宋体" w:eastAsia="宋体" w:cs="宋体"/>
                <w:b w:val="0"/>
                <w:bCs w:val="0"/>
                <w:color w:val="auto"/>
                <w:sz w:val="21"/>
                <w:szCs w:val="21"/>
                <w:highlight w:val="none"/>
                <w:u w:val="none"/>
                <w:vertAlign w:val="baseline"/>
                <w:lang w:val="en-US" w:eastAsia="zh-CN" w:bidi="ar"/>
              </w:rPr>
              <w:t>/</w:t>
            </w:r>
            <w:bookmarkEnd w:id="447"/>
          </w:p>
        </w:tc>
      </w:tr>
      <w:tr w14:paraId="7ADE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20054C7">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6.1多功能水位尺（含电池）及卷盘1套；</w:t>
            </w:r>
          </w:p>
        </w:tc>
        <w:tc>
          <w:tcPr>
            <w:tcW w:w="1501" w:type="dxa"/>
            <w:noWrap w:val="0"/>
            <w:vAlign w:val="center"/>
          </w:tcPr>
          <w:p w14:paraId="161BEE1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BA1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B7E1C5C">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6.2便携包1个；</w:t>
            </w:r>
          </w:p>
        </w:tc>
        <w:tc>
          <w:tcPr>
            <w:tcW w:w="1501" w:type="dxa"/>
            <w:noWrap w:val="0"/>
            <w:vAlign w:val="center"/>
          </w:tcPr>
          <w:p w14:paraId="01A556F0">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471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565E434">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7.便携式水质抽滤器</w:t>
            </w:r>
          </w:p>
        </w:tc>
        <w:tc>
          <w:tcPr>
            <w:tcW w:w="1501" w:type="dxa"/>
            <w:noWrap w:val="0"/>
            <w:vAlign w:val="center"/>
          </w:tcPr>
          <w:p w14:paraId="6397F7C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48" w:name="_Toc6456"/>
            <w:bookmarkStart w:id="449" w:name="_Toc7115"/>
            <w:r>
              <w:rPr>
                <w:rFonts w:hint="eastAsia" w:ascii="宋体" w:hAnsi="宋体" w:eastAsia="宋体" w:cs="宋体"/>
                <w:b w:val="0"/>
                <w:bCs w:val="0"/>
                <w:color w:val="auto"/>
                <w:sz w:val="21"/>
                <w:szCs w:val="21"/>
                <w:highlight w:val="none"/>
                <w:u w:val="none"/>
                <w:vertAlign w:val="baseline"/>
                <w:lang w:val="en-US" w:eastAsia="zh-CN" w:bidi="ar"/>
              </w:rPr>
              <w:t>/</w:t>
            </w:r>
            <w:bookmarkEnd w:id="448"/>
            <w:bookmarkEnd w:id="449"/>
          </w:p>
        </w:tc>
      </w:tr>
      <w:tr w14:paraId="3488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74CFF5A">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7.1便携式水质抽滤器主机（含电池）1台；</w:t>
            </w:r>
          </w:p>
        </w:tc>
        <w:tc>
          <w:tcPr>
            <w:tcW w:w="1501" w:type="dxa"/>
            <w:noWrap w:val="0"/>
            <w:vAlign w:val="center"/>
          </w:tcPr>
          <w:p w14:paraId="1F2803D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2B8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B62D72C">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7.2备品备件（滤膜5盒、滤膜夹1个、抽滤瓶2个）；</w:t>
            </w:r>
          </w:p>
        </w:tc>
        <w:tc>
          <w:tcPr>
            <w:tcW w:w="1501" w:type="dxa"/>
            <w:noWrap w:val="0"/>
            <w:vAlign w:val="center"/>
          </w:tcPr>
          <w:p w14:paraId="075E0F3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B87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78236CF">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8.贝勒管</w:t>
            </w:r>
          </w:p>
        </w:tc>
        <w:tc>
          <w:tcPr>
            <w:tcW w:w="1501" w:type="dxa"/>
            <w:noWrap w:val="0"/>
            <w:vAlign w:val="center"/>
          </w:tcPr>
          <w:p w14:paraId="1529ED4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50" w:name="_Toc24686"/>
            <w:bookmarkStart w:id="451" w:name="_Toc3343"/>
            <w:r>
              <w:rPr>
                <w:rFonts w:hint="eastAsia" w:ascii="宋体" w:hAnsi="宋体" w:eastAsia="宋体" w:cs="宋体"/>
                <w:b w:val="0"/>
                <w:bCs w:val="0"/>
                <w:color w:val="auto"/>
                <w:sz w:val="21"/>
                <w:szCs w:val="21"/>
                <w:highlight w:val="none"/>
                <w:u w:val="none"/>
                <w:vertAlign w:val="baseline"/>
                <w:lang w:val="en-US" w:eastAsia="zh-CN" w:bidi="ar"/>
              </w:rPr>
              <w:t>/</w:t>
            </w:r>
            <w:bookmarkEnd w:id="450"/>
            <w:bookmarkEnd w:id="451"/>
          </w:p>
        </w:tc>
      </w:tr>
      <w:tr w14:paraId="32AB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EB4FAC7">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8.1不锈钢贝勒管（含流速调节阀）2个；</w:t>
            </w:r>
          </w:p>
        </w:tc>
        <w:tc>
          <w:tcPr>
            <w:tcW w:w="1501" w:type="dxa"/>
            <w:noWrap w:val="0"/>
            <w:vAlign w:val="center"/>
          </w:tcPr>
          <w:p w14:paraId="0906701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E413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CF60F49">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8.2聚四氟乙烯（PTFE）贝勒管（含流速调节阀）2个。</w:t>
            </w:r>
          </w:p>
        </w:tc>
        <w:tc>
          <w:tcPr>
            <w:tcW w:w="1501" w:type="dxa"/>
            <w:noWrap w:val="0"/>
            <w:vAlign w:val="center"/>
          </w:tcPr>
          <w:p w14:paraId="1146F2B9">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bl>
    <w:p w14:paraId="7086294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4F05453C">
      <w:pPr>
        <w:keepNext w:val="0"/>
        <w:keepLines w:val="0"/>
        <w:pageBreakBefore w:val="0"/>
        <w:widowControl w:val="0"/>
        <w:kinsoku/>
        <w:wordWrap/>
        <w:overflowPunct/>
        <w:topLinePunct w:val="0"/>
        <w:autoSpaceDE/>
        <w:autoSpaceDN/>
        <w:bidi w:val="0"/>
        <w:spacing w:line="400" w:lineRule="exact"/>
        <w:ind w:firstLine="0" w:firstLineChars="0"/>
        <w:outlineLvl w:val="1"/>
        <w:rPr>
          <w:rFonts w:hint="eastAsia" w:ascii="宋体" w:hAnsi="宋体" w:eastAsia="宋体" w:cs="宋体"/>
          <w:color w:val="auto"/>
          <w:sz w:val="21"/>
          <w:szCs w:val="21"/>
          <w:highlight w:val="none"/>
        </w:rPr>
      </w:pPr>
      <w:bookmarkStart w:id="452" w:name="_Toc20383"/>
      <w:bookmarkStart w:id="453" w:name="_Toc3649"/>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kern w:val="0"/>
          <w:sz w:val="21"/>
          <w:szCs w:val="21"/>
          <w:highlight w:val="none"/>
          <w:lang w:val="en-US" w:eastAsia="zh-CN" w:bidi="ar-SA"/>
        </w:rPr>
        <w:t>标项</w:t>
      </w:r>
      <w:r>
        <w:rPr>
          <w:rFonts w:hint="eastAsia" w:ascii="宋体" w:hAnsi="宋体" w:cs="宋体"/>
          <w:b/>
          <w:bCs/>
          <w:color w:val="auto"/>
          <w:kern w:val="0"/>
          <w:sz w:val="21"/>
          <w:szCs w:val="21"/>
          <w:highlight w:val="none"/>
          <w:lang w:val="en-US" w:eastAsia="zh-CN" w:bidi="ar-SA"/>
        </w:rPr>
        <w:t>四</w:t>
      </w:r>
      <w:r>
        <w:rPr>
          <w:rFonts w:hint="eastAsia" w:ascii="宋体" w:hAnsi="宋体" w:eastAsia="宋体" w:cs="宋体"/>
          <w:b/>
          <w:bCs/>
          <w:color w:val="auto"/>
          <w:kern w:val="0"/>
          <w:sz w:val="21"/>
          <w:szCs w:val="21"/>
          <w:highlight w:val="none"/>
          <w:lang w:val="en-US" w:eastAsia="zh-CN" w:bidi="ar-SA"/>
        </w:rPr>
        <w:t>（分包</w:t>
      </w:r>
      <w:r>
        <w:rPr>
          <w:rFonts w:hint="eastAsia" w:ascii="宋体" w:hAnsi="宋体" w:cs="宋体"/>
          <w:b/>
          <w:bCs/>
          <w:color w:val="auto"/>
          <w:kern w:val="0"/>
          <w:sz w:val="21"/>
          <w:szCs w:val="21"/>
          <w:highlight w:val="none"/>
          <w:lang w:val="en-US" w:eastAsia="zh-CN" w:bidi="ar-SA"/>
        </w:rPr>
        <w:t>4</w:t>
      </w:r>
      <w:r>
        <w:rPr>
          <w:rFonts w:hint="eastAsia" w:ascii="宋体" w:hAnsi="宋体" w:eastAsia="宋体" w:cs="宋体"/>
          <w:b/>
          <w:bCs/>
          <w:color w:val="auto"/>
          <w:kern w:val="0"/>
          <w:sz w:val="21"/>
          <w:szCs w:val="21"/>
          <w:highlight w:val="none"/>
          <w:lang w:val="en-US" w:eastAsia="zh-CN" w:bidi="ar-SA"/>
        </w:rPr>
        <w:t>）</w:t>
      </w:r>
      <w:r>
        <w:rPr>
          <w:rFonts w:hint="eastAsia" w:ascii="宋体" w:hAnsi="宋体" w:eastAsia="宋体" w:cs="宋体"/>
          <w:b/>
          <w:bCs/>
          <w:color w:val="auto"/>
          <w:sz w:val="21"/>
          <w:szCs w:val="21"/>
          <w:highlight w:val="none"/>
        </w:rPr>
        <w:t>评标标准</w:t>
      </w:r>
      <w:bookmarkEnd w:id="452"/>
      <w:bookmarkEnd w:id="453"/>
    </w:p>
    <w:bookmarkEnd w:id="375"/>
    <w:bookmarkEnd w:id="376"/>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9"/>
        <w:gridCol w:w="875"/>
        <w:gridCol w:w="6672"/>
        <w:gridCol w:w="6"/>
      </w:tblGrid>
      <w:tr w14:paraId="50195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006FF7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评标项目</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CE5CC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kern w:val="2"/>
                <w:sz w:val="21"/>
                <w:szCs w:val="21"/>
                <w:highlight w:val="none"/>
                <w:lang w:val="en-US" w:eastAsia="zh-CN" w:bidi="ar"/>
              </w:rPr>
              <w:t>评标</w:t>
            </w:r>
          </w:p>
          <w:p w14:paraId="47C990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分值</w:t>
            </w:r>
          </w:p>
        </w:tc>
        <w:tc>
          <w:tcPr>
            <w:tcW w:w="6672" w:type="dxa"/>
            <w:tcBorders>
              <w:top w:val="single" w:color="000000" w:sz="4" w:space="0"/>
              <w:left w:val="single" w:color="000000" w:sz="4" w:space="0"/>
              <w:bottom w:val="single" w:color="000000" w:sz="4" w:space="0"/>
              <w:right w:val="single" w:color="000000" w:sz="4" w:space="0"/>
            </w:tcBorders>
            <w:noWrap w:val="0"/>
            <w:vAlign w:val="center"/>
          </w:tcPr>
          <w:p w14:paraId="488D53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评标方法描述</w:t>
            </w:r>
          </w:p>
        </w:tc>
      </w:tr>
      <w:tr w14:paraId="60C3E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4DC73D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（一）价格分（满分30分）</w:t>
            </w:r>
          </w:p>
        </w:tc>
      </w:tr>
      <w:tr w14:paraId="21F52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113031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投标报价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DE8BF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30分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5DC853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1.评标报价为投标人的投标报价进行政策性扣除后的价格，评标报价只是作为评标时使用。最终中标人的中标金额等于投标报价。</w:t>
            </w:r>
          </w:p>
          <w:p w14:paraId="2B932A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2.中小微企业、监狱企业、残疾人福利性单位的价格政策：</w:t>
            </w:r>
          </w:p>
          <w:p w14:paraId="43B6E7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根据《政府采购促进中小企业发展管理办法》（财库〔2020〕46号）及《广西壮族自治区财政厅关于持续优化政府采购营商环境推动高质量发展的通知》（桂财采〔2024〕55号）的规定，投标产品制造商全部属于《政府采购促进中小企业发展管理办法》规定的小微企业的，对投标报价给予10%的扣除，扣除后的价格为评标价，即评标价=投标报价×（1–10%）；用扣除后的价格参加评审；大中型企业与小微企业组成联合体或者大中型企业向一家或者多家小微企业分包，且联合协议或者分包意向协议约定小微企业的合同份额占到合同总金额30%以上的，对联合体或者大中型企业的报价给予6%（工程项目为2%）的扣除，扣除后的价格为评标价，即评标价=投标报价×（1–6%）；不符合上述给予扣除情形的，评标价=投标报价。</w:t>
            </w:r>
          </w:p>
          <w:p w14:paraId="2EB6261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26681DB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84093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3.支持本国产品的价格政策：</w:t>
            </w:r>
          </w:p>
          <w:p w14:paraId="6D67FA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既有本国产品又有非本国产品参与竞争的，依法对本国产品给予价格评审优惠，对本国产品的报价给予20%的价格扣除，用扣除后的价格参与评审，即评审价=投标报价×（1-20%）。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适用情形详见“投标人须知前附表”的规定。对供应商所出具的《声明函》完整性、准确性进行审查。符合澄清补正情形的，应以书面形式要求供应商澄清补正，澄清补正后仍不符合要求的，不享受价格评审优惠。</w:t>
            </w:r>
          </w:p>
          <w:p w14:paraId="5BBD89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所有供应商提供参与投标竞争的均为本国产品，则不再执行支持本国产品价格评审优惠的扶植政策。</w:t>
            </w:r>
          </w:p>
          <w:p w14:paraId="67C71ED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4.本国产品价格扣除政策与中小微企业、监狱企业、残疾人福利性单位价格扣除政策可重复享受，统一在原投标报价的基础上进行价格扣除。</w:t>
            </w:r>
          </w:p>
          <w:p w14:paraId="6615F0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5.满足招标文件要求且评标报价最低的评标报价为评标基准价，其价格分为满分。</w:t>
            </w:r>
          </w:p>
          <w:p w14:paraId="546D3D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6.价格分计算公式：</w:t>
            </w:r>
          </w:p>
          <w:p w14:paraId="5F0B1A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价格分=(评标基准价／评标报价)×30分。</w:t>
            </w:r>
          </w:p>
          <w:p w14:paraId="2D7D72A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7.异常低价审查</w:t>
            </w:r>
          </w:p>
          <w:p w14:paraId="3D170A8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（1）政府采购评审中出现下列情形之一的，评审委员会应当启动异常低价投标审查程序：</w:t>
            </w:r>
          </w:p>
          <w:p w14:paraId="234C830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①投标报价低于全部通过符合性审查供应商投标报价平均值65%的，即投标报价＜全部通过符合性审查供应商投标报价平均值×65%；</w:t>
            </w:r>
          </w:p>
          <w:p w14:paraId="3F0A0FD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 2 \* GB3 \* MERGEFORMAT </w:instrText>
            </w:r>
            <w:r>
              <w:rPr>
                <w:rFonts w:hint="eastAsia" w:ascii="宋体" w:hAnsi="宋体" w:eastAsia="宋体" w:cs="宋体"/>
                <w:color w:val="auto"/>
                <w:kern w:val="2"/>
                <w:sz w:val="21"/>
                <w:szCs w:val="21"/>
                <w:highlight w:val="none"/>
                <w:lang w:val="en-US" w:eastAsia="zh-CN" w:bidi="ar"/>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投标报价低于通过符合性审查的次低报价供应商投标报价65%的，即投标报价＜通过符合性审查的次低报价供应商投标报价×65%；</w:t>
            </w:r>
          </w:p>
          <w:p w14:paraId="22F1331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 3 \* GB3 \* MERGEFORMAT </w:instrText>
            </w:r>
            <w:r>
              <w:rPr>
                <w:rFonts w:hint="eastAsia" w:ascii="宋体" w:hAnsi="宋体" w:eastAsia="宋体" w:cs="宋体"/>
                <w:color w:val="auto"/>
                <w:kern w:val="2"/>
                <w:sz w:val="21"/>
                <w:szCs w:val="21"/>
                <w:highlight w:val="none"/>
                <w:lang w:val="en-US" w:eastAsia="zh-CN" w:bidi="ar"/>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投标报价低于采购项目最高限价65%的，即投标报价＜采购项目最高限价×65%；</w:t>
            </w:r>
          </w:p>
          <w:p w14:paraId="3A153C5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 4 \* GB3 \* MERGEFORMAT </w:instrText>
            </w:r>
            <w:r>
              <w:rPr>
                <w:rFonts w:hint="eastAsia" w:ascii="宋体" w:hAnsi="宋体" w:eastAsia="宋体" w:cs="宋体"/>
                <w:color w:val="auto"/>
                <w:kern w:val="2"/>
                <w:sz w:val="21"/>
                <w:szCs w:val="21"/>
                <w:highlight w:val="none"/>
                <w:lang w:val="en-US" w:eastAsia="zh-CN" w:bidi="ar"/>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评审委员会基于专业判断，认为供应商报价过低，有可能影响产品质量或者不能诚信履约的其他情形。</w:t>
            </w:r>
          </w:p>
          <w:p w14:paraId="6353B04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（2）评审委员会启动异常低价投标审查后，属于前述第①项至第</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 4 \* GB3 \* MERGEFORMAT </w:instrText>
            </w:r>
            <w:r>
              <w:rPr>
                <w:rFonts w:hint="eastAsia" w:ascii="宋体" w:hAnsi="宋体" w:eastAsia="宋体" w:cs="宋体"/>
                <w:color w:val="auto"/>
                <w:kern w:val="2"/>
                <w:sz w:val="21"/>
                <w:szCs w:val="21"/>
                <w:highlight w:val="none"/>
                <w:lang w:val="en-US" w:eastAsia="zh-CN" w:bidi="ar"/>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 3 \* GB3 \* MERGEFORMAT </w:instrText>
            </w:r>
            <w:r>
              <w:rPr>
                <w:rFonts w:hint="eastAsia" w:ascii="宋体" w:hAnsi="宋体" w:eastAsia="宋体" w:cs="宋体"/>
                <w:color w:val="auto"/>
                <w:kern w:val="2"/>
                <w:sz w:val="21"/>
                <w:szCs w:val="21"/>
                <w:highlight w:val="none"/>
                <w:lang w:val="en-US" w:eastAsia="zh-CN" w:bidi="ar"/>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项情形，供应商已随投标文件一并提交相关书面说明及必要的证明材料的，在评审现场可不再重复提交。</w:t>
            </w:r>
          </w:p>
          <w:p w14:paraId="5D9C1AF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评审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228CBBF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24259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（5）异常低价投标审查的启动原因、审查意见和审查结果应当在评审报告中记录，并随供应商提供的相关书面说明及证明材料，以及评审委员会有关互联网浏览、查询历史一并归档。</w:t>
            </w:r>
          </w:p>
        </w:tc>
      </w:tr>
      <w:tr w14:paraId="6051C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265198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（二）技术分（满分</w:t>
            </w:r>
            <w:r>
              <w:rPr>
                <w:rFonts w:hint="eastAsia" w:ascii="宋体" w:hAnsi="宋体" w:cs="宋体"/>
                <w:color w:val="auto"/>
                <w:kern w:val="2"/>
                <w:sz w:val="21"/>
                <w:szCs w:val="21"/>
                <w:highlight w:val="none"/>
                <w:lang w:val="en-US" w:eastAsia="zh-CN" w:bidi="ar"/>
              </w:rPr>
              <w:t>65</w:t>
            </w:r>
            <w:r>
              <w:rPr>
                <w:rFonts w:hint="eastAsia" w:ascii="宋体" w:hAnsi="宋体" w:eastAsia="宋体" w:cs="宋体"/>
                <w:color w:val="auto"/>
                <w:kern w:val="2"/>
                <w:sz w:val="21"/>
                <w:szCs w:val="21"/>
                <w:highlight w:val="none"/>
                <w:lang w:val="en-US" w:eastAsia="zh-CN" w:bidi="ar"/>
              </w:rPr>
              <w:t>分）</w:t>
            </w:r>
          </w:p>
        </w:tc>
      </w:tr>
      <w:tr w14:paraId="532E4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2233B6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设备技术参数响应</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6BE5E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w:t>
            </w:r>
            <w:r>
              <w:rPr>
                <w:rFonts w:hint="eastAsia" w:ascii="宋体" w:hAnsi="宋体" w:cs="宋体"/>
                <w:color w:val="auto"/>
                <w:kern w:val="2"/>
                <w:sz w:val="21"/>
                <w:szCs w:val="21"/>
                <w:highlight w:val="none"/>
                <w:lang w:val="en-US" w:eastAsia="zh-CN" w:bidi="ar"/>
              </w:rPr>
              <w:t>33.5</w:t>
            </w:r>
            <w:r>
              <w:rPr>
                <w:rFonts w:hint="eastAsia" w:ascii="宋体" w:hAnsi="宋体" w:eastAsia="宋体" w:cs="宋体"/>
                <w:color w:val="auto"/>
                <w:kern w:val="2"/>
                <w:sz w:val="21"/>
                <w:szCs w:val="21"/>
                <w:highlight w:val="none"/>
                <w:lang w:val="en-US" w:eastAsia="zh-CN" w:bidi="ar"/>
              </w:rPr>
              <w:t>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1B0617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根据投标人的设备技术参数响应情况对应以下要求评分：</w:t>
            </w:r>
          </w:p>
          <w:p w14:paraId="01FDDD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一般参数</w:t>
            </w:r>
            <w:r>
              <w:rPr>
                <w:rFonts w:hint="eastAsia" w:ascii="宋体" w:hAnsi="宋体" w:eastAsia="宋体" w:cs="宋体"/>
                <w:color w:val="auto"/>
                <w:sz w:val="21"/>
                <w:szCs w:val="21"/>
                <w:highlight w:val="none"/>
                <w:lang w:val="en-US"/>
              </w:rPr>
              <w:t>共</w:t>
            </w:r>
            <w:r>
              <w:rPr>
                <w:rFonts w:hint="eastAsia" w:ascii="宋体" w:hAnsi="宋体" w:cs="宋体"/>
                <w:color w:val="auto"/>
                <w:sz w:val="21"/>
                <w:szCs w:val="21"/>
                <w:highlight w:val="none"/>
                <w:lang w:val="en-US" w:eastAsia="zh-CN"/>
              </w:rPr>
              <w:t>86</w:t>
            </w:r>
            <w:r>
              <w:rPr>
                <w:rFonts w:hint="eastAsia" w:ascii="宋体" w:hAnsi="宋体" w:eastAsia="宋体" w:cs="宋体"/>
                <w:color w:val="auto"/>
                <w:sz w:val="21"/>
                <w:szCs w:val="21"/>
                <w:highlight w:val="none"/>
                <w:lang w:val="en-US"/>
              </w:rPr>
              <w:t>项（包含配置清单），每一项符合（无负偏离）得</w:t>
            </w:r>
            <w:r>
              <w:rPr>
                <w:rFonts w:hint="eastAsia" w:ascii="宋体" w:hAnsi="宋体" w:eastAsia="宋体" w:cs="宋体"/>
                <w:color w:val="auto"/>
                <w:sz w:val="21"/>
                <w:szCs w:val="21"/>
                <w:highlight w:val="none"/>
                <w:lang w:val="en-US" w:eastAsia="zh-CN"/>
              </w:rPr>
              <w:t>0.</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en-US"/>
              </w:rPr>
              <w:t>分，满分</w:t>
            </w:r>
            <w:r>
              <w:rPr>
                <w:rFonts w:hint="eastAsia" w:ascii="宋体" w:hAnsi="宋体" w:cs="宋体"/>
                <w:color w:val="auto"/>
                <w:sz w:val="21"/>
                <w:szCs w:val="21"/>
                <w:highlight w:val="none"/>
                <w:lang w:val="en-US" w:eastAsia="zh-CN"/>
              </w:rPr>
              <w:t>21.5</w:t>
            </w:r>
            <w:r>
              <w:rPr>
                <w:rFonts w:hint="eastAsia" w:ascii="宋体" w:hAnsi="宋体" w:eastAsia="宋体" w:cs="宋体"/>
                <w:color w:val="auto"/>
                <w:sz w:val="21"/>
                <w:szCs w:val="21"/>
                <w:highlight w:val="none"/>
                <w:lang w:val="en-US"/>
              </w:rPr>
              <w:t>分</w:t>
            </w:r>
            <w:r>
              <w:rPr>
                <w:rFonts w:hint="eastAsia" w:ascii="宋体" w:hAnsi="宋体" w:eastAsia="宋体" w:cs="宋体"/>
                <w:color w:val="auto"/>
                <w:sz w:val="21"/>
                <w:szCs w:val="21"/>
                <w:highlight w:val="none"/>
                <w:lang w:val="en-US" w:eastAsia="zh-CN"/>
              </w:rPr>
              <w:t>。</w:t>
            </w:r>
          </w:p>
          <w:p w14:paraId="436912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重要参数共4项，如参数</w:t>
            </w:r>
            <w:r>
              <w:rPr>
                <w:rFonts w:hint="eastAsia" w:ascii="宋体" w:hAnsi="宋体" w:eastAsia="宋体" w:cs="宋体"/>
                <w:color w:val="auto"/>
                <w:sz w:val="21"/>
                <w:szCs w:val="21"/>
                <w:highlight w:val="none"/>
                <w:lang w:val="en-US"/>
              </w:rPr>
              <w:t>符合（无负偏离）</w:t>
            </w:r>
            <w:r>
              <w:rPr>
                <w:rFonts w:hint="eastAsia" w:ascii="宋体" w:hAnsi="宋体" w:eastAsia="宋体" w:cs="宋体"/>
                <w:color w:val="auto"/>
                <w:sz w:val="21"/>
                <w:szCs w:val="21"/>
                <w:highlight w:val="none"/>
                <w:lang w:val="en-US" w:eastAsia="zh-CN"/>
              </w:rPr>
              <w:t>的，每一项</w:t>
            </w:r>
            <w:r>
              <w:rPr>
                <w:rFonts w:hint="eastAsia" w:ascii="宋体" w:hAnsi="宋体" w:eastAsia="宋体" w:cs="宋体"/>
                <w:color w:val="auto"/>
                <w:sz w:val="21"/>
                <w:szCs w:val="21"/>
                <w:highlight w:val="none"/>
                <w:lang w:val="en-US"/>
              </w:rPr>
              <w:t>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en-US"/>
              </w:rPr>
              <w:t>分</w:t>
            </w:r>
            <w:r>
              <w:rPr>
                <w:rFonts w:hint="eastAsia" w:ascii="宋体" w:hAnsi="宋体" w:eastAsia="宋体" w:cs="宋体"/>
                <w:color w:val="auto"/>
                <w:sz w:val="21"/>
                <w:szCs w:val="21"/>
                <w:highlight w:val="none"/>
                <w:lang w:val="en-US" w:eastAsia="zh-CN"/>
              </w:rPr>
              <w:t>；如参数为正偏离的，每一项得3分，满分12分。</w:t>
            </w:r>
          </w:p>
          <w:p w14:paraId="020B3A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val="en-US"/>
              </w:rPr>
              <w:t>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一般参数指未标注“▲”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的指标参数。</w:t>
            </w:r>
            <w:r>
              <w:rPr>
                <w:rFonts w:hint="eastAsia" w:ascii="宋体" w:hAnsi="宋体" w:eastAsia="宋体" w:cs="宋体"/>
                <w:color w:val="auto"/>
                <w:sz w:val="21"/>
                <w:szCs w:val="21"/>
                <w:highlight w:val="none"/>
                <w:lang w:val="en-US" w:eastAsia="zh-CN"/>
              </w:rPr>
              <w:t>重要参数</w:t>
            </w:r>
            <w:r>
              <w:rPr>
                <w:rFonts w:hint="eastAsia" w:ascii="宋体" w:hAnsi="宋体" w:eastAsia="宋体" w:cs="宋体"/>
                <w:color w:val="auto"/>
                <w:sz w:val="21"/>
                <w:szCs w:val="21"/>
                <w:highlight w:val="none"/>
                <w:lang w:val="en-US"/>
              </w:rPr>
              <w:t>指标注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的指标参数</w:t>
            </w:r>
            <w:r>
              <w:rPr>
                <w:rFonts w:hint="eastAsia" w:ascii="宋体" w:hAnsi="宋体" w:eastAsia="宋体" w:cs="宋体"/>
                <w:color w:val="auto"/>
                <w:sz w:val="21"/>
                <w:szCs w:val="21"/>
                <w:highlight w:val="none"/>
                <w:lang w:val="en-US" w:eastAsia="zh-CN"/>
              </w:rPr>
              <w:t>。</w:t>
            </w:r>
          </w:p>
          <w:p w14:paraId="4D0039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（2）根据技术偏离表及相关证明材料进行评分，凡采购需求中有明确要求提供截图或照片或其他佐证材料等资料的，评审时以所提供的资料为评分依据。</w:t>
            </w:r>
          </w:p>
          <w:p w14:paraId="123786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（3）投标人的技术参数有正偏离的，须在技术偏离表中列明，凡采购需求中有明确提供相关佐证材料的，须在投标文件中附上，否则不予认可。</w:t>
            </w:r>
          </w:p>
        </w:tc>
      </w:tr>
      <w:tr w14:paraId="2B434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250F9B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项目实施方案</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B9AF1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w:t>
            </w:r>
            <w:r>
              <w:rPr>
                <w:rFonts w:hint="eastAsia" w:ascii="宋体" w:hAnsi="宋体" w:cs="宋体"/>
                <w:color w:val="auto"/>
                <w:kern w:val="2"/>
                <w:sz w:val="21"/>
                <w:szCs w:val="21"/>
                <w:highlight w:val="none"/>
                <w:lang w:val="en-US" w:eastAsia="zh-CN" w:bidi="ar"/>
              </w:rPr>
              <w:t>11.5</w:t>
            </w:r>
            <w:r>
              <w:rPr>
                <w:rFonts w:hint="eastAsia" w:ascii="宋体" w:hAnsi="宋体" w:eastAsia="宋体" w:cs="宋体"/>
                <w:color w:val="auto"/>
                <w:kern w:val="2"/>
                <w:sz w:val="21"/>
                <w:szCs w:val="21"/>
                <w:highlight w:val="none"/>
                <w:lang w:val="en-US" w:eastAsia="zh-CN" w:bidi="ar"/>
              </w:rPr>
              <w:t>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1B859A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由评委根据项目投标人提供的项目实施方案内容进行独立评审：</w:t>
            </w:r>
          </w:p>
          <w:p w14:paraId="62D146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一档（</w:t>
            </w:r>
            <w:r>
              <w:rPr>
                <w:rFonts w:hint="eastAsia" w:ascii="宋体" w:hAnsi="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分）：有实施方案，基本满足项目实施要求。</w:t>
            </w:r>
          </w:p>
          <w:p w14:paraId="5DD2A3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二档（</w:t>
            </w:r>
            <w:r>
              <w:rPr>
                <w:rFonts w:hint="eastAsia" w:ascii="宋体" w:hAnsi="宋体" w:cs="宋体"/>
                <w:color w:val="auto"/>
                <w:kern w:val="2"/>
                <w:sz w:val="21"/>
                <w:szCs w:val="21"/>
                <w:highlight w:val="none"/>
                <w:lang w:val="en-US" w:eastAsia="zh-CN" w:bidi="ar"/>
              </w:rPr>
              <w:t>7</w:t>
            </w:r>
            <w:r>
              <w:rPr>
                <w:rFonts w:hint="eastAsia" w:ascii="宋体" w:hAnsi="宋体" w:eastAsia="宋体" w:cs="宋体"/>
                <w:color w:val="auto"/>
                <w:kern w:val="2"/>
                <w:sz w:val="21"/>
                <w:szCs w:val="21"/>
                <w:highlight w:val="none"/>
                <w:lang w:val="en-US" w:eastAsia="zh-CN" w:bidi="ar"/>
              </w:rPr>
              <w:t>分）：实施方案阐述较全，包含有实施计划、组织机构、人员安排、供货保障措施、应急保障措施等。</w:t>
            </w:r>
          </w:p>
          <w:p w14:paraId="6C01BF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三档（</w:t>
            </w:r>
            <w:r>
              <w:rPr>
                <w:rFonts w:hint="eastAsia" w:ascii="宋体" w:hAnsi="宋体" w:cs="宋体"/>
                <w:color w:val="auto"/>
                <w:kern w:val="2"/>
                <w:sz w:val="21"/>
                <w:szCs w:val="21"/>
                <w:highlight w:val="none"/>
                <w:lang w:val="en-US" w:eastAsia="zh-CN" w:bidi="ar"/>
              </w:rPr>
              <w:t>11.5</w:t>
            </w:r>
            <w:r>
              <w:rPr>
                <w:rFonts w:hint="eastAsia" w:ascii="宋体" w:hAnsi="宋体" w:eastAsia="宋体" w:cs="宋体"/>
                <w:color w:val="auto"/>
                <w:kern w:val="2"/>
                <w:sz w:val="21"/>
                <w:szCs w:val="21"/>
                <w:highlight w:val="none"/>
                <w:lang w:val="en-US" w:eastAsia="zh-CN" w:bidi="ar"/>
              </w:rPr>
              <w:t>分）：实施方案阐述详细，提出较符合采购人单位实际的措施安排，包含但不限于实施计划、组织机构、人员安排、供货保障措施、应急保障措施、安装调试工程师和周期安排具体可行、验收措施保障得当等。</w:t>
            </w:r>
          </w:p>
          <w:p w14:paraId="573981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不满足一档的不得分。</w:t>
            </w:r>
          </w:p>
        </w:tc>
      </w:tr>
      <w:tr w14:paraId="3856C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7B946F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质量保障方案</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72C57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w:t>
            </w:r>
            <w:r>
              <w:rPr>
                <w:rFonts w:hint="eastAsia" w:ascii="宋体" w:hAnsi="宋体" w:cs="宋体"/>
                <w:color w:val="auto"/>
                <w:kern w:val="2"/>
                <w:sz w:val="21"/>
                <w:szCs w:val="21"/>
                <w:highlight w:val="none"/>
                <w:lang w:val="en-US" w:eastAsia="zh-CN" w:bidi="ar"/>
              </w:rPr>
              <w:t>10</w:t>
            </w:r>
            <w:r>
              <w:rPr>
                <w:rFonts w:hint="eastAsia" w:ascii="宋体" w:hAnsi="宋体" w:eastAsia="宋体" w:cs="宋体"/>
                <w:color w:val="auto"/>
                <w:kern w:val="2"/>
                <w:sz w:val="21"/>
                <w:szCs w:val="21"/>
                <w:highlight w:val="none"/>
                <w:lang w:val="en-US" w:eastAsia="zh-CN" w:bidi="ar"/>
              </w:rPr>
              <w:t>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02F616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由评委根据投标人提供的质量保障方案内容进行独立评审：</w:t>
            </w:r>
          </w:p>
          <w:p w14:paraId="6EC888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一档（1分）：有质量保证方案，能满足项目需求中的质量保证要求；</w:t>
            </w:r>
          </w:p>
          <w:p w14:paraId="699382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二档（</w:t>
            </w:r>
            <w:r>
              <w:rPr>
                <w:rFonts w:hint="eastAsia" w:ascii="宋体" w:hAnsi="宋体" w:cs="宋体"/>
                <w:color w:val="auto"/>
                <w:kern w:val="2"/>
                <w:sz w:val="21"/>
                <w:szCs w:val="21"/>
                <w:highlight w:val="none"/>
                <w:lang w:val="en-US" w:eastAsia="zh-CN" w:bidi="ar"/>
              </w:rPr>
              <w:t>6</w:t>
            </w:r>
            <w:r>
              <w:rPr>
                <w:rFonts w:hint="eastAsia" w:ascii="宋体" w:hAnsi="宋体" w:eastAsia="宋体" w:cs="宋体"/>
                <w:color w:val="auto"/>
                <w:kern w:val="2"/>
                <w:sz w:val="21"/>
                <w:szCs w:val="21"/>
                <w:highlight w:val="none"/>
                <w:lang w:val="en-US" w:eastAsia="zh-CN" w:bidi="ar"/>
              </w:rPr>
              <w:t>分）：有详细的质量保证方案，能根据项目需求中的质量保证要求，逐条做出详细的质量保证方案计划。</w:t>
            </w:r>
          </w:p>
          <w:p w14:paraId="38F5D8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三档（</w:t>
            </w:r>
            <w:r>
              <w:rPr>
                <w:rFonts w:hint="eastAsia" w:ascii="宋体" w:hAnsi="宋体" w:cs="宋体"/>
                <w:color w:val="auto"/>
                <w:kern w:val="2"/>
                <w:sz w:val="21"/>
                <w:szCs w:val="21"/>
                <w:highlight w:val="none"/>
                <w:lang w:val="en-US" w:eastAsia="zh-CN" w:bidi="ar"/>
              </w:rPr>
              <w:t>10</w:t>
            </w:r>
            <w:r>
              <w:rPr>
                <w:rFonts w:hint="eastAsia" w:ascii="宋体" w:hAnsi="宋体" w:eastAsia="宋体" w:cs="宋体"/>
                <w:color w:val="auto"/>
                <w:kern w:val="2"/>
                <w:sz w:val="21"/>
                <w:szCs w:val="21"/>
                <w:highlight w:val="none"/>
                <w:lang w:val="en-US" w:eastAsia="zh-CN" w:bidi="ar"/>
              </w:rPr>
              <w:t>分）：有详细的质量保证方案，能根据项目需求中的质量保证要求，逐条做出详细的符合采购人单位实际的质量保证方案计划，明确具体环节保障人员，有保障重点及难点分析并提出针对性的解决方案。</w:t>
            </w:r>
          </w:p>
          <w:p w14:paraId="58B4C0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不满足一档的不得分。</w:t>
            </w:r>
          </w:p>
        </w:tc>
      </w:tr>
      <w:tr w14:paraId="72609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348F4D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售后服务方案</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C8A41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w:t>
            </w:r>
            <w:r>
              <w:rPr>
                <w:rFonts w:hint="eastAsia" w:ascii="宋体" w:hAnsi="宋体" w:cs="宋体"/>
                <w:color w:val="auto"/>
                <w:kern w:val="2"/>
                <w:sz w:val="21"/>
                <w:szCs w:val="21"/>
                <w:highlight w:val="none"/>
                <w:lang w:val="en-US" w:eastAsia="zh-CN" w:bidi="ar"/>
              </w:rPr>
              <w:t>10</w:t>
            </w:r>
            <w:r>
              <w:rPr>
                <w:rFonts w:hint="eastAsia" w:ascii="宋体" w:hAnsi="宋体" w:eastAsia="宋体" w:cs="宋体"/>
                <w:color w:val="auto"/>
                <w:kern w:val="2"/>
                <w:sz w:val="21"/>
                <w:szCs w:val="21"/>
                <w:highlight w:val="none"/>
                <w:lang w:val="en-US" w:eastAsia="zh-CN" w:bidi="ar"/>
              </w:rPr>
              <w:t>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7B6909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由评委根据投标人提供的售后服务方案内容进行独立评审：</w:t>
            </w:r>
          </w:p>
          <w:p w14:paraId="0E3440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一档（1分）：满足项目质保期及售后服务要求，有定期回访及培训的。</w:t>
            </w:r>
          </w:p>
          <w:p w14:paraId="7A8E0A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二档（</w:t>
            </w:r>
            <w:r>
              <w:rPr>
                <w:rFonts w:hint="eastAsia" w:ascii="宋体" w:hAnsi="宋体" w:cs="宋体"/>
                <w:color w:val="auto"/>
                <w:kern w:val="2"/>
                <w:sz w:val="21"/>
                <w:szCs w:val="21"/>
                <w:highlight w:val="none"/>
                <w:lang w:val="en-US" w:eastAsia="zh-CN" w:bidi="ar"/>
              </w:rPr>
              <w:t>6</w:t>
            </w:r>
            <w:r>
              <w:rPr>
                <w:rFonts w:hint="eastAsia" w:ascii="宋体" w:hAnsi="宋体" w:eastAsia="宋体" w:cs="宋体"/>
                <w:color w:val="auto"/>
                <w:kern w:val="2"/>
                <w:sz w:val="21"/>
                <w:szCs w:val="21"/>
                <w:highlight w:val="none"/>
                <w:lang w:val="en-US" w:eastAsia="zh-CN" w:bidi="ar"/>
              </w:rPr>
              <w:t>分）：优于项目质保期及售后服务要求，在接到采购人维修要求后应立即响应并在1小时内提出解决方案，4小时内到达现场对故障进行处理，维修过程中所需材料中标人在接到通知后应及时提供,最长不超过18小时必须送达采购人。若48小时内无法修复的，应36小时内提供相应备用设备并负责安装调试；定期回访一年不少于2次，回访方案详细；培训组织能根据产品制定详细的培训方案。</w:t>
            </w:r>
          </w:p>
          <w:p w14:paraId="33E85A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三档（</w:t>
            </w:r>
            <w:r>
              <w:rPr>
                <w:rFonts w:hint="eastAsia" w:ascii="宋体" w:hAnsi="宋体" w:cs="宋体"/>
                <w:color w:val="auto"/>
                <w:kern w:val="2"/>
                <w:sz w:val="21"/>
                <w:szCs w:val="21"/>
                <w:highlight w:val="none"/>
                <w:lang w:val="en-US" w:eastAsia="zh-CN" w:bidi="ar"/>
              </w:rPr>
              <w:t>10</w:t>
            </w:r>
            <w:r>
              <w:rPr>
                <w:rFonts w:hint="eastAsia" w:ascii="宋体" w:hAnsi="宋体" w:eastAsia="宋体" w:cs="宋体"/>
                <w:color w:val="auto"/>
                <w:kern w:val="2"/>
                <w:sz w:val="21"/>
                <w:szCs w:val="21"/>
                <w:highlight w:val="none"/>
                <w:lang w:val="en-US" w:eastAsia="zh-CN" w:bidi="ar"/>
              </w:rPr>
              <w:t>分）：高于项目质保期及售后服务要求，质保期有延长，在接到采购人维修要求后应立即响应并在0.5小时内提出解决方案，4小时内到达现场对故障进行处理，维修过程中所需材料中标人在接到通知后应及时提供,最长不超过12小时必须送达采购人。若48小时内无法修复的，应24小时内提供相应备用设备并负责安装调试；定期回访一年不少于4次，回访方案详细，有回访重点，能针对回访遇到的问题提出解决方案；培训组织能根据采购人单位实际出发，针对本分标的不同产品制定个性化培训方案，能结合产品特点给出科学合理的设备拓展升级方案。</w:t>
            </w:r>
          </w:p>
          <w:p w14:paraId="1D00E1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不满足一档的不得分。</w:t>
            </w:r>
          </w:p>
        </w:tc>
      </w:tr>
      <w:tr w14:paraId="7D45E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6B2C5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（三）商务分（满分</w:t>
            </w:r>
            <w:r>
              <w:rPr>
                <w:rFonts w:hint="eastAsia" w:ascii="宋体" w:hAnsi="宋体" w:cs="宋体"/>
                <w:color w:val="auto"/>
                <w:kern w:val="2"/>
                <w:sz w:val="21"/>
                <w:szCs w:val="21"/>
                <w:highlight w:val="none"/>
                <w:lang w:val="en-US" w:eastAsia="zh-CN" w:bidi="ar"/>
              </w:rPr>
              <w:t>5</w:t>
            </w:r>
            <w:r>
              <w:rPr>
                <w:rFonts w:hint="eastAsia" w:ascii="宋体" w:hAnsi="宋体" w:eastAsia="宋体" w:cs="宋体"/>
                <w:color w:val="auto"/>
                <w:kern w:val="2"/>
                <w:sz w:val="21"/>
                <w:szCs w:val="21"/>
                <w:highlight w:val="none"/>
                <w:lang w:val="en-US" w:eastAsia="zh-CN" w:bidi="ar"/>
              </w:rPr>
              <w:t>分）</w:t>
            </w:r>
          </w:p>
        </w:tc>
      </w:tr>
      <w:tr w14:paraId="531A6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1BE463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业绩分</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564F3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w:t>
            </w:r>
            <w:r>
              <w:rPr>
                <w:rFonts w:hint="eastAsia" w:ascii="宋体" w:hAnsi="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224961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投标人或投标产品生产厂家自2021年1月1日以来有过同类设备业绩（</w:t>
            </w:r>
            <w:r>
              <w:rPr>
                <w:rFonts w:hint="eastAsia" w:ascii="宋体" w:hAnsi="宋体" w:eastAsia="宋体" w:cs="宋体"/>
                <w:color w:val="auto"/>
                <w:sz w:val="21"/>
                <w:szCs w:val="21"/>
                <w:highlight w:val="none"/>
                <w:lang w:val="en-US" w:eastAsia="zh-CN"/>
              </w:rPr>
              <w:t>三重四极杆电感耦合等离子体质谱仪</w:t>
            </w:r>
            <w:r>
              <w:rPr>
                <w:rFonts w:hint="eastAsia" w:ascii="宋体" w:hAnsi="宋体" w:eastAsia="宋体" w:cs="宋体"/>
                <w:color w:val="auto"/>
                <w:kern w:val="2"/>
                <w:sz w:val="21"/>
                <w:szCs w:val="21"/>
                <w:highlight w:val="none"/>
                <w:lang w:val="en-US" w:eastAsia="zh-CN" w:bidi="ar"/>
              </w:rPr>
              <w:t>），每个业绩得</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分，本项满分</w:t>
            </w:r>
            <w:r>
              <w:rPr>
                <w:rFonts w:hint="eastAsia" w:ascii="宋体" w:hAnsi="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分。</w:t>
            </w:r>
          </w:p>
          <w:p w14:paraId="3CBAAA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注：必须提供中标/成交通知书或合同（首页、签字盖章页、产品所在页）复印件等证明材料复印件并加盖公章，否则不得分。</w:t>
            </w:r>
          </w:p>
        </w:tc>
      </w:tr>
      <w:tr w14:paraId="2BF47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63F9A0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政策功能分</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39287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满分1分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481922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属于财政部《节能产品政府采购品目清单》内优先采购（清单内未标注“★”的品目）的产品[投标文件中提供有效的认证证书复印件及品目清单（标注出投标产品在品目清单中所属的品目）]，每提供一项得0.5分，满分0.5分。</w:t>
            </w:r>
          </w:p>
          <w:p w14:paraId="2F1796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（2）属于财政部《环境标志产品政府采购品目清单》内的产品[投标文件中提供有效的认证证书复印件及品目清单（标注出投标产品在品目清单中所属的品目）]，每提供一项得0.5分，满分0.5分。</w:t>
            </w:r>
          </w:p>
          <w:p w14:paraId="19174A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（3）非节能、环境标志产品的不得分。</w:t>
            </w:r>
          </w:p>
        </w:tc>
      </w:tr>
      <w:tr w14:paraId="722A6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6A65CC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总得分=（一）+（二）+（三）</w:t>
            </w:r>
          </w:p>
        </w:tc>
      </w:tr>
    </w:tbl>
    <w:p w14:paraId="2DEA9D99">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outlineLvl w:val="2"/>
        <w:rPr>
          <w:rFonts w:hint="default" w:ascii="仿宋" w:hAnsi="仿宋" w:eastAsia="仿宋" w:cs="仿宋"/>
          <w:color w:val="auto"/>
          <w:sz w:val="32"/>
          <w:szCs w:val="32"/>
          <w:highlight w:val="none"/>
          <w:u w:val="single"/>
          <w:lang w:val="en-US" w:eastAsia="zh-CN"/>
        </w:rPr>
      </w:pPr>
      <w:r>
        <w:rPr>
          <w:rFonts w:hint="eastAsia" w:ascii="宋体" w:hAnsi="宋体" w:eastAsia="宋体" w:cs="宋体"/>
          <w:color w:val="auto"/>
          <w:sz w:val="30"/>
          <w:szCs w:val="30"/>
          <w:highlight w:val="none"/>
        </w:rPr>
        <w:br w:type="page"/>
      </w:r>
      <w:r>
        <w:rPr>
          <w:rFonts w:hint="eastAsia" w:ascii="宋体" w:hAnsi="宋体" w:eastAsia="宋体" w:cs="宋体"/>
          <w:b/>
          <w:bCs/>
          <w:color w:val="auto"/>
          <w:sz w:val="21"/>
          <w:szCs w:val="21"/>
          <w:highlight w:val="none"/>
          <w:u w:val="none"/>
          <w:lang w:val="en-US" w:eastAsia="zh-CN"/>
        </w:rPr>
        <w:t>附件：分包4技术参数指标等级对照表</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1"/>
        <w:gridCol w:w="1501"/>
      </w:tblGrid>
      <w:tr w14:paraId="3A71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14:paraId="06DDF01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54" w:name="_Toc2371"/>
            <w:bookmarkStart w:id="455" w:name="_Toc65"/>
            <w:r>
              <w:rPr>
                <w:rFonts w:hint="eastAsia" w:ascii="宋体" w:hAnsi="宋体" w:eastAsia="宋体" w:cs="宋体"/>
                <w:b/>
                <w:bCs/>
                <w:color w:val="auto"/>
                <w:sz w:val="21"/>
                <w:szCs w:val="21"/>
                <w:highlight w:val="none"/>
                <w:u w:val="none"/>
                <w:vertAlign w:val="baseline"/>
                <w:lang w:val="en-US" w:eastAsia="zh-CN" w:bidi="ar"/>
              </w:rPr>
              <w:t>技术参数指标等级对照表</w:t>
            </w:r>
            <w:bookmarkEnd w:id="454"/>
            <w:bookmarkEnd w:id="455"/>
          </w:p>
        </w:tc>
      </w:tr>
      <w:tr w14:paraId="3378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14:paraId="18B7E7A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56" w:name="_Toc25712"/>
            <w:bookmarkStart w:id="457" w:name="_Toc2800"/>
            <w:r>
              <w:rPr>
                <w:rFonts w:hint="eastAsia" w:ascii="宋体" w:hAnsi="宋体" w:eastAsia="宋体" w:cs="宋体"/>
                <w:b w:val="0"/>
                <w:bCs w:val="0"/>
                <w:color w:val="auto"/>
                <w:sz w:val="21"/>
                <w:szCs w:val="21"/>
                <w:highlight w:val="none"/>
                <w:u w:val="none"/>
                <w:vertAlign w:val="baseline"/>
                <w:lang w:val="en-US" w:eastAsia="zh-CN" w:bidi="ar"/>
              </w:rPr>
              <w:t>一般参数指标合计</w:t>
            </w:r>
            <w:r>
              <w:rPr>
                <w:rFonts w:hint="eastAsia" w:ascii="宋体" w:hAnsi="宋体" w:cs="宋体"/>
                <w:b w:val="0"/>
                <w:bCs w:val="0"/>
                <w:color w:val="auto"/>
                <w:sz w:val="21"/>
                <w:szCs w:val="21"/>
                <w:highlight w:val="none"/>
                <w:u w:val="none"/>
                <w:vertAlign w:val="baseline"/>
                <w:lang w:val="en-US" w:eastAsia="zh-CN" w:bidi="ar"/>
              </w:rPr>
              <w:t>86</w:t>
            </w:r>
            <w:r>
              <w:rPr>
                <w:rFonts w:hint="eastAsia" w:ascii="宋体" w:hAnsi="宋体" w:eastAsia="宋体" w:cs="宋体"/>
                <w:b w:val="0"/>
                <w:bCs w:val="0"/>
                <w:color w:val="auto"/>
                <w:sz w:val="21"/>
                <w:szCs w:val="21"/>
                <w:highlight w:val="none"/>
                <w:u w:val="none"/>
                <w:vertAlign w:val="baseline"/>
                <w:lang w:val="en-US" w:eastAsia="zh-CN" w:bidi="ar"/>
              </w:rPr>
              <w:t>项，重要参数指标合计</w:t>
            </w:r>
            <w:r>
              <w:rPr>
                <w:rFonts w:hint="eastAsia" w:ascii="宋体" w:hAnsi="宋体" w:cs="宋体"/>
                <w:b w:val="0"/>
                <w:bCs w:val="0"/>
                <w:color w:val="auto"/>
                <w:sz w:val="21"/>
                <w:szCs w:val="21"/>
                <w:highlight w:val="none"/>
                <w:u w:val="none"/>
                <w:vertAlign w:val="baseline"/>
                <w:lang w:val="en-US" w:eastAsia="zh-CN" w:bidi="ar"/>
              </w:rPr>
              <w:t>4</w:t>
            </w:r>
            <w:r>
              <w:rPr>
                <w:rFonts w:hint="eastAsia" w:ascii="宋体" w:hAnsi="宋体" w:eastAsia="宋体" w:cs="宋体"/>
                <w:b w:val="0"/>
                <w:bCs w:val="0"/>
                <w:color w:val="auto"/>
                <w:sz w:val="21"/>
                <w:szCs w:val="21"/>
                <w:highlight w:val="none"/>
                <w:u w:val="none"/>
                <w:vertAlign w:val="baseline"/>
                <w:lang w:val="en-US" w:eastAsia="zh-CN" w:bidi="ar"/>
              </w:rPr>
              <w:t>项</w:t>
            </w:r>
            <w:bookmarkEnd w:id="456"/>
            <w:bookmarkEnd w:id="457"/>
          </w:p>
        </w:tc>
      </w:tr>
      <w:tr w14:paraId="0E93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top"/>
          </w:tcPr>
          <w:p w14:paraId="23C7EB6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58" w:name="_Toc7293"/>
            <w:bookmarkStart w:id="459" w:name="_Toc2921"/>
            <w:r>
              <w:rPr>
                <w:rFonts w:hint="eastAsia" w:ascii="宋体" w:hAnsi="宋体" w:eastAsia="宋体" w:cs="宋体"/>
                <w:b w:val="0"/>
                <w:bCs w:val="0"/>
                <w:color w:val="auto"/>
                <w:spacing w:val="0"/>
                <w:sz w:val="21"/>
                <w:szCs w:val="21"/>
                <w:highlight w:val="none"/>
                <w:lang w:bidi="ar"/>
              </w:rPr>
              <w:t>技术</w:t>
            </w:r>
            <w:r>
              <w:rPr>
                <w:rFonts w:hint="eastAsia" w:ascii="宋体" w:hAnsi="宋体" w:eastAsia="宋体" w:cs="宋体"/>
                <w:b w:val="0"/>
                <w:bCs w:val="0"/>
                <w:color w:val="auto"/>
                <w:spacing w:val="0"/>
                <w:sz w:val="21"/>
                <w:szCs w:val="21"/>
                <w:highlight w:val="none"/>
                <w:lang w:val="en-US" w:eastAsia="zh-CN" w:bidi="ar"/>
              </w:rPr>
              <w:t>参数</w:t>
            </w:r>
            <w:r>
              <w:rPr>
                <w:rFonts w:hint="eastAsia" w:ascii="宋体" w:hAnsi="宋体" w:eastAsia="宋体" w:cs="宋体"/>
                <w:b w:val="0"/>
                <w:bCs w:val="0"/>
                <w:color w:val="auto"/>
                <w:spacing w:val="0"/>
                <w:sz w:val="21"/>
                <w:szCs w:val="21"/>
                <w:highlight w:val="none"/>
                <w:lang w:bidi="ar"/>
              </w:rPr>
              <w:t>指标要求</w:t>
            </w:r>
            <w:bookmarkEnd w:id="458"/>
            <w:bookmarkEnd w:id="459"/>
          </w:p>
        </w:tc>
        <w:tc>
          <w:tcPr>
            <w:tcW w:w="1501" w:type="dxa"/>
            <w:noWrap w:val="0"/>
            <w:vAlign w:val="top"/>
          </w:tcPr>
          <w:p w14:paraId="4833473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60" w:name="_Toc4447"/>
            <w:bookmarkStart w:id="461" w:name="_Toc5130"/>
            <w:r>
              <w:rPr>
                <w:rFonts w:hint="eastAsia" w:ascii="宋体" w:hAnsi="宋体" w:eastAsia="宋体" w:cs="宋体"/>
                <w:b w:val="0"/>
                <w:bCs w:val="0"/>
                <w:color w:val="auto"/>
                <w:sz w:val="21"/>
                <w:szCs w:val="21"/>
                <w:highlight w:val="none"/>
                <w:u w:val="none"/>
                <w:vertAlign w:val="baseline"/>
                <w:lang w:val="en-US" w:eastAsia="zh-CN" w:bidi="ar"/>
              </w:rPr>
              <w:t>指标等级</w:t>
            </w:r>
            <w:bookmarkEnd w:id="460"/>
            <w:bookmarkEnd w:id="461"/>
          </w:p>
        </w:tc>
      </w:tr>
      <w:tr w14:paraId="459D4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gridSpan w:val="2"/>
            <w:noWrap w:val="0"/>
            <w:vAlign w:val="top"/>
          </w:tcPr>
          <w:p w14:paraId="6F1F273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62" w:name="_Toc6394"/>
            <w:bookmarkStart w:id="463" w:name="_Toc28301"/>
            <w:r>
              <w:rPr>
                <w:rFonts w:hint="eastAsia" w:ascii="宋体" w:hAnsi="宋体" w:eastAsia="宋体" w:cs="宋体"/>
                <w:b w:val="0"/>
                <w:bCs w:val="0"/>
                <w:color w:val="auto"/>
                <w:sz w:val="21"/>
                <w:szCs w:val="21"/>
                <w:highlight w:val="none"/>
              </w:rPr>
              <w:t>三重四极杆电感耦合等离子体质谱仪</w:t>
            </w:r>
            <w:bookmarkEnd w:id="462"/>
            <w:bookmarkEnd w:id="463"/>
          </w:p>
        </w:tc>
      </w:tr>
      <w:tr w14:paraId="790D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B50A052">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一、基本要求</w:t>
            </w:r>
          </w:p>
        </w:tc>
        <w:tc>
          <w:tcPr>
            <w:tcW w:w="1501" w:type="dxa"/>
            <w:noWrap w:val="0"/>
            <w:vAlign w:val="center"/>
          </w:tcPr>
          <w:p w14:paraId="616EE430">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64" w:name="_Toc14911"/>
            <w:bookmarkStart w:id="465" w:name="_Toc10069"/>
            <w:r>
              <w:rPr>
                <w:rFonts w:hint="eastAsia" w:ascii="宋体" w:hAnsi="宋体" w:eastAsia="宋体" w:cs="宋体"/>
                <w:b w:val="0"/>
                <w:bCs w:val="0"/>
                <w:color w:val="auto"/>
                <w:sz w:val="21"/>
                <w:szCs w:val="21"/>
                <w:highlight w:val="none"/>
                <w:u w:val="none"/>
                <w:vertAlign w:val="baseline"/>
                <w:lang w:val="en-US" w:eastAsia="zh-CN" w:bidi="ar"/>
              </w:rPr>
              <w:t>/</w:t>
            </w:r>
            <w:bookmarkEnd w:id="464"/>
            <w:bookmarkEnd w:id="465"/>
          </w:p>
        </w:tc>
      </w:tr>
      <w:tr w14:paraId="6594D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CCDE531">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▲1.1 ICP-MS/MS要求由一前一后两个四极杆质量分析器构成，在这两个四极杆质量分析器之间有四极杆（或者多极杆）充当碰撞反应池，而非单四极结构；【投标时需提供软件界面中的参数截图或其他可证明为多重四极杆的佐证材料，并加盖投标人单位公章】</w:t>
            </w:r>
          </w:p>
        </w:tc>
        <w:tc>
          <w:tcPr>
            <w:tcW w:w="1501" w:type="dxa"/>
            <w:noWrap w:val="0"/>
            <w:vAlign w:val="center"/>
          </w:tcPr>
          <w:p w14:paraId="1C0D27E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66" w:name="_Toc23589"/>
            <w:bookmarkStart w:id="467" w:name="_Toc17653"/>
            <w:r>
              <w:rPr>
                <w:rFonts w:hint="eastAsia" w:ascii="宋体" w:hAnsi="宋体" w:eastAsia="宋体" w:cs="宋体"/>
                <w:b w:val="0"/>
                <w:bCs w:val="0"/>
                <w:color w:val="auto"/>
                <w:sz w:val="21"/>
                <w:szCs w:val="21"/>
                <w:highlight w:val="none"/>
                <w:u w:val="none"/>
                <w:vertAlign w:val="baseline"/>
                <w:lang w:val="en-US" w:eastAsia="zh-CN" w:bidi="ar"/>
              </w:rPr>
              <w:t>实质性参数</w:t>
            </w:r>
            <w:bookmarkEnd w:id="466"/>
            <w:bookmarkEnd w:id="467"/>
          </w:p>
        </w:tc>
      </w:tr>
      <w:tr w14:paraId="41AD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2662683">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1.2仪器要求能适用于应用领域广泛的各种样品的元素分析、同位素分析和元素形态分析等任务等，满足环境、食品、医药、地质、金属材料、生物样品、化工材料分析等；</w:t>
            </w:r>
          </w:p>
        </w:tc>
        <w:tc>
          <w:tcPr>
            <w:tcW w:w="1501" w:type="dxa"/>
            <w:noWrap w:val="0"/>
            <w:vAlign w:val="center"/>
          </w:tcPr>
          <w:p w14:paraId="551E265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7092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50540C3">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1.3仪器要求能进行样品定性、半定量、定量、同位素比分析。</w:t>
            </w:r>
          </w:p>
        </w:tc>
        <w:tc>
          <w:tcPr>
            <w:tcW w:w="1501" w:type="dxa"/>
            <w:noWrap w:val="0"/>
            <w:vAlign w:val="center"/>
          </w:tcPr>
          <w:p w14:paraId="406D562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75A2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22953C7">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二、工作条件</w:t>
            </w:r>
          </w:p>
        </w:tc>
        <w:tc>
          <w:tcPr>
            <w:tcW w:w="1501" w:type="dxa"/>
            <w:noWrap w:val="0"/>
            <w:vAlign w:val="center"/>
          </w:tcPr>
          <w:p w14:paraId="30A138F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68" w:name="_Toc24681"/>
            <w:bookmarkStart w:id="469" w:name="_Toc32578"/>
            <w:r>
              <w:rPr>
                <w:rFonts w:hint="eastAsia" w:ascii="宋体" w:hAnsi="宋体" w:eastAsia="宋体" w:cs="宋体"/>
                <w:b w:val="0"/>
                <w:bCs w:val="0"/>
                <w:color w:val="auto"/>
                <w:sz w:val="21"/>
                <w:szCs w:val="21"/>
                <w:highlight w:val="none"/>
                <w:u w:val="none"/>
                <w:vertAlign w:val="baseline"/>
                <w:lang w:val="en-US" w:eastAsia="zh-CN" w:bidi="ar"/>
              </w:rPr>
              <w:t>/</w:t>
            </w:r>
            <w:bookmarkEnd w:id="468"/>
            <w:bookmarkEnd w:id="469"/>
          </w:p>
        </w:tc>
      </w:tr>
      <w:tr w14:paraId="00890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52F9966">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2.1环境温度：15～30℃；</w:t>
            </w:r>
          </w:p>
        </w:tc>
        <w:tc>
          <w:tcPr>
            <w:tcW w:w="1501" w:type="dxa"/>
            <w:noWrap w:val="0"/>
            <w:vAlign w:val="center"/>
          </w:tcPr>
          <w:p w14:paraId="49E60252">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B2D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A1C549C">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2.2环境湿度：＜80%</w:t>
            </w:r>
          </w:p>
        </w:tc>
        <w:tc>
          <w:tcPr>
            <w:tcW w:w="1501" w:type="dxa"/>
            <w:noWrap w:val="0"/>
            <w:vAlign w:val="center"/>
          </w:tcPr>
          <w:p w14:paraId="64F8549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461D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624EE11">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2.3电源：200～240V，50/60 Hz</w:t>
            </w:r>
          </w:p>
        </w:tc>
        <w:tc>
          <w:tcPr>
            <w:tcW w:w="1501" w:type="dxa"/>
            <w:noWrap w:val="0"/>
            <w:vAlign w:val="center"/>
          </w:tcPr>
          <w:p w14:paraId="54025A2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CB8D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7AD5751">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三、技术参数</w:t>
            </w:r>
          </w:p>
        </w:tc>
        <w:tc>
          <w:tcPr>
            <w:tcW w:w="1501" w:type="dxa"/>
            <w:noWrap w:val="0"/>
            <w:vAlign w:val="center"/>
          </w:tcPr>
          <w:p w14:paraId="0CFF9AE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70" w:name="_Toc29652"/>
            <w:bookmarkStart w:id="471" w:name="_Toc18256"/>
            <w:r>
              <w:rPr>
                <w:rFonts w:hint="eastAsia" w:ascii="宋体" w:hAnsi="宋体" w:eastAsia="宋体" w:cs="宋体"/>
                <w:b w:val="0"/>
                <w:bCs w:val="0"/>
                <w:color w:val="auto"/>
                <w:sz w:val="21"/>
                <w:szCs w:val="21"/>
                <w:highlight w:val="none"/>
                <w:u w:val="none"/>
                <w:vertAlign w:val="baseline"/>
                <w:lang w:val="en-US" w:eastAsia="zh-CN" w:bidi="ar"/>
              </w:rPr>
              <w:t>/</w:t>
            </w:r>
            <w:bookmarkEnd w:id="470"/>
            <w:bookmarkEnd w:id="471"/>
          </w:p>
        </w:tc>
      </w:tr>
      <w:tr w14:paraId="268E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05FCE03">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3.1 ICP-MS</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MS质谱硬件参数</w:t>
            </w:r>
          </w:p>
        </w:tc>
        <w:tc>
          <w:tcPr>
            <w:tcW w:w="1501" w:type="dxa"/>
            <w:noWrap w:val="0"/>
            <w:vAlign w:val="center"/>
          </w:tcPr>
          <w:p w14:paraId="26270CB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72" w:name="_Toc11413"/>
            <w:bookmarkStart w:id="473" w:name="_Toc7368"/>
            <w:r>
              <w:rPr>
                <w:rFonts w:hint="eastAsia" w:ascii="宋体" w:hAnsi="宋体" w:eastAsia="宋体" w:cs="宋体"/>
                <w:b w:val="0"/>
                <w:bCs w:val="0"/>
                <w:color w:val="auto"/>
                <w:sz w:val="21"/>
                <w:szCs w:val="21"/>
                <w:highlight w:val="none"/>
                <w:u w:val="none"/>
                <w:vertAlign w:val="baseline"/>
                <w:lang w:val="en-US" w:eastAsia="zh-CN" w:bidi="ar"/>
              </w:rPr>
              <w:t>/</w:t>
            </w:r>
            <w:bookmarkEnd w:id="472"/>
            <w:bookmarkEnd w:id="473"/>
          </w:p>
        </w:tc>
      </w:tr>
      <w:tr w14:paraId="402C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F034D05">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3.1.1雾化器：具备高雾化效率和耐高盐性能的同心雾化器；</w:t>
            </w:r>
          </w:p>
        </w:tc>
        <w:tc>
          <w:tcPr>
            <w:tcW w:w="1501" w:type="dxa"/>
            <w:noWrap w:val="0"/>
            <w:vAlign w:val="center"/>
          </w:tcPr>
          <w:p w14:paraId="3B0CAFA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3BD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477785B">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3.1.2雾化室：配备具有半导体制冷功能的小体积旋流型或双通道型石英雾化室；</w:t>
            </w:r>
          </w:p>
        </w:tc>
        <w:tc>
          <w:tcPr>
            <w:tcW w:w="1501" w:type="dxa"/>
            <w:noWrap w:val="0"/>
            <w:vAlign w:val="center"/>
          </w:tcPr>
          <w:p w14:paraId="63D043FB">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43C6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326DD6A">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3.1.3 蠕动泵：不低于三通道；</w:t>
            </w:r>
          </w:p>
        </w:tc>
        <w:tc>
          <w:tcPr>
            <w:tcW w:w="1501" w:type="dxa"/>
            <w:noWrap w:val="0"/>
            <w:vAlign w:val="center"/>
          </w:tcPr>
          <w:p w14:paraId="263BC85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3B52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A441B44">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▲3.1.4仪器应对高盐样品具有良好的耐受性，可以通过气体稀释对盐度超过25%的饱和食盐水样品的进行长时间的稳定分析，稀释倍数≥90倍；【投标时需提供产品彩页或有关证明材料并加盖投标人单位公章】</w:t>
            </w:r>
          </w:p>
        </w:tc>
        <w:tc>
          <w:tcPr>
            <w:tcW w:w="1501" w:type="dxa"/>
            <w:noWrap w:val="0"/>
            <w:vAlign w:val="center"/>
          </w:tcPr>
          <w:p w14:paraId="51EF4B2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74" w:name="_Toc5557"/>
            <w:bookmarkStart w:id="475" w:name="_Toc28291"/>
            <w:r>
              <w:rPr>
                <w:rFonts w:hint="eastAsia" w:ascii="宋体" w:hAnsi="宋体" w:eastAsia="宋体" w:cs="宋体"/>
                <w:b w:val="0"/>
                <w:bCs w:val="0"/>
                <w:color w:val="auto"/>
                <w:sz w:val="21"/>
                <w:szCs w:val="21"/>
                <w:highlight w:val="none"/>
                <w:u w:val="none"/>
                <w:vertAlign w:val="baseline"/>
                <w:lang w:val="en-US" w:eastAsia="zh-CN" w:bidi="ar"/>
              </w:rPr>
              <w:t>实质性参数</w:t>
            </w:r>
            <w:bookmarkEnd w:id="474"/>
            <w:bookmarkEnd w:id="475"/>
          </w:p>
        </w:tc>
      </w:tr>
      <w:tr w14:paraId="79C41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2C4D705">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3.1.5离子源：射频频率27.12MHz或以上；功率在700-1600W范围内连续可调，发生器具备变频技术；</w:t>
            </w:r>
          </w:p>
        </w:tc>
        <w:tc>
          <w:tcPr>
            <w:tcW w:w="1501" w:type="dxa"/>
            <w:noWrap w:val="0"/>
            <w:vAlign w:val="center"/>
          </w:tcPr>
          <w:p w14:paraId="2768731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456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EEA1981">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▲3.1.6具有工作线圈和接口的二次放电消除功能；【投标时需提供产品彩页或有关证明材料并加盖投标人单位公章】</w:t>
            </w:r>
          </w:p>
        </w:tc>
        <w:tc>
          <w:tcPr>
            <w:tcW w:w="1501" w:type="dxa"/>
            <w:noWrap w:val="0"/>
            <w:vAlign w:val="center"/>
          </w:tcPr>
          <w:p w14:paraId="17ACB50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76" w:name="_Toc27392"/>
            <w:bookmarkStart w:id="477" w:name="_Toc21028"/>
            <w:r>
              <w:rPr>
                <w:rFonts w:hint="eastAsia" w:ascii="宋体" w:hAnsi="宋体" w:eastAsia="宋体" w:cs="宋体"/>
                <w:b w:val="0"/>
                <w:bCs w:val="0"/>
                <w:color w:val="auto"/>
                <w:sz w:val="21"/>
                <w:szCs w:val="21"/>
                <w:highlight w:val="none"/>
                <w:u w:val="none"/>
                <w:vertAlign w:val="baseline"/>
                <w:lang w:val="en-US" w:eastAsia="zh-CN" w:bidi="ar"/>
              </w:rPr>
              <w:t>实质性参数</w:t>
            </w:r>
            <w:bookmarkEnd w:id="476"/>
            <w:bookmarkEnd w:id="477"/>
          </w:p>
        </w:tc>
      </w:tr>
      <w:tr w14:paraId="7F24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613158C">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3.1.7接口：不少于双锥，采样锥孔径≤1.1mm，截取锥孔径≤0.6mm；</w:t>
            </w:r>
          </w:p>
        </w:tc>
        <w:tc>
          <w:tcPr>
            <w:tcW w:w="1501" w:type="dxa"/>
            <w:noWrap w:val="0"/>
            <w:vAlign w:val="center"/>
          </w:tcPr>
          <w:p w14:paraId="66A5FE1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44A6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7FCF64C">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3.1.8离子偏转聚焦系统：仪器接口后部配备高效离子偏转聚焦系统，使样品离子产生90°偏转并与未解离的中性粒子和光子实现完全分离；</w:t>
            </w:r>
          </w:p>
        </w:tc>
        <w:tc>
          <w:tcPr>
            <w:tcW w:w="1501" w:type="dxa"/>
            <w:noWrap w:val="0"/>
            <w:vAlign w:val="center"/>
          </w:tcPr>
          <w:p w14:paraId="6692C9E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0A7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836804B">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3.1.9整机气路控制：使用不少于7个高精度气体质量流量控制器，包括等离子体气、辅助气、雾化气、补偿气、稀释气等多路气体（验收时现场查验）及4路碰撞反应池气路；【投标时需提供操作软件界面的参数截图或照片并加盖投标人单位公章】</w:t>
            </w:r>
          </w:p>
        </w:tc>
        <w:tc>
          <w:tcPr>
            <w:tcW w:w="1501" w:type="dxa"/>
            <w:noWrap w:val="0"/>
            <w:vAlign w:val="center"/>
          </w:tcPr>
          <w:p w14:paraId="36E81EE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8527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7021" w:type="dxa"/>
            <w:noWrap w:val="0"/>
            <w:vAlign w:val="center"/>
          </w:tcPr>
          <w:p w14:paraId="77672B1D">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3.1.10一级质量分析器</w:t>
            </w:r>
          </w:p>
          <w:p w14:paraId="122928E0">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一级质量分析器中四极杆必须为双曲面或圆柱设计，四极杆分辨率≤1 amu</w:t>
            </w:r>
            <w:r>
              <w:rPr>
                <w:rFonts w:hint="eastAsia" w:ascii="宋体" w:hAnsi="宋体" w:eastAsia="宋体" w:cs="宋体"/>
                <w:i w:val="0"/>
                <w:iCs w:val="0"/>
                <w:color w:val="auto"/>
                <w:kern w:val="0"/>
                <w:sz w:val="21"/>
                <w:szCs w:val="21"/>
                <w:highlight w:val="none"/>
                <w:u w:val="none"/>
                <w:lang w:val="en-US" w:eastAsia="zh-CN" w:bidi="ar"/>
              </w:rPr>
              <w:t>；</w:t>
            </w:r>
          </w:p>
        </w:tc>
        <w:tc>
          <w:tcPr>
            <w:tcW w:w="1501" w:type="dxa"/>
            <w:noWrap w:val="0"/>
            <w:vAlign w:val="center"/>
          </w:tcPr>
          <w:p w14:paraId="6B02D54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934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7021" w:type="dxa"/>
            <w:noWrap w:val="0"/>
            <w:vAlign w:val="center"/>
          </w:tcPr>
          <w:p w14:paraId="384CE2FE">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■3.1.11二级质量分析器</w:t>
            </w:r>
          </w:p>
          <w:p w14:paraId="4DC85418">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二级质量分析器四极杆为双曲面或圆柱设计，主四极杆尺寸长度和一级质量分析器主四极杆必须完全一致，驱动频率≥2.0MHz，分辨率≤1 amu，分辨率可调；【正偏离：驱动频率＞2.5MHz；无偏离：驱动频率≥2.0MHz，≤2.5MHz。投标时需提供操作软件界面的参数截图或照片并加盖投标人单位公章】</w:t>
            </w:r>
          </w:p>
        </w:tc>
        <w:tc>
          <w:tcPr>
            <w:tcW w:w="1501" w:type="dxa"/>
            <w:noWrap w:val="0"/>
            <w:vAlign w:val="center"/>
          </w:tcPr>
          <w:p w14:paraId="50EBF78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重要参数</w:t>
            </w:r>
          </w:p>
        </w:tc>
      </w:tr>
      <w:tr w14:paraId="724C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90D0E56">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3.1.12碰撞反应池系统：</w:t>
            </w:r>
          </w:p>
        </w:tc>
        <w:tc>
          <w:tcPr>
            <w:tcW w:w="1501" w:type="dxa"/>
            <w:noWrap w:val="0"/>
            <w:vAlign w:val="center"/>
          </w:tcPr>
          <w:p w14:paraId="063B41A2">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w:t>
            </w:r>
          </w:p>
        </w:tc>
      </w:tr>
      <w:tr w14:paraId="3922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D87DA60">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3.1.12.1要求具备不低于四级杆设计；</w:t>
            </w:r>
          </w:p>
        </w:tc>
        <w:tc>
          <w:tcPr>
            <w:tcW w:w="1501" w:type="dxa"/>
            <w:noWrap w:val="0"/>
            <w:vAlign w:val="center"/>
          </w:tcPr>
          <w:p w14:paraId="7FFAB3FE">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color w:val="auto"/>
                <w:sz w:val="21"/>
                <w:szCs w:val="21"/>
                <w:highlight w:val="none"/>
                <w:u w:val="none"/>
                <w:vertAlign w:val="baseline"/>
                <w:lang w:val="en-US" w:eastAsia="zh-CN" w:bidi="ar"/>
              </w:rPr>
            </w:pPr>
            <w:bookmarkStart w:id="478" w:name="_Toc2060"/>
            <w:bookmarkStart w:id="479" w:name="_Toc15249"/>
            <w:r>
              <w:rPr>
                <w:rFonts w:hint="eastAsia" w:ascii="宋体" w:hAnsi="宋体" w:eastAsia="宋体" w:cs="宋体"/>
                <w:b w:val="0"/>
                <w:bCs w:val="0"/>
                <w:color w:val="auto"/>
                <w:sz w:val="21"/>
                <w:szCs w:val="21"/>
                <w:highlight w:val="none"/>
                <w:u w:val="none"/>
                <w:vertAlign w:val="baseline"/>
                <w:lang w:val="en-US" w:eastAsia="zh-CN" w:bidi="ar"/>
              </w:rPr>
              <w:t>一般参数</w:t>
            </w:r>
            <w:bookmarkEnd w:id="478"/>
            <w:bookmarkEnd w:id="479"/>
          </w:p>
        </w:tc>
      </w:tr>
      <w:tr w14:paraId="2E9A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64BF0EA">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3.1.12.2池内可使用标准模式、碰撞模式、反应模式等至少三种模式进行干扰的消除和样品分析；</w:t>
            </w:r>
          </w:p>
        </w:tc>
        <w:tc>
          <w:tcPr>
            <w:tcW w:w="1501" w:type="dxa"/>
            <w:noWrap w:val="0"/>
            <w:vAlign w:val="center"/>
          </w:tcPr>
          <w:p w14:paraId="122316E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291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408DA29">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■3.1.12.3碰撞/反应氦气流速≥10mL/min；【正偏离：碰撞/反应氦气流速＞10mL/min；无偏离：碰撞/反应氦气流速=10mL/min。投标时需提供操作软件界面的参数截图或照片并加盖投标人单位公章】</w:t>
            </w:r>
          </w:p>
        </w:tc>
        <w:tc>
          <w:tcPr>
            <w:tcW w:w="1501" w:type="dxa"/>
            <w:noWrap w:val="0"/>
            <w:vAlign w:val="center"/>
          </w:tcPr>
          <w:p w14:paraId="5882EFA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重要参数</w:t>
            </w:r>
          </w:p>
        </w:tc>
      </w:tr>
      <w:tr w14:paraId="7E73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EF467DB">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3.1.12.4具有消除二次中性粒子干扰的功能；</w:t>
            </w:r>
          </w:p>
        </w:tc>
        <w:tc>
          <w:tcPr>
            <w:tcW w:w="1501" w:type="dxa"/>
            <w:noWrap w:val="0"/>
            <w:vAlign w:val="center"/>
          </w:tcPr>
          <w:p w14:paraId="2649838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9D21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6FE457B">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3.1.12.5在一次进样分析中可同时使用He、H</w:t>
            </w:r>
            <w:r>
              <w:rPr>
                <w:rFonts w:hint="eastAsia" w:ascii="宋体" w:hAnsi="宋体" w:eastAsia="宋体" w:cs="宋体"/>
                <w:i w:val="0"/>
                <w:iCs w:val="0"/>
                <w:color w:val="auto"/>
                <w:kern w:val="0"/>
                <w:sz w:val="21"/>
                <w:szCs w:val="21"/>
                <w:highlight w:val="none"/>
                <w:u w:val="none"/>
                <w:vertAlign w:val="subscript"/>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、NH</w:t>
            </w:r>
            <w:r>
              <w:rPr>
                <w:rFonts w:hint="eastAsia" w:ascii="宋体" w:hAnsi="宋体" w:eastAsia="宋体" w:cs="宋体"/>
                <w:i w:val="0"/>
                <w:iCs w:val="0"/>
                <w:color w:val="auto"/>
                <w:kern w:val="0"/>
                <w:sz w:val="21"/>
                <w:szCs w:val="21"/>
                <w:highlight w:val="none"/>
                <w:u w:val="none"/>
                <w:vertAlign w:val="subscript"/>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及O</w:t>
            </w:r>
            <w:r>
              <w:rPr>
                <w:rFonts w:hint="eastAsia" w:ascii="宋体" w:hAnsi="宋体" w:eastAsia="宋体" w:cs="宋体"/>
                <w:i w:val="0"/>
                <w:iCs w:val="0"/>
                <w:color w:val="auto"/>
                <w:kern w:val="0"/>
                <w:sz w:val="21"/>
                <w:szCs w:val="21"/>
                <w:highlight w:val="none"/>
                <w:u w:val="none"/>
                <w:vertAlign w:val="subscript"/>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等多种气体，实现不同气体和工作模式的全自动切换；</w:t>
            </w:r>
          </w:p>
        </w:tc>
        <w:tc>
          <w:tcPr>
            <w:tcW w:w="1501" w:type="dxa"/>
            <w:noWrap w:val="0"/>
            <w:vAlign w:val="center"/>
          </w:tcPr>
          <w:p w14:paraId="3AE78E85">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3EE1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351F630">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3.1.13检测器：≥10个数量级动态线性范围双模式电子倍增器，在模拟和脉冲模式之间实现自由切换；</w:t>
            </w:r>
          </w:p>
        </w:tc>
        <w:tc>
          <w:tcPr>
            <w:tcW w:w="1501" w:type="dxa"/>
            <w:noWrap w:val="0"/>
            <w:vAlign w:val="center"/>
          </w:tcPr>
          <w:p w14:paraId="06C01332">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80" w:name="_Toc27566"/>
            <w:bookmarkStart w:id="481" w:name="_Toc26390"/>
            <w:r>
              <w:rPr>
                <w:rFonts w:hint="eastAsia" w:ascii="宋体" w:hAnsi="宋体" w:eastAsia="宋体" w:cs="宋体"/>
                <w:b w:val="0"/>
                <w:bCs w:val="0"/>
                <w:color w:val="auto"/>
                <w:sz w:val="21"/>
                <w:szCs w:val="21"/>
                <w:highlight w:val="none"/>
                <w:u w:val="none"/>
                <w:vertAlign w:val="baseline"/>
                <w:lang w:val="en-US" w:eastAsia="zh-CN" w:bidi="ar"/>
              </w:rPr>
              <w:t>一般参数</w:t>
            </w:r>
            <w:bookmarkEnd w:id="480"/>
            <w:bookmarkEnd w:id="481"/>
          </w:p>
        </w:tc>
      </w:tr>
      <w:tr w14:paraId="64548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1D07E03">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3.1.14真空系统：关机后24小时冷启动至工作所需要的真空度时间≤20分钟；</w:t>
            </w:r>
          </w:p>
        </w:tc>
        <w:tc>
          <w:tcPr>
            <w:tcW w:w="1501" w:type="dxa"/>
            <w:noWrap w:val="0"/>
            <w:vAlign w:val="center"/>
          </w:tcPr>
          <w:p w14:paraId="7AA20045">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F7F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AA9711C">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3.1.15自动进样器：</w:t>
            </w:r>
          </w:p>
        </w:tc>
        <w:tc>
          <w:tcPr>
            <w:tcW w:w="1501" w:type="dxa"/>
            <w:noWrap w:val="0"/>
            <w:vAlign w:val="center"/>
          </w:tcPr>
          <w:p w14:paraId="7E04DA5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82" w:name="_Toc16213"/>
            <w:bookmarkStart w:id="483" w:name="_Toc5105"/>
            <w:r>
              <w:rPr>
                <w:rFonts w:hint="eastAsia" w:ascii="宋体" w:hAnsi="宋体" w:eastAsia="宋体" w:cs="宋体"/>
                <w:b w:val="0"/>
                <w:bCs w:val="0"/>
                <w:color w:val="auto"/>
                <w:sz w:val="21"/>
                <w:szCs w:val="21"/>
                <w:highlight w:val="none"/>
                <w:u w:val="none"/>
                <w:vertAlign w:val="baseline"/>
                <w:lang w:val="en-US" w:eastAsia="zh-CN" w:bidi="ar"/>
              </w:rPr>
              <w:t>/</w:t>
            </w:r>
            <w:bookmarkEnd w:id="482"/>
            <w:bookmarkEnd w:id="483"/>
          </w:p>
        </w:tc>
      </w:tr>
      <w:tr w14:paraId="1718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A1F77C5">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3.1.15.1样品位：≥240个样品位，≥4个大瓶清洗位，可自由替换适应不同样品管尺寸的样品架；</w:t>
            </w:r>
          </w:p>
        </w:tc>
        <w:tc>
          <w:tcPr>
            <w:tcW w:w="1501" w:type="dxa"/>
            <w:noWrap w:val="0"/>
            <w:vAlign w:val="center"/>
          </w:tcPr>
          <w:p w14:paraId="3453CD59">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CC4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60C54DC">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3.1.15.2快速进样系统：</w:t>
            </w:r>
          </w:p>
        </w:tc>
        <w:tc>
          <w:tcPr>
            <w:tcW w:w="1501" w:type="dxa"/>
            <w:noWrap w:val="0"/>
            <w:vAlign w:val="center"/>
          </w:tcPr>
          <w:p w14:paraId="1784C9F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w:t>
            </w:r>
          </w:p>
        </w:tc>
      </w:tr>
      <w:tr w14:paraId="2F73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4D0E76D">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3.1.15.2.1包含一个六通或更高配置的切换阀，可实现定量环与不连续进样功能；</w:t>
            </w:r>
          </w:p>
        </w:tc>
        <w:tc>
          <w:tcPr>
            <w:tcW w:w="1501" w:type="dxa"/>
            <w:noWrap w:val="0"/>
            <w:vAlign w:val="center"/>
          </w:tcPr>
          <w:p w14:paraId="475B55E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F1D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9C56149">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3.1.15.2.2快速进样系统由ICP-MS/MS操作软件直接控制，由投标的ICP-MS/MS主机同一制造厂商生产提供（不接受贴牌产品），且提供技术支持和售后服务；【投标时需提供仪器厂商检测数据统计报告或其他同等效力检测报告并加盖投标人单位公章】</w:t>
            </w:r>
          </w:p>
        </w:tc>
        <w:tc>
          <w:tcPr>
            <w:tcW w:w="1501" w:type="dxa"/>
            <w:noWrap w:val="0"/>
            <w:vAlign w:val="center"/>
          </w:tcPr>
          <w:p w14:paraId="5D3F294C">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2D53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0" w:hRule="atLeast"/>
        </w:trPr>
        <w:tc>
          <w:tcPr>
            <w:tcW w:w="7021" w:type="dxa"/>
            <w:noWrap w:val="0"/>
            <w:vAlign w:val="center"/>
          </w:tcPr>
          <w:p w14:paraId="318A8ADD">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■3.1.16自动稀释功能；【</w:t>
            </w:r>
            <w:r>
              <w:rPr>
                <w:rFonts w:hint="eastAsia" w:ascii="宋体" w:hAnsi="宋体" w:eastAsia="宋体" w:cs="宋体"/>
                <w:color w:val="auto"/>
                <w:sz w:val="21"/>
                <w:szCs w:val="21"/>
                <w:highlight w:val="none"/>
                <w:lang w:val="en-US" w:eastAsia="zh-CN" w:bidi="ar"/>
              </w:rPr>
              <w:t>正偏离：具备自动稀释功能；无偏离：不具备自动稀释功能或需人工辅助稀释。投标时需提供自动稀释操作软件截图或运行步骤记录日志，加盖投标人单位公章</w:t>
            </w:r>
            <w:r>
              <w:rPr>
                <w:rFonts w:hint="eastAsia" w:ascii="宋体" w:hAnsi="宋体" w:eastAsia="宋体" w:cs="宋体"/>
                <w:i w:val="0"/>
                <w:iCs w:val="0"/>
                <w:color w:val="auto"/>
                <w:kern w:val="0"/>
                <w:sz w:val="21"/>
                <w:szCs w:val="21"/>
                <w:highlight w:val="none"/>
                <w:u w:val="none"/>
                <w:lang w:val="en-US" w:eastAsia="zh-CN" w:bidi="ar"/>
              </w:rPr>
              <w:t>】</w:t>
            </w:r>
          </w:p>
          <w:p w14:paraId="0B7F68BE">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3.1.16.1自动配置校准曲线：将校准溶液的储备液放置在自动进样器上，系统根据输入的校准曲线浓度自动稀释多级别的校准溶液；</w:t>
            </w:r>
          </w:p>
          <w:p w14:paraId="78DEADDE">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3.1.16.2自动预稀释样品：对批量样品进行特定倍数的预稀释，替代人工稀释；</w:t>
            </w:r>
          </w:p>
          <w:p w14:paraId="229A0424">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3.1.16.3自动二次稀释：在元素结果超范围，或内标、QC测试失败后执行的自动稀释功能。也可由操作员指定特定元素执行定向稀释；</w:t>
            </w:r>
          </w:p>
        </w:tc>
        <w:tc>
          <w:tcPr>
            <w:tcW w:w="1501" w:type="dxa"/>
            <w:noWrap w:val="0"/>
            <w:vAlign w:val="center"/>
          </w:tcPr>
          <w:p w14:paraId="7AA7D02B">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重要参数</w:t>
            </w:r>
          </w:p>
        </w:tc>
      </w:tr>
      <w:tr w14:paraId="0F29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8327C34">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3.2 ICP-MS/MS性能要求</w:t>
            </w:r>
          </w:p>
        </w:tc>
        <w:tc>
          <w:tcPr>
            <w:tcW w:w="1501" w:type="dxa"/>
            <w:noWrap w:val="0"/>
            <w:vAlign w:val="center"/>
          </w:tcPr>
          <w:p w14:paraId="5AFDADB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w:t>
            </w:r>
          </w:p>
        </w:tc>
      </w:tr>
      <w:tr w14:paraId="6CD8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85E3E73">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3.2.1海水连续进样稳定性：仪器配置全自动在线气体稀释装置，可在矩管之前把高盐样品基体稀释到0.3%以内，保证接口区域与质谱区域不受高基体污染。最高耐盐度不低于10%的含盐量；</w:t>
            </w:r>
          </w:p>
        </w:tc>
        <w:tc>
          <w:tcPr>
            <w:tcW w:w="1501" w:type="dxa"/>
            <w:noWrap w:val="0"/>
            <w:vAlign w:val="center"/>
          </w:tcPr>
          <w:p w14:paraId="6CF6A8E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9A7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DCE82BD">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3.2.2短期稳定性(RSD)：≤2%（20min）；</w:t>
            </w:r>
          </w:p>
        </w:tc>
        <w:tc>
          <w:tcPr>
            <w:tcW w:w="1501" w:type="dxa"/>
            <w:noWrap w:val="0"/>
            <w:vAlign w:val="center"/>
          </w:tcPr>
          <w:p w14:paraId="0126A592">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4F9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3EA92E7">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3.2.3长期稳定性(RSD)：≤3%（2hrs）；</w:t>
            </w:r>
          </w:p>
        </w:tc>
        <w:tc>
          <w:tcPr>
            <w:tcW w:w="1501" w:type="dxa"/>
            <w:noWrap w:val="0"/>
            <w:vAlign w:val="center"/>
          </w:tcPr>
          <w:p w14:paraId="62EBE9C5">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2B6B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1640071">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3.2.4标准模式下灵敏度：</w:t>
            </w:r>
          </w:p>
        </w:tc>
        <w:tc>
          <w:tcPr>
            <w:tcW w:w="1501" w:type="dxa"/>
            <w:noWrap w:val="0"/>
            <w:vAlign w:val="center"/>
          </w:tcPr>
          <w:p w14:paraId="1A65F73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w:t>
            </w:r>
          </w:p>
        </w:tc>
      </w:tr>
      <w:tr w14:paraId="3C66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F7B10C9">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3.2.4.1低质量数（Li或Be）：≥100Mcps/ppm；</w:t>
            </w:r>
          </w:p>
        </w:tc>
        <w:tc>
          <w:tcPr>
            <w:tcW w:w="1501" w:type="dxa"/>
            <w:noWrap w:val="0"/>
            <w:vAlign w:val="center"/>
          </w:tcPr>
          <w:p w14:paraId="23F5AAD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3772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65B391E">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3.2.4.2中质量数(Y或In)：≥700Mcps/ppm；</w:t>
            </w:r>
          </w:p>
        </w:tc>
        <w:tc>
          <w:tcPr>
            <w:tcW w:w="1501" w:type="dxa"/>
            <w:noWrap w:val="0"/>
            <w:vAlign w:val="center"/>
          </w:tcPr>
          <w:p w14:paraId="73210849">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2A15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B5E1755">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3.2.4.3高质量数(Tl或U)：≥350Mcps/ppm；</w:t>
            </w:r>
          </w:p>
        </w:tc>
        <w:tc>
          <w:tcPr>
            <w:tcW w:w="1501" w:type="dxa"/>
            <w:noWrap w:val="0"/>
            <w:vAlign w:val="center"/>
          </w:tcPr>
          <w:p w14:paraId="30B0E5A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84" w:name="_Toc14040"/>
            <w:bookmarkStart w:id="485" w:name="_Toc13175"/>
            <w:r>
              <w:rPr>
                <w:rFonts w:hint="eastAsia" w:ascii="宋体" w:hAnsi="宋体" w:eastAsia="宋体" w:cs="宋体"/>
                <w:b w:val="0"/>
                <w:bCs w:val="0"/>
                <w:color w:val="auto"/>
                <w:sz w:val="21"/>
                <w:szCs w:val="21"/>
                <w:highlight w:val="none"/>
                <w:u w:val="none"/>
                <w:vertAlign w:val="baseline"/>
                <w:lang w:val="en-US" w:eastAsia="zh-CN" w:bidi="ar"/>
              </w:rPr>
              <w:t>一般参数</w:t>
            </w:r>
            <w:bookmarkEnd w:id="484"/>
            <w:bookmarkEnd w:id="485"/>
          </w:p>
        </w:tc>
      </w:tr>
      <w:tr w14:paraId="0FEC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FA4317B">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3.2.5背景</w:t>
            </w: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≤0.5 cps；</w:t>
            </w:r>
          </w:p>
        </w:tc>
        <w:tc>
          <w:tcPr>
            <w:tcW w:w="1501" w:type="dxa"/>
            <w:noWrap w:val="0"/>
            <w:vAlign w:val="center"/>
          </w:tcPr>
          <w:p w14:paraId="78C6A592">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79FB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FEFE6B3">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3.2.6仪器检出限：</w:t>
            </w:r>
          </w:p>
        </w:tc>
        <w:tc>
          <w:tcPr>
            <w:tcW w:w="1501" w:type="dxa"/>
            <w:noWrap w:val="0"/>
            <w:vAlign w:val="center"/>
          </w:tcPr>
          <w:p w14:paraId="3776582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w:t>
            </w:r>
          </w:p>
        </w:tc>
      </w:tr>
      <w:tr w14:paraId="70D1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A5DCCF6">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3.2.6.1轻质量数元素：≤0.2ppt；</w:t>
            </w:r>
          </w:p>
        </w:tc>
        <w:tc>
          <w:tcPr>
            <w:tcW w:w="1501" w:type="dxa"/>
            <w:noWrap w:val="0"/>
            <w:vAlign w:val="center"/>
          </w:tcPr>
          <w:p w14:paraId="315B2EC0">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3610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618F435">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3.2.6.2中质量数元素：≤0.5ppt；</w:t>
            </w:r>
          </w:p>
        </w:tc>
        <w:tc>
          <w:tcPr>
            <w:tcW w:w="1501" w:type="dxa"/>
            <w:noWrap w:val="0"/>
            <w:vAlign w:val="center"/>
          </w:tcPr>
          <w:p w14:paraId="3FE9A14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FCA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051FFFD">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3.2.6.3高质量数元素：≤0.5ppt；</w:t>
            </w:r>
          </w:p>
        </w:tc>
        <w:tc>
          <w:tcPr>
            <w:tcW w:w="1501" w:type="dxa"/>
            <w:noWrap w:val="0"/>
            <w:vAlign w:val="center"/>
          </w:tcPr>
          <w:p w14:paraId="409962B5">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8C85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F732A16">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3.2.7氧化物离子产率：≤2%；</w:t>
            </w:r>
          </w:p>
        </w:tc>
        <w:tc>
          <w:tcPr>
            <w:tcW w:w="1501" w:type="dxa"/>
            <w:noWrap w:val="0"/>
            <w:vAlign w:val="center"/>
          </w:tcPr>
          <w:p w14:paraId="65E5E08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78E34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A05BA2C">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3.2.8双电荷离子产率：≤3%；</w:t>
            </w:r>
          </w:p>
        </w:tc>
        <w:tc>
          <w:tcPr>
            <w:tcW w:w="1501" w:type="dxa"/>
            <w:noWrap w:val="0"/>
            <w:vAlign w:val="center"/>
          </w:tcPr>
          <w:p w14:paraId="2FD3049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4E08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5B18C7E">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3.3液相色谱系统要求</w:t>
            </w:r>
          </w:p>
        </w:tc>
        <w:tc>
          <w:tcPr>
            <w:tcW w:w="1501" w:type="dxa"/>
            <w:noWrap w:val="0"/>
            <w:vAlign w:val="center"/>
          </w:tcPr>
          <w:p w14:paraId="67EB8E5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w:t>
            </w:r>
          </w:p>
        </w:tc>
      </w:tr>
      <w:tr w14:paraId="7F6A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34EB094">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3.3.1基本要求：为保证整套系统的兼容稳定性和使用的方便性，要求液相色谱系统与ICP-MS/MS主机必须由同一制造厂商生产提供（不接受贴牌产品），由ICPMSMS质谱软件统一控制，不接受不同品牌设备的拼凑及混搭方式配置；【正偏离：可清晰证明液相色谱系统与ICP-MS/MS主机为同一制造商且由同一软件同一控制的证明材料；无偏离：承诺为同一制造商且由同一软件同一控制，但无证明材料或证明材料不清晰。投标时需提供投标时需提供操作软件界面的参数截图或照片并加盖投标人单位公章】</w:t>
            </w:r>
          </w:p>
        </w:tc>
        <w:tc>
          <w:tcPr>
            <w:tcW w:w="1501" w:type="dxa"/>
            <w:noWrap w:val="0"/>
            <w:vAlign w:val="center"/>
          </w:tcPr>
          <w:p w14:paraId="26E95ED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重要参数</w:t>
            </w:r>
          </w:p>
        </w:tc>
      </w:tr>
      <w:tr w14:paraId="6BE7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E7FA7DF">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3.3.2形态分析能力：As形态分析能力：可实现亚砷酸根（As</w:t>
            </w:r>
            <w:r>
              <w:rPr>
                <w:rFonts w:hint="eastAsia" w:ascii="宋体" w:hAnsi="宋体" w:eastAsia="宋体" w:cs="宋体"/>
                <w:i w:val="0"/>
                <w:iCs w:val="0"/>
                <w:color w:val="auto"/>
                <w:kern w:val="0"/>
                <w:sz w:val="21"/>
                <w:szCs w:val="21"/>
                <w:highlight w:val="none"/>
                <w:u w:val="none"/>
                <w:vertAlign w:val="superscript"/>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），砷胆碱，一甲基砷酸，二甲基砷酸，砷酸根（As</w:t>
            </w:r>
            <w:r>
              <w:rPr>
                <w:rFonts w:hint="eastAsia" w:ascii="宋体" w:hAnsi="宋体" w:eastAsia="宋体" w:cs="宋体"/>
                <w:i w:val="0"/>
                <w:iCs w:val="0"/>
                <w:color w:val="auto"/>
                <w:kern w:val="0"/>
                <w:sz w:val="21"/>
                <w:szCs w:val="21"/>
                <w:highlight w:val="none"/>
                <w:u w:val="none"/>
                <w:vertAlign w:val="superscript"/>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共5种As形态分析；Hg元素形态分析能力：可实现二价汞，甲基汞，乙基汞，苯基汞，共4种Hg形态分析；锡形态分析能力：可实现三甲基氯化锡（TMT）、二苯基氯化锡（DPT）、二丁基氯化锡（DBT）、三丁基氯化锡（TBT）、三苯基氯化锡（TPhT）共5种Sn形态分析；</w:t>
            </w:r>
          </w:p>
        </w:tc>
        <w:tc>
          <w:tcPr>
            <w:tcW w:w="1501" w:type="dxa"/>
            <w:noWrap w:val="0"/>
            <w:vAlign w:val="center"/>
          </w:tcPr>
          <w:p w14:paraId="5A54618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8AC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B83153C">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3.3.3泵：</w:t>
            </w:r>
          </w:p>
        </w:tc>
        <w:tc>
          <w:tcPr>
            <w:tcW w:w="1501" w:type="dxa"/>
            <w:noWrap w:val="0"/>
            <w:vAlign w:val="center"/>
          </w:tcPr>
          <w:p w14:paraId="7D27ABB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w:t>
            </w:r>
          </w:p>
        </w:tc>
      </w:tr>
      <w:tr w14:paraId="6374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1ABADFA">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3.3.3.1四元泵，内置4通道脱气机；</w:t>
            </w:r>
          </w:p>
        </w:tc>
        <w:tc>
          <w:tcPr>
            <w:tcW w:w="1501" w:type="dxa"/>
            <w:noWrap w:val="0"/>
            <w:vAlign w:val="center"/>
          </w:tcPr>
          <w:p w14:paraId="7D20D82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3B7D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0813EBB">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3.3.3.2压力范围：0-60mpa（压力更高为优）；</w:t>
            </w:r>
          </w:p>
        </w:tc>
        <w:tc>
          <w:tcPr>
            <w:tcW w:w="1501" w:type="dxa"/>
            <w:noWrap w:val="0"/>
            <w:vAlign w:val="center"/>
          </w:tcPr>
          <w:p w14:paraId="0AAD49C9">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86" w:name="_Toc12328"/>
            <w:bookmarkStart w:id="487" w:name="_Toc31846"/>
            <w:r>
              <w:rPr>
                <w:rFonts w:hint="eastAsia" w:ascii="宋体" w:hAnsi="宋体" w:eastAsia="宋体" w:cs="宋体"/>
                <w:b w:val="0"/>
                <w:bCs w:val="0"/>
                <w:color w:val="auto"/>
                <w:sz w:val="21"/>
                <w:szCs w:val="21"/>
                <w:highlight w:val="none"/>
                <w:u w:val="none"/>
                <w:vertAlign w:val="baseline"/>
                <w:lang w:val="en-US" w:eastAsia="zh-CN" w:bidi="ar"/>
              </w:rPr>
              <w:t>一般参数</w:t>
            </w:r>
            <w:bookmarkEnd w:id="486"/>
            <w:bookmarkEnd w:id="487"/>
          </w:p>
        </w:tc>
      </w:tr>
      <w:tr w14:paraId="3426C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9DF2198">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3.3.3.3流量范围0.001-10.0mL/min连续可调，步进：0.001ml/min；</w:t>
            </w:r>
          </w:p>
        </w:tc>
        <w:tc>
          <w:tcPr>
            <w:tcW w:w="1501" w:type="dxa"/>
            <w:noWrap w:val="0"/>
            <w:vAlign w:val="center"/>
          </w:tcPr>
          <w:p w14:paraId="24DC8EB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F0C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6729540">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3.3.4自动进样系统：</w:t>
            </w:r>
          </w:p>
        </w:tc>
        <w:tc>
          <w:tcPr>
            <w:tcW w:w="1501" w:type="dxa"/>
            <w:noWrap w:val="0"/>
            <w:vAlign w:val="center"/>
          </w:tcPr>
          <w:p w14:paraId="19EBB07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w:t>
            </w:r>
          </w:p>
        </w:tc>
      </w:tr>
      <w:tr w14:paraId="18AB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4226B5E">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3.3.4.1样品瓶位：≥120位；</w:t>
            </w:r>
          </w:p>
        </w:tc>
        <w:tc>
          <w:tcPr>
            <w:tcW w:w="1501" w:type="dxa"/>
            <w:noWrap w:val="0"/>
            <w:vAlign w:val="center"/>
          </w:tcPr>
          <w:p w14:paraId="3642885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2EA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1B8836F">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3.3.4.2进样体积：0.1～100µL；</w:t>
            </w:r>
          </w:p>
        </w:tc>
        <w:tc>
          <w:tcPr>
            <w:tcW w:w="1501" w:type="dxa"/>
            <w:noWrap w:val="0"/>
            <w:vAlign w:val="center"/>
          </w:tcPr>
          <w:p w14:paraId="14EA539C">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202F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0C9F119">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3.3.4.3最高耐压：≥60mpa；</w:t>
            </w:r>
          </w:p>
        </w:tc>
        <w:tc>
          <w:tcPr>
            <w:tcW w:w="1501" w:type="dxa"/>
            <w:noWrap w:val="0"/>
            <w:vAlign w:val="center"/>
          </w:tcPr>
          <w:p w14:paraId="52E6B01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1BD5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831629E">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3.3.5柱温箱：</w:t>
            </w:r>
          </w:p>
        </w:tc>
        <w:tc>
          <w:tcPr>
            <w:tcW w:w="1501" w:type="dxa"/>
            <w:noWrap w:val="0"/>
            <w:vAlign w:val="center"/>
          </w:tcPr>
          <w:p w14:paraId="3FEB1A4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w:t>
            </w:r>
          </w:p>
        </w:tc>
      </w:tr>
      <w:tr w14:paraId="3750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18CEEB4">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3.3.5.1容量：可同时放置至少2根长度25cm以上的色谱柱；</w:t>
            </w:r>
          </w:p>
        </w:tc>
        <w:tc>
          <w:tcPr>
            <w:tcW w:w="1501" w:type="dxa"/>
            <w:noWrap w:val="0"/>
            <w:vAlign w:val="center"/>
          </w:tcPr>
          <w:p w14:paraId="406BE58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88" w:name="_Toc29068"/>
            <w:bookmarkStart w:id="489" w:name="_Toc15904"/>
            <w:r>
              <w:rPr>
                <w:rFonts w:hint="eastAsia" w:ascii="宋体" w:hAnsi="宋体" w:eastAsia="宋体" w:cs="宋体"/>
                <w:b w:val="0"/>
                <w:bCs w:val="0"/>
                <w:color w:val="auto"/>
                <w:sz w:val="21"/>
                <w:szCs w:val="21"/>
                <w:highlight w:val="none"/>
                <w:u w:val="none"/>
                <w:vertAlign w:val="baseline"/>
                <w:lang w:val="en-US" w:eastAsia="zh-CN" w:bidi="ar"/>
              </w:rPr>
              <w:t>一般参数</w:t>
            </w:r>
            <w:bookmarkEnd w:id="488"/>
            <w:bookmarkEnd w:id="489"/>
          </w:p>
        </w:tc>
      </w:tr>
      <w:tr w14:paraId="7D50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C0DA5E8">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3.3.5.2温控范围：4～85 ℃；</w:t>
            </w:r>
          </w:p>
        </w:tc>
        <w:tc>
          <w:tcPr>
            <w:tcW w:w="1501" w:type="dxa"/>
            <w:noWrap w:val="0"/>
            <w:vAlign w:val="center"/>
          </w:tcPr>
          <w:p w14:paraId="2573B41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7DF8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2610F9D">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4操作软件</w:t>
            </w:r>
          </w:p>
        </w:tc>
        <w:tc>
          <w:tcPr>
            <w:tcW w:w="1501" w:type="dxa"/>
            <w:noWrap w:val="0"/>
            <w:vAlign w:val="center"/>
          </w:tcPr>
          <w:p w14:paraId="7671E100">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w:t>
            </w:r>
          </w:p>
        </w:tc>
      </w:tr>
      <w:tr w14:paraId="489C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1A80B12">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4.1至少提供2种调谐方式，分别是自动调谐和自定义调谐。自动调谐要求可实现一键式多参数联调，并自动出具调谐报告。自定义调谐要求手动调节某一个参数时，调谐界面最多可实时监控15个元素的信号值和谱图。调节某一方法参数时可随时手动中止信号优化进入下一参数调节；</w:t>
            </w:r>
          </w:p>
        </w:tc>
        <w:tc>
          <w:tcPr>
            <w:tcW w:w="1501" w:type="dxa"/>
            <w:noWrap w:val="0"/>
            <w:vAlign w:val="center"/>
          </w:tcPr>
          <w:p w14:paraId="4D243A82">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25F8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026D5CC">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4.2软件具有半定量功能；</w:t>
            </w:r>
          </w:p>
        </w:tc>
        <w:tc>
          <w:tcPr>
            <w:tcW w:w="1501" w:type="dxa"/>
            <w:noWrap w:val="0"/>
            <w:vAlign w:val="center"/>
          </w:tcPr>
          <w:p w14:paraId="6CA68BE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2AA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5368D31">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4.3软件具有测定同位素比功能；</w:t>
            </w:r>
          </w:p>
        </w:tc>
        <w:tc>
          <w:tcPr>
            <w:tcW w:w="1501" w:type="dxa"/>
            <w:noWrap w:val="0"/>
            <w:vAlign w:val="center"/>
          </w:tcPr>
          <w:p w14:paraId="14098F6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AD8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9BD6E66">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4.4虚拟内标法通过在已有的多个内标元素之间的插入一个“虚拟”的内标进行校正；</w:t>
            </w:r>
          </w:p>
        </w:tc>
        <w:tc>
          <w:tcPr>
            <w:tcW w:w="1501" w:type="dxa"/>
            <w:noWrap w:val="0"/>
            <w:vAlign w:val="center"/>
          </w:tcPr>
          <w:p w14:paraId="230E279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24F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FB5B27E">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4.5批量数据表功能质量控制标准的在线显示与控制数据直接输出到Excel表格（随机配置）或LIMS数据系统；</w:t>
            </w:r>
          </w:p>
        </w:tc>
        <w:tc>
          <w:tcPr>
            <w:tcW w:w="1501" w:type="dxa"/>
            <w:noWrap w:val="0"/>
            <w:vAlign w:val="center"/>
          </w:tcPr>
          <w:p w14:paraId="3DBFEE7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305E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BCC7D86">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4.6 ICP-MS/MS操作软件可以安装于个人计算机上（至少5台），样品分析数据可以使用此软件进行离线数据处理并生成报告；</w:t>
            </w:r>
          </w:p>
        </w:tc>
        <w:tc>
          <w:tcPr>
            <w:tcW w:w="1501" w:type="dxa"/>
            <w:noWrap w:val="0"/>
            <w:vAlign w:val="center"/>
          </w:tcPr>
          <w:p w14:paraId="5E43D9B4">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9547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30D6A4F">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五、配置及消耗品清单（可实现技术参数的功能）</w:t>
            </w:r>
          </w:p>
        </w:tc>
        <w:tc>
          <w:tcPr>
            <w:tcW w:w="1501" w:type="dxa"/>
            <w:noWrap w:val="0"/>
            <w:vAlign w:val="center"/>
          </w:tcPr>
          <w:p w14:paraId="20B493B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w:t>
            </w:r>
          </w:p>
        </w:tc>
      </w:tr>
      <w:tr w14:paraId="366F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2061FFB">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5.1电感耦合等离子体串联质谱仪（ICP-MS/MS）主机，1套，包含：</w:t>
            </w:r>
          </w:p>
        </w:tc>
        <w:tc>
          <w:tcPr>
            <w:tcW w:w="1501" w:type="dxa"/>
            <w:noWrap w:val="0"/>
            <w:vAlign w:val="center"/>
          </w:tcPr>
          <w:p w14:paraId="6CB8880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w:t>
            </w:r>
          </w:p>
        </w:tc>
      </w:tr>
      <w:tr w14:paraId="51ED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C758CA3">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5.1.1机械泵和分子涡轮泵，1套；</w:t>
            </w:r>
          </w:p>
        </w:tc>
        <w:tc>
          <w:tcPr>
            <w:tcW w:w="1501" w:type="dxa"/>
            <w:noWrap w:val="0"/>
            <w:vAlign w:val="center"/>
          </w:tcPr>
          <w:p w14:paraId="261B14F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E0B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4BD170D">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5.1.2射频发生器，1套；</w:t>
            </w:r>
          </w:p>
        </w:tc>
        <w:tc>
          <w:tcPr>
            <w:tcW w:w="1501" w:type="dxa"/>
            <w:noWrap w:val="0"/>
            <w:vAlign w:val="center"/>
          </w:tcPr>
          <w:p w14:paraId="199944B0">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31BD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6126315">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5.1.3提取透镜组＋离子透镜组（如有）或同等功能配件，1套；</w:t>
            </w:r>
          </w:p>
        </w:tc>
        <w:tc>
          <w:tcPr>
            <w:tcW w:w="1501" w:type="dxa"/>
            <w:noWrap w:val="0"/>
            <w:vAlign w:val="center"/>
          </w:tcPr>
          <w:p w14:paraId="5FE418B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3A6E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D6E88B6">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5.5 碰撞反应池，1套；</w:t>
            </w:r>
          </w:p>
        </w:tc>
        <w:tc>
          <w:tcPr>
            <w:tcW w:w="1501" w:type="dxa"/>
            <w:noWrap w:val="0"/>
            <w:vAlign w:val="center"/>
          </w:tcPr>
          <w:p w14:paraId="0FEC66F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750D5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B0B1266">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5.7质量分析器，2套；</w:t>
            </w:r>
          </w:p>
        </w:tc>
        <w:tc>
          <w:tcPr>
            <w:tcW w:w="1501" w:type="dxa"/>
            <w:noWrap w:val="0"/>
            <w:vAlign w:val="center"/>
          </w:tcPr>
          <w:p w14:paraId="212D9CF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3375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00B2521">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5.8检测器，1套；</w:t>
            </w:r>
          </w:p>
        </w:tc>
        <w:tc>
          <w:tcPr>
            <w:tcW w:w="1501" w:type="dxa"/>
            <w:noWrap w:val="0"/>
            <w:vAlign w:val="center"/>
          </w:tcPr>
          <w:p w14:paraId="69D257B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754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9C23F32">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5.9必备工具和备件，1套；</w:t>
            </w:r>
          </w:p>
        </w:tc>
        <w:tc>
          <w:tcPr>
            <w:tcW w:w="1501" w:type="dxa"/>
            <w:noWrap w:val="0"/>
            <w:vAlign w:val="center"/>
          </w:tcPr>
          <w:p w14:paraId="6703E19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71F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030195A">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5.10开机必备耗材包（包含开机必备的同心雾化器、雾化室、炬管，高灵敏度屏蔽炬（若有）、采样锥和截取锥、样品泵管等），1套；</w:t>
            </w:r>
          </w:p>
        </w:tc>
        <w:tc>
          <w:tcPr>
            <w:tcW w:w="1501" w:type="dxa"/>
            <w:noWrap w:val="0"/>
            <w:vAlign w:val="center"/>
          </w:tcPr>
          <w:p w14:paraId="4CC8563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E975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06855FB">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5.11在线气体稀释高盐进样系统，1套；</w:t>
            </w:r>
          </w:p>
        </w:tc>
        <w:tc>
          <w:tcPr>
            <w:tcW w:w="1501" w:type="dxa"/>
            <w:noWrap w:val="0"/>
            <w:vAlign w:val="center"/>
          </w:tcPr>
          <w:p w14:paraId="7B839CA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475A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75790C4">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5.12自动进样器，1套；</w:t>
            </w:r>
          </w:p>
        </w:tc>
        <w:tc>
          <w:tcPr>
            <w:tcW w:w="1501" w:type="dxa"/>
            <w:noWrap w:val="0"/>
            <w:vAlign w:val="center"/>
          </w:tcPr>
          <w:p w14:paraId="0DB03EE2">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3587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FE8C6EA">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5.13循环冷却水机1台；</w:t>
            </w:r>
          </w:p>
        </w:tc>
        <w:tc>
          <w:tcPr>
            <w:tcW w:w="1501" w:type="dxa"/>
            <w:noWrap w:val="0"/>
            <w:vAlign w:val="center"/>
          </w:tcPr>
          <w:p w14:paraId="667E989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348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3C6AC8A">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5.14根据现场实际情况配置连接气瓶减压阀的不锈钢管路，套数(满足开机分析要求)；</w:t>
            </w:r>
          </w:p>
        </w:tc>
        <w:tc>
          <w:tcPr>
            <w:tcW w:w="1501" w:type="dxa"/>
            <w:noWrap w:val="0"/>
            <w:vAlign w:val="center"/>
          </w:tcPr>
          <w:p w14:paraId="3617F025">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7E17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8287030">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5.15装机验收溶液包，1套；</w:t>
            </w:r>
          </w:p>
        </w:tc>
        <w:tc>
          <w:tcPr>
            <w:tcW w:w="1501" w:type="dxa"/>
            <w:noWrap w:val="0"/>
            <w:vAlign w:val="center"/>
          </w:tcPr>
          <w:p w14:paraId="226D275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9CE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3E6018C">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5.16调谐液母液，1套；</w:t>
            </w:r>
          </w:p>
        </w:tc>
        <w:tc>
          <w:tcPr>
            <w:tcW w:w="1501" w:type="dxa"/>
            <w:noWrap w:val="0"/>
            <w:vAlign w:val="center"/>
          </w:tcPr>
          <w:p w14:paraId="57C038D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0EC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06AD351">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5.17多元素标准溶液，1套；</w:t>
            </w:r>
          </w:p>
        </w:tc>
        <w:tc>
          <w:tcPr>
            <w:tcW w:w="1501" w:type="dxa"/>
            <w:noWrap w:val="0"/>
            <w:vAlign w:val="center"/>
          </w:tcPr>
          <w:p w14:paraId="131D4C7B">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7A39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9131987">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5.18内标元素混合溶液，1套；</w:t>
            </w:r>
          </w:p>
        </w:tc>
        <w:tc>
          <w:tcPr>
            <w:tcW w:w="1501" w:type="dxa"/>
            <w:noWrap w:val="0"/>
            <w:vAlign w:val="center"/>
          </w:tcPr>
          <w:p w14:paraId="463AF6A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902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62394F7">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5.19自动稀释系统，1 套；</w:t>
            </w:r>
          </w:p>
        </w:tc>
        <w:tc>
          <w:tcPr>
            <w:tcW w:w="1501" w:type="dxa"/>
            <w:noWrap w:val="0"/>
            <w:vAlign w:val="center"/>
          </w:tcPr>
          <w:p w14:paraId="7E1994B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AE5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BDFAF72">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5.20快速进样系统，1套；</w:t>
            </w:r>
          </w:p>
        </w:tc>
        <w:tc>
          <w:tcPr>
            <w:tcW w:w="1501" w:type="dxa"/>
            <w:noWrap w:val="0"/>
            <w:vAlign w:val="center"/>
          </w:tcPr>
          <w:p w14:paraId="3B6D1AC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3DA4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EFE14DE">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5.21有机加氧模块（满足有机锡分析要求），1套；</w:t>
            </w:r>
          </w:p>
        </w:tc>
        <w:tc>
          <w:tcPr>
            <w:tcW w:w="1501" w:type="dxa"/>
            <w:noWrap w:val="0"/>
            <w:vAlign w:val="center"/>
          </w:tcPr>
          <w:p w14:paraId="73F5B200">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45C6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1C8791C">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5.22高效液相系统（包括但不限于高效液相泵、自动进样器、柱箱、不少于2根色谱柱、联用接口等必须的配件），1 套；</w:t>
            </w:r>
          </w:p>
        </w:tc>
        <w:tc>
          <w:tcPr>
            <w:tcW w:w="1501" w:type="dxa"/>
            <w:noWrap w:val="0"/>
            <w:vAlign w:val="center"/>
          </w:tcPr>
          <w:p w14:paraId="1D867EEC">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2684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731F724">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5.23原装软件工作站，1套；</w:t>
            </w:r>
          </w:p>
        </w:tc>
        <w:tc>
          <w:tcPr>
            <w:tcW w:w="1501" w:type="dxa"/>
            <w:noWrap w:val="0"/>
            <w:vAlign w:val="center"/>
          </w:tcPr>
          <w:p w14:paraId="138054D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31AC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91123F7">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5.24工作站硬件（内存32G，27寸），1套；</w:t>
            </w:r>
          </w:p>
        </w:tc>
        <w:tc>
          <w:tcPr>
            <w:tcW w:w="1501" w:type="dxa"/>
            <w:noWrap w:val="0"/>
            <w:vAlign w:val="center"/>
          </w:tcPr>
          <w:p w14:paraId="32C05DFC">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5EE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1DBB164">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5.25移动终端（内存32G，16寸），2台；</w:t>
            </w:r>
          </w:p>
        </w:tc>
        <w:tc>
          <w:tcPr>
            <w:tcW w:w="1501" w:type="dxa"/>
            <w:noWrap w:val="0"/>
            <w:vAlign w:val="center"/>
          </w:tcPr>
          <w:p w14:paraId="46FC0DE2">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196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BA00A3F">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5.26输出设备，1台（支持自动双面和网络输出）；</w:t>
            </w:r>
          </w:p>
        </w:tc>
        <w:tc>
          <w:tcPr>
            <w:tcW w:w="1501" w:type="dxa"/>
            <w:noWrap w:val="0"/>
            <w:vAlign w:val="center"/>
          </w:tcPr>
          <w:p w14:paraId="78EA9925">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7BA6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6824577">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5.27配件及耗材要求（除主机包含之外）；</w:t>
            </w:r>
          </w:p>
        </w:tc>
        <w:tc>
          <w:tcPr>
            <w:tcW w:w="1501" w:type="dxa"/>
            <w:noWrap w:val="0"/>
            <w:vAlign w:val="center"/>
          </w:tcPr>
          <w:p w14:paraId="4A07E702">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7B05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9A753DE">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5.28铂采样锥，1套；</w:t>
            </w:r>
          </w:p>
        </w:tc>
        <w:tc>
          <w:tcPr>
            <w:tcW w:w="1501" w:type="dxa"/>
            <w:noWrap w:val="0"/>
            <w:vAlign w:val="center"/>
          </w:tcPr>
          <w:p w14:paraId="476C6FD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33EE2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E9E0ADB">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5.29铂截取锥，1套；</w:t>
            </w:r>
          </w:p>
        </w:tc>
        <w:tc>
          <w:tcPr>
            <w:tcW w:w="1501" w:type="dxa"/>
            <w:noWrap w:val="0"/>
            <w:vAlign w:val="center"/>
          </w:tcPr>
          <w:p w14:paraId="334D6AB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4E60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7EBF608">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5.30一体式炬管（分体式则为中心管+矩管），1套；</w:t>
            </w:r>
          </w:p>
        </w:tc>
        <w:tc>
          <w:tcPr>
            <w:tcW w:w="1501" w:type="dxa"/>
            <w:noWrap w:val="0"/>
            <w:vAlign w:val="center"/>
          </w:tcPr>
          <w:p w14:paraId="1092427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214D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1ABF0A5">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5.31蠕动泵进样管，12根；</w:t>
            </w:r>
          </w:p>
        </w:tc>
        <w:tc>
          <w:tcPr>
            <w:tcW w:w="1501" w:type="dxa"/>
            <w:noWrap w:val="0"/>
            <w:vAlign w:val="center"/>
          </w:tcPr>
          <w:p w14:paraId="0C60AC3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AA8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01B51B0">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5.32蠕动泵废液管，12根；</w:t>
            </w:r>
          </w:p>
        </w:tc>
        <w:tc>
          <w:tcPr>
            <w:tcW w:w="1501" w:type="dxa"/>
            <w:noWrap w:val="0"/>
            <w:vAlign w:val="center"/>
          </w:tcPr>
          <w:p w14:paraId="51F138D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776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156BDF2">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5.33蠕动泵内标管，12根；</w:t>
            </w:r>
          </w:p>
        </w:tc>
        <w:tc>
          <w:tcPr>
            <w:tcW w:w="1501" w:type="dxa"/>
            <w:noWrap w:val="0"/>
            <w:vAlign w:val="center"/>
          </w:tcPr>
          <w:p w14:paraId="0D2FA4D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9785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B9F2112">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5.34采样锥垫片，3个；</w:t>
            </w:r>
          </w:p>
        </w:tc>
        <w:tc>
          <w:tcPr>
            <w:tcW w:w="1501" w:type="dxa"/>
            <w:noWrap w:val="0"/>
            <w:vAlign w:val="center"/>
          </w:tcPr>
          <w:p w14:paraId="4B1D8BD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724F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3EB9097">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5.35样品管（PFA材质），5米；</w:t>
            </w:r>
          </w:p>
        </w:tc>
        <w:tc>
          <w:tcPr>
            <w:tcW w:w="1501" w:type="dxa"/>
            <w:noWrap w:val="0"/>
            <w:vAlign w:val="center"/>
          </w:tcPr>
          <w:p w14:paraId="7169D2E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B81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0AE9BA1">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5.36超纯机械泵油，1瓶；</w:t>
            </w:r>
          </w:p>
        </w:tc>
        <w:tc>
          <w:tcPr>
            <w:tcW w:w="1501" w:type="dxa"/>
            <w:noWrap w:val="0"/>
            <w:vAlign w:val="center"/>
          </w:tcPr>
          <w:p w14:paraId="21D3388B">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9AF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91D7F84">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5.37同心雾化器，1个；</w:t>
            </w:r>
          </w:p>
        </w:tc>
        <w:tc>
          <w:tcPr>
            <w:tcW w:w="1501" w:type="dxa"/>
            <w:noWrap w:val="0"/>
            <w:vAlign w:val="center"/>
          </w:tcPr>
          <w:p w14:paraId="2339D5F0">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78E5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835DA48">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5.38 电源保护装置（输出电压为220V，功率满足系统需求并留有50%余量，1 小时），1套；</w:t>
            </w:r>
          </w:p>
        </w:tc>
        <w:tc>
          <w:tcPr>
            <w:tcW w:w="1501" w:type="dxa"/>
            <w:noWrap w:val="0"/>
            <w:vAlign w:val="center"/>
          </w:tcPr>
          <w:p w14:paraId="63EA1F52">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9E7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A53DD9A">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5.39液氩杜瓦罐（几何容积≥175L，工作压力≥1.4MPa，最大充装量208Kg，含减压阀），2套。</w:t>
            </w:r>
          </w:p>
        </w:tc>
        <w:tc>
          <w:tcPr>
            <w:tcW w:w="1501" w:type="dxa"/>
            <w:noWrap w:val="0"/>
            <w:vAlign w:val="center"/>
          </w:tcPr>
          <w:p w14:paraId="18D8306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bl>
    <w:p w14:paraId="228BD911">
      <w:pPr>
        <w:keepNext w:val="0"/>
        <w:keepLines w:val="0"/>
        <w:pageBreakBefore w:val="0"/>
        <w:widowControl w:val="0"/>
        <w:kinsoku/>
        <w:wordWrap/>
        <w:overflowPunct/>
        <w:topLinePunct w:val="0"/>
        <w:autoSpaceDE/>
        <w:autoSpaceDN/>
        <w:bidi w:val="0"/>
        <w:spacing w:line="400" w:lineRule="exact"/>
        <w:ind w:firstLine="0" w:firstLineChars="0"/>
        <w:outlineLvl w:val="1"/>
        <w:rPr>
          <w:rFonts w:hint="eastAsia" w:ascii="仿宋" w:hAnsi="仿宋" w:eastAsia="仿宋" w:cs="仿宋"/>
          <w:color w:val="auto"/>
          <w:sz w:val="32"/>
          <w:szCs w:val="32"/>
          <w:highlight w:val="none"/>
          <w:u w:val="single"/>
          <w:lang w:eastAsia="zh-CN"/>
        </w:rPr>
      </w:pPr>
      <w:r>
        <w:rPr>
          <w:rFonts w:hint="eastAsia" w:ascii="仿宋" w:hAnsi="仿宋" w:eastAsia="仿宋" w:cs="仿宋"/>
          <w:color w:val="auto"/>
          <w:sz w:val="32"/>
          <w:szCs w:val="32"/>
          <w:highlight w:val="none"/>
          <w:u w:val="single"/>
          <w:lang w:val="en-US" w:eastAsia="zh-CN"/>
        </w:rPr>
        <w:br w:type="page"/>
      </w:r>
      <w:bookmarkStart w:id="490" w:name="_Toc27413"/>
      <w:bookmarkStart w:id="491" w:name="_Toc4306"/>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kern w:val="0"/>
          <w:sz w:val="21"/>
          <w:szCs w:val="21"/>
          <w:highlight w:val="none"/>
          <w:lang w:val="en-US" w:eastAsia="zh-CN" w:bidi="ar-SA"/>
        </w:rPr>
        <w:t>标项</w:t>
      </w:r>
      <w:r>
        <w:rPr>
          <w:rFonts w:hint="eastAsia" w:ascii="宋体" w:hAnsi="宋体" w:cs="宋体"/>
          <w:b/>
          <w:bCs/>
          <w:color w:val="auto"/>
          <w:kern w:val="0"/>
          <w:sz w:val="21"/>
          <w:szCs w:val="21"/>
          <w:highlight w:val="none"/>
          <w:lang w:val="en-US" w:eastAsia="zh-CN" w:bidi="ar-SA"/>
        </w:rPr>
        <w:t>五</w:t>
      </w:r>
      <w:r>
        <w:rPr>
          <w:rFonts w:hint="eastAsia" w:ascii="宋体" w:hAnsi="宋体" w:eastAsia="宋体" w:cs="宋体"/>
          <w:b/>
          <w:bCs/>
          <w:color w:val="auto"/>
          <w:kern w:val="0"/>
          <w:sz w:val="21"/>
          <w:szCs w:val="21"/>
          <w:highlight w:val="none"/>
          <w:lang w:val="en-US" w:eastAsia="zh-CN" w:bidi="ar-SA"/>
        </w:rPr>
        <w:t>（分包</w:t>
      </w:r>
      <w:r>
        <w:rPr>
          <w:rFonts w:hint="eastAsia" w:ascii="宋体" w:hAnsi="宋体" w:cs="宋体"/>
          <w:b/>
          <w:bCs/>
          <w:color w:val="auto"/>
          <w:kern w:val="0"/>
          <w:sz w:val="21"/>
          <w:szCs w:val="21"/>
          <w:highlight w:val="none"/>
          <w:lang w:val="en-US" w:eastAsia="zh-CN" w:bidi="ar-SA"/>
        </w:rPr>
        <w:t>5</w:t>
      </w:r>
      <w:r>
        <w:rPr>
          <w:rFonts w:hint="eastAsia" w:ascii="宋体" w:hAnsi="宋体" w:eastAsia="宋体" w:cs="宋体"/>
          <w:b/>
          <w:bCs/>
          <w:color w:val="auto"/>
          <w:kern w:val="0"/>
          <w:sz w:val="21"/>
          <w:szCs w:val="21"/>
          <w:highlight w:val="none"/>
          <w:lang w:val="en-US" w:eastAsia="zh-CN" w:bidi="ar-SA"/>
        </w:rPr>
        <w:t>）</w:t>
      </w:r>
      <w:r>
        <w:rPr>
          <w:rFonts w:hint="eastAsia" w:ascii="宋体" w:hAnsi="宋体" w:eastAsia="宋体" w:cs="宋体"/>
          <w:b/>
          <w:bCs/>
          <w:color w:val="auto"/>
          <w:sz w:val="21"/>
          <w:szCs w:val="21"/>
          <w:highlight w:val="none"/>
        </w:rPr>
        <w:t>评标标准</w:t>
      </w:r>
      <w:bookmarkEnd w:id="490"/>
      <w:bookmarkEnd w:id="491"/>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9"/>
        <w:gridCol w:w="875"/>
        <w:gridCol w:w="6672"/>
        <w:gridCol w:w="6"/>
      </w:tblGrid>
      <w:tr w14:paraId="0D418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6" w:type="dxa"/>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3B618B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评标项目</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E476C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kern w:val="2"/>
                <w:sz w:val="21"/>
                <w:szCs w:val="21"/>
                <w:highlight w:val="none"/>
                <w:lang w:val="en-US" w:eastAsia="zh-CN" w:bidi="ar"/>
              </w:rPr>
              <w:t>评标</w:t>
            </w:r>
          </w:p>
          <w:p w14:paraId="6CA83A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分值</w:t>
            </w:r>
          </w:p>
        </w:tc>
        <w:tc>
          <w:tcPr>
            <w:tcW w:w="6672" w:type="dxa"/>
            <w:tcBorders>
              <w:top w:val="single" w:color="000000" w:sz="4" w:space="0"/>
              <w:left w:val="single" w:color="000000" w:sz="4" w:space="0"/>
              <w:bottom w:val="single" w:color="000000" w:sz="4" w:space="0"/>
              <w:right w:val="single" w:color="000000" w:sz="4" w:space="0"/>
            </w:tcBorders>
            <w:noWrap w:val="0"/>
            <w:vAlign w:val="center"/>
          </w:tcPr>
          <w:p w14:paraId="002782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评标方法描述</w:t>
            </w:r>
          </w:p>
        </w:tc>
      </w:tr>
      <w:tr w14:paraId="2FFEA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033E63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（一）价格分（满分30分）</w:t>
            </w:r>
          </w:p>
        </w:tc>
      </w:tr>
      <w:tr w14:paraId="7A4FD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78A142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投标报价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C665F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30分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70F64E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1.评标报价为投标人的投标报价进行政策性扣除后的价格，评标报价只是作为评标时使用。最终中标人的中标金额等于投标报价。</w:t>
            </w:r>
          </w:p>
          <w:p w14:paraId="08ED1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2.中小微企业、监狱企业、残疾人福利性单位的价格政策：</w:t>
            </w:r>
          </w:p>
          <w:p w14:paraId="4E042CF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根据《政府采购促进中小企业发展管理办法》（财库〔2020〕46号）及《广西壮族自治区财政厅关于持续优化政府采购营商环境推动高质量发展的通知》（桂财采〔2024〕55号）的规定，投标产品制造商全部属于《政府采购促进中小企业发展管理办法》规定的小微企业的，对投标报价给予10%的扣除，扣除后的价格为评标价，即评标价=投标报价×（1–10%）；用扣除后的价格参加评审；大中型企业与小微企业组成联合体或者大中型企业向一家或者多家小微企业分包，且联合协议或者分包意向协议约定小微企业的合同份额占到合同总金额30%以上的，对联合体或者大中型企业的报价给予6%（工程项目为2%）的扣除，扣除后的价格为评标价，即评标价=投标报价×（1–6%）；不符合上述给予扣除情形的，评标价=投标报价。</w:t>
            </w:r>
          </w:p>
          <w:p w14:paraId="5684A81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45E3194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E2F4CB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3.支持本国产品的价格政策：</w:t>
            </w:r>
          </w:p>
          <w:p w14:paraId="3D2AD5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既有本国产品又有非本国产品参与竞争的，依法对本国产品给予价格评审优惠，对本国产品的报价给予20%的价格扣除，用扣除后的价格参与评审，即评审价=投标报价×（1-20%）。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适用情形详见“投标人须知前附表”的规定。对供应商所出具的《声明函》完整性、准确性进行审查。符合澄清补正情形的，应以书面形式要求供应商澄清补正，澄清补正后仍不符合要求的，不享受价格评审优惠。</w:t>
            </w:r>
          </w:p>
          <w:p w14:paraId="4E4B3D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所有供应商提供参与投标竞争的均为本国产品，则不再执行支持本国产品价格评审优惠的扶植政策。</w:t>
            </w:r>
          </w:p>
          <w:p w14:paraId="2F4C6E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4.本国产品价格扣除政策与中小微企业、监狱企业、残疾人福利性单位价格扣除政策可重复享受，统一在原投标报价的基础上进行价格扣除。</w:t>
            </w:r>
          </w:p>
          <w:p w14:paraId="6CBCC5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5.满足招标文件要求且评标报价最低的评标报价为评标基准价，其价格分为满分。</w:t>
            </w:r>
          </w:p>
          <w:p w14:paraId="3BF5F2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6.价格分计算公式：</w:t>
            </w:r>
          </w:p>
          <w:p w14:paraId="737C95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价格分=(评标基准价／评标报价)×30分。</w:t>
            </w:r>
          </w:p>
          <w:p w14:paraId="0D7682F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7.（1）政府采购评审中出现下列情形之一的，评审委员会应当启动异常低价投标审查程序：</w:t>
            </w:r>
          </w:p>
          <w:p w14:paraId="71F7879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①投标报价低于全部通过符合性审查供应商投标报价平均值65%的，即投标报价＜全部通过符合性审查供应商投标报价平均值×65%；</w:t>
            </w:r>
          </w:p>
          <w:p w14:paraId="23EF881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 2 \* GB3 \* MERGEFORMAT </w:instrText>
            </w:r>
            <w:r>
              <w:rPr>
                <w:rFonts w:hint="eastAsia" w:ascii="宋体" w:hAnsi="宋体" w:eastAsia="宋体" w:cs="宋体"/>
                <w:color w:val="auto"/>
                <w:kern w:val="2"/>
                <w:sz w:val="21"/>
                <w:szCs w:val="21"/>
                <w:highlight w:val="none"/>
                <w:lang w:val="en-US" w:eastAsia="zh-CN" w:bidi="ar"/>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投标报价低于通过符合性审查的次低报价供应商投标报价65%的，即投标报价＜通过符合性审查的次低报价供应商投标报价×65%；</w:t>
            </w:r>
          </w:p>
          <w:p w14:paraId="325CD9F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 3 \* GB3 \* MERGEFORMAT </w:instrText>
            </w:r>
            <w:r>
              <w:rPr>
                <w:rFonts w:hint="eastAsia" w:ascii="宋体" w:hAnsi="宋体" w:eastAsia="宋体" w:cs="宋体"/>
                <w:color w:val="auto"/>
                <w:kern w:val="2"/>
                <w:sz w:val="21"/>
                <w:szCs w:val="21"/>
                <w:highlight w:val="none"/>
                <w:lang w:val="en-US" w:eastAsia="zh-CN" w:bidi="ar"/>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投标报价低于采购项目最高限价65%的，即投标报价＜采购项目最高限价×65%；</w:t>
            </w:r>
          </w:p>
          <w:p w14:paraId="3BC469E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 4 \* GB3 \* MERGEFORMAT </w:instrText>
            </w:r>
            <w:r>
              <w:rPr>
                <w:rFonts w:hint="eastAsia" w:ascii="宋体" w:hAnsi="宋体" w:eastAsia="宋体" w:cs="宋体"/>
                <w:color w:val="auto"/>
                <w:kern w:val="2"/>
                <w:sz w:val="21"/>
                <w:szCs w:val="21"/>
                <w:highlight w:val="none"/>
                <w:lang w:val="en-US" w:eastAsia="zh-CN" w:bidi="ar"/>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评审委员会基于专业判断，认为供应商报价过低，有可能影响产品质量或者不能诚信履约的其他情形。</w:t>
            </w:r>
          </w:p>
          <w:p w14:paraId="327380C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（2）评审委员会启动异常低价投标审查后，属于前述第①项至第</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 4 \* GB3 \* MERGEFORMAT </w:instrText>
            </w:r>
            <w:r>
              <w:rPr>
                <w:rFonts w:hint="eastAsia" w:ascii="宋体" w:hAnsi="宋体" w:eastAsia="宋体" w:cs="宋体"/>
                <w:color w:val="auto"/>
                <w:kern w:val="2"/>
                <w:sz w:val="21"/>
                <w:szCs w:val="21"/>
                <w:highlight w:val="none"/>
                <w:lang w:val="en-US" w:eastAsia="zh-CN" w:bidi="ar"/>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 3 \* GB3 \* MERGEFORMAT </w:instrText>
            </w:r>
            <w:r>
              <w:rPr>
                <w:rFonts w:hint="eastAsia" w:ascii="宋体" w:hAnsi="宋体" w:eastAsia="宋体" w:cs="宋体"/>
                <w:color w:val="auto"/>
                <w:kern w:val="2"/>
                <w:sz w:val="21"/>
                <w:szCs w:val="21"/>
                <w:highlight w:val="none"/>
                <w:lang w:val="en-US" w:eastAsia="zh-CN" w:bidi="ar"/>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项情形，供应商已随投标文件一并提交相关书面说明及必要的证明材料的，在评审现场可不再重复提交。</w:t>
            </w:r>
          </w:p>
          <w:p w14:paraId="2E56178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评审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5EB3648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B65ED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（5）异常低价投标审查的启动原因、审查意见和审查结果应当在评审报告中记录，并随供应商提供的相关书面说明及证明材料，以及评审委员会有关互联网浏览、查询历史一并归档。</w:t>
            </w:r>
          </w:p>
        </w:tc>
      </w:tr>
      <w:tr w14:paraId="429F2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0EA04C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（二）技术分（满分</w:t>
            </w:r>
            <w:r>
              <w:rPr>
                <w:rFonts w:hint="eastAsia" w:ascii="宋体" w:hAnsi="宋体" w:cs="宋体"/>
                <w:color w:val="auto"/>
                <w:kern w:val="2"/>
                <w:sz w:val="21"/>
                <w:szCs w:val="21"/>
                <w:highlight w:val="none"/>
                <w:lang w:val="en-US" w:eastAsia="zh-CN" w:bidi="ar"/>
              </w:rPr>
              <w:t>65</w:t>
            </w:r>
            <w:r>
              <w:rPr>
                <w:rFonts w:hint="eastAsia" w:ascii="宋体" w:hAnsi="宋体" w:eastAsia="宋体" w:cs="宋体"/>
                <w:color w:val="auto"/>
                <w:kern w:val="2"/>
                <w:sz w:val="21"/>
                <w:szCs w:val="21"/>
                <w:highlight w:val="none"/>
                <w:lang w:val="en-US" w:eastAsia="zh-CN" w:bidi="ar"/>
              </w:rPr>
              <w:t>分）</w:t>
            </w:r>
          </w:p>
        </w:tc>
      </w:tr>
      <w:tr w14:paraId="75391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7DA7D1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设备技术参数响应</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A3ADA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w:t>
            </w:r>
            <w:r>
              <w:rPr>
                <w:rFonts w:hint="eastAsia" w:ascii="宋体" w:hAnsi="宋体" w:cs="宋体"/>
                <w:color w:val="auto"/>
                <w:kern w:val="2"/>
                <w:sz w:val="21"/>
                <w:szCs w:val="21"/>
                <w:highlight w:val="none"/>
                <w:lang w:val="en-US" w:eastAsia="zh-CN" w:bidi="ar"/>
              </w:rPr>
              <w:t>33.9</w:t>
            </w:r>
            <w:r>
              <w:rPr>
                <w:rFonts w:hint="eastAsia" w:ascii="宋体" w:hAnsi="宋体" w:eastAsia="宋体" w:cs="宋体"/>
                <w:color w:val="auto"/>
                <w:kern w:val="2"/>
                <w:sz w:val="21"/>
                <w:szCs w:val="21"/>
                <w:highlight w:val="none"/>
                <w:lang w:val="en-US" w:eastAsia="zh-CN" w:bidi="ar"/>
              </w:rPr>
              <w:t>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05AD61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根据投标人的设备技术参数响应情况对应以下要求评分：</w:t>
            </w:r>
          </w:p>
          <w:p w14:paraId="41E380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一般参数</w:t>
            </w:r>
            <w:r>
              <w:rPr>
                <w:rFonts w:hint="eastAsia" w:ascii="宋体" w:hAnsi="宋体" w:eastAsia="宋体" w:cs="宋体"/>
                <w:color w:val="auto"/>
                <w:sz w:val="21"/>
                <w:szCs w:val="21"/>
                <w:highlight w:val="none"/>
                <w:lang w:val="en-US"/>
              </w:rPr>
              <w:t>共</w:t>
            </w:r>
            <w:r>
              <w:rPr>
                <w:rFonts w:hint="eastAsia" w:ascii="宋体" w:hAnsi="宋体" w:eastAsia="宋体" w:cs="宋体"/>
                <w:color w:val="auto"/>
                <w:sz w:val="21"/>
                <w:szCs w:val="21"/>
                <w:highlight w:val="none"/>
                <w:lang w:val="en-US" w:eastAsia="zh-CN"/>
              </w:rPr>
              <w:t>146</w:t>
            </w:r>
            <w:r>
              <w:rPr>
                <w:rFonts w:hint="eastAsia" w:ascii="宋体" w:hAnsi="宋体" w:eastAsia="宋体" w:cs="宋体"/>
                <w:color w:val="auto"/>
                <w:sz w:val="21"/>
                <w:szCs w:val="21"/>
                <w:highlight w:val="none"/>
                <w:lang w:val="en-US"/>
              </w:rPr>
              <w:t>项（包含配置清单），每一项符合（无负偏离）得</w:t>
            </w:r>
            <w:r>
              <w:rPr>
                <w:rFonts w:hint="eastAsia" w:ascii="宋体" w:hAnsi="宋体" w:eastAsia="宋体" w:cs="宋体"/>
                <w:color w:val="auto"/>
                <w:sz w:val="21"/>
                <w:szCs w:val="21"/>
                <w:highlight w:val="none"/>
                <w:lang w:val="en-US" w:eastAsia="zh-CN"/>
              </w:rPr>
              <w:t>0.15</w:t>
            </w:r>
            <w:r>
              <w:rPr>
                <w:rFonts w:hint="eastAsia" w:ascii="宋体" w:hAnsi="宋体" w:eastAsia="宋体" w:cs="宋体"/>
                <w:color w:val="auto"/>
                <w:sz w:val="21"/>
                <w:szCs w:val="21"/>
                <w:highlight w:val="none"/>
                <w:lang w:val="en-US"/>
              </w:rPr>
              <w:t>分，满分</w:t>
            </w:r>
            <w:r>
              <w:rPr>
                <w:rFonts w:hint="eastAsia" w:ascii="宋体" w:hAnsi="宋体" w:eastAsia="宋体" w:cs="宋体"/>
                <w:color w:val="auto"/>
                <w:sz w:val="21"/>
                <w:szCs w:val="21"/>
                <w:highlight w:val="none"/>
                <w:lang w:val="en-US" w:eastAsia="zh-CN"/>
              </w:rPr>
              <w:t>21.9</w:t>
            </w:r>
            <w:r>
              <w:rPr>
                <w:rFonts w:hint="eastAsia" w:ascii="宋体" w:hAnsi="宋体" w:eastAsia="宋体" w:cs="宋体"/>
                <w:color w:val="auto"/>
                <w:sz w:val="21"/>
                <w:szCs w:val="21"/>
                <w:highlight w:val="none"/>
                <w:lang w:val="en-US"/>
              </w:rPr>
              <w:t>分</w:t>
            </w:r>
            <w:r>
              <w:rPr>
                <w:rFonts w:hint="eastAsia" w:ascii="宋体" w:hAnsi="宋体" w:eastAsia="宋体" w:cs="宋体"/>
                <w:color w:val="auto"/>
                <w:sz w:val="21"/>
                <w:szCs w:val="21"/>
                <w:highlight w:val="none"/>
                <w:lang w:val="en-US" w:eastAsia="zh-CN"/>
              </w:rPr>
              <w:t>。</w:t>
            </w:r>
          </w:p>
          <w:p w14:paraId="6A06A2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重要参数共3项，如参数</w:t>
            </w:r>
            <w:r>
              <w:rPr>
                <w:rFonts w:hint="eastAsia" w:ascii="宋体" w:hAnsi="宋体" w:eastAsia="宋体" w:cs="宋体"/>
                <w:color w:val="auto"/>
                <w:sz w:val="21"/>
                <w:szCs w:val="21"/>
                <w:highlight w:val="none"/>
                <w:lang w:val="en-US"/>
              </w:rPr>
              <w:t>符合（无负偏离）</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rPr>
              <w:t>每一项得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分</w:t>
            </w:r>
            <w:r>
              <w:rPr>
                <w:rFonts w:hint="eastAsia" w:ascii="宋体" w:hAnsi="宋体" w:eastAsia="宋体" w:cs="宋体"/>
                <w:color w:val="auto"/>
                <w:sz w:val="21"/>
                <w:szCs w:val="21"/>
                <w:highlight w:val="none"/>
                <w:lang w:val="en-US" w:eastAsia="zh-CN"/>
              </w:rPr>
              <w:t>；如参数为正偏离的，每一项得4分；满分12分。</w:t>
            </w:r>
          </w:p>
          <w:p w14:paraId="2F1746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val="en-US" w:eastAsia="zh-CN"/>
              </w:rPr>
              <w:t>注：（1）</w:t>
            </w:r>
            <w:r>
              <w:rPr>
                <w:rFonts w:hint="eastAsia" w:ascii="宋体" w:hAnsi="宋体" w:eastAsia="宋体" w:cs="宋体"/>
                <w:color w:val="auto"/>
                <w:sz w:val="21"/>
                <w:szCs w:val="21"/>
                <w:highlight w:val="none"/>
                <w:lang w:val="en-US"/>
              </w:rPr>
              <w:t>一般参数指未标注“▲”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的指标参数。</w:t>
            </w:r>
            <w:r>
              <w:rPr>
                <w:rFonts w:hint="eastAsia" w:ascii="宋体" w:hAnsi="宋体" w:eastAsia="宋体" w:cs="宋体"/>
                <w:color w:val="auto"/>
                <w:sz w:val="21"/>
                <w:szCs w:val="21"/>
                <w:highlight w:val="none"/>
                <w:lang w:val="en-US" w:eastAsia="zh-CN"/>
              </w:rPr>
              <w:t>重要参数</w:t>
            </w:r>
            <w:r>
              <w:rPr>
                <w:rFonts w:hint="eastAsia" w:ascii="宋体" w:hAnsi="宋体" w:eastAsia="宋体" w:cs="宋体"/>
                <w:color w:val="auto"/>
                <w:sz w:val="21"/>
                <w:szCs w:val="21"/>
                <w:highlight w:val="none"/>
                <w:lang w:val="en-US"/>
              </w:rPr>
              <w:t>指标注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的指标参数</w:t>
            </w:r>
            <w:r>
              <w:rPr>
                <w:rFonts w:hint="eastAsia" w:ascii="宋体" w:hAnsi="宋体" w:eastAsia="宋体" w:cs="宋体"/>
                <w:color w:val="auto"/>
                <w:sz w:val="21"/>
                <w:szCs w:val="21"/>
                <w:highlight w:val="none"/>
                <w:lang w:val="en-US" w:eastAsia="zh-CN"/>
              </w:rPr>
              <w:t>。</w:t>
            </w:r>
          </w:p>
          <w:p w14:paraId="22AEEC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（2）根据技术偏离表及相关证明材料进行评分，凡采购需求中有明确要求提供截图或照片或其他佐证材料等资料的，评审时以所提供的资料为评分依据。</w:t>
            </w:r>
          </w:p>
          <w:p w14:paraId="735D5B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（3）投标人的技术参数有正偏离的，须在技术偏离表中列明，凡采购需求中有明确提供相关佐证材料的，须在投标文件中附上，否则不予认可。</w:t>
            </w:r>
          </w:p>
        </w:tc>
      </w:tr>
      <w:tr w14:paraId="638C7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1750B4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项目实施方案</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B58FE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w:t>
            </w:r>
            <w:r>
              <w:rPr>
                <w:rFonts w:hint="eastAsia" w:ascii="宋体" w:hAnsi="宋体" w:cs="宋体"/>
                <w:color w:val="auto"/>
                <w:kern w:val="2"/>
                <w:sz w:val="21"/>
                <w:szCs w:val="21"/>
                <w:highlight w:val="none"/>
                <w:lang w:val="en-US" w:eastAsia="zh-CN" w:bidi="ar"/>
              </w:rPr>
              <w:t>11.1</w:t>
            </w:r>
            <w:r>
              <w:rPr>
                <w:rFonts w:hint="eastAsia" w:ascii="宋体" w:hAnsi="宋体" w:eastAsia="宋体" w:cs="宋体"/>
                <w:color w:val="auto"/>
                <w:kern w:val="2"/>
                <w:sz w:val="21"/>
                <w:szCs w:val="21"/>
                <w:highlight w:val="none"/>
                <w:lang w:val="en-US" w:eastAsia="zh-CN" w:bidi="ar"/>
              </w:rPr>
              <w:t>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13EE92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由评委根据投标人提供的项目实施方案内容进行独立评审：</w:t>
            </w:r>
          </w:p>
          <w:p w14:paraId="4A5C2E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一档（</w:t>
            </w:r>
            <w:r>
              <w:rPr>
                <w:rFonts w:hint="eastAsia" w:ascii="宋体" w:hAnsi="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分）：有实施方案，基本满足项目实施要求。</w:t>
            </w:r>
          </w:p>
          <w:p w14:paraId="5659DE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二档（</w:t>
            </w:r>
            <w:r>
              <w:rPr>
                <w:rFonts w:hint="eastAsia" w:ascii="宋体" w:hAnsi="宋体" w:cs="宋体"/>
                <w:color w:val="auto"/>
                <w:kern w:val="2"/>
                <w:sz w:val="21"/>
                <w:szCs w:val="21"/>
                <w:highlight w:val="none"/>
                <w:lang w:val="en-US" w:eastAsia="zh-CN" w:bidi="ar"/>
              </w:rPr>
              <w:t>7</w:t>
            </w:r>
            <w:r>
              <w:rPr>
                <w:rFonts w:hint="eastAsia" w:ascii="宋体" w:hAnsi="宋体" w:eastAsia="宋体" w:cs="宋体"/>
                <w:color w:val="auto"/>
                <w:kern w:val="2"/>
                <w:sz w:val="21"/>
                <w:szCs w:val="21"/>
                <w:highlight w:val="none"/>
                <w:lang w:val="en-US" w:eastAsia="zh-CN" w:bidi="ar"/>
              </w:rPr>
              <w:t>分）：实施方案阐述较全，包含有实施计划、组织机构、人员安排、供货保障措施、应急保障措施等。</w:t>
            </w:r>
          </w:p>
          <w:p w14:paraId="070D2A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三档（</w:t>
            </w:r>
            <w:r>
              <w:rPr>
                <w:rFonts w:hint="eastAsia" w:ascii="宋体" w:hAnsi="宋体" w:cs="宋体"/>
                <w:color w:val="auto"/>
                <w:kern w:val="2"/>
                <w:sz w:val="21"/>
                <w:szCs w:val="21"/>
                <w:highlight w:val="none"/>
                <w:lang w:val="en-US" w:eastAsia="zh-CN" w:bidi="ar"/>
              </w:rPr>
              <w:t>11.1</w:t>
            </w:r>
            <w:r>
              <w:rPr>
                <w:rFonts w:hint="eastAsia" w:ascii="宋体" w:hAnsi="宋体" w:eastAsia="宋体" w:cs="宋体"/>
                <w:color w:val="auto"/>
                <w:kern w:val="2"/>
                <w:sz w:val="21"/>
                <w:szCs w:val="21"/>
                <w:highlight w:val="none"/>
                <w:lang w:val="en-US" w:eastAsia="zh-CN" w:bidi="ar"/>
              </w:rPr>
              <w:t>分）：实施方案阐述详细，提出较符合采购人单位实际的措施安排，包含但不限于实施计划、组织机构、人员安排、供货保障措施、应急保障措施、安装调试工程师和周期安排具体可行、验收措施保障得当等。</w:t>
            </w:r>
          </w:p>
          <w:p w14:paraId="09436F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不满足一档的不得分。</w:t>
            </w:r>
          </w:p>
        </w:tc>
      </w:tr>
      <w:tr w14:paraId="378DA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7E526B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质量保障方案</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3E744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w:t>
            </w:r>
            <w:r>
              <w:rPr>
                <w:rFonts w:hint="eastAsia" w:ascii="宋体" w:hAnsi="宋体" w:cs="宋体"/>
                <w:color w:val="auto"/>
                <w:kern w:val="2"/>
                <w:sz w:val="21"/>
                <w:szCs w:val="21"/>
                <w:highlight w:val="none"/>
                <w:lang w:val="en-US" w:eastAsia="zh-CN" w:bidi="ar"/>
              </w:rPr>
              <w:t>10</w:t>
            </w:r>
            <w:r>
              <w:rPr>
                <w:rFonts w:hint="eastAsia" w:ascii="宋体" w:hAnsi="宋体" w:eastAsia="宋体" w:cs="宋体"/>
                <w:color w:val="auto"/>
                <w:kern w:val="2"/>
                <w:sz w:val="21"/>
                <w:szCs w:val="21"/>
                <w:highlight w:val="none"/>
                <w:lang w:val="en-US" w:eastAsia="zh-CN" w:bidi="ar"/>
              </w:rPr>
              <w:t>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5F8187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由评委根据投标人提供的质量保障方案内容进行独立评审：</w:t>
            </w:r>
          </w:p>
          <w:p w14:paraId="252174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一档（1分）：有质量保证方案，能满足项目需求中的质量保证要求；</w:t>
            </w:r>
          </w:p>
          <w:p w14:paraId="1EB833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二档（</w:t>
            </w:r>
            <w:r>
              <w:rPr>
                <w:rFonts w:hint="eastAsia" w:ascii="宋体" w:hAnsi="宋体" w:cs="宋体"/>
                <w:color w:val="auto"/>
                <w:kern w:val="2"/>
                <w:sz w:val="21"/>
                <w:szCs w:val="21"/>
                <w:highlight w:val="none"/>
                <w:lang w:val="en-US" w:eastAsia="zh-CN" w:bidi="ar"/>
              </w:rPr>
              <w:t>6</w:t>
            </w:r>
            <w:r>
              <w:rPr>
                <w:rFonts w:hint="eastAsia" w:ascii="宋体" w:hAnsi="宋体" w:eastAsia="宋体" w:cs="宋体"/>
                <w:color w:val="auto"/>
                <w:kern w:val="2"/>
                <w:sz w:val="21"/>
                <w:szCs w:val="21"/>
                <w:highlight w:val="none"/>
                <w:lang w:val="en-US" w:eastAsia="zh-CN" w:bidi="ar"/>
              </w:rPr>
              <w:t>分）：有详细的质量保证方案，能根据项目需求中的质量保证要求，逐条做出详细的质量保证方案计划。</w:t>
            </w:r>
          </w:p>
          <w:p w14:paraId="76A1C6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三档（</w:t>
            </w:r>
            <w:r>
              <w:rPr>
                <w:rFonts w:hint="eastAsia" w:ascii="宋体" w:hAnsi="宋体" w:cs="宋体"/>
                <w:color w:val="auto"/>
                <w:kern w:val="2"/>
                <w:sz w:val="21"/>
                <w:szCs w:val="21"/>
                <w:highlight w:val="none"/>
                <w:lang w:val="en-US" w:eastAsia="zh-CN" w:bidi="ar"/>
              </w:rPr>
              <w:t>10</w:t>
            </w:r>
            <w:r>
              <w:rPr>
                <w:rFonts w:hint="eastAsia" w:ascii="宋体" w:hAnsi="宋体" w:eastAsia="宋体" w:cs="宋体"/>
                <w:color w:val="auto"/>
                <w:kern w:val="2"/>
                <w:sz w:val="21"/>
                <w:szCs w:val="21"/>
                <w:highlight w:val="none"/>
                <w:lang w:val="en-US" w:eastAsia="zh-CN" w:bidi="ar"/>
              </w:rPr>
              <w:t>分）：有详细的质量保证方案，能根据项目需求中的质量保证要求，逐条做出详细的符合采购人单位实际的质量保证方案计划，明确具体环节保障人员，有保障重点及难点分析并提出针对性的解决方案。</w:t>
            </w:r>
          </w:p>
          <w:p w14:paraId="2C5D90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不满足一档的不得分。</w:t>
            </w:r>
          </w:p>
        </w:tc>
      </w:tr>
      <w:tr w14:paraId="21A00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72C14C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售后服务方案</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AF8E9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w:t>
            </w:r>
            <w:r>
              <w:rPr>
                <w:rFonts w:hint="eastAsia" w:ascii="宋体" w:hAnsi="宋体" w:cs="宋体"/>
                <w:color w:val="auto"/>
                <w:kern w:val="2"/>
                <w:sz w:val="21"/>
                <w:szCs w:val="21"/>
                <w:highlight w:val="none"/>
                <w:lang w:val="en-US" w:eastAsia="zh-CN" w:bidi="ar"/>
              </w:rPr>
              <w:t>10</w:t>
            </w:r>
            <w:r>
              <w:rPr>
                <w:rFonts w:hint="eastAsia" w:ascii="宋体" w:hAnsi="宋体" w:eastAsia="宋体" w:cs="宋体"/>
                <w:color w:val="auto"/>
                <w:kern w:val="2"/>
                <w:sz w:val="21"/>
                <w:szCs w:val="21"/>
                <w:highlight w:val="none"/>
                <w:lang w:val="en-US" w:eastAsia="zh-CN" w:bidi="ar"/>
              </w:rPr>
              <w:t>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632B9F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由评委根据投标人提供的售后服务方案内容进行独立评审：</w:t>
            </w:r>
          </w:p>
          <w:p w14:paraId="3E3977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一档（</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分）：满足项目质保期及售后服务要求，有定期回访及培训的。</w:t>
            </w:r>
          </w:p>
          <w:p w14:paraId="3EF139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二档（</w:t>
            </w:r>
            <w:r>
              <w:rPr>
                <w:rFonts w:hint="eastAsia" w:ascii="宋体" w:hAnsi="宋体" w:cs="宋体"/>
                <w:color w:val="auto"/>
                <w:kern w:val="2"/>
                <w:sz w:val="21"/>
                <w:szCs w:val="21"/>
                <w:highlight w:val="none"/>
                <w:lang w:val="en-US" w:eastAsia="zh-CN" w:bidi="ar"/>
              </w:rPr>
              <w:t>6</w:t>
            </w:r>
            <w:r>
              <w:rPr>
                <w:rFonts w:hint="eastAsia" w:ascii="宋体" w:hAnsi="宋体" w:eastAsia="宋体" w:cs="宋体"/>
                <w:color w:val="auto"/>
                <w:kern w:val="2"/>
                <w:sz w:val="21"/>
                <w:szCs w:val="21"/>
                <w:highlight w:val="none"/>
                <w:lang w:val="en-US" w:eastAsia="zh-CN" w:bidi="ar"/>
              </w:rPr>
              <w:t>分）：优于项目质保期及售后服务要求，在接到采购人维修要求后应立即响应并在1小时内提出解决方案，4小时内到达现场对故障进行处理，维修过程中所需材料中标人在接到通知后应及时提供,最长不超过18小时必须送达采购人。若48小时内无法修复的，应36小时内提供相应备用设备并负责安装调试；定期回访一年不少于2次，回访方案详细；培训组织能根据不同产品制定详细的培训方案。</w:t>
            </w:r>
          </w:p>
          <w:p w14:paraId="58EA65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三档（</w:t>
            </w:r>
            <w:r>
              <w:rPr>
                <w:rFonts w:hint="eastAsia" w:ascii="宋体" w:hAnsi="宋体" w:cs="宋体"/>
                <w:color w:val="auto"/>
                <w:kern w:val="2"/>
                <w:sz w:val="21"/>
                <w:szCs w:val="21"/>
                <w:highlight w:val="none"/>
                <w:lang w:val="en-US" w:eastAsia="zh-CN" w:bidi="ar"/>
              </w:rPr>
              <w:t>10</w:t>
            </w:r>
            <w:r>
              <w:rPr>
                <w:rFonts w:hint="eastAsia" w:ascii="宋体" w:hAnsi="宋体" w:eastAsia="宋体" w:cs="宋体"/>
                <w:color w:val="auto"/>
                <w:kern w:val="2"/>
                <w:sz w:val="21"/>
                <w:szCs w:val="21"/>
                <w:highlight w:val="none"/>
                <w:lang w:val="en-US" w:eastAsia="zh-CN" w:bidi="ar"/>
              </w:rPr>
              <w:t>分）：高于项目质保期及售后服务要求，质保期有延长，在接到采购人维修要求后应立即响应并在0.5小时内提出解决方案，4小时内到达现场对故障进行处理，维修过程中所需材料中标人在接到通知后应及时提供,最长不超过12小时必须送达采购人。若48小时内无法修复的，应24小时内提供相应备用设备并负责安装调试；定期回访一年不少于4次，回访方案详细，有回访重点，能针对回访遇到的问题提出解决方案；培训组织能根据采购人单位实际出发，针对本分标的不同产品制定个性化培训方案，能结合产品特点给出科学合理的设备拓展升级方案。</w:t>
            </w:r>
          </w:p>
          <w:p w14:paraId="563454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不满足一档的不得分。</w:t>
            </w:r>
          </w:p>
        </w:tc>
      </w:tr>
      <w:tr w14:paraId="062A4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060FD7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（三）商务分（满分</w:t>
            </w:r>
            <w:r>
              <w:rPr>
                <w:rFonts w:hint="eastAsia" w:ascii="宋体" w:hAnsi="宋体" w:cs="宋体"/>
                <w:color w:val="auto"/>
                <w:kern w:val="2"/>
                <w:sz w:val="21"/>
                <w:szCs w:val="21"/>
                <w:highlight w:val="none"/>
                <w:lang w:val="en-US" w:eastAsia="zh-CN" w:bidi="ar"/>
              </w:rPr>
              <w:t>5</w:t>
            </w:r>
            <w:r>
              <w:rPr>
                <w:rFonts w:hint="eastAsia" w:ascii="宋体" w:hAnsi="宋体" w:eastAsia="宋体" w:cs="宋体"/>
                <w:color w:val="auto"/>
                <w:kern w:val="2"/>
                <w:sz w:val="21"/>
                <w:szCs w:val="21"/>
                <w:highlight w:val="none"/>
                <w:lang w:val="en-US" w:eastAsia="zh-CN" w:bidi="ar"/>
              </w:rPr>
              <w:t>分）</w:t>
            </w:r>
          </w:p>
        </w:tc>
      </w:tr>
      <w:tr w14:paraId="05FF5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713B25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业绩分</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0F0E2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w:t>
            </w:r>
            <w:r>
              <w:rPr>
                <w:rFonts w:hint="eastAsia" w:ascii="宋体" w:hAnsi="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443A5A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投标人或投标产品生产厂家自2021年1月1日以来有过同类设备业绩（</w:t>
            </w:r>
            <w:r>
              <w:rPr>
                <w:rFonts w:hint="eastAsia" w:ascii="宋体" w:hAnsi="宋体" w:cs="宋体"/>
                <w:color w:val="auto"/>
                <w:kern w:val="2"/>
                <w:sz w:val="21"/>
                <w:szCs w:val="21"/>
                <w:highlight w:val="none"/>
                <w:lang w:val="en-US" w:eastAsia="zh-CN" w:bidi="ar"/>
              </w:rPr>
              <w:t>电</w:t>
            </w:r>
            <w:r>
              <w:rPr>
                <w:rFonts w:hint="eastAsia" w:ascii="宋体" w:hAnsi="宋体" w:eastAsia="宋体" w:cs="宋体"/>
                <w:color w:val="auto"/>
                <w:sz w:val="21"/>
                <w:szCs w:val="21"/>
                <w:highlight w:val="none"/>
                <w:lang w:val="en-US" w:eastAsia="zh-CN"/>
              </w:rPr>
              <w:t>感耦合等离子体发射光谱仪或电感耦合等离子体质谱仪或原子吸收光谱仪或超级微波消解仪</w:t>
            </w:r>
            <w:r>
              <w:rPr>
                <w:rFonts w:hint="eastAsia" w:ascii="宋体" w:hAnsi="宋体" w:eastAsia="宋体" w:cs="宋体"/>
                <w:color w:val="auto"/>
                <w:kern w:val="2"/>
                <w:sz w:val="21"/>
                <w:szCs w:val="21"/>
                <w:highlight w:val="none"/>
                <w:lang w:val="en-US" w:eastAsia="zh-CN" w:bidi="ar"/>
              </w:rPr>
              <w:t>），每个业绩得</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分，本项满分</w:t>
            </w:r>
            <w:r>
              <w:rPr>
                <w:rFonts w:hint="eastAsia" w:ascii="宋体" w:hAnsi="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分。</w:t>
            </w:r>
          </w:p>
          <w:p w14:paraId="1ECC36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注：必须提供中标/成交通知书或合同（首页、签字盖章页、产品所在页）复印件等证明材料复印件并加盖公章，否则不得分。</w:t>
            </w:r>
          </w:p>
        </w:tc>
      </w:tr>
      <w:tr w14:paraId="0AD96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288D93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政策功能分</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241D3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满分1分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1B1C93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属于财政部《节能产品政府采购品目清单》内优先采购（清单内未标注“★”的品目）的产品[投标文件中提供有效的认证证书复印件及品目清单（标注出投标产品在品目清单中所属的品目）]，每提供一项得0.5分，满分0.5分。</w:t>
            </w:r>
          </w:p>
          <w:p w14:paraId="0626E0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（2）属于财政部《环境标志产品政府采购品目清单》内的产品[投标文件中提供有效的认证证书复印件及品目清单（标注出投标产品在品目清单中所属的品目）]，每提供一项得0.5分，满分0.5分。</w:t>
            </w:r>
          </w:p>
          <w:p w14:paraId="6F553D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（3）非节能、环境标志产品的不得分。</w:t>
            </w:r>
          </w:p>
        </w:tc>
      </w:tr>
      <w:tr w14:paraId="1F412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4FBB13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总得分=（一）+（二）+（三）</w:t>
            </w:r>
          </w:p>
        </w:tc>
      </w:tr>
    </w:tbl>
    <w:p w14:paraId="66EFF64C">
      <w:pPr>
        <w:rPr>
          <w:rFonts w:hint="eastAsia"/>
          <w:color w:val="auto"/>
          <w:highlight w:val="none"/>
          <w:lang w:eastAsia="zh-CN"/>
        </w:rPr>
      </w:pPr>
    </w:p>
    <w:p w14:paraId="413F155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outlineLvl w:val="2"/>
        <w:rPr>
          <w:rFonts w:hint="default" w:ascii="仿宋" w:hAnsi="仿宋" w:eastAsia="仿宋" w:cs="仿宋"/>
          <w:color w:val="auto"/>
          <w:sz w:val="24"/>
          <w:szCs w:val="24"/>
          <w:highlight w:val="none"/>
          <w:u w:val="single"/>
          <w:lang w:val="en-US" w:eastAsia="zh-CN"/>
        </w:rPr>
      </w:pPr>
      <w:r>
        <w:rPr>
          <w:rFonts w:hint="eastAsia"/>
          <w:color w:val="auto"/>
          <w:highlight w:val="none"/>
          <w:lang w:eastAsia="zh-CN"/>
        </w:rPr>
        <w:br w:type="page"/>
      </w:r>
      <w:r>
        <w:rPr>
          <w:rFonts w:hint="eastAsia" w:ascii="宋体" w:hAnsi="宋体" w:eastAsia="宋体" w:cs="宋体"/>
          <w:b/>
          <w:bCs/>
          <w:color w:val="auto"/>
          <w:sz w:val="21"/>
          <w:szCs w:val="21"/>
          <w:highlight w:val="none"/>
          <w:u w:val="none"/>
          <w:lang w:val="en-US" w:eastAsia="zh-CN"/>
        </w:rPr>
        <w:t>附件：分包5技术参数指标等级对照表</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1"/>
        <w:gridCol w:w="1501"/>
      </w:tblGrid>
      <w:tr w14:paraId="2E65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14:paraId="3062DCC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92" w:name="_Toc832"/>
            <w:bookmarkStart w:id="493" w:name="_Toc21226"/>
            <w:r>
              <w:rPr>
                <w:rFonts w:hint="eastAsia" w:ascii="宋体" w:hAnsi="宋体" w:eastAsia="宋体" w:cs="宋体"/>
                <w:b/>
                <w:bCs/>
                <w:color w:val="auto"/>
                <w:sz w:val="21"/>
                <w:szCs w:val="21"/>
                <w:highlight w:val="none"/>
                <w:u w:val="none"/>
                <w:vertAlign w:val="baseline"/>
                <w:lang w:val="en-US" w:eastAsia="zh-CN" w:bidi="ar"/>
              </w:rPr>
              <w:t>技术参数指标等级对照表</w:t>
            </w:r>
            <w:bookmarkEnd w:id="492"/>
            <w:bookmarkEnd w:id="493"/>
          </w:p>
        </w:tc>
      </w:tr>
      <w:tr w14:paraId="02924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gridSpan w:val="2"/>
            <w:noWrap w:val="0"/>
            <w:vAlign w:val="top"/>
          </w:tcPr>
          <w:p w14:paraId="5372EA3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94" w:name="_Toc3637"/>
            <w:bookmarkStart w:id="495" w:name="_Toc14665"/>
            <w:r>
              <w:rPr>
                <w:rFonts w:hint="eastAsia" w:ascii="宋体" w:hAnsi="宋体" w:eastAsia="宋体" w:cs="宋体"/>
                <w:b w:val="0"/>
                <w:bCs w:val="0"/>
                <w:color w:val="auto"/>
                <w:sz w:val="21"/>
                <w:szCs w:val="21"/>
                <w:highlight w:val="none"/>
                <w:u w:val="none"/>
                <w:vertAlign w:val="baseline"/>
                <w:lang w:val="en-US" w:eastAsia="zh-CN" w:bidi="ar"/>
              </w:rPr>
              <w:t>一般参数指标合计146项，重要参数指标合计3项</w:t>
            </w:r>
            <w:bookmarkEnd w:id="494"/>
            <w:bookmarkEnd w:id="495"/>
          </w:p>
        </w:tc>
      </w:tr>
      <w:tr w14:paraId="0763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top"/>
          </w:tcPr>
          <w:p w14:paraId="793230E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96" w:name="_Toc21039"/>
            <w:bookmarkStart w:id="497" w:name="_Toc15741"/>
            <w:r>
              <w:rPr>
                <w:rFonts w:hint="eastAsia" w:ascii="宋体" w:hAnsi="宋体" w:eastAsia="宋体" w:cs="宋体"/>
                <w:b w:val="0"/>
                <w:bCs w:val="0"/>
                <w:color w:val="auto"/>
                <w:spacing w:val="0"/>
                <w:sz w:val="21"/>
                <w:szCs w:val="21"/>
                <w:highlight w:val="none"/>
                <w:lang w:bidi="ar"/>
              </w:rPr>
              <w:t>技术</w:t>
            </w:r>
            <w:r>
              <w:rPr>
                <w:rFonts w:hint="eastAsia" w:ascii="宋体" w:hAnsi="宋体" w:eastAsia="宋体" w:cs="宋体"/>
                <w:b w:val="0"/>
                <w:bCs w:val="0"/>
                <w:color w:val="auto"/>
                <w:spacing w:val="0"/>
                <w:sz w:val="21"/>
                <w:szCs w:val="21"/>
                <w:highlight w:val="none"/>
                <w:lang w:val="en-US" w:eastAsia="zh-CN" w:bidi="ar"/>
              </w:rPr>
              <w:t>参数</w:t>
            </w:r>
            <w:r>
              <w:rPr>
                <w:rFonts w:hint="eastAsia" w:ascii="宋体" w:hAnsi="宋体" w:eastAsia="宋体" w:cs="宋体"/>
                <w:b w:val="0"/>
                <w:bCs w:val="0"/>
                <w:color w:val="auto"/>
                <w:spacing w:val="0"/>
                <w:sz w:val="21"/>
                <w:szCs w:val="21"/>
                <w:highlight w:val="none"/>
                <w:lang w:bidi="ar"/>
              </w:rPr>
              <w:t>指标要求</w:t>
            </w:r>
            <w:bookmarkEnd w:id="496"/>
            <w:bookmarkEnd w:id="497"/>
          </w:p>
        </w:tc>
        <w:tc>
          <w:tcPr>
            <w:tcW w:w="1501" w:type="dxa"/>
            <w:noWrap w:val="0"/>
            <w:vAlign w:val="top"/>
          </w:tcPr>
          <w:p w14:paraId="5D77776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498" w:name="_Toc9631"/>
            <w:bookmarkStart w:id="499" w:name="_Toc22498"/>
            <w:r>
              <w:rPr>
                <w:rFonts w:hint="eastAsia" w:ascii="宋体" w:hAnsi="宋体" w:eastAsia="宋体" w:cs="宋体"/>
                <w:b w:val="0"/>
                <w:bCs w:val="0"/>
                <w:color w:val="auto"/>
                <w:sz w:val="21"/>
                <w:szCs w:val="21"/>
                <w:highlight w:val="none"/>
                <w:u w:val="none"/>
                <w:vertAlign w:val="baseline"/>
                <w:lang w:val="en-US" w:eastAsia="zh-CN" w:bidi="ar"/>
              </w:rPr>
              <w:t>指标等级</w:t>
            </w:r>
            <w:bookmarkEnd w:id="498"/>
            <w:bookmarkEnd w:id="499"/>
          </w:p>
        </w:tc>
      </w:tr>
      <w:tr w14:paraId="5312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gridSpan w:val="2"/>
            <w:noWrap w:val="0"/>
            <w:vAlign w:val="top"/>
          </w:tcPr>
          <w:p w14:paraId="2406067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00" w:name="_Toc17509"/>
            <w:bookmarkStart w:id="501" w:name="_Toc6135"/>
            <w:r>
              <w:rPr>
                <w:rFonts w:hint="eastAsia" w:ascii="宋体" w:hAnsi="宋体" w:eastAsia="宋体" w:cs="宋体"/>
                <w:b/>
                <w:bCs/>
                <w:color w:val="auto"/>
                <w:sz w:val="21"/>
                <w:szCs w:val="21"/>
                <w:highlight w:val="none"/>
              </w:rPr>
              <w:t>电感耦合等离子体质谱仪</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u w:val="none"/>
                <w:vertAlign w:val="baseline"/>
                <w:lang w:val="en-US" w:eastAsia="zh-CN" w:bidi="ar"/>
              </w:rPr>
              <w:t>一般参数指标40项</w:t>
            </w:r>
            <w:r>
              <w:rPr>
                <w:rFonts w:hint="eastAsia" w:ascii="宋体" w:hAnsi="宋体" w:eastAsia="宋体" w:cs="宋体"/>
                <w:b/>
                <w:bCs/>
                <w:color w:val="auto"/>
                <w:sz w:val="21"/>
                <w:szCs w:val="21"/>
                <w:highlight w:val="none"/>
                <w:lang w:eastAsia="zh-CN"/>
              </w:rPr>
              <w:t>）</w:t>
            </w:r>
            <w:bookmarkEnd w:id="500"/>
            <w:bookmarkEnd w:id="501"/>
          </w:p>
        </w:tc>
      </w:tr>
      <w:tr w14:paraId="1DB4F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38101EC">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1.功能要求</w:t>
            </w:r>
          </w:p>
        </w:tc>
        <w:tc>
          <w:tcPr>
            <w:tcW w:w="1501" w:type="dxa"/>
            <w:noWrap w:val="0"/>
            <w:vAlign w:val="center"/>
          </w:tcPr>
          <w:p w14:paraId="67E9782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02" w:name="_Toc20211"/>
            <w:bookmarkStart w:id="503" w:name="_Toc23205"/>
            <w:r>
              <w:rPr>
                <w:rFonts w:hint="eastAsia" w:ascii="宋体" w:hAnsi="宋体" w:eastAsia="宋体" w:cs="宋体"/>
                <w:b w:val="0"/>
                <w:bCs w:val="0"/>
                <w:color w:val="auto"/>
                <w:sz w:val="21"/>
                <w:szCs w:val="21"/>
                <w:highlight w:val="none"/>
                <w:u w:val="none"/>
                <w:vertAlign w:val="baseline"/>
                <w:lang w:val="en-US" w:eastAsia="zh-CN" w:bidi="ar"/>
              </w:rPr>
              <w:t>/</w:t>
            </w:r>
            <w:bookmarkEnd w:id="502"/>
            <w:bookmarkEnd w:id="503"/>
          </w:p>
        </w:tc>
      </w:tr>
      <w:tr w14:paraId="502B5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BB83A3D">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电感耦合等离子体质谱仪(ICP-MS)：该仪器应适用于不同应用领域的各类样品的元素分析，满足金属、环境、地质等分析要求。可与自动进样器、水土金属前处理单元等多种设备联用。</w:t>
            </w:r>
          </w:p>
        </w:tc>
        <w:tc>
          <w:tcPr>
            <w:tcW w:w="1501" w:type="dxa"/>
            <w:noWrap w:val="0"/>
            <w:vAlign w:val="center"/>
          </w:tcPr>
          <w:p w14:paraId="1A40E4BC">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4B23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6CECA23">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2.仪器硬件参数</w:t>
            </w:r>
          </w:p>
        </w:tc>
        <w:tc>
          <w:tcPr>
            <w:tcW w:w="1501" w:type="dxa"/>
            <w:noWrap w:val="0"/>
            <w:vAlign w:val="center"/>
          </w:tcPr>
          <w:p w14:paraId="2637800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04" w:name="_Toc22057"/>
            <w:bookmarkStart w:id="505" w:name="_Toc6890"/>
            <w:r>
              <w:rPr>
                <w:rFonts w:hint="eastAsia" w:ascii="宋体" w:hAnsi="宋体" w:eastAsia="宋体" w:cs="宋体"/>
                <w:b w:val="0"/>
                <w:bCs w:val="0"/>
                <w:color w:val="auto"/>
                <w:sz w:val="21"/>
                <w:szCs w:val="21"/>
                <w:highlight w:val="none"/>
                <w:u w:val="none"/>
                <w:vertAlign w:val="baseline"/>
                <w:lang w:val="en-US" w:eastAsia="zh-CN" w:bidi="ar"/>
              </w:rPr>
              <w:t>/</w:t>
            </w:r>
            <w:bookmarkEnd w:id="504"/>
            <w:bookmarkEnd w:id="505"/>
          </w:p>
        </w:tc>
      </w:tr>
      <w:tr w14:paraId="4FB9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DCE7418">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2.1进样系统</w:t>
            </w:r>
          </w:p>
        </w:tc>
        <w:tc>
          <w:tcPr>
            <w:tcW w:w="1501" w:type="dxa"/>
            <w:noWrap w:val="0"/>
            <w:vAlign w:val="center"/>
          </w:tcPr>
          <w:p w14:paraId="23018A7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06" w:name="_Toc1519"/>
            <w:bookmarkStart w:id="507" w:name="_Toc14810"/>
            <w:r>
              <w:rPr>
                <w:rFonts w:hint="eastAsia" w:ascii="宋体" w:hAnsi="宋体" w:eastAsia="宋体" w:cs="宋体"/>
                <w:b w:val="0"/>
                <w:bCs w:val="0"/>
                <w:color w:val="auto"/>
                <w:sz w:val="21"/>
                <w:szCs w:val="21"/>
                <w:highlight w:val="none"/>
                <w:u w:val="none"/>
                <w:vertAlign w:val="baseline"/>
                <w:lang w:val="en-US" w:eastAsia="zh-CN" w:bidi="ar"/>
              </w:rPr>
              <w:t>/</w:t>
            </w:r>
            <w:bookmarkEnd w:id="506"/>
            <w:bookmarkEnd w:id="507"/>
          </w:p>
        </w:tc>
      </w:tr>
      <w:tr w14:paraId="45A2B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EA8F65A">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2.1.1雾化器:高效同心雾化器，保证仪器高灵敏度的同时具有良好的耐盐特性；</w:t>
            </w:r>
          </w:p>
        </w:tc>
        <w:tc>
          <w:tcPr>
            <w:tcW w:w="1501" w:type="dxa"/>
            <w:noWrap w:val="0"/>
            <w:vAlign w:val="center"/>
          </w:tcPr>
          <w:p w14:paraId="0EA35EA0">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6E9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765544D">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2.1.2雾化室:提供高效稳定的小体积旋流型雾室，配备半导体制冷雾室系统。雾室温度可调；</w:t>
            </w:r>
          </w:p>
        </w:tc>
        <w:tc>
          <w:tcPr>
            <w:tcW w:w="1501" w:type="dxa"/>
            <w:noWrap w:val="0"/>
            <w:vAlign w:val="center"/>
          </w:tcPr>
          <w:p w14:paraId="7460ED1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2ED7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1635E56">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2.1.3炬管：配备可灵活拆装的分体式或一体式石英炬管，采用气路快插拔设计，方便清洗维护；</w:t>
            </w:r>
          </w:p>
        </w:tc>
        <w:tc>
          <w:tcPr>
            <w:tcW w:w="1501" w:type="dxa"/>
            <w:noWrap w:val="0"/>
            <w:vAlign w:val="center"/>
          </w:tcPr>
          <w:p w14:paraId="3AE414F2">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039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06D9111">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2.1.4蠕动泵：配备泵速可调的不少于四通道蠕动泵系统；</w:t>
            </w:r>
          </w:p>
        </w:tc>
        <w:tc>
          <w:tcPr>
            <w:tcW w:w="1501" w:type="dxa"/>
            <w:noWrap w:val="0"/>
            <w:vAlign w:val="center"/>
          </w:tcPr>
          <w:p w14:paraId="5EE3DD6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2B42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65D7DEC">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2.1.5标配4路工作气体（包括冷却气、辅助气、载气、碰撞气），流量连续可调；</w:t>
            </w:r>
          </w:p>
        </w:tc>
        <w:tc>
          <w:tcPr>
            <w:tcW w:w="1501" w:type="dxa"/>
            <w:noWrap w:val="0"/>
            <w:vAlign w:val="center"/>
          </w:tcPr>
          <w:p w14:paraId="1B69347C">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299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03D594F">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2.2 等离子源</w:t>
            </w:r>
          </w:p>
        </w:tc>
        <w:tc>
          <w:tcPr>
            <w:tcW w:w="1501" w:type="dxa"/>
            <w:noWrap w:val="0"/>
            <w:vAlign w:val="center"/>
          </w:tcPr>
          <w:p w14:paraId="5FFBD41B">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08" w:name="_Toc27967"/>
            <w:bookmarkStart w:id="509" w:name="_Toc24327"/>
            <w:r>
              <w:rPr>
                <w:rFonts w:hint="eastAsia" w:ascii="宋体" w:hAnsi="宋体" w:eastAsia="宋体" w:cs="宋体"/>
                <w:b w:val="0"/>
                <w:bCs w:val="0"/>
                <w:color w:val="auto"/>
                <w:sz w:val="21"/>
                <w:szCs w:val="21"/>
                <w:highlight w:val="none"/>
                <w:u w:val="none"/>
                <w:vertAlign w:val="baseline"/>
                <w:lang w:val="en-US" w:eastAsia="zh-CN" w:bidi="ar"/>
              </w:rPr>
              <w:t>/</w:t>
            </w:r>
            <w:bookmarkEnd w:id="508"/>
            <w:bookmarkEnd w:id="509"/>
          </w:p>
        </w:tc>
      </w:tr>
      <w:tr w14:paraId="0948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F7395B1">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▲2.2.1射频电源：</w:t>
            </w:r>
            <w:r>
              <w:rPr>
                <w:rFonts w:hint="eastAsia" w:ascii="宋体" w:hAnsi="宋体" w:eastAsia="宋体" w:cs="宋体"/>
                <w:color w:val="auto"/>
                <w:sz w:val="21"/>
                <w:szCs w:val="21"/>
                <w:highlight w:val="none"/>
              </w:rPr>
              <w:t>采用固态光源技术，功率范围</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00～1600W或更宽，连续可调</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tc>
        <w:tc>
          <w:tcPr>
            <w:tcW w:w="1501" w:type="dxa"/>
            <w:noWrap w:val="0"/>
            <w:vAlign w:val="center"/>
          </w:tcPr>
          <w:p w14:paraId="2EF3AA4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10" w:name="_Toc11065"/>
            <w:bookmarkStart w:id="511" w:name="_Toc13492"/>
            <w:r>
              <w:rPr>
                <w:rFonts w:hint="eastAsia" w:ascii="宋体" w:hAnsi="宋体" w:eastAsia="宋体" w:cs="宋体"/>
                <w:b w:val="0"/>
                <w:bCs w:val="0"/>
                <w:color w:val="auto"/>
                <w:sz w:val="21"/>
                <w:szCs w:val="21"/>
                <w:highlight w:val="none"/>
                <w:u w:val="none"/>
                <w:vertAlign w:val="baseline"/>
                <w:lang w:val="en-US" w:eastAsia="zh-CN" w:bidi="ar"/>
              </w:rPr>
              <w:t>实质性参数</w:t>
            </w:r>
            <w:bookmarkEnd w:id="510"/>
            <w:bookmarkEnd w:id="511"/>
          </w:p>
        </w:tc>
      </w:tr>
      <w:tr w14:paraId="7192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2BB5741">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2.2.2屏蔽矩：采用屏蔽炬设计，能够消除二次离子放电影响，提升离子源工作稳定性。</w:t>
            </w:r>
          </w:p>
        </w:tc>
        <w:tc>
          <w:tcPr>
            <w:tcW w:w="1501" w:type="dxa"/>
            <w:noWrap w:val="0"/>
            <w:vAlign w:val="center"/>
          </w:tcPr>
          <w:p w14:paraId="0293DB95">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773B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11833B7">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2.2.3等离子体位置控制: 三维(X, Y, Z方向)位置由计算机精确控制，定位精度0.01mm；</w:t>
            </w:r>
          </w:p>
        </w:tc>
        <w:tc>
          <w:tcPr>
            <w:tcW w:w="1501" w:type="dxa"/>
            <w:noWrap w:val="0"/>
            <w:vAlign w:val="center"/>
          </w:tcPr>
          <w:p w14:paraId="15FA4E7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4A31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9AABB02">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2.3接口：</w:t>
            </w:r>
            <w:r>
              <w:rPr>
                <w:rFonts w:hint="eastAsia" w:ascii="宋体" w:hAnsi="宋体" w:eastAsia="宋体" w:cs="宋体"/>
                <w:i w:val="0"/>
                <w:iCs w:val="0"/>
                <w:color w:val="auto"/>
                <w:kern w:val="0"/>
                <w:sz w:val="21"/>
                <w:szCs w:val="21"/>
                <w:highlight w:val="none"/>
                <w:u w:val="none"/>
                <w:lang w:val="en-US" w:eastAsia="zh-CN" w:bidi="ar"/>
              </w:rPr>
              <w:t>方便维护的双锥接口设计，无需卸载真空即可进行两锥的维护，清洗操作简单方便，基体耐受性好；【投标时需提供产品彩页或有关证明材料并加盖投标人单位公章】</w:t>
            </w:r>
          </w:p>
        </w:tc>
        <w:tc>
          <w:tcPr>
            <w:tcW w:w="1501" w:type="dxa"/>
            <w:noWrap w:val="0"/>
            <w:vAlign w:val="center"/>
          </w:tcPr>
          <w:p w14:paraId="5C594312">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12" w:name="_Toc11836"/>
            <w:bookmarkStart w:id="513" w:name="_Toc1872"/>
            <w:r>
              <w:rPr>
                <w:rFonts w:hint="eastAsia" w:ascii="宋体" w:hAnsi="宋体" w:eastAsia="宋体" w:cs="宋体"/>
                <w:b w:val="0"/>
                <w:bCs w:val="0"/>
                <w:color w:val="auto"/>
                <w:sz w:val="21"/>
                <w:szCs w:val="21"/>
                <w:highlight w:val="none"/>
                <w:u w:val="none"/>
                <w:vertAlign w:val="baseline"/>
                <w:lang w:val="en-US" w:eastAsia="zh-CN" w:bidi="ar"/>
              </w:rPr>
              <w:t>实质性参数</w:t>
            </w:r>
            <w:bookmarkEnd w:id="512"/>
            <w:bookmarkEnd w:id="513"/>
          </w:p>
        </w:tc>
      </w:tr>
      <w:tr w14:paraId="3B3E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68FB112">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2.4提取透镜：</w:t>
            </w:r>
            <w:r>
              <w:rPr>
                <w:rFonts w:hint="eastAsia" w:ascii="宋体" w:hAnsi="宋体" w:eastAsia="宋体" w:cs="宋体"/>
                <w:i w:val="0"/>
                <w:iCs w:val="0"/>
                <w:color w:val="auto"/>
                <w:kern w:val="0"/>
                <w:sz w:val="21"/>
                <w:szCs w:val="21"/>
                <w:highlight w:val="none"/>
                <w:u w:val="none"/>
                <w:lang w:val="en-US" w:eastAsia="zh-CN" w:bidi="ar"/>
              </w:rPr>
              <w:t>至少配备一个透镜，保证检测数据稳定性；</w:t>
            </w:r>
          </w:p>
        </w:tc>
        <w:tc>
          <w:tcPr>
            <w:tcW w:w="1501" w:type="dxa"/>
            <w:noWrap w:val="0"/>
            <w:vAlign w:val="center"/>
          </w:tcPr>
          <w:p w14:paraId="313C7E2C">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7A60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DDD5741">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2.5 真空系统：</w:t>
            </w:r>
            <w:r>
              <w:rPr>
                <w:rFonts w:hint="eastAsia" w:ascii="宋体" w:hAnsi="宋体" w:eastAsia="宋体" w:cs="宋体"/>
                <w:i w:val="0"/>
                <w:iCs w:val="0"/>
                <w:color w:val="auto"/>
                <w:kern w:val="0"/>
                <w:sz w:val="21"/>
                <w:szCs w:val="21"/>
                <w:highlight w:val="none"/>
                <w:u w:val="none"/>
                <w:lang w:val="en-US" w:eastAsia="zh-CN" w:bidi="ar"/>
              </w:rPr>
              <w:t>配备≥1个机械泵，≥1个分子涡轮泵；</w:t>
            </w:r>
          </w:p>
        </w:tc>
        <w:tc>
          <w:tcPr>
            <w:tcW w:w="1501" w:type="dxa"/>
            <w:noWrap w:val="0"/>
            <w:vAlign w:val="center"/>
          </w:tcPr>
          <w:p w14:paraId="2E76574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4907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638B1BB">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2.6离子传输系统：</w:t>
            </w:r>
            <w:r>
              <w:rPr>
                <w:rFonts w:hint="eastAsia" w:ascii="宋体" w:hAnsi="宋体" w:eastAsia="宋体" w:cs="宋体"/>
                <w:b w:val="0"/>
                <w:bCs w:val="0"/>
                <w:color w:val="auto"/>
                <w:sz w:val="21"/>
                <w:szCs w:val="21"/>
                <w:highlight w:val="none"/>
                <w:lang w:val="en-US" w:eastAsia="zh-CN"/>
              </w:rPr>
              <w:t>离轴的离子传输通道设计</w:t>
            </w:r>
            <w:r>
              <w:rPr>
                <w:rFonts w:hint="eastAsia" w:ascii="宋体" w:hAnsi="宋体" w:eastAsia="宋体" w:cs="宋体"/>
                <w:i w:val="0"/>
                <w:iCs w:val="0"/>
                <w:color w:val="auto"/>
                <w:kern w:val="0"/>
                <w:sz w:val="21"/>
                <w:szCs w:val="21"/>
                <w:highlight w:val="none"/>
                <w:u w:val="none"/>
                <w:lang w:val="en-US" w:eastAsia="zh-CN" w:bidi="ar"/>
              </w:rPr>
              <w:t>；</w:t>
            </w:r>
          </w:p>
        </w:tc>
        <w:tc>
          <w:tcPr>
            <w:tcW w:w="1501" w:type="dxa"/>
            <w:noWrap w:val="0"/>
            <w:vAlign w:val="center"/>
          </w:tcPr>
          <w:p w14:paraId="468A9CBB">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740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B63E6F6">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2.7碰撞反应池：</w:t>
            </w:r>
            <w:r>
              <w:rPr>
                <w:rFonts w:hint="eastAsia" w:ascii="宋体" w:hAnsi="宋体" w:eastAsia="宋体" w:cs="宋体"/>
                <w:i w:val="0"/>
                <w:iCs w:val="0"/>
                <w:color w:val="auto"/>
                <w:kern w:val="0"/>
                <w:sz w:val="21"/>
                <w:szCs w:val="21"/>
                <w:highlight w:val="none"/>
                <w:u w:val="none"/>
                <w:lang w:val="en-US" w:eastAsia="zh-CN" w:bidi="ar"/>
              </w:rPr>
              <w:t>配备四级杆以上碰撞/反应池，至少拥有两种工作模式，标准模式（No Gas）、氦气碰撞模式（KED）；【投标时需提供操作软件界面的参数截图或照片并加盖投标人单位公章】</w:t>
            </w:r>
          </w:p>
        </w:tc>
        <w:tc>
          <w:tcPr>
            <w:tcW w:w="1501" w:type="dxa"/>
            <w:noWrap w:val="0"/>
            <w:vAlign w:val="center"/>
          </w:tcPr>
          <w:p w14:paraId="4CE72EB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14" w:name="_Toc12588"/>
            <w:bookmarkStart w:id="515" w:name="_Toc19511"/>
            <w:r>
              <w:rPr>
                <w:rFonts w:hint="eastAsia" w:ascii="宋体" w:hAnsi="宋体" w:eastAsia="宋体" w:cs="宋体"/>
                <w:b w:val="0"/>
                <w:bCs w:val="0"/>
                <w:color w:val="auto"/>
                <w:sz w:val="21"/>
                <w:szCs w:val="21"/>
                <w:highlight w:val="none"/>
                <w:u w:val="none"/>
                <w:vertAlign w:val="baseline"/>
                <w:lang w:val="en-US" w:eastAsia="zh-CN" w:bidi="ar"/>
              </w:rPr>
              <w:t>实质性参数</w:t>
            </w:r>
            <w:bookmarkEnd w:id="514"/>
            <w:bookmarkEnd w:id="515"/>
          </w:p>
        </w:tc>
      </w:tr>
      <w:tr w14:paraId="0F1C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3516FE5">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2.8四极杆质量分析系统：</w:t>
            </w:r>
          </w:p>
        </w:tc>
        <w:tc>
          <w:tcPr>
            <w:tcW w:w="1501" w:type="dxa"/>
            <w:noWrap w:val="0"/>
            <w:vAlign w:val="center"/>
          </w:tcPr>
          <w:p w14:paraId="1D82EF6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16" w:name="_Toc23853"/>
            <w:bookmarkStart w:id="517" w:name="_Toc10983"/>
            <w:r>
              <w:rPr>
                <w:rFonts w:hint="eastAsia" w:ascii="宋体" w:hAnsi="宋体" w:eastAsia="宋体" w:cs="宋体"/>
                <w:b w:val="0"/>
                <w:bCs w:val="0"/>
                <w:color w:val="auto"/>
                <w:sz w:val="21"/>
                <w:szCs w:val="21"/>
                <w:highlight w:val="none"/>
                <w:u w:val="none"/>
                <w:vertAlign w:val="baseline"/>
                <w:lang w:val="en-US" w:eastAsia="zh-CN" w:bidi="ar"/>
              </w:rPr>
              <w:t>/</w:t>
            </w:r>
            <w:bookmarkEnd w:id="516"/>
            <w:bookmarkEnd w:id="517"/>
          </w:p>
        </w:tc>
      </w:tr>
      <w:tr w14:paraId="6F74A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84D2D7C">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2.8.1四极杆驱动频率≥2.0 MHz；</w:t>
            </w:r>
          </w:p>
        </w:tc>
        <w:tc>
          <w:tcPr>
            <w:tcW w:w="1501" w:type="dxa"/>
            <w:noWrap w:val="0"/>
            <w:vAlign w:val="center"/>
          </w:tcPr>
          <w:p w14:paraId="51A1FB1C">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F8DF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AB2AB39">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2.8.2四极杆质量数范围：</w:t>
            </w:r>
            <w:r>
              <w:rPr>
                <w:rFonts w:hint="eastAsia" w:ascii="宋体" w:hAnsi="宋体" w:eastAsia="宋体" w:cs="宋体"/>
                <w:color w:val="auto"/>
                <w:sz w:val="21"/>
                <w:szCs w:val="21"/>
                <w:highlight w:val="none"/>
                <w:lang w:val="en-US" w:eastAsia="zh-CN"/>
              </w:rPr>
              <w:t>5-260amu或更宽</w:t>
            </w:r>
            <w:r>
              <w:rPr>
                <w:rFonts w:hint="eastAsia" w:ascii="宋体" w:hAnsi="宋体" w:eastAsia="宋体" w:cs="宋体"/>
                <w:i w:val="0"/>
                <w:iCs w:val="0"/>
                <w:color w:val="auto"/>
                <w:kern w:val="0"/>
                <w:sz w:val="21"/>
                <w:szCs w:val="21"/>
                <w:highlight w:val="none"/>
                <w:u w:val="none"/>
                <w:lang w:val="en-US" w:eastAsia="zh-CN" w:bidi="ar"/>
              </w:rPr>
              <w:t>；</w:t>
            </w:r>
          </w:p>
        </w:tc>
        <w:tc>
          <w:tcPr>
            <w:tcW w:w="1501" w:type="dxa"/>
            <w:noWrap w:val="0"/>
            <w:vAlign w:val="center"/>
          </w:tcPr>
          <w:p w14:paraId="541477C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F4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B0567DD">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2.8.3质量轴稳定性：≤0.05amu/24h；</w:t>
            </w:r>
          </w:p>
        </w:tc>
        <w:tc>
          <w:tcPr>
            <w:tcW w:w="1501" w:type="dxa"/>
            <w:noWrap w:val="0"/>
            <w:vAlign w:val="center"/>
          </w:tcPr>
          <w:p w14:paraId="77001D8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40A22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566C263">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2.8.4质量分辨率：</w:t>
            </w:r>
            <w:r>
              <w:rPr>
                <w:rFonts w:hint="eastAsia" w:ascii="宋体" w:hAnsi="宋体" w:eastAsia="宋体" w:cs="宋体"/>
                <w:color w:val="auto"/>
                <w:sz w:val="21"/>
                <w:szCs w:val="21"/>
                <w:highlight w:val="none"/>
              </w:rPr>
              <w:t>0.3amu-</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.0amu可调</w:t>
            </w:r>
            <w:r>
              <w:rPr>
                <w:rFonts w:hint="eastAsia" w:ascii="宋体" w:hAnsi="宋体" w:eastAsia="宋体" w:cs="宋体"/>
                <w:i w:val="0"/>
                <w:iCs w:val="0"/>
                <w:color w:val="auto"/>
                <w:kern w:val="0"/>
                <w:sz w:val="21"/>
                <w:szCs w:val="21"/>
                <w:highlight w:val="none"/>
                <w:u w:val="none"/>
                <w:lang w:val="en-US" w:eastAsia="zh-CN" w:bidi="ar"/>
              </w:rPr>
              <w:t>；</w:t>
            </w:r>
          </w:p>
        </w:tc>
        <w:tc>
          <w:tcPr>
            <w:tcW w:w="1501" w:type="dxa"/>
            <w:noWrap w:val="0"/>
            <w:vAlign w:val="center"/>
          </w:tcPr>
          <w:p w14:paraId="330585C2">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922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983F7B9">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2.9检测系统：</w:t>
            </w:r>
            <w:r>
              <w:rPr>
                <w:rFonts w:hint="eastAsia" w:ascii="宋体" w:hAnsi="宋体" w:eastAsia="宋体" w:cs="宋体"/>
                <w:b w:val="0"/>
                <w:bCs w:val="0"/>
                <w:i w:val="0"/>
                <w:iCs w:val="0"/>
                <w:color w:val="auto"/>
                <w:kern w:val="0"/>
                <w:sz w:val="21"/>
                <w:szCs w:val="21"/>
                <w:highlight w:val="none"/>
                <w:u w:val="none"/>
                <w:lang w:val="en-US" w:eastAsia="zh-CN" w:bidi="ar"/>
              </w:rPr>
              <w:t>电子倍增器； 【投标时需提供包含该功能章节的仪器使用说明书并加盖投标人单位公章】</w:t>
            </w:r>
          </w:p>
        </w:tc>
        <w:tc>
          <w:tcPr>
            <w:tcW w:w="1501" w:type="dxa"/>
            <w:noWrap w:val="0"/>
            <w:vAlign w:val="center"/>
          </w:tcPr>
          <w:p w14:paraId="6810DF69">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18" w:name="_Toc22488"/>
            <w:bookmarkStart w:id="519" w:name="_Toc17777"/>
            <w:r>
              <w:rPr>
                <w:rFonts w:hint="eastAsia" w:ascii="宋体" w:hAnsi="宋体" w:eastAsia="宋体" w:cs="宋体"/>
                <w:b w:val="0"/>
                <w:bCs w:val="0"/>
                <w:color w:val="auto"/>
                <w:sz w:val="21"/>
                <w:szCs w:val="21"/>
                <w:highlight w:val="none"/>
                <w:u w:val="none"/>
                <w:vertAlign w:val="baseline"/>
                <w:lang w:val="en-US" w:eastAsia="zh-CN" w:bidi="ar"/>
              </w:rPr>
              <w:t>实质性参数</w:t>
            </w:r>
            <w:bookmarkEnd w:id="518"/>
            <w:bookmarkEnd w:id="519"/>
          </w:p>
        </w:tc>
      </w:tr>
      <w:tr w14:paraId="4B03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B521044">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2.10其他：</w:t>
            </w:r>
            <w:r>
              <w:rPr>
                <w:rFonts w:hint="eastAsia" w:ascii="宋体" w:hAnsi="宋体" w:eastAsia="宋体" w:cs="宋体"/>
                <w:i w:val="0"/>
                <w:iCs w:val="0"/>
                <w:color w:val="auto"/>
                <w:kern w:val="0"/>
                <w:sz w:val="21"/>
                <w:szCs w:val="21"/>
                <w:highlight w:val="none"/>
                <w:u w:val="none"/>
                <w:lang w:val="en-US" w:eastAsia="zh-CN" w:bidi="ar"/>
              </w:rPr>
              <w:t>软件实时监控仪器电源，四极杆电源，真空系统，等离子体状态等系统状态，发生错误时主动提示；</w:t>
            </w:r>
          </w:p>
        </w:tc>
        <w:tc>
          <w:tcPr>
            <w:tcW w:w="1501" w:type="dxa"/>
            <w:noWrap w:val="0"/>
            <w:vAlign w:val="center"/>
          </w:tcPr>
          <w:p w14:paraId="3BC48E19">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0BF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6B35A07">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3.仪器性能要求</w:t>
            </w:r>
          </w:p>
        </w:tc>
        <w:tc>
          <w:tcPr>
            <w:tcW w:w="1501" w:type="dxa"/>
            <w:noWrap w:val="0"/>
            <w:vAlign w:val="center"/>
          </w:tcPr>
          <w:p w14:paraId="28ACE8B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20" w:name="_Toc16638"/>
            <w:bookmarkStart w:id="521" w:name="_Toc29221"/>
            <w:r>
              <w:rPr>
                <w:rFonts w:hint="eastAsia" w:ascii="宋体" w:hAnsi="宋体" w:eastAsia="宋体" w:cs="宋体"/>
                <w:b w:val="0"/>
                <w:bCs w:val="0"/>
                <w:color w:val="auto"/>
                <w:sz w:val="21"/>
                <w:szCs w:val="21"/>
                <w:highlight w:val="none"/>
                <w:u w:val="none"/>
                <w:vertAlign w:val="baseline"/>
                <w:lang w:val="en-US" w:eastAsia="zh-CN" w:bidi="ar"/>
              </w:rPr>
              <w:t>/</w:t>
            </w:r>
            <w:bookmarkEnd w:id="520"/>
            <w:bookmarkEnd w:id="521"/>
          </w:p>
        </w:tc>
      </w:tr>
      <w:tr w14:paraId="6C56C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AAF3A70">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3.1灵敏度(Mcps/ppm)：Li(7)≥40，</w:t>
            </w:r>
            <w:r>
              <w:rPr>
                <w:rFonts w:hint="eastAsia" w:ascii="宋体" w:hAnsi="宋体" w:eastAsia="宋体" w:cs="宋体"/>
                <w:i w:val="0"/>
                <w:iCs w:val="0"/>
                <w:color w:val="auto"/>
                <w:kern w:val="0"/>
                <w:sz w:val="21"/>
                <w:szCs w:val="21"/>
                <w:highlight w:val="none"/>
                <w:u w:val="none"/>
                <w:vertAlign w:val="superscript"/>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In(115)≥200，U(238)≥200；</w:t>
            </w:r>
          </w:p>
        </w:tc>
        <w:tc>
          <w:tcPr>
            <w:tcW w:w="1501" w:type="dxa"/>
            <w:noWrap w:val="0"/>
            <w:vAlign w:val="center"/>
          </w:tcPr>
          <w:p w14:paraId="511618D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22BD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8761E36">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 xml:space="preserve">3.2 </w:t>
            </w:r>
            <w:r>
              <w:rPr>
                <w:rFonts w:hint="eastAsia" w:ascii="宋体" w:hAnsi="宋体" w:eastAsia="宋体" w:cs="宋体"/>
                <w:color w:val="auto"/>
                <w:sz w:val="21"/>
                <w:szCs w:val="21"/>
                <w:highlight w:val="none"/>
                <w:lang w:val="en-US" w:eastAsia="zh-CN"/>
              </w:rPr>
              <w:t>检出限(3*sigma,ppt)：Be(9)≤5.0，In(115)≤0.5，U(238)≤0.5</w:t>
            </w:r>
            <w:r>
              <w:rPr>
                <w:rFonts w:hint="eastAsia" w:ascii="宋体" w:hAnsi="宋体" w:eastAsia="宋体" w:cs="宋体"/>
                <w:i w:val="0"/>
                <w:iCs w:val="0"/>
                <w:color w:val="auto"/>
                <w:kern w:val="0"/>
                <w:sz w:val="21"/>
                <w:szCs w:val="21"/>
                <w:highlight w:val="none"/>
                <w:u w:val="none"/>
                <w:lang w:val="en-US" w:eastAsia="zh-CN" w:bidi="ar"/>
              </w:rPr>
              <w:t>；</w:t>
            </w:r>
          </w:p>
        </w:tc>
        <w:tc>
          <w:tcPr>
            <w:tcW w:w="1501" w:type="dxa"/>
            <w:noWrap w:val="0"/>
            <w:vAlign w:val="center"/>
          </w:tcPr>
          <w:p w14:paraId="3DC00CA4">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E4FB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AC8374D">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3.3背景：≤1cps （在质量数5 amu处实测背景）；</w:t>
            </w:r>
          </w:p>
        </w:tc>
        <w:tc>
          <w:tcPr>
            <w:tcW w:w="1501" w:type="dxa"/>
            <w:noWrap w:val="0"/>
            <w:vAlign w:val="center"/>
          </w:tcPr>
          <w:p w14:paraId="7E8C28D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4F32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97A5D6B">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3.4氧化物产率(CeO+/Ce+) ：≤2.0%；</w:t>
            </w:r>
          </w:p>
        </w:tc>
        <w:tc>
          <w:tcPr>
            <w:tcW w:w="1501" w:type="dxa"/>
            <w:noWrap w:val="0"/>
            <w:vAlign w:val="center"/>
          </w:tcPr>
          <w:p w14:paraId="323A8C7B">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F51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C381CBF">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3.5双电荷产率(Ce2+/Ce+)：≤3.0 %；</w:t>
            </w:r>
          </w:p>
        </w:tc>
        <w:tc>
          <w:tcPr>
            <w:tcW w:w="1501" w:type="dxa"/>
            <w:noWrap w:val="0"/>
            <w:vAlign w:val="center"/>
          </w:tcPr>
          <w:p w14:paraId="2C9A0B14">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57D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538F388">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3.6短期稳定性(RSD)： ≤2% (20 min) (须在1ppb 标准溶液中测定)；</w:t>
            </w:r>
          </w:p>
        </w:tc>
        <w:tc>
          <w:tcPr>
            <w:tcW w:w="1501" w:type="dxa"/>
            <w:noWrap w:val="0"/>
            <w:vAlign w:val="center"/>
          </w:tcPr>
          <w:p w14:paraId="6AB55C74">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EE5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1CE2A72">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3.7长期稳定性(RSD)：≤3% (2 hrs) (须在1ppb 标准溶液中测定)；</w:t>
            </w:r>
          </w:p>
        </w:tc>
        <w:tc>
          <w:tcPr>
            <w:tcW w:w="1501" w:type="dxa"/>
            <w:noWrap w:val="0"/>
            <w:vAlign w:val="center"/>
          </w:tcPr>
          <w:p w14:paraId="7DE6A1A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21DD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24F3625">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4.控制系统参数</w:t>
            </w:r>
          </w:p>
        </w:tc>
        <w:tc>
          <w:tcPr>
            <w:tcW w:w="1501" w:type="dxa"/>
            <w:noWrap w:val="0"/>
            <w:vAlign w:val="center"/>
          </w:tcPr>
          <w:p w14:paraId="462C98EC">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22" w:name="_Toc12707"/>
            <w:bookmarkStart w:id="523" w:name="_Toc24993"/>
            <w:r>
              <w:rPr>
                <w:rFonts w:hint="eastAsia" w:ascii="宋体" w:hAnsi="宋体" w:eastAsia="宋体" w:cs="宋体"/>
                <w:b w:val="0"/>
                <w:bCs w:val="0"/>
                <w:color w:val="auto"/>
                <w:sz w:val="21"/>
                <w:szCs w:val="21"/>
                <w:highlight w:val="none"/>
                <w:u w:val="none"/>
                <w:vertAlign w:val="baseline"/>
                <w:lang w:val="en-US" w:eastAsia="zh-CN" w:bidi="ar"/>
              </w:rPr>
              <w:t>/</w:t>
            </w:r>
            <w:bookmarkEnd w:id="522"/>
            <w:bookmarkEnd w:id="523"/>
          </w:p>
        </w:tc>
      </w:tr>
      <w:tr w14:paraId="0120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165044E">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4.1全自动分析功能工作软件(自动点火、 自动错误提示、定制化用户报告、自动启动关闭仪器, 炬位调整,等离子体参数,离子透镜,电压优化,标准计数模式与碰撞池工作模式切换等) ，提供可自定义的全参数自动调谐和校准；</w:t>
            </w:r>
          </w:p>
        </w:tc>
        <w:tc>
          <w:tcPr>
            <w:tcW w:w="1501" w:type="dxa"/>
            <w:noWrap w:val="0"/>
            <w:vAlign w:val="center"/>
          </w:tcPr>
          <w:p w14:paraId="7E44BDB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48EF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8415709">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4.2软件集成自动进样器控制,支持自动进样器操作；</w:t>
            </w:r>
          </w:p>
        </w:tc>
        <w:tc>
          <w:tcPr>
            <w:tcW w:w="1501" w:type="dxa"/>
            <w:noWrap w:val="0"/>
            <w:vAlign w:val="center"/>
          </w:tcPr>
          <w:p w14:paraId="787E205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242C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4C1209B">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5.配置要求：</w:t>
            </w: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501" w:type="dxa"/>
            <w:noWrap w:val="0"/>
            <w:vAlign w:val="center"/>
          </w:tcPr>
          <w:p w14:paraId="2F85132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24" w:name="_Toc7595"/>
            <w:bookmarkStart w:id="525" w:name="_Toc8933"/>
            <w:r>
              <w:rPr>
                <w:rFonts w:hint="eastAsia" w:ascii="宋体" w:hAnsi="宋体" w:eastAsia="宋体" w:cs="宋体"/>
                <w:b w:val="0"/>
                <w:bCs w:val="0"/>
                <w:color w:val="auto"/>
                <w:sz w:val="21"/>
                <w:szCs w:val="21"/>
                <w:highlight w:val="none"/>
                <w:u w:val="none"/>
                <w:vertAlign w:val="baseline"/>
                <w:lang w:val="en-US" w:eastAsia="zh-CN" w:bidi="ar"/>
              </w:rPr>
              <w:t>/</w:t>
            </w:r>
            <w:bookmarkEnd w:id="524"/>
            <w:bookmarkEnd w:id="525"/>
          </w:p>
        </w:tc>
      </w:tr>
      <w:tr w14:paraId="12F4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D41EDC7">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5.1电感耦合等离子体质谱仪，1台；</w:t>
            </w:r>
          </w:p>
        </w:tc>
        <w:tc>
          <w:tcPr>
            <w:tcW w:w="1501" w:type="dxa"/>
            <w:noWrap w:val="0"/>
            <w:vAlign w:val="center"/>
          </w:tcPr>
          <w:p w14:paraId="7C6DE23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267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CAD7CF3">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5.2智能循环冷却水装置（配有水管10米），1套；</w:t>
            </w:r>
          </w:p>
        </w:tc>
        <w:tc>
          <w:tcPr>
            <w:tcW w:w="1501" w:type="dxa"/>
            <w:noWrap w:val="0"/>
            <w:vAlign w:val="center"/>
          </w:tcPr>
          <w:p w14:paraId="630D877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3AE9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5071546">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5.3随机标准品配置  1套；</w:t>
            </w:r>
          </w:p>
        </w:tc>
        <w:tc>
          <w:tcPr>
            <w:tcW w:w="1501" w:type="dxa"/>
            <w:noWrap w:val="0"/>
            <w:vAlign w:val="center"/>
          </w:tcPr>
          <w:p w14:paraId="76B9E5F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3B9E6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911A441">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5.4仪器使用说明书 1本；</w:t>
            </w:r>
          </w:p>
        </w:tc>
        <w:tc>
          <w:tcPr>
            <w:tcW w:w="1501" w:type="dxa"/>
            <w:noWrap w:val="0"/>
            <w:vAlign w:val="center"/>
          </w:tcPr>
          <w:p w14:paraId="519636A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0D9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AC5B6C4">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5.5分析软件，1套；</w:t>
            </w:r>
          </w:p>
        </w:tc>
        <w:tc>
          <w:tcPr>
            <w:tcW w:w="1501" w:type="dxa"/>
            <w:noWrap w:val="0"/>
            <w:vAlign w:val="center"/>
          </w:tcPr>
          <w:p w14:paraId="0958BF4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2F03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5C47875">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5.6工作站 1套；</w:t>
            </w:r>
          </w:p>
        </w:tc>
        <w:tc>
          <w:tcPr>
            <w:tcW w:w="1501" w:type="dxa"/>
            <w:noWrap w:val="0"/>
            <w:vAlign w:val="center"/>
          </w:tcPr>
          <w:p w14:paraId="612BBAC4">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4C9E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88CB366">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5.7数据输出设备 1套；</w:t>
            </w:r>
          </w:p>
        </w:tc>
        <w:tc>
          <w:tcPr>
            <w:tcW w:w="1501" w:type="dxa"/>
            <w:noWrap w:val="0"/>
            <w:vAlign w:val="center"/>
          </w:tcPr>
          <w:p w14:paraId="5238C0D2">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4799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CBA6037">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5.8耐高盐透镜系统 1套；</w:t>
            </w:r>
          </w:p>
        </w:tc>
        <w:tc>
          <w:tcPr>
            <w:tcW w:w="1501" w:type="dxa"/>
            <w:noWrap w:val="0"/>
            <w:vAlign w:val="center"/>
          </w:tcPr>
          <w:p w14:paraId="22E803C4">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2B2E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A16B2A2">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5.9自动进样器（240位） 1套；</w:t>
            </w:r>
          </w:p>
        </w:tc>
        <w:tc>
          <w:tcPr>
            <w:tcW w:w="1501" w:type="dxa"/>
            <w:noWrap w:val="0"/>
            <w:vAlign w:val="center"/>
          </w:tcPr>
          <w:p w14:paraId="650B8BB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782F9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A542F63">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5.10 电源保护装置（4小时以上）1套；</w:t>
            </w:r>
          </w:p>
        </w:tc>
        <w:tc>
          <w:tcPr>
            <w:tcW w:w="1501" w:type="dxa"/>
            <w:noWrap w:val="0"/>
            <w:vAlign w:val="center"/>
          </w:tcPr>
          <w:p w14:paraId="585B4BE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3730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A5CBED6">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5.11在线气体稀释装置，1套；</w:t>
            </w:r>
          </w:p>
        </w:tc>
        <w:tc>
          <w:tcPr>
            <w:tcW w:w="1501" w:type="dxa"/>
            <w:noWrap w:val="0"/>
            <w:vAlign w:val="center"/>
          </w:tcPr>
          <w:p w14:paraId="3DA9FD20">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260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025C865">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5.12快速进样系统，1套；</w:t>
            </w:r>
          </w:p>
        </w:tc>
        <w:tc>
          <w:tcPr>
            <w:tcW w:w="1501" w:type="dxa"/>
            <w:noWrap w:val="0"/>
            <w:vAlign w:val="center"/>
          </w:tcPr>
          <w:p w14:paraId="4E1BDCD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4A1C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80FAF1E">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5.13移液器（包含100μL，1ml、5ml、10ml）1套；</w:t>
            </w:r>
          </w:p>
        </w:tc>
        <w:tc>
          <w:tcPr>
            <w:tcW w:w="1501" w:type="dxa"/>
            <w:noWrap w:val="0"/>
            <w:vAlign w:val="center"/>
          </w:tcPr>
          <w:p w14:paraId="30A1DC30">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33F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C646848">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5.14高纯氩气钢瓶（几何容积40L，含纯度＞99.999%氩气，压力600 KPa±3.5%，含减压阀），2套；</w:t>
            </w:r>
          </w:p>
        </w:tc>
        <w:tc>
          <w:tcPr>
            <w:tcW w:w="1501" w:type="dxa"/>
            <w:noWrap w:val="0"/>
            <w:vAlign w:val="center"/>
          </w:tcPr>
          <w:p w14:paraId="0D239794">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760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AA2E338">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5.15高纯氦气钢瓶（几何容积40L，含纯度＞99.999%氦气，压力40KPa±20 KPa，含减压阀），1套。</w:t>
            </w:r>
          </w:p>
        </w:tc>
        <w:tc>
          <w:tcPr>
            <w:tcW w:w="1501" w:type="dxa"/>
            <w:noWrap w:val="0"/>
            <w:vAlign w:val="center"/>
          </w:tcPr>
          <w:p w14:paraId="42D9CA2B">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90DC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center"/>
          </w:tcPr>
          <w:p w14:paraId="64ED4A6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26" w:name="_Toc714"/>
            <w:bookmarkStart w:id="527" w:name="_Toc2448"/>
            <w:r>
              <w:rPr>
                <w:rFonts w:hint="eastAsia" w:ascii="宋体" w:hAnsi="宋体" w:eastAsia="宋体" w:cs="宋体"/>
                <w:b/>
                <w:bCs/>
                <w:color w:val="auto"/>
                <w:sz w:val="21"/>
                <w:szCs w:val="21"/>
                <w:highlight w:val="none"/>
              </w:rPr>
              <w:t>电感耦合等离子体发射光谱仪</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u w:val="none"/>
                <w:vertAlign w:val="baseline"/>
                <w:lang w:val="en-US" w:eastAsia="zh-CN" w:bidi="ar"/>
              </w:rPr>
              <w:t>一般参数指标39项，重要参数指标3项</w:t>
            </w:r>
            <w:r>
              <w:rPr>
                <w:rFonts w:hint="eastAsia" w:ascii="宋体" w:hAnsi="宋体" w:eastAsia="宋体" w:cs="宋体"/>
                <w:b/>
                <w:bCs/>
                <w:color w:val="auto"/>
                <w:sz w:val="21"/>
                <w:szCs w:val="21"/>
                <w:highlight w:val="none"/>
                <w:lang w:eastAsia="zh-CN"/>
              </w:rPr>
              <w:t>）</w:t>
            </w:r>
            <w:bookmarkEnd w:id="526"/>
            <w:bookmarkEnd w:id="527"/>
          </w:p>
        </w:tc>
      </w:tr>
      <w:tr w14:paraId="77371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D41795B">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一、仪器总体要求</w:t>
            </w:r>
          </w:p>
        </w:tc>
        <w:tc>
          <w:tcPr>
            <w:tcW w:w="1501" w:type="dxa"/>
            <w:noWrap w:val="0"/>
            <w:vAlign w:val="center"/>
          </w:tcPr>
          <w:p w14:paraId="077A223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28" w:name="_Toc11452"/>
            <w:bookmarkStart w:id="529" w:name="_Toc26149"/>
            <w:r>
              <w:rPr>
                <w:rFonts w:hint="eastAsia" w:ascii="宋体" w:hAnsi="宋体" w:eastAsia="宋体" w:cs="宋体"/>
                <w:b w:val="0"/>
                <w:bCs w:val="0"/>
                <w:color w:val="auto"/>
                <w:sz w:val="21"/>
                <w:szCs w:val="21"/>
                <w:highlight w:val="none"/>
                <w:u w:val="none"/>
                <w:vertAlign w:val="baseline"/>
                <w:lang w:val="en-US" w:eastAsia="zh-CN" w:bidi="ar"/>
              </w:rPr>
              <w:t>/</w:t>
            </w:r>
            <w:bookmarkEnd w:id="528"/>
            <w:bookmarkEnd w:id="529"/>
          </w:p>
        </w:tc>
      </w:tr>
      <w:tr w14:paraId="0626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E47EDC9">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仪器适用于不同应用领域的各类样品的元素分析、同位素分析和元素形态分析任务，满足水和废水、土壤、固体废物等分析要求。</w:t>
            </w:r>
          </w:p>
        </w:tc>
        <w:tc>
          <w:tcPr>
            <w:tcW w:w="1501" w:type="dxa"/>
            <w:noWrap w:val="0"/>
            <w:vAlign w:val="center"/>
          </w:tcPr>
          <w:p w14:paraId="766704FB">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7ED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557FDCD">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二、工作条件</w:t>
            </w:r>
          </w:p>
        </w:tc>
        <w:tc>
          <w:tcPr>
            <w:tcW w:w="1501" w:type="dxa"/>
            <w:noWrap w:val="0"/>
            <w:vAlign w:val="center"/>
          </w:tcPr>
          <w:p w14:paraId="244F58A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30" w:name="_Toc21690"/>
            <w:bookmarkStart w:id="531" w:name="_Toc24924"/>
            <w:r>
              <w:rPr>
                <w:rFonts w:hint="eastAsia" w:ascii="宋体" w:hAnsi="宋体" w:eastAsia="宋体" w:cs="宋体"/>
                <w:b w:val="0"/>
                <w:bCs w:val="0"/>
                <w:color w:val="auto"/>
                <w:sz w:val="21"/>
                <w:szCs w:val="21"/>
                <w:highlight w:val="none"/>
                <w:u w:val="none"/>
                <w:vertAlign w:val="baseline"/>
                <w:lang w:val="en-US" w:eastAsia="zh-CN" w:bidi="ar"/>
              </w:rPr>
              <w:t>/</w:t>
            </w:r>
            <w:bookmarkEnd w:id="530"/>
            <w:bookmarkEnd w:id="531"/>
          </w:p>
        </w:tc>
      </w:tr>
      <w:tr w14:paraId="6596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92E0A55">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1.环境温度：10℃～35℃；</w:t>
            </w:r>
          </w:p>
        </w:tc>
        <w:tc>
          <w:tcPr>
            <w:tcW w:w="1501" w:type="dxa"/>
            <w:noWrap w:val="0"/>
            <w:vAlign w:val="center"/>
          </w:tcPr>
          <w:p w14:paraId="45676B7C">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302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6A84187">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2.相对湿度：20%～80%；</w:t>
            </w:r>
          </w:p>
        </w:tc>
        <w:tc>
          <w:tcPr>
            <w:tcW w:w="1501" w:type="dxa"/>
            <w:noWrap w:val="0"/>
            <w:vAlign w:val="center"/>
          </w:tcPr>
          <w:p w14:paraId="7508E4D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307E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8C10E2D">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3.电压：220VAC±10%；</w:t>
            </w:r>
          </w:p>
        </w:tc>
        <w:tc>
          <w:tcPr>
            <w:tcW w:w="1501" w:type="dxa"/>
            <w:noWrap w:val="0"/>
            <w:vAlign w:val="center"/>
          </w:tcPr>
          <w:p w14:paraId="7D005B8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4593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43565C5">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三、硬件参数要求</w:t>
            </w:r>
          </w:p>
        </w:tc>
        <w:tc>
          <w:tcPr>
            <w:tcW w:w="1501" w:type="dxa"/>
            <w:noWrap w:val="0"/>
            <w:vAlign w:val="center"/>
          </w:tcPr>
          <w:p w14:paraId="623704F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32" w:name="_Toc7319"/>
            <w:bookmarkStart w:id="533" w:name="_Toc24318"/>
            <w:r>
              <w:rPr>
                <w:rFonts w:hint="eastAsia" w:ascii="宋体" w:hAnsi="宋体" w:eastAsia="宋体" w:cs="宋体"/>
                <w:b w:val="0"/>
                <w:bCs w:val="0"/>
                <w:color w:val="auto"/>
                <w:sz w:val="21"/>
                <w:szCs w:val="21"/>
                <w:highlight w:val="none"/>
                <w:u w:val="none"/>
                <w:vertAlign w:val="baseline"/>
                <w:lang w:val="en-US" w:eastAsia="zh-CN" w:bidi="ar"/>
              </w:rPr>
              <w:t>/</w:t>
            </w:r>
            <w:bookmarkEnd w:id="532"/>
            <w:bookmarkEnd w:id="533"/>
          </w:p>
        </w:tc>
      </w:tr>
      <w:tr w14:paraId="0197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44BAC2A">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1.进样系统</w:t>
            </w:r>
          </w:p>
        </w:tc>
        <w:tc>
          <w:tcPr>
            <w:tcW w:w="1501" w:type="dxa"/>
            <w:noWrap w:val="0"/>
            <w:vAlign w:val="center"/>
          </w:tcPr>
          <w:p w14:paraId="06A3C49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w:t>
            </w:r>
          </w:p>
        </w:tc>
      </w:tr>
      <w:tr w14:paraId="2954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C32F62A">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1.1耐高盐耐氢氟酸自动进样器；</w:t>
            </w:r>
          </w:p>
        </w:tc>
        <w:tc>
          <w:tcPr>
            <w:tcW w:w="1501" w:type="dxa"/>
            <w:noWrap w:val="0"/>
            <w:vAlign w:val="center"/>
          </w:tcPr>
          <w:p w14:paraId="66C5A2C4">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288F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B86C7D0">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1.2快速进样系统：6通切换阀；</w:t>
            </w:r>
          </w:p>
        </w:tc>
        <w:tc>
          <w:tcPr>
            <w:tcW w:w="1501" w:type="dxa"/>
            <w:noWrap w:val="0"/>
            <w:vAlign w:val="center"/>
          </w:tcPr>
          <w:p w14:paraId="1CF8D0AB">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72F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BDAFD04">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2.蠕动泵</w:t>
            </w:r>
          </w:p>
        </w:tc>
        <w:tc>
          <w:tcPr>
            <w:tcW w:w="1501" w:type="dxa"/>
            <w:noWrap w:val="0"/>
            <w:vAlign w:val="center"/>
          </w:tcPr>
          <w:p w14:paraId="4EC92784">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34" w:name="_Toc8677"/>
            <w:bookmarkStart w:id="535" w:name="_Toc12898"/>
            <w:r>
              <w:rPr>
                <w:rFonts w:hint="eastAsia" w:ascii="宋体" w:hAnsi="宋体" w:eastAsia="宋体" w:cs="宋体"/>
                <w:b w:val="0"/>
                <w:bCs w:val="0"/>
                <w:color w:val="auto"/>
                <w:sz w:val="21"/>
                <w:szCs w:val="21"/>
                <w:highlight w:val="none"/>
                <w:u w:val="none"/>
                <w:vertAlign w:val="baseline"/>
                <w:lang w:val="en-US" w:eastAsia="zh-CN" w:bidi="ar"/>
              </w:rPr>
              <w:t>/</w:t>
            </w:r>
            <w:bookmarkEnd w:id="534"/>
            <w:bookmarkEnd w:id="535"/>
          </w:p>
        </w:tc>
      </w:tr>
      <w:tr w14:paraId="24EF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9905B19">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2.1不低于4通道蠕动泵；</w:t>
            </w:r>
          </w:p>
        </w:tc>
        <w:tc>
          <w:tcPr>
            <w:tcW w:w="1501" w:type="dxa"/>
            <w:noWrap w:val="0"/>
            <w:vAlign w:val="center"/>
          </w:tcPr>
          <w:p w14:paraId="351A5A6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44C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51D1E00">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2.2泵速连续可调；</w:t>
            </w:r>
          </w:p>
        </w:tc>
        <w:tc>
          <w:tcPr>
            <w:tcW w:w="1501" w:type="dxa"/>
            <w:noWrap w:val="0"/>
            <w:vAlign w:val="center"/>
          </w:tcPr>
          <w:p w14:paraId="1C0F1E09">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6C3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7B1E8DE">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2.3 蠕动泵滚轮耐腐蚀；</w:t>
            </w:r>
          </w:p>
        </w:tc>
        <w:tc>
          <w:tcPr>
            <w:tcW w:w="1501" w:type="dxa"/>
            <w:noWrap w:val="0"/>
            <w:vAlign w:val="center"/>
          </w:tcPr>
          <w:p w14:paraId="45AE5FF0">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3255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26E34FE">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▲3.雾化器：耐高盐同心雾化器；【投标时需提供产品彩页或有关证明材料并加盖投标人单位公章】</w:t>
            </w:r>
          </w:p>
        </w:tc>
        <w:tc>
          <w:tcPr>
            <w:tcW w:w="1501" w:type="dxa"/>
            <w:noWrap w:val="0"/>
            <w:vAlign w:val="center"/>
          </w:tcPr>
          <w:p w14:paraId="3F9FB62B">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36" w:name="_Toc9611"/>
            <w:bookmarkStart w:id="537" w:name="_Toc17465"/>
            <w:r>
              <w:rPr>
                <w:rFonts w:hint="eastAsia" w:ascii="宋体" w:hAnsi="宋体" w:eastAsia="宋体" w:cs="宋体"/>
                <w:b w:val="0"/>
                <w:bCs w:val="0"/>
                <w:color w:val="auto"/>
                <w:sz w:val="21"/>
                <w:szCs w:val="21"/>
                <w:highlight w:val="none"/>
                <w:u w:val="none"/>
                <w:vertAlign w:val="baseline"/>
                <w:lang w:val="en-US" w:eastAsia="zh-CN" w:bidi="ar"/>
              </w:rPr>
              <w:t>实质性参数</w:t>
            </w:r>
            <w:bookmarkEnd w:id="536"/>
            <w:bookmarkEnd w:id="537"/>
          </w:p>
        </w:tc>
      </w:tr>
      <w:tr w14:paraId="4B53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9F0A8DF">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▲4.雾化室：旋流雾化室；【投标时需提供产品彩页或有关证明材料并加盖投标人单位公章】</w:t>
            </w:r>
          </w:p>
        </w:tc>
        <w:tc>
          <w:tcPr>
            <w:tcW w:w="1501" w:type="dxa"/>
            <w:noWrap w:val="0"/>
            <w:vAlign w:val="center"/>
          </w:tcPr>
          <w:p w14:paraId="401FAFEB">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38" w:name="_Toc26408"/>
            <w:bookmarkStart w:id="539" w:name="_Toc28829"/>
            <w:r>
              <w:rPr>
                <w:rFonts w:hint="eastAsia" w:ascii="宋体" w:hAnsi="宋体" w:eastAsia="宋体" w:cs="宋体"/>
                <w:b w:val="0"/>
                <w:bCs w:val="0"/>
                <w:color w:val="auto"/>
                <w:sz w:val="21"/>
                <w:szCs w:val="21"/>
                <w:highlight w:val="none"/>
                <w:u w:val="none"/>
                <w:vertAlign w:val="baseline"/>
                <w:lang w:val="en-US" w:eastAsia="zh-CN" w:bidi="ar"/>
              </w:rPr>
              <w:t>实质性参数</w:t>
            </w:r>
            <w:bookmarkEnd w:id="538"/>
            <w:bookmarkEnd w:id="539"/>
          </w:p>
        </w:tc>
      </w:tr>
      <w:tr w14:paraId="21DD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2C60F12">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5.矩管：可拆卸式炬管或一体化炬管，准直定位，易于安装维护；</w:t>
            </w:r>
          </w:p>
        </w:tc>
        <w:tc>
          <w:tcPr>
            <w:tcW w:w="1501" w:type="dxa"/>
            <w:noWrap w:val="0"/>
            <w:vAlign w:val="center"/>
          </w:tcPr>
          <w:p w14:paraId="567A4B4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4797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D254FEA">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6.等离子体</w:t>
            </w:r>
          </w:p>
        </w:tc>
        <w:tc>
          <w:tcPr>
            <w:tcW w:w="1501" w:type="dxa"/>
            <w:noWrap w:val="0"/>
            <w:vAlign w:val="center"/>
          </w:tcPr>
          <w:p w14:paraId="51925E4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40" w:name="_Toc31301"/>
            <w:bookmarkStart w:id="541" w:name="_Toc28846"/>
            <w:r>
              <w:rPr>
                <w:rFonts w:hint="eastAsia" w:ascii="宋体" w:hAnsi="宋体" w:eastAsia="宋体" w:cs="宋体"/>
                <w:b w:val="0"/>
                <w:bCs w:val="0"/>
                <w:color w:val="auto"/>
                <w:sz w:val="21"/>
                <w:szCs w:val="21"/>
                <w:highlight w:val="none"/>
                <w:u w:val="none"/>
                <w:vertAlign w:val="baseline"/>
                <w:lang w:val="en-US" w:eastAsia="zh-CN" w:bidi="ar"/>
              </w:rPr>
              <w:t>/</w:t>
            </w:r>
            <w:bookmarkEnd w:id="540"/>
            <w:bookmarkEnd w:id="541"/>
          </w:p>
        </w:tc>
      </w:tr>
      <w:tr w14:paraId="233C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BC8DFC4">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6.1观测方式：双向观测；</w:t>
            </w:r>
          </w:p>
        </w:tc>
        <w:tc>
          <w:tcPr>
            <w:tcW w:w="1501" w:type="dxa"/>
            <w:noWrap w:val="0"/>
            <w:vAlign w:val="center"/>
          </w:tcPr>
          <w:p w14:paraId="0DB3890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3168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73F1CA2">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6.2自激式RF射频发生器，频率≤27.12MHZ，耦合效率＞75%；</w:t>
            </w:r>
          </w:p>
        </w:tc>
        <w:tc>
          <w:tcPr>
            <w:tcW w:w="1501" w:type="dxa"/>
            <w:noWrap w:val="0"/>
            <w:vAlign w:val="center"/>
          </w:tcPr>
          <w:p w14:paraId="26F10655">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E6C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4CD7D3C">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▲6.3功率稳定性≤0.1%；频率稳定性≤0.01%；【投标时需提供产品彩页或有关证明材料并加盖投标人单位公章】</w:t>
            </w:r>
          </w:p>
        </w:tc>
        <w:tc>
          <w:tcPr>
            <w:tcW w:w="1501" w:type="dxa"/>
            <w:noWrap w:val="0"/>
            <w:vAlign w:val="center"/>
          </w:tcPr>
          <w:p w14:paraId="3C2264A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42" w:name="_Toc28662"/>
            <w:bookmarkStart w:id="543" w:name="_Toc17192"/>
            <w:r>
              <w:rPr>
                <w:rFonts w:hint="eastAsia" w:ascii="宋体" w:hAnsi="宋体" w:eastAsia="宋体" w:cs="宋体"/>
                <w:b w:val="0"/>
                <w:bCs w:val="0"/>
                <w:color w:val="auto"/>
                <w:sz w:val="21"/>
                <w:szCs w:val="21"/>
                <w:highlight w:val="none"/>
                <w:u w:val="none"/>
                <w:vertAlign w:val="baseline"/>
                <w:lang w:val="en-US" w:eastAsia="zh-CN" w:bidi="ar"/>
              </w:rPr>
              <w:t>实质性参数</w:t>
            </w:r>
            <w:bookmarkEnd w:id="542"/>
            <w:bookmarkEnd w:id="543"/>
          </w:p>
        </w:tc>
      </w:tr>
      <w:tr w14:paraId="6F0E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EAD38D8">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▲6.4功率范围：750W～1500W或更宽，功率连续可调；【投标时需提供产品彩页或有关证明材料并加盖投标人单位公章】</w:t>
            </w:r>
          </w:p>
        </w:tc>
        <w:tc>
          <w:tcPr>
            <w:tcW w:w="1501" w:type="dxa"/>
            <w:noWrap w:val="0"/>
            <w:vAlign w:val="center"/>
          </w:tcPr>
          <w:p w14:paraId="217E40B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44" w:name="_Toc6182"/>
            <w:bookmarkStart w:id="545" w:name="_Toc8226"/>
            <w:r>
              <w:rPr>
                <w:rFonts w:hint="eastAsia" w:ascii="宋体" w:hAnsi="宋体" w:eastAsia="宋体" w:cs="宋体"/>
                <w:b w:val="0"/>
                <w:bCs w:val="0"/>
                <w:color w:val="auto"/>
                <w:sz w:val="21"/>
                <w:szCs w:val="21"/>
                <w:highlight w:val="none"/>
                <w:u w:val="none"/>
                <w:vertAlign w:val="baseline"/>
                <w:lang w:val="en-US" w:eastAsia="zh-CN" w:bidi="ar"/>
              </w:rPr>
              <w:t>实质性参数</w:t>
            </w:r>
            <w:bookmarkEnd w:id="544"/>
            <w:bookmarkEnd w:id="545"/>
          </w:p>
        </w:tc>
      </w:tr>
      <w:tr w14:paraId="4D60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E36ADBD">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■6.5具有尾焰处理功能；【正偏离：具备尾焰处理功能且佐证图片清晰；无偏离：不具备尾焰处理功能或佐证材料不够完整清晰。投标时需提供操作软件界面的参数截图或照片并加盖投标人单位公章】</w:t>
            </w:r>
          </w:p>
        </w:tc>
        <w:tc>
          <w:tcPr>
            <w:tcW w:w="1501" w:type="dxa"/>
            <w:noWrap w:val="0"/>
            <w:vAlign w:val="center"/>
          </w:tcPr>
          <w:p w14:paraId="209BBB5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46" w:name="_Toc11859"/>
            <w:bookmarkStart w:id="547" w:name="_Toc3587"/>
            <w:r>
              <w:rPr>
                <w:rFonts w:hint="eastAsia" w:ascii="宋体" w:hAnsi="宋体" w:eastAsia="宋体" w:cs="宋体"/>
                <w:b w:val="0"/>
                <w:bCs w:val="0"/>
                <w:color w:val="auto"/>
                <w:sz w:val="21"/>
                <w:szCs w:val="21"/>
                <w:highlight w:val="none"/>
                <w:u w:val="none"/>
                <w:vertAlign w:val="baseline"/>
                <w:lang w:val="en-US" w:eastAsia="zh-CN" w:bidi="ar"/>
              </w:rPr>
              <w:t>重要参数</w:t>
            </w:r>
            <w:bookmarkEnd w:id="546"/>
            <w:bookmarkEnd w:id="547"/>
          </w:p>
        </w:tc>
      </w:tr>
      <w:tr w14:paraId="3B34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C8DBD11">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6.6等离子体相关气体均为质量流量计控制，软件在线调节，精度0.01L/min（等离子体气精度0.1L/min以上）；</w:t>
            </w:r>
          </w:p>
        </w:tc>
        <w:tc>
          <w:tcPr>
            <w:tcW w:w="1501" w:type="dxa"/>
            <w:noWrap w:val="0"/>
            <w:vAlign w:val="center"/>
          </w:tcPr>
          <w:p w14:paraId="1D03475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5DE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A24B765">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7.光学系统</w:t>
            </w:r>
          </w:p>
        </w:tc>
        <w:tc>
          <w:tcPr>
            <w:tcW w:w="1501" w:type="dxa"/>
            <w:noWrap w:val="0"/>
            <w:vAlign w:val="center"/>
          </w:tcPr>
          <w:p w14:paraId="7C64FFB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48" w:name="_Toc30980"/>
            <w:bookmarkStart w:id="549" w:name="_Toc24048"/>
            <w:r>
              <w:rPr>
                <w:rFonts w:hint="eastAsia" w:ascii="宋体" w:hAnsi="宋体" w:eastAsia="宋体" w:cs="宋体"/>
                <w:b w:val="0"/>
                <w:bCs w:val="0"/>
                <w:color w:val="auto"/>
                <w:sz w:val="21"/>
                <w:szCs w:val="21"/>
                <w:highlight w:val="none"/>
                <w:u w:val="none"/>
                <w:vertAlign w:val="baseline"/>
                <w:lang w:val="en-US" w:eastAsia="zh-CN" w:bidi="ar"/>
              </w:rPr>
              <w:t>/</w:t>
            </w:r>
            <w:bookmarkEnd w:id="548"/>
            <w:bookmarkEnd w:id="549"/>
          </w:p>
        </w:tc>
      </w:tr>
      <w:tr w14:paraId="2202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47ADB90">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7.1恒温驱气型中阶梯光栅和棱镜色散系统；</w:t>
            </w:r>
          </w:p>
        </w:tc>
        <w:tc>
          <w:tcPr>
            <w:tcW w:w="1501" w:type="dxa"/>
            <w:noWrap w:val="0"/>
            <w:vAlign w:val="center"/>
          </w:tcPr>
          <w:p w14:paraId="4500B08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39C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A4010A5">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7.2所有光学元件均密封于热平衡光室中；</w:t>
            </w:r>
          </w:p>
        </w:tc>
        <w:tc>
          <w:tcPr>
            <w:tcW w:w="1501" w:type="dxa"/>
            <w:noWrap w:val="0"/>
            <w:vAlign w:val="center"/>
          </w:tcPr>
          <w:p w14:paraId="7E0D805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E177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2A55DB8">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▲7.3波长连续覆盖167nm～785nm或更宽，可测Al 167.079nm；【投标时需提供产品彩页或有关证明材料并加盖投标人单位公章】</w:t>
            </w:r>
          </w:p>
        </w:tc>
        <w:tc>
          <w:tcPr>
            <w:tcW w:w="1501" w:type="dxa"/>
            <w:noWrap w:val="0"/>
            <w:vAlign w:val="center"/>
          </w:tcPr>
          <w:p w14:paraId="2ED1438C">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50" w:name="_Toc28373"/>
            <w:bookmarkStart w:id="551" w:name="_Toc24301"/>
            <w:r>
              <w:rPr>
                <w:rFonts w:hint="eastAsia" w:ascii="宋体" w:hAnsi="宋体" w:eastAsia="宋体" w:cs="宋体"/>
                <w:b w:val="0"/>
                <w:bCs w:val="0"/>
                <w:color w:val="auto"/>
                <w:sz w:val="21"/>
                <w:szCs w:val="21"/>
                <w:highlight w:val="none"/>
                <w:u w:val="none"/>
                <w:vertAlign w:val="baseline"/>
                <w:lang w:val="en-US" w:eastAsia="zh-CN" w:bidi="ar"/>
              </w:rPr>
              <w:t>实质性参数</w:t>
            </w:r>
            <w:bookmarkEnd w:id="550"/>
            <w:bookmarkEnd w:id="551"/>
          </w:p>
        </w:tc>
      </w:tr>
      <w:tr w14:paraId="5763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78A5A84">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7.4自动进行波长校正；</w:t>
            </w:r>
          </w:p>
        </w:tc>
        <w:tc>
          <w:tcPr>
            <w:tcW w:w="1501" w:type="dxa"/>
            <w:noWrap w:val="0"/>
            <w:vAlign w:val="center"/>
          </w:tcPr>
          <w:p w14:paraId="39EA4E00">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6B5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00A584C">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▲7.5光学分辨率≤0.007nm (在As 189.042nm 处实际测量半峰宽)；【投标时需提供产品彩页或有关证明材料并加盖投标人单位公章】</w:t>
            </w:r>
          </w:p>
        </w:tc>
        <w:tc>
          <w:tcPr>
            <w:tcW w:w="1501" w:type="dxa"/>
            <w:noWrap w:val="0"/>
            <w:vAlign w:val="center"/>
          </w:tcPr>
          <w:p w14:paraId="098B8E6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52" w:name="_Toc7730"/>
            <w:bookmarkStart w:id="553" w:name="_Toc25732"/>
            <w:r>
              <w:rPr>
                <w:rFonts w:hint="eastAsia" w:ascii="宋体" w:hAnsi="宋体" w:eastAsia="宋体" w:cs="宋体"/>
                <w:b w:val="0"/>
                <w:bCs w:val="0"/>
                <w:color w:val="auto"/>
                <w:sz w:val="21"/>
                <w:szCs w:val="21"/>
                <w:highlight w:val="none"/>
                <w:u w:val="none"/>
                <w:vertAlign w:val="baseline"/>
                <w:lang w:val="en-US" w:eastAsia="zh-CN" w:bidi="ar"/>
              </w:rPr>
              <w:t>实质性参数</w:t>
            </w:r>
            <w:bookmarkEnd w:id="552"/>
            <w:bookmarkEnd w:id="553"/>
          </w:p>
        </w:tc>
      </w:tr>
      <w:tr w14:paraId="2753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3182533">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7.6杂散光≤2.50mg/L（10000mg/L Ca溶液在As 188.980nm处测定）；</w:t>
            </w:r>
          </w:p>
        </w:tc>
        <w:tc>
          <w:tcPr>
            <w:tcW w:w="1501" w:type="dxa"/>
            <w:noWrap w:val="0"/>
            <w:vAlign w:val="center"/>
          </w:tcPr>
          <w:p w14:paraId="6F0A6539">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B29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8D6E8B7">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7.7焦距≤400mm。</w:t>
            </w:r>
          </w:p>
        </w:tc>
        <w:tc>
          <w:tcPr>
            <w:tcW w:w="1501" w:type="dxa"/>
            <w:noWrap w:val="0"/>
            <w:vAlign w:val="center"/>
          </w:tcPr>
          <w:p w14:paraId="4F6A9BD9">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870D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05C75CC">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8.检测器</w:t>
            </w:r>
          </w:p>
        </w:tc>
        <w:tc>
          <w:tcPr>
            <w:tcW w:w="1501" w:type="dxa"/>
            <w:noWrap w:val="0"/>
            <w:vAlign w:val="center"/>
          </w:tcPr>
          <w:p w14:paraId="59D1B7E5">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54" w:name="_Toc261"/>
            <w:bookmarkStart w:id="555" w:name="_Toc15505"/>
            <w:r>
              <w:rPr>
                <w:rFonts w:hint="eastAsia" w:ascii="宋体" w:hAnsi="宋体" w:eastAsia="宋体" w:cs="宋体"/>
                <w:b w:val="0"/>
                <w:bCs w:val="0"/>
                <w:color w:val="auto"/>
                <w:sz w:val="21"/>
                <w:szCs w:val="21"/>
                <w:highlight w:val="none"/>
                <w:u w:val="none"/>
                <w:vertAlign w:val="baseline"/>
                <w:lang w:val="en-US" w:eastAsia="zh-CN" w:bidi="ar"/>
              </w:rPr>
              <w:t>/</w:t>
            </w:r>
            <w:bookmarkEnd w:id="554"/>
            <w:bookmarkEnd w:id="555"/>
          </w:p>
        </w:tc>
      </w:tr>
      <w:tr w14:paraId="70EF9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05ECCDF">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▲8.1 CCD检测器，在光谱仪波长范围内具有连续像素，能任意选择波长，全谱段响应，且具有防溢出功能设计；【投标时需提供操作软件界面的参数截图或照片并加盖投标人单位公章】</w:t>
            </w:r>
          </w:p>
        </w:tc>
        <w:tc>
          <w:tcPr>
            <w:tcW w:w="1501" w:type="dxa"/>
            <w:noWrap w:val="0"/>
            <w:vAlign w:val="center"/>
          </w:tcPr>
          <w:p w14:paraId="188DA920">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56" w:name="_Toc28556"/>
            <w:bookmarkStart w:id="557" w:name="_Toc1609"/>
            <w:r>
              <w:rPr>
                <w:rFonts w:hint="eastAsia" w:ascii="宋体" w:hAnsi="宋体" w:eastAsia="宋体" w:cs="宋体"/>
                <w:b w:val="0"/>
                <w:bCs w:val="0"/>
                <w:color w:val="auto"/>
                <w:sz w:val="21"/>
                <w:szCs w:val="21"/>
                <w:highlight w:val="none"/>
                <w:u w:val="none"/>
                <w:vertAlign w:val="baseline"/>
                <w:lang w:val="en-US" w:eastAsia="zh-CN" w:bidi="ar"/>
              </w:rPr>
              <w:t>实质性参数</w:t>
            </w:r>
            <w:bookmarkEnd w:id="556"/>
            <w:bookmarkEnd w:id="557"/>
          </w:p>
        </w:tc>
      </w:tr>
      <w:tr w14:paraId="308C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FDEEEF2">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▲8.2检测器表面无任何光转换化学涂膜；【投标时需提供产品彩页或有关证明材料并加盖投标人单位公章】</w:t>
            </w:r>
          </w:p>
        </w:tc>
        <w:tc>
          <w:tcPr>
            <w:tcW w:w="1501" w:type="dxa"/>
            <w:noWrap w:val="0"/>
            <w:vAlign w:val="center"/>
          </w:tcPr>
          <w:p w14:paraId="43C1C125">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58" w:name="_Toc31988"/>
            <w:bookmarkStart w:id="559" w:name="_Toc975"/>
            <w:r>
              <w:rPr>
                <w:rFonts w:hint="eastAsia" w:ascii="宋体" w:hAnsi="宋体" w:eastAsia="宋体" w:cs="宋体"/>
                <w:b w:val="0"/>
                <w:bCs w:val="0"/>
                <w:color w:val="auto"/>
                <w:sz w:val="21"/>
                <w:szCs w:val="21"/>
                <w:highlight w:val="none"/>
                <w:u w:val="none"/>
                <w:vertAlign w:val="baseline"/>
                <w:lang w:val="en-US" w:eastAsia="zh-CN" w:bidi="ar"/>
              </w:rPr>
              <w:t>实质性参数</w:t>
            </w:r>
            <w:bookmarkEnd w:id="558"/>
            <w:bookmarkEnd w:id="559"/>
          </w:p>
        </w:tc>
      </w:tr>
      <w:tr w14:paraId="3C565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7BB2624">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■8.3</w:t>
            </w:r>
            <w:r>
              <w:rPr>
                <w:rFonts w:hint="eastAsia" w:ascii="宋体" w:hAnsi="宋体" w:eastAsia="宋体" w:cs="宋体"/>
                <w:b w:val="0"/>
                <w:bCs w:val="0"/>
                <w:color w:val="auto"/>
                <w:sz w:val="21"/>
                <w:szCs w:val="21"/>
                <w:highlight w:val="none"/>
                <w:lang w:val="en-US" w:eastAsia="zh-CN"/>
              </w:rPr>
              <w:t>具备检测器制冷功能，制冷温度≤-10℃ ；【正偏离：制冷温度＜-10℃；无偏离：制冷温度=-10℃。投标时需提供产品彩页或有关证明材料并加盖投标人单位公章】</w:t>
            </w:r>
          </w:p>
        </w:tc>
        <w:tc>
          <w:tcPr>
            <w:tcW w:w="1501" w:type="dxa"/>
            <w:noWrap w:val="0"/>
            <w:vAlign w:val="center"/>
          </w:tcPr>
          <w:p w14:paraId="214B1EB9">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重要参数</w:t>
            </w:r>
          </w:p>
        </w:tc>
      </w:tr>
      <w:tr w14:paraId="2DCA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873DF49">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8.4智能积分设计，自动计算谱线最佳曝光时间，同时以最佳信噪比获得高强度信号和弱信号，高低含量元素同时检测。</w:t>
            </w:r>
          </w:p>
        </w:tc>
        <w:tc>
          <w:tcPr>
            <w:tcW w:w="1501" w:type="dxa"/>
            <w:noWrap w:val="0"/>
            <w:vAlign w:val="center"/>
          </w:tcPr>
          <w:p w14:paraId="074B37B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E0E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4258F89">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四、操作软件</w:t>
            </w:r>
          </w:p>
        </w:tc>
        <w:tc>
          <w:tcPr>
            <w:tcW w:w="1501" w:type="dxa"/>
            <w:noWrap w:val="0"/>
            <w:vAlign w:val="center"/>
          </w:tcPr>
          <w:p w14:paraId="7D2A3EE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60" w:name="_Toc23552"/>
            <w:bookmarkStart w:id="561" w:name="_Toc8563"/>
            <w:r>
              <w:rPr>
                <w:rFonts w:hint="eastAsia" w:ascii="宋体" w:hAnsi="宋体" w:eastAsia="宋体" w:cs="宋体"/>
                <w:b w:val="0"/>
                <w:bCs w:val="0"/>
                <w:color w:val="auto"/>
                <w:sz w:val="21"/>
                <w:szCs w:val="21"/>
                <w:highlight w:val="none"/>
                <w:u w:val="none"/>
                <w:vertAlign w:val="baseline"/>
                <w:lang w:val="en-US" w:eastAsia="zh-CN" w:bidi="ar"/>
              </w:rPr>
              <w:t>/</w:t>
            </w:r>
            <w:bookmarkEnd w:id="560"/>
            <w:bookmarkEnd w:id="561"/>
          </w:p>
        </w:tc>
      </w:tr>
      <w:tr w14:paraId="1461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57D8AD9">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▲1.软件操作方便、直观，具有定性、半定量、定量分析功能；【投标时需提供操作软件界面的参数截图或照片并加盖投标人单位公章】</w:t>
            </w:r>
          </w:p>
        </w:tc>
        <w:tc>
          <w:tcPr>
            <w:tcW w:w="1501" w:type="dxa"/>
            <w:noWrap w:val="0"/>
            <w:vAlign w:val="center"/>
          </w:tcPr>
          <w:p w14:paraId="1205C1F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62" w:name="_Toc8414"/>
            <w:bookmarkStart w:id="563" w:name="_Toc30656"/>
            <w:r>
              <w:rPr>
                <w:rFonts w:hint="eastAsia" w:ascii="宋体" w:hAnsi="宋体" w:eastAsia="宋体" w:cs="宋体"/>
                <w:b w:val="0"/>
                <w:bCs w:val="0"/>
                <w:color w:val="auto"/>
                <w:sz w:val="21"/>
                <w:szCs w:val="21"/>
                <w:highlight w:val="none"/>
                <w:u w:val="none"/>
                <w:vertAlign w:val="baseline"/>
                <w:lang w:val="en-US" w:eastAsia="zh-CN" w:bidi="ar"/>
              </w:rPr>
              <w:t>实质性参数</w:t>
            </w:r>
            <w:bookmarkEnd w:id="562"/>
            <w:bookmarkEnd w:id="563"/>
          </w:p>
        </w:tc>
      </w:tr>
      <w:tr w14:paraId="0E5D8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3F5D0A5">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2.具有同时记录所有元素谱线的“摄谱”功能；</w:t>
            </w:r>
          </w:p>
        </w:tc>
        <w:tc>
          <w:tcPr>
            <w:tcW w:w="1501" w:type="dxa"/>
            <w:noWrap w:val="0"/>
            <w:vAlign w:val="center"/>
          </w:tcPr>
          <w:p w14:paraId="0F694042">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E7E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79A476D">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3.具有元素间干扰校正技术和实时背景扣除等不少于三种干扰校正技术；</w:t>
            </w:r>
          </w:p>
        </w:tc>
        <w:tc>
          <w:tcPr>
            <w:tcW w:w="1501" w:type="dxa"/>
            <w:noWrap w:val="0"/>
            <w:vAlign w:val="center"/>
          </w:tcPr>
          <w:p w14:paraId="56DD80D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4D3B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5A7CC91">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4.仪器诊断软件和网络通讯，数据再处理功能；</w:t>
            </w:r>
          </w:p>
        </w:tc>
        <w:tc>
          <w:tcPr>
            <w:tcW w:w="1501" w:type="dxa"/>
            <w:noWrap w:val="0"/>
            <w:vAlign w:val="center"/>
          </w:tcPr>
          <w:p w14:paraId="134B9892">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B17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244FCF0">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5.提供多种光谱分析方法：如标准比较法、内标法、干扰元素校正系数法（IEC）、标准加入曲线法等；</w:t>
            </w:r>
          </w:p>
        </w:tc>
        <w:tc>
          <w:tcPr>
            <w:tcW w:w="1501" w:type="dxa"/>
            <w:noWrap w:val="0"/>
            <w:vAlign w:val="center"/>
          </w:tcPr>
          <w:p w14:paraId="525800DC">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2DD5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C863959">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6.数据存取：所有结果、方法和顺序可以在同一工作页面一起保存和读取，支持Excel、XML、CSV数据导出；快速运行过往数据的编辑。</w:t>
            </w:r>
          </w:p>
        </w:tc>
        <w:tc>
          <w:tcPr>
            <w:tcW w:w="1501" w:type="dxa"/>
            <w:noWrap w:val="0"/>
            <w:vAlign w:val="center"/>
          </w:tcPr>
          <w:p w14:paraId="54327A95">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25D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F30CB69">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五、仪器性能</w:t>
            </w:r>
          </w:p>
        </w:tc>
        <w:tc>
          <w:tcPr>
            <w:tcW w:w="1501" w:type="dxa"/>
            <w:noWrap w:val="0"/>
            <w:vAlign w:val="center"/>
          </w:tcPr>
          <w:p w14:paraId="44594DC2">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64" w:name="_Toc24753"/>
            <w:bookmarkStart w:id="565" w:name="_Toc7774"/>
            <w:r>
              <w:rPr>
                <w:rFonts w:hint="eastAsia" w:ascii="宋体" w:hAnsi="宋体" w:eastAsia="宋体" w:cs="宋体"/>
                <w:b w:val="0"/>
                <w:bCs w:val="0"/>
                <w:color w:val="auto"/>
                <w:sz w:val="21"/>
                <w:szCs w:val="21"/>
                <w:highlight w:val="none"/>
                <w:u w:val="none"/>
                <w:vertAlign w:val="baseline"/>
                <w:lang w:val="en-US" w:eastAsia="zh-CN" w:bidi="ar"/>
              </w:rPr>
              <w:t>/</w:t>
            </w:r>
            <w:bookmarkEnd w:id="564"/>
            <w:bookmarkEnd w:id="565"/>
          </w:p>
        </w:tc>
      </w:tr>
      <w:tr w14:paraId="6365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FEC7285">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1.启动时间：从待机状态到等离子体点燃时间小于35分钟；</w:t>
            </w:r>
          </w:p>
        </w:tc>
        <w:tc>
          <w:tcPr>
            <w:tcW w:w="1501" w:type="dxa"/>
            <w:noWrap w:val="0"/>
            <w:vAlign w:val="center"/>
          </w:tcPr>
          <w:p w14:paraId="498535C9">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9E32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E822800">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▲2.样品消耗量≤</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mL；【投标时需提供产品彩页或有关证明材料并加盖投标人单位公章】</w:t>
            </w:r>
          </w:p>
        </w:tc>
        <w:tc>
          <w:tcPr>
            <w:tcW w:w="1501" w:type="dxa"/>
            <w:noWrap w:val="0"/>
            <w:vAlign w:val="center"/>
          </w:tcPr>
          <w:p w14:paraId="378728E0">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66" w:name="_Toc7460"/>
            <w:bookmarkStart w:id="567" w:name="_Toc15367"/>
            <w:r>
              <w:rPr>
                <w:rFonts w:hint="eastAsia" w:ascii="宋体" w:hAnsi="宋体" w:eastAsia="宋体" w:cs="宋体"/>
                <w:b w:val="0"/>
                <w:bCs w:val="0"/>
                <w:color w:val="auto"/>
                <w:sz w:val="21"/>
                <w:szCs w:val="21"/>
                <w:highlight w:val="none"/>
                <w:u w:val="none"/>
                <w:vertAlign w:val="baseline"/>
                <w:lang w:val="en-US" w:eastAsia="zh-CN" w:bidi="ar"/>
              </w:rPr>
              <w:t>实质性参数</w:t>
            </w:r>
            <w:bookmarkEnd w:id="566"/>
            <w:bookmarkEnd w:id="567"/>
          </w:p>
        </w:tc>
      </w:tr>
      <w:tr w14:paraId="07311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6467435">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3.谱线灵活性：可对分析元素的任何一条谱线进行定性、半定量和定量分析，便于分析研究；</w:t>
            </w:r>
          </w:p>
        </w:tc>
        <w:tc>
          <w:tcPr>
            <w:tcW w:w="1501" w:type="dxa"/>
            <w:noWrap w:val="0"/>
            <w:vAlign w:val="center"/>
          </w:tcPr>
          <w:p w14:paraId="4DE13E4B">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2658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D513DE9">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4.测定谱线的线性动态范围：≥10</w:t>
            </w:r>
            <w:r>
              <w:rPr>
                <w:rFonts w:hint="eastAsia" w:ascii="宋体" w:hAnsi="宋体" w:eastAsia="宋体" w:cs="宋体"/>
                <w:i w:val="0"/>
                <w:iCs w:val="0"/>
                <w:color w:val="auto"/>
                <w:kern w:val="0"/>
                <w:sz w:val="21"/>
                <w:szCs w:val="21"/>
                <w:highlight w:val="none"/>
                <w:u w:val="none"/>
                <w:vertAlign w:val="superscript"/>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（以Mn257.6nm 来测定，相关系数≥0.999）；</w:t>
            </w:r>
          </w:p>
        </w:tc>
        <w:tc>
          <w:tcPr>
            <w:tcW w:w="1501" w:type="dxa"/>
            <w:noWrap w:val="0"/>
            <w:vAlign w:val="center"/>
          </w:tcPr>
          <w:p w14:paraId="57EDD29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207A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5C65BDA">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 短期稳定性：RSD≤0.5%；【投标时需提供产品彩页或有关证明材料并加盖投标人单位公章】</w:t>
            </w:r>
          </w:p>
        </w:tc>
        <w:tc>
          <w:tcPr>
            <w:tcW w:w="1501" w:type="dxa"/>
            <w:noWrap w:val="0"/>
            <w:vAlign w:val="center"/>
          </w:tcPr>
          <w:p w14:paraId="1B0F629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68" w:name="_Toc13644"/>
            <w:bookmarkStart w:id="569" w:name="_Toc2346"/>
            <w:r>
              <w:rPr>
                <w:rFonts w:hint="eastAsia" w:ascii="宋体" w:hAnsi="宋体" w:eastAsia="宋体" w:cs="宋体"/>
                <w:b w:val="0"/>
                <w:bCs w:val="0"/>
                <w:color w:val="auto"/>
                <w:sz w:val="21"/>
                <w:szCs w:val="21"/>
                <w:highlight w:val="none"/>
                <w:u w:val="none"/>
                <w:vertAlign w:val="baseline"/>
                <w:lang w:val="en-US" w:eastAsia="zh-CN" w:bidi="ar"/>
              </w:rPr>
              <w:t>实质性参数</w:t>
            </w:r>
            <w:bookmarkEnd w:id="568"/>
            <w:bookmarkEnd w:id="569"/>
          </w:p>
        </w:tc>
      </w:tr>
      <w:tr w14:paraId="1228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7E21450">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 长期稳定性：RSD≤1%（8小时，不加内标，不采用基线飘移修正）；【投标时需提供产品彩页或有关证明材料并加盖投标人单位公章】</w:t>
            </w:r>
          </w:p>
        </w:tc>
        <w:tc>
          <w:tcPr>
            <w:tcW w:w="1501" w:type="dxa"/>
            <w:noWrap w:val="0"/>
            <w:vAlign w:val="center"/>
          </w:tcPr>
          <w:p w14:paraId="7FE9A0F2">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70" w:name="_Toc19001"/>
            <w:bookmarkStart w:id="571" w:name="_Toc18860"/>
            <w:r>
              <w:rPr>
                <w:rFonts w:hint="eastAsia" w:ascii="宋体" w:hAnsi="宋体" w:eastAsia="宋体" w:cs="宋体"/>
                <w:b w:val="0"/>
                <w:bCs w:val="0"/>
                <w:color w:val="auto"/>
                <w:sz w:val="21"/>
                <w:szCs w:val="21"/>
                <w:highlight w:val="none"/>
                <w:u w:val="none"/>
                <w:vertAlign w:val="baseline"/>
                <w:lang w:val="en-US" w:eastAsia="zh-CN" w:bidi="ar"/>
              </w:rPr>
              <w:t>实质性参数</w:t>
            </w:r>
            <w:bookmarkEnd w:id="570"/>
            <w:bookmarkEnd w:id="571"/>
          </w:p>
        </w:tc>
      </w:tr>
      <w:tr w14:paraId="7BF5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718D925">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▲7.精密度：测定1ppm多元素混合标准溶液，重复测定十次的RSD≤0.5%。【投标时需提供产品彩页或有关证明材料并加盖投标人单位公章】</w:t>
            </w:r>
          </w:p>
        </w:tc>
        <w:tc>
          <w:tcPr>
            <w:tcW w:w="1501" w:type="dxa"/>
            <w:noWrap w:val="0"/>
            <w:vAlign w:val="center"/>
          </w:tcPr>
          <w:p w14:paraId="4BB162F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72" w:name="_Toc2866"/>
            <w:bookmarkStart w:id="573" w:name="_Toc7690"/>
            <w:r>
              <w:rPr>
                <w:rFonts w:hint="eastAsia" w:ascii="宋体" w:hAnsi="宋体" w:eastAsia="宋体" w:cs="宋体"/>
                <w:b w:val="0"/>
                <w:bCs w:val="0"/>
                <w:color w:val="auto"/>
                <w:sz w:val="21"/>
                <w:szCs w:val="21"/>
                <w:highlight w:val="none"/>
                <w:u w:val="none"/>
                <w:vertAlign w:val="baseline"/>
                <w:lang w:val="en-US" w:eastAsia="zh-CN" w:bidi="ar"/>
              </w:rPr>
              <w:t>实质性参数</w:t>
            </w:r>
            <w:bookmarkEnd w:id="572"/>
            <w:bookmarkEnd w:id="573"/>
          </w:p>
        </w:tc>
      </w:tr>
      <w:tr w14:paraId="759A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E752AEA">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六、配置要求</w:t>
            </w:r>
          </w:p>
        </w:tc>
        <w:tc>
          <w:tcPr>
            <w:tcW w:w="1501" w:type="dxa"/>
            <w:noWrap w:val="0"/>
            <w:vAlign w:val="center"/>
          </w:tcPr>
          <w:p w14:paraId="478FB495">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74" w:name="_Toc6754"/>
            <w:bookmarkStart w:id="575" w:name="_Toc1263"/>
            <w:r>
              <w:rPr>
                <w:rFonts w:hint="eastAsia" w:ascii="宋体" w:hAnsi="宋体" w:eastAsia="宋体" w:cs="宋体"/>
                <w:b w:val="0"/>
                <w:bCs w:val="0"/>
                <w:color w:val="auto"/>
                <w:sz w:val="21"/>
                <w:szCs w:val="21"/>
                <w:highlight w:val="none"/>
                <w:u w:val="none"/>
                <w:vertAlign w:val="baseline"/>
                <w:lang w:val="en-US" w:eastAsia="zh-CN" w:bidi="ar"/>
              </w:rPr>
              <w:t>/</w:t>
            </w:r>
            <w:bookmarkEnd w:id="574"/>
            <w:bookmarkEnd w:id="575"/>
          </w:p>
        </w:tc>
      </w:tr>
      <w:tr w14:paraId="5316C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7CE0780">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1.电感耦合等离子体发射光谱仪主机1套；</w:t>
            </w:r>
          </w:p>
        </w:tc>
        <w:tc>
          <w:tcPr>
            <w:tcW w:w="1501" w:type="dxa"/>
            <w:noWrap w:val="0"/>
            <w:vAlign w:val="center"/>
          </w:tcPr>
          <w:p w14:paraId="20E5A69C">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E271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E683ADD">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2.自动进样器（240位）1套；</w:t>
            </w:r>
          </w:p>
        </w:tc>
        <w:tc>
          <w:tcPr>
            <w:tcW w:w="1501" w:type="dxa"/>
            <w:noWrap w:val="0"/>
            <w:vAlign w:val="center"/>
          </w:tcPr>
          <w:p w14:paraId="6B65490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2712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4E72F2C">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3.冷却循环水系统1套；</w:t>
            </w:r>
          </w:p>
        </w:tc>
        <w:tc>
          <w:tcPr>
            <w:tcW w:w="1501" w:type="dxa"/>
            <w:noWrap w:val="0"/>
            <w:vAlign w:val="center"/>
          </w:tcPr>
          <w:p w14:paraId="5405F65C">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850D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8738B94">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4.同心雾化器1个；</w:t>
            </w:r>
          </w:p>
        </w:tc>
        <w:tc>
          <w:tcPr>
            <w:tcW w:w="1501" w:type="dxa"/>
            <w:noWrap w:val="0"/>
            <w:vAlign w:val="center"/>
          </w:tcPr>
          <w:p w14:paraId="16199090">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74BB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BE9D1A5">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5.旋流雾化室1个；</w:t>
            </w:r>
          </w:p>
        </w:tc>
        <w:tc>
          <w:tcPr>
            <w:tcW w:w="1501" w:type="dxa"/>
            <w:noWrap w:val="0"/>
            <w:vAlign w:val="center"/>
          </w:tcPr>
          <w:p w14:paraId="7A0F180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282B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0E2A4DD">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6.炬管1个；</w:t>
            </w:r>
          </w:p>
        </w:tc>
        <w:tc>
          <w:tcPr>
            <w:tcW w:w="1501" w:type="dxa"/>
            <w:noWrap w:val="0"/>
            <w:vAlign w:val="center"/>
          </w:tcPr>
          <w:p w14:paraId="41F4478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910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EE398D3">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7.工作站硬件1套（内存32G，27寸）；</w:t>
            </w:r>
          </w:p>
        </w:tc>
        <w:tc>
          <w:tcPr>
            <w:tcW w:w="1501" w:type="dxa"/>
            <w:noWrap w:val="0"/>
            <w:vAlign w:val="center"/>
          </w:tcPr>
          <w:p w14:paraId="63B326F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75DC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594D1E9">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8.移动终端（内存32G，16寸）；</w:t>
            </w:r>
          </w:p>
        </w:tc>
        <w:tc>
          <w:tcPr>
            <w:tcW w:w="1501" w:type="dxa"/>
            <w:noWrap w:val="0"/>
            <w:vAlign w:val="center"/>
          </w:tcPr>
          <w:p w14:paraId="247DC8F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FCA5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2F47B42">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9.输出设备1台（支持自动双面和网络输出）；</w:t>
            </w:r>
          </w:p>
        </w:tc>
        <w:tc>
          <w:tcPr>
            <w:tcW w:w="1501" w:type="dxa"/>
            <w:noWrap w:val="0"/>
            <w:vAlign w:val="center"/>
          </w:tcPr>
          <w:p w14:paraId="748897F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3C0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61E3C44">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10.废液泵管 1套；</w:t>
            </w:r>
          </w:p>
        </w:tc>
        <w:tc>
          <w:tcPr>
            <w:tcW w:w="1501" w:type="dxa"/>
            <w:noWrap w:val="0"/>
            <w:vAlign w:val="center"/>
          </w:tcPr>
          <w:p w14:paraId="0504855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69E4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C85F0A0">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11.进样泵管 1套；</w:t>
            </w:r>
          </w:p>
        </w:tc>
        <w:tc>
          <w:tcPr>
            <w:tcW w:w="1501" w:type="dxa"/>
            <w:noWrap w:val="0"/>
            <w:vAlign w:val="center"/>
          </w:tcPr>
          <w:p w14:paraId="3728246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F12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18A3A37">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12.耐高盐进样系统：</w:t>
            </w:r>
          </w:p>
        </w:tc>
        <w:tc>
          <w:tcPr>
            <w:tcW w:w="1501" w:type="dxa"/>
            <w:noWrap w:val="0"/>
            <w:vAlign w:val="center"/>
          </w:tcPr>
          <w:p w14:paraId="0F7202B5">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372E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21" w:type="dxa"/>
            <w:noWrap w:val="0"/>
            <w:vAlign w:val="center"/>
          </w:tcPr>
          <w:p w14:paraId="5BB0C939">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■13.主机以外的随机消耗品；【正偏离：配置清单齐全、图片清晰；无偏离：承诺配置但清单或图片不够完整清晰。投标时需提供拟配置装置清单列表及照片图片】</w:t>
            </w:r>
          </w:p>
          <w:p w14:paraId="59039C8E">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13.1同心雾化器；</w:t>
            </w:r>
          </w:p>
          <w:p w14:paraId="0AA193EF">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13.2旋流雾化室；</w:t>
            </w:r>
          </w:p>
          <w:p w14:paraId="75EBAA14">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13.3 矩管；</w:t>
            </w:r>
          </w:p>
          <w:p w14:paraId="43B3D2C1">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13.4进样毛细管；</w:t>
            </w:r>
          </w:p>
          <w:p w14:paraId="386D49E6">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13.5蠕动泵管；</w:t>
            </w:r>
          </w:p>
          <w:p w14:paraId="26317B97">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13.6管路接头；</w:t>
            </w:r>
          </w:p>
          <w:p w14:paraId="2131D67E">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13.7调试液；</w:t>
            </w:r>
          </w:p>
          <w:p w14:paraId="52F5DDE6">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13.8移动终端（内存32G，16寸）1台。</w:t>
            </w:r>
          </w:p>
        </w:tc>
        <w:tc>
          <w:tcPr>
            <w:tcW w:w="1501" w:type="dxa"/>
            <w:noWrap w:val="0"/>
            <w:vAlign w:val="center"/>
          </w:tcPr>
          <w:p w14:paraId="5B85098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76" w:name="_Toc8718"/>
            <w:bookmarkStart w:id="577" w:name="_Toc3346"/>
            <w:r>
              <w:rPr>
                <w:rFonts w:hint="eastAsia" w:ascii="宋体" w:hAnsi="宋体" w:eastAsia="宋体" w:cs="宋体"/>
                <w:b w:val="0"/>
                <w:bCs w:val="0"/>
                <w:color w:val="auto"/>
                <w:sz w:val="21"/>
                <w:szCs w:val="21"/>
                <w:highlight w:val="none"/>
                <w:u w:val="none"/>
                <w:vertAlign w:val="baseline"/>
                <w:lang w:val="en-US" w:eastAsia="zh-CN" w:bidi="ar"/>
              </w:rPr>
              <w:t>重要参数</w:t>
            </w:r>
            <w:bookmarkEnd w:id="576"/>
            <w:bookmarkEnd w:id="577"/>
          </w:p>
        </w:tc>
      </w:tr>
      <w:tr w14:paraId="0B64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center"/>
          </w:tcPr>
          <w:p w14:paraId="1AB62530">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bCs/>
                <w:color w:val="auto"/>
                <w:sz w:val="21"/>
                <w:szCs w:val="21"/>
                <w:highlight w:val="none"/>
                <w:u w:val="none"/>
                <w:vertAlign w:val="baseline"/>
                <w:lang w:val="en-US" w:eastAsia="zh-CN" w:bidi="ar"/>
              </w:rPr>
            </w:pPr>
            <w:bookmarkStart w:id="578" w:name="_Toc20589"/>
            <w:bookmarkStart w:id="579" w:name="_Toc20743"/>
            <w:r>
              <w:rPr>
                <w:rFonts w:hint="eastAsia" w:ascii="宋体" w:hAnsi="宋体" w:eastAsia="宋体" w:cs="宋体"/>
                <w:b/>
                <w:bCs/>
                <w:color w:val="auto"/>
                <w:sz w:val="21"/>
                <w:szCs w:val="21"/>
                <w:highlight w:val="none"/>
                <w:lang w:val="en-US" w:eastAsia="zh-CN"/>
              </w:rPr>
              <w:t>原子吸收光谱仪</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u w:val="none"/>
                <w:vertAlign w:val="baseline"/>
                <w:lang w:val="en-US" w:eastAsia="zh-CN" w:bidi="ar"/>
              </w:rPr>
              <w:t>一般参数指标38项</w:t>
            </w:r>
            <w:r>
              <w:rPr>
                <w:rFonts w:hint="eastAsia" w:ascii="宋体" w:hAnsi="宋体" w:eastAsia="宋体" w:cs="宋体"/>
                <w:b/>
                <w:bCs/>
                <w:color w:val="auto"/>
                <w:sz w:val="21"/>
                <w:szCs w:val="21"/>
                <w:highlight w:val="none"/>
                <w:lang w:eastAsia="zh-CN"/>
              </w:rPr>
              <w:t>）</w:t>
            </w:r>
            <w:bookmarkEnd w:id="578"/>
            <w:bookmarkEnd w:id="579"/>
          </w:p>
        </w:tc>
      </w:tr>
      <w:tr w14:paraId="3EB8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2E75B7A">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一、基本要求</w:t>
            </w:r>
          </w:p>
        </w:tc>
        <w:tc>
          <w:tcPr>
            <w:tcW w:w="1501" w:type="dxa"/>
            <w:noWrap w:val="0"/>
            <w:vAlign w:val="center"/>
          </w:tcPr>
          <w:p w14:paraId="60FB7D8B">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80" w:name="_Toc6102"/>
            <w:bookmarkStart w:id="581" w:name="_Toc2994"/>
            <w:r>
              <w:rPr>
                <w:rFonts w:hint="eastAsia" w:ascii="宋体" w:hAnsi="宋体" w:eastAsia="宋体" w:cs="宋体"/>
                <w:b w:val="0"/>
                <w:bCs w:val="0"/>
                <w:color w:val="auto"/>
                <w:sz w:val="21"/>
                <w:szCs w:val="21"/>
                <w:highlight w:val="none"/>
                <w:u w:val="none"/>
                <w:vertAlign w:val="baseline"/>
                <w:lang w:val="en-US" w:eastAsia="zh-CN" w:bidi="ar"/>
              </w:rPr>
              <w:t>/</w:t>
            </w:r>
            <w:bookmarkEnd w:id="580"/>
            <w:bookmarkEnd w:id="581"/>
          </w:p>
        </w:tc>
      </w:tr>
      <w:tr w14:paraId="17F3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0F4CEC3">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能适用于环境监测各种样品的元素分析，满足水质（包括地表水、地下水、生活污水、工业废水等）、环境中大气、土壤、固体废弃物样品分析等。</w:t>
            </w:r>
          </w:p>
        </w:tc>
        <w:tc>
          <w:tcPr>
            <w:tcW w:w="1501" w:type="dxa"/>
            <w:noWrap w:val="0"/>
            <w:vAlign w:val="center"/>
          </w:tcPr>
          <w:p w14:paraId="76FB0CBB">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7BC4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AF70E93">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二、工作条件</w:t>
            </w:r>
          </w:p>
        </w:tc>
        <w:tc>
          <w:tcPr>
            <w:tcW w:w="1501" w:type="dxa"/>
            <w:noWrap w:val="0"/>
            <w:vAlign w:val="center"/>
          </w:tcPr>
          <w:p w14:paraId="5CC8B9F5">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82" w:name="_Toc31195"/>
            <w:bookmarkStart w:id="583" w:name="_Toc142"/>
            <w:r>
              <w:rPr>
                <w:rFonts w:hint="eastAsia" w:ascii="宋体" w:hAnsi="宋体" w:eastAsia="宋体" w:cs="宋体"/>
                <w:b w:val="0"/>
                <w:bCs w:val="0"/>
                <w:color w:val="auto"/>
                <w:sz w:val="21"/>
                <w:szCs w:val="21"/>
                <w:highlight w:val="none"/>
                <w:u w:val="none"/>
                <w:vertAlign w:val="baseline"/>
                <w:lang w:val="en-US" w:eastAsia="zh-CN" w:bidi="ar"/>
              </w:rPr>
              <w:t>/</w:t>
            </w:r>
            <w:bookmarkEnd w:id="582"/>
            <w:bookmarkEnd w:id="583"/>
          </w:p>
        </w:tc>
      </w:tr>
      <w:tr w14:paraId="2A9E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D4F4954">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2.1工作环境温度：15-30℃；</w:t>
            </w:r>
          </w:p>
        </w:tc>
        <w:tc>
          <w:tcPr>
            <w:tcW w:w="1501" w:type="dxa"/>
            <w:noWrap w:val="0"/>
            <w:vAlign w:val="center"/>
          </w:tcPr>
          <w:p w14:paraId="78A9ED29">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5AD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0BE215A">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2.2工作环境湿度：＜80%；</w:t>
            </w:r>
          </w:p>
        </w:tc>
        <w:tc>
          <w:tcPr>
            <w:tcW w:w="1501" w:type="dxa"/>
            <w:noWrap w:val="0"/>
            <w:vAlign w:val="center"/>
          </w:tcPr>
          <w:p w14:paraId="3E7E5ED2">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7A3B8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ECA9BF0">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2.3电源：200-240V，50Hz。</w:t>
            </w:r>
          </w:p>
        </w:tc>
        <w:tc>
          <w:tcPr>
            <w:tcW w:w="1501" w:type="dxa"/>
            <w:noWrap w:val="0"/>
            <w:vAlign w:val="center"/>
          </w:tcPr>
          <w:p w14:paraId="58F6C605">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75EF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EF780F0">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三、技术参数</w:t>
            </w:r>
          </w:p>
        </w:tc>
        <w:tc>
          <w:tcPr>
            <w:tcW w:w="1501" w:type="dxa"/>
            <w:noWrap w:val="0"/>
            <w:vAlign w:val="center"/>
          </w:tcPr>
          <w:p w14:paraId="2B59C472">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84" w:name="_Toc8033"/>
            <w:bookmarkStart w:id="585" w:name="_Toc3569"/>
            <w:r>
              <w:rPr>
                <w:rFonts w:hint="eastAsia" w:ascii="宋体" w:hAnsi="宋体" w:eastAsia="宋体" w:cs="宋体"/>
                <w:b w:val="0"/>
                <w:bCs w:val="0"/>
                <w:color w:val="auto"/>
                <w:sz w:val="21"/>
                <w:szCs w:val="21"/>
                <w:highlight w:val="none"/>
                <w:u w:val="none"/>
                <w:vertAlign w:val="baseline"/>
                <w:lang w:val="en-US" w:eastAsia="zh-CN" w:bidi="ar"/>
              </w:rPr>
              <w:t>/</w:t>
            </w:r>
            <w:bookmarkEnd w:id="584"/>
            <w:bookmarkEnd w:id="585"/>
          </w:p>
        </w:tc>
      </w:tr>
      <w:tr w14:paraId="70E8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6AB0DF3">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▲3.1仪器系统：</w:t>
            </w:r>
            <w:r>
              <w:rPr>
                <w:rFonts w:hint="eastAsia" w:ascii="宋体" w:hAnsi="宋体" w:eastAsia="宋体" w:cs="宋体"/>
                <w:bCs/>
                <w:color w:val="auto"/>
                <w:sz w:val="21"/>
                <w:szCs w:val="21"/>
                <w:highlight w:val="none"/>
                <w:lang w:val="en-US" w:eastAsia="zh-CN"/>
              </w:rPr>
              <w:t>原子吸收光谱分析系统，包括火焰分析系统和石墨炉分析系统。【投标时需提供操作软件界面的参数截图或照片并加盖投标人单位公章】</w:t>
            </w:r>
          </w:p>
        </w:tc>
        <w:tc>
          <w:tcPr>
            <w:tcW w:w="1501" w:type="dxa"/>
            <w:noWrap w:val="0"/>
            <w:vAlign w:val="center"/>
          </w:tcPr>
          <w:p w14:paraId="0BD097F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86" w:name="_Toc8146"/>
            <w:bookmarkStart w:id="587" w:name="_Toc2486"/>
            <w:r>
              <w:rPr>
                <w:rFonts w:hint="eastAsia" w:ascii="宋体" w:hAnsi="宋体" w:eastAsia="宋体" w:cs="宋体"/>
                <w:b w:val="0"/>
                <w:bCs w:val="0"/>
                <w:color w:val="auto"/>
                <w:sz w:val="21"/>
                <w:szCs w:val="21"/>
                <w:highlight w:val="none"/>
                <w:u w:val="none"/>
                <w:vertAlign w:val="baseline"/>
                <w:lang w:val="en-US" w:eastAsia="zh-CN" w:bidi="ar"/>
              </w:rPr>
              <w:t>实质性参数</w:t>
            </w:r>
            <w:bookmarkEnd w:id="586"/>
            <w:bookmarkEnd w:id="587"/>
          </w:p>
        </w:tc>
      </w:tr>
      <w:tr w14:paraId="611A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1" w:type="dxa"/>
            <w:noWrap w:val="0"/>
            <w:vAlign w:val="center"/>
          </w:tcPr>
          <w:p w14:paraId="08132FA2">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3.2光学系统：</w:t>
            </w:r>
          </w:p>
        </w:tc>
        <w:tc>
          <w:tcPr>
            <w:tcW w:w="1501" w:type="dxa"/>
            <w:noWrap w:val="0"/>
            <w:vAlign w:val="center"/>
          </w:tcPr>
          <w:p w14:paraId="69EFB94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88" w:name="_Toc10189"/>
            <w:bookmarkStart w:id="589" w:name="_Toc29855"/>
            <w:r>
              <w:rPr>
                <w:rFonts w:hint="eastAsia" w:ascii="宋体" w:hAnsi="宋体" w:eastAsia="宋体" w:cs="宋体"/>
                <w:b w:val="0"/>
                <w:bCs w:val="0"/>
                <w:color w:val="auto"/>
                <w:sz w:val="21"/>
                <w:szCs w:val="21"/>
                <w:highlight w:val="none"/>
                <w:u w:val="none"/>
                <w:vertAlign w:val="baseline"/>
                <w:lang w:val="en-US" w:eastAsia="zh-CN" w:bidi="ar"/>
              </w:rPr>
              <w:t>/</w:t>
            </w:r>
            <w:bookmarkEnd w:id="588"/>
            <w:bookmarkEnd w:id="589"/>
          </w:p>
        </w:tc>
      </w:tr>
      <w:tr w14:paraId="6144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6D9E8BB">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3.2.1光路结构：实时双光束，样品光束和参比光束同时检测；</w:t>
            </w:r>
          </w:p>
        </w:tc>
        <w:tc>
          <w:tcPr>
            <w:tcW w:w="1501" w:type="dxa"/>
            <w:noWrap w:val="0"/>
            <w:vAlign w:val="center"/>
          </w:tcPr>
          <w:p w14:paraId="59C45AB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1DB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5DF459B">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3.2.2波长范围：200-800nm；</w:t>
            </w:r>
          </w:p>
        </w:tc>
        <w:tc>
          <w:tcPr>
            <w:tcW w:w="1501" w:type="dxa"/>
            <w:noWrap w:val="0"/>
            <w:vAlign w:val="center"/>
          </w:tcPr>
          <w:p w14:paraId="64EC5F3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EF7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C25B504">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3.2.3光栅刻线密度：≥1800条/mm；</w:t>
            </w:r>
          </w:p>
        </w:tc>
        <w:tc>
          <w:tcPr>
            <w:tcW w:w="1501" w:type="dxa"/>
            <w:noWrap w:val="0"/>
            <w:vAlign w:val="center"/>
          </w:tcPr>
          <w:p w14:paraId="5E44DD1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38765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E635019">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3.2.4检测器：PMT（光电倍增管）或CCD（电荷耦合器件）；</w:t>
            </w:r>
          </w:p>
        </w:tc>
        <w:tc>
          <w:tcPr>
            <w:tcW w:w="1501" w:type="dxa"/>
            <w:noWrap w:val="0"/>
            <w:vAlign w:val="center"/>
          </w:tcPr>
          <w:p w14:paraId="0854AD30">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222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8661184">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3.2.5灯座：≥8灯座（全自动切换），可同时进行预热灯数≥2灯；</w:t>
            </w:r>
          </w:p>
        </w:tc>
        <w:tc>
          <w:tcPr>
            <w:tcW w:w="1501" w:type="dxa"/>
            <w:noWrap w:val="0"/>
            <w:vAlign w:val="center"/>
          </w:tcPr>
          <w:p w14:paraId="3E15007C">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0F6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D8333F3">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3.2.6光谱带宽：狭缝宽度可调档位≥4档；</w:t>
            </w:r>
          </w:p>
        </w:tc>
        <w:tc>
          <w:tcPr>
            <w:tcW w:w="1501" w:type="dxa"/>
            <w:noWrap w:val="0"/>
            <w:vAlign w:val="center"/>
          </w:tcPr>
          <w:p w14:paraId="594AEEE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7D59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F092B58">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3.3火焰系统：</w:t>
            </w:r>
          </w:p>
        </w:tc>
        <w:tc>
          <w:tcPr>
            <w:tcW w:w="1501" w:type="dxa"/>
            <w:noWrap w:val="0"/>
            <w:vAlign w:val="center"/>
          </w:tcPr>
          <w:p w14:paraId="1A0D901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90" w:name="_Toc26422"/>
            <w:bookmarkStart w:id="591" w:name="_Toc30515"/>
            <w:r>
              <w:rPr>
                <w:rFonts w:hint="eastAsia" w:ascii="宋体" w:hAnsi="宋体" w:eastAsia="宋体" w:cs="宋体"/>
                <w:b w:val="0"/>
                <w:bCs w:val="0"/>
                <w:color w:val="auto"/>
                <w:sz w:val="21"/>
                <w:szCs w:val="21"/>
                <w:highlight w:val="none"/>
                <w:u w:val="none"/>
                <w:vertAlign w:val="baseline"/>
                <w:lang w:val="en-US" w:eastAsia="zh-CN" w:bidi="ar"/>
              </w:rPr>
              <w:t>/</w:t>
            </w:r>
            <w:bookmarkEnd w:id="590"/>
            <w:bookmarkEnd w:id="591"/>
          </w:p>
        </w:tc>
      </w:tr>
      <w:tr w14:paraId="731C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C491396">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3.3.1</w:t>
            </w:r>
            <w:r>
              <w:rPr>
                <w:rFonts w:hint="eastAsia" w:ascii="宋体" w:hAnsi="宋体" w:eastAsia="宋体" w:cs="宋体"/>
                <w:b w:val="0"/>
                <w:bCs/>
                <w:color w:val="auto"/>
                <w:sz w:val="21"/>
                <w:szCs w:val="21"/>
                <w:highlight w:val="none"/>
                <w:lang w:val="en-US" w:eastAsia="zh-CN"/>
              </w:rPr>
              <w:t>燃烧头：10cm 缝长，高度可调整，角度可旋转或有与旋转角度同等效果的其它方式</w:t>
            </w:r>
            <w:r>
              <w:rPr>
                <w:rFonts w:hint="eastAsia" w:ascii="宋体" w:hAnsi="宋体" w:eastAsia="宋体" w:cs="宋体"/>
                <w:i w:val="0"/>
                <w:iCs w:val="0"/>
                <w:color w:val="auto"/>
                <w:kern w:val="0"/>
                <w:sz w:val="21"/>
                <w:szCs w:val="21"/>
                <w:highlight w:val="none"/>
                <w:u w:val="none"/>
                <w:lang w:val="en-US" w:eastAsia="zh-CN" w:bidi="ar"/>
              </w:rPr>
              <w:t>；</w:t>
            </w:r>
          </w:p>
        </w:tc>
        <w:tc>
          <w:tcPr>
            <w:tcW w:w="1501" w:type="dxa"/>
            <w:noWrap w:val="0"/>
            <w:vAlign w:val="center"/>
          </w:tcPr>
          <w:p w14:paraId="5F3C718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77C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E812C3B">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3.3.2雾化器：可调式耐腐蚀高效雾化器；</w:t>
            </w:r>
          </w:p>
        </w:tc>
        <w:tc>
          <w:tcPr>
            <w:tcW w:w="1501" w:type="dxa"/>
            <w:noWrap w:val="0"/>
            <w:vAlign w:val="center"/>
          </w:tcPr>
          <w:p w14:paraId="5DC13D5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3852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16ACA1F">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3.3.3火焰安全系统：至少包含气体压力监控、低压/高压切断、泄漏检测、防回火装置、燃烧头安全联锁、火焰监测、紧急切断装置；</w:t>
            </w:r>
          </w:p>
        </w:tc>
        <w:tc>
          <w:tcPr>
            <w:tcW w:w="1501" w:type="dxa"/>
            <w:noWrap w:val="0"/>
            <w:vAlign w:val="center"/>
          </w:tcPr>
          <w:p w14:paraId="3477739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2E16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90A3AAD">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3.3.4气体控制：可自动设置、优化燃气比；</w:t>
            </w:r>
          </w:p>
        </w:tc>
        <w:tc>
          <w:tcPr>
            <w:tcW w:w="1501" w:type="dxa"/>
            <w:noWrap w:val="0"/>
            <w:vAlign w:val="center"/>
          </w:tcPr>
          <w:p w14:paraId="0921656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3696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ECD950E">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3.3.5背景校正：氘灯或塞曼；</w:t>
            </w:r>
          </w:p>
        </w:tc>
        <w:tc>
          <w:tcPr>
            <w:tcW w:w="1501" w:type="dxa"/>
            <w:noWrap w:val="0"/>
            <w:vAlign w:val="center"/>
          </w:tcPr>
          <w:p w14:paraId="5DA1C41B">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269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5FA5CB8">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3.3.6检出限：Cu ≤ 0.005 mg/L；</w:t>
            </w:r>
          </w:p>
        </w:tc>
        <w:tc>
          <w:tcPr>
            <w:tcW w:w="1501" w:type="dxa"/>
            <w:noWrap w:val="0"/>
            <w:vAlign w:val="center"/>
          </w:tcPr>
          <w:p w14:paraId="094BB070">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20EC8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74E3CCF">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3.3.7精密度：RSD≤ 0.5%；</w:t>
            </w:r>
          </w:p>
        </w:tc>
        <w:tc>
          <w:tcPr>
            <w:tcW w:w="1501" w:type="dxa"/>
            <w:noWrap w:val="0"/>
            <w:vAlign w:val="center"/>
          </w:tcPr>
          <w:p w14:paraId="7FB90ED4">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484D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5F44BBD">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3.4石墨炉系统：</w:t>
            </w:r>
          </w:p>
        </w:tc>
        <w:tc>
          <w:tcPr>
            <w:tcW w:w="1501" w:type="dxa"/>
            <w:noWrap w:val="0"/>
            <w:vAlign w:val="center"/>
          </w:tcPr>
          <w:p w14:paraId="780BFC8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92" w:name="_Toc19604"/>
            <w:bookmarkStart w:id="593" w:name="_Toc1400"/>
            <w:r>
              <w:rPr>
                <w:rFonts w:hint="eastAsia" w:ascii="宋体" w:hAnsi="宋体" w:eastAsia="宋体" w:cs="宋体"/>
                <w:b w:val="0"/>
                <w:bCs w:val="0"/>
                <w:color w:val="auto"/>
                <w:sz w:val="21"/>
                <w:szCs w:val="21"/>
                <w:highlight w:val="none"/>
                <w:u w:val="none"/>
                <w:vertAlign w:val="baseline"/>
                <w:lang w:val="en-US" w:eastAsia="zh-CN" w:bidi="ar"/>
              </w:rPr>
              <w:t>/</w:t>
            </w:r>
            <w:bookmarkEnd w:id="592"/>
            <w:bookmarkEnd w:id="593"/>
          </w:p>
        </w:tc>
      </w:tr>
      <w:tr w14:paraId="5184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186610F">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3.4.1加热方式：横向加热；</w:t>
            </w:r>
          </w:p>
        </w:tc>
        <w:tc>
          <w:tcPr>
            <w:tcW w:w="1501" w:type="dxa"/>
            <w:noWrap w:val="0"/>
            <w:vAlign w:val="center"/>
          </w:tcPr>
          <w:p w14:paraId="5418992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6D03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2A8E4AC">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3.4.2工作温度：最高温度≥2</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00℃；</w:t>
            </w:r>
          </w:p>
        </w:tc>
        <w:tc>
          <w:tcPr>
            <w:tcW w:w="1501" w:type="dxa"/>
            <w:noWrap w:val="0"/>
            <w:vAlign w:val="center"/>
          </w:tcPr>
          <w:p w14:paraId="26D2C21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B9B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26C2E36">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3.4.3背景校正：塞曼；</w:t>
            </w:r>
          </w:p>
        </w:tc>
        <w:tc>
          <w:tcPr>
            <w:tcW w:w="1501" w:type="dxa"/>
            <w:noWrap w:val="0"/>
            <w:vAlign w:val="center"/>
          </w:tcPr>
          <w:p w14:paraId="44240CD9">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2513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0403A21">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3.4.4自动进样器：样品位数≥90个，具备自动稀释功能；</w:t>
            </w:r>
          </w:p>
        </w:tc>
        <w:tc>
          <w:tcPr>
            <w:tcW w:w="1501" w:type="dxa"/>
            <w:noWrap w:val="0"/>
            <w:vAlign w:val="center"/>
          </w:tcPr>
          <w:p w14:paraId="450952BC">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7392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9CE034E">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3.4.5可视系统：石墨炉配备摄像装置，能实时监控石墨管内状况；</w:t>
            </w:r>
          </w:p>
        </w:tc>
        <w:tc>
          <w:tcPr>
            <w:tcW w:w="1501" w:type="dxa"/>
            <w:noWrap w:val="0"/>
            <w:vAlign w:val="center"/>
          </w:tcPr>
          <w:p w14:paraId="69C1042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4748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BFDE237">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3.4.5检出限：Cd ≤ 0.01 μg/L；</w:t>
            </w:r>
          </w:p>
        </w:tc>
        <w:tc>
          <w:tcPr>
            <w:tcW w:w="1501" w:type="dxa"/>
            <w:noWrap w:val="0"/>
            <w:vAlign w:val="center"/>
          </w:tcPr>
          <w:p w14:paraId="052373D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41CB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348C9E3">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3.4.6精密度：RSD ≤2%。</w:t>
            </w:r>
          </w:p>
        </w:tc>
        <w:tc>
          <w:tcPr>
            <w:tcW w:w="1501" w:type="dxa"/>
            <w:noWrap w:val="0"/>
            <w:vAlign w:val="center"/>
          </w:tcPr>
          <w:p w14:paraId="69E713B9">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40FEA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1EBCB57">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四、单台配置及消耗品清单（可实现技术参数的功能）</w:t>
            </w:r>
          </w:p>
        </w:tc>
        <w:tc>
          <w:tcPr>
            <w:tcW w:w="1501" w:type="dxa"/>
            <w:noWrap w:val="0"/>
            <w:vAlign w:val="center"/>
          </w:tcPr>
          <w:p w14:paraId="72B9432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w:t>
            </w:r>
          </w:p>
        </w:tc>
      </w:tr>
      <w:tr w14:paraId="47FC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8103FEB">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4.1</w:t>
            </w:r>
            <w:r>
              <w:rPr>
                <w:rFonts w:hint="eastAsia" w:ascii="宋体" w:hAnsi="宋体" w:cs="宋体"/>
                <w:color w:val="auto"/>
                <w:kern w:val="0"/>
                <w:sz w:val="21"/>
                <w:szCs w:val="21"/>
                <w:highlight w:val="none"/>
                <w:u w:val="none"/>
                <w:lang w:val="en-US" w:eastAsia="zh-CN" w:bidi="ar"/>
              </w:rPr>
              <w:t>原子吸收火焰石墨炉主机，1套</w:t>
            </w:r>
            <w:r>
              <w:rPr>
                <w:rFonts w:hint="eastAsia" w:ascii="宋体" w:hAnsi="宋体" w:eastAsia="宋体" w:cs="宋体"/>
                <w:i w:val="0"/>
                <w:iCs w:val="0"/>
                <w:color w:val="auto"/>
                <w:kern w:val="0"/>
                <w:sz w:val="21"/>
                <w:szCs w:val="21"/>
                <w:highlight w:val="none"/>
                <w:u w:val="none"/>
                <w:lang w:val="en-US" w:eastAsia="zh-CN" w:bidi="ar"/>
              </w:rPr>
              <w:t>；</w:t>
            </w:r>
          </w:p>
        </w:tc>
        <w:tc>
          <w:tcPr>
            <w:tcW w:w="1501" w:type="dxa"/>
            <w:noWrap w:val="0"/>
            <w:vAlign w:val="center"/>
          </w:tcPr>
          <w:p w14:paraId="1F031F6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7B1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EC1DE67">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4.2石墨炉自动进样器（≥90位），1套；配套石墨炉自动进样器样品盘，1个；</w:t>
            </w:r>
          </w:p>
        </w:tc>
        <w:tc>
          <w:tcPr>
            <w:tcW w:w="1501" w:type="dxa"/>
            <w:noWrap w:val="0"/>
            <w:vAlign w:val="center"/>
          </w:tcPr>
          <w:p w14:paraId="757BFD4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7EF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B4C2954">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4.3空心阴极灯，8个（铜、锌、铅、镉、镍、铬、铁、锰）；</w:t>
            </w:r>
          </w:p>
        </w:tc>
        <w:tc>
          <w:tcPr>
            <w:tcW w:w="1501" w:type="dxa"/>
            <w:noWrap w:val="0"/>
            <w:vAlign w:val="center"/>
          </w:tcPr>
          <w:p w14:paraId="25FA29C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C8F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3795730">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4.4工作站硬件（内存32G，27寸）1套；</w:t>
            </w:r>
          </w:p>
        </w:tc>
        <w:tc>
          <w:tcPr>
            <w:tcW w:w="1501" w:type="dxa"/>
            <w:noWrap w:val="0"/>
            <w:vAlign w:val="center"/>
          </w:tcPr>
          <w:p w14:paraId="6EBD7A3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76F1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0E874DE">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4.5输出设备，1台（支持自动双面和网络输出）；</w:t>
            </w:r>
          </w:p>
        </w:tc>
        <w:tc>
          <w:tcPr>
            <w:tcW w:w="1501" w:type="dxa"/>
            <w:noWrap w:val="0"/>
            <w:vAlign w:val="center"/>
          </w:tcPr>
          <w:p w14:paraId="1985D1F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2A93B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714D86C">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4.6无油静音空气压缩机，1台；</w:t>
            </w:r>
          </w:p>
        </w:tc>
        <w:tc>
          <w:tcPr>
            <w:tcW w:w="1501" w:type="dxa"/>
            <w:noWrap w:val="0"/>
            <w:vAlign w:val="center"/>
          </w:tcPr>
          <w:p w14:paraId="62D2A3F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3FC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C10719D">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4.7冷却水循环系统，1台；</w:t>
            </w:r>
          </w:p>
        </w:tc>
        <w:tc>
          <w:tcPr>
            <w:tcW w:w="1501" w:type="dxa"/>
            <w:noWrap w:val="0"/>
            <w:vAlign w:val="center"/>
          </w:tcPr>
          <w:p w14:paraId="70F32C9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546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79F8C02">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4.8石墨炉可视系统，1套；</w:t>
            </w:r>
          </w:p>
        </w:tc>
        <w:tc>
          <w:tcPr>
            <w:tcW w:w="1501" w:type="dxa"/>
            <w:noWrap w:val="0"/>
            <w:vAlign w:val="center"/>
          </w:tcPr>
          <w:p w14:paraId="202048D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CC5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DC1147D">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4.9热解涂层石墨管，15根；</w:t>
            </w:r>
          </w:p>
        </w:tc>
        <w:tc>
          <w:tcPr>
            <w:tcW w:w="1501" w:type="dxa"/>
            <w:noWrap w:val="0"/>
            <w:vAlign w:val="center"/>
          </w:tcPr>
          <w:p w14:paraId="681EDE8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43A2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7B25711">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4.10配套样品杯，1000个；</w:t>
            </w:r>
          </w:p>
        </w:tc>
        <w:tc>
          <w:tcPr>
            <w:tcW w:w="1501" w:type="dxa"/>
            <w:noWrap w:val="0"/>
            <w:vAlign w:val="center"/>
          </w:tcPr>
          <w:p w14:paraId="27EAB80C">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581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CDBA195">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4.11配套进样管、毛细管，1套（不含自动进样器内1套）；</w:t>
            </w:r>
          </w:p>
        </w:tc>
        <w:tc>
          <w:tcPr>
            <w:tcW w:w="1501" w:type="dxa"/>
            <w:noWrap w:val="0"/>
            <w:vAlign w:val="center"/>
          </w:tcPr>
          <w:p w14:paraId="7313979B">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F35F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DBA57BA">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4.12原装废液桶，1只；</w:t>
            </w:r>
          </w:p>
        </w:tc>
        <w:tc>
          <w:tcPr>
            <w:tcW w:w="1501" w:type="dxa"/>
            <w:noWrap w:val="0"/>
            <w:vAlign w:val="center"/>
          </w:tcPr>
          <w:p w14:paraId="01CC2089">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791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1EFE992">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4.13软件操作系统，1套；</w:t>
            </w:r>
          </w:p>
        </w:tc>
        <w:tc>
          <w:tcPr>
            <w:tcW w:w="1501" w:type="dxa"/>
            <w:noWrap w:val="0"/>
            <w:vAlign w:val="center"/>
          </w:tcPr>
          <w:p w14:paraId="372A9C4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600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FEF7F2E">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4.14中文软件包、中文使用手册，1套。</w:t>
            </w:r>
          </w:p>
        </w:tc>
        <w:tc>
          <w:tcPr>
            <w:tcW w:w="1501" w:type="dxa"/>
            <w:noWrap w:val="0"/>
            <w:vAlign w:val="center"/>
          </w:tcPr>
          <w:p w14:paraId="65ABBC0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7935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center"/>
          </w:tcPr>
          <w:p w14:paraId="69A1255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bCs/>
                <w:color w:val="auto"/>
                <w:sz w:val="21"/>
                <w:szCs w:val="21"/>
                <w:highlight w:val="none"/>
                <w:u w:val="none"/>
                <w:vertAlign w:val="baseline"/>
                <w:lang w:val="en-US" w:eastAsia="zh-CN" w:bidi="ar"/>
              </w:rPr>
            </w:pPr>
            <w:bookmarkStart w:id="594" w:name="_Toc32341"/>
            <w:bookmarkStart w:id="595" w:name="_Toc13330"/>
            <w:r>
              <w:rPr>
                <w:rFonts w:hint="eastAsia" w:ascii="宋体" w:hAnsi="宋体" w:eastAsia="宋体" w:cs="宋体"/>
                <w:b/>
                <w:bCs/>
                <w:color w:val="auto"/>
                <w:sz w:val="21"/>
                <w:szCs w:val="21"/>
                <w:highlight w:val="none"/>
                <w:lang w:val="en-US" w:eastAsia="zh-CN"/>
              </w:rPr>
              <w:t>超级微波消解仪</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u w:val="none"/>
                <w:vertAlign w:val="baseline"/>
                <w:lang w:val="en-US" w:eastAsia="zh-CN" w:bidi="ar"/>
              </w:rPr>
              <w:t>一般参数指标29项</w:t>
            </w:r>
            <w:r>
              <w:rPr>
                <w:rFonts w:hint="eastAsia" w:ascii="宋体" w:hAnsi="宋体" w:eastAsia="宋体" w:cs="宋体"/>
                <w:b/>
                <w:bCs/>
                <w:color w:val="auto"/>
                <w:sz w:val="21"/>
                <w:szCs w:val="21"/>
                <w:highlight w:val="none"/>
                <w:lang w:eastAsia="zh-CN"/>
              </w:rPr>
              <w:t>）</w:t>
            </w:r>
            <w:bookmarkEnd w:id="594"/>
            <w:bookmarkEnd w:id="595"/>
          </w:p>
        </w:tc>
      </w:tr>
      <w:tr w14:paraId="67CB7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01798BF">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一、基本要求</w:t>
            </w:r>
          </w:p>
        </w:tc>
        <w:tc>
          <w:tcPr>
            <w:tcW w:w="1501" w:type="dxa"/>
            <w:noWrap w:val="0"/>
            <w:vAlign w:val="center"/>
          </w:tcPr>
          <w:p w14:paraId="5C15055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96" w:name="_Toc16804"/>
            <w:bookmarkStart w:id="597" w:name="_Toc20042"/>
            <w:r>
              <w:rPr>
                <w:rFonts w:hint="eastAsia" w:ascii="宋体" w:hAnsi="宋体" w:eastAsia="宋体" w:cs="宋体"/>
                <w:b w:val="0"/>
                <w:bCs w:val="0"/>
                <w:color w:val="auto"/>
                <w:sz w:val="21"/>
                <w:szCs w:val="21"/>
                <w:highlight w:val="none"/>
                <w:u w:val="none"/>
                <w:vertAlign w:val="baseline"/>
                <w:lang w:val="en-US" w:eastAsia="zh-CN" w:bidi="ar"/>
              </w:rPr>
              <w:t>/</w:t>
            </w:r>
            <w:bookmarkEnd w:id="596"/>
            <w:bookmarkEnd w:id="597"/>
          </w:p>
        </w:tc>
      </w:tr>
      <w:tr w14:paraId="38EF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B2BAE80">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预加压单反应室超级微波系统，用于各种样品的微波超高压高温消解，用于实验室中各种类型样品的消解制备前处理，为AAS，AFS，ICP，ICP-MS等分析仪器制备样品。</w:t>
            </w:r>
          </w:p>
        </w:tc>
        <w:tc>
          <w:tcPr>
            <w:tcW w:w="1501" w:type="dxa"/>
            <w:noWrap w:val="0"/>
            <w:vAlign w:val="center"/>
          </w:tcPr>
          <w:p w14:paraId="2AC379A5">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23A2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BCBFFFC">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二、工作条件</w:t>
            </w:r>
          </w:p>
        </w:tc>
        <w:tc>
          <w:tcPr>
            <w:tcW w:w="1501" w:type="dxa"/>
            <w:noWrap w:val="0"/>
            <w:vAlign w:val="center"/>
          </w:tcPr>
          <w:p w14:paraId="631CC0D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598" w:name="_Toc28167"/>
            <w:bookmarkStart w:id="599" w:name="_Toc7541"/>
            <w:r>
              <w:rPr>
                <w:rFonts w:hint="eastAsia" w:ascii="宋体" w:hAnsi="宋体" w:eastAsia="宋体" w:cs="宋体"/>
                <w:b w:val="0"/>
                <w:bCs w:val="0"/>
                <w:color w:val="auto"/>
                <w:sz w:val="21"/>
                <w:szCs w:val="21"/>
                <w:highlight w:val="none"/>
                <w:u w:val="none"/>
                <w:vertAlign w:val="baseline"/>
                <w:lang w:val="en-US" w:eastAsia="zh-CN" w:bidi="ar"/>
              </w:rPr>
              <w:t>/</w:t>
            </w:r>
            <w:bookmarkEnd w:id="598"/>
            <w:bookmarkEnd w:id="599"/>
          </w:p>
        </w:tc>
      </w:tr>
      <w:tr w14:paraId="30F5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1BC2C0A">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2.1工作电压：220V±10；</w:t>
            </w:r>
          </w:p>
        </w:tc>
        <w:tc>
          <w:tcPr>
            <w:tcW w:w="1501" w:type="dxa"/>
            <w:noWrap w:val="0"/>
            <w:vAlign w:val="center"/>
          </w:tcPr>
          <w:p w14:paraId="5091F00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4263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A6D9F46">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2.2工作温度：15℃-35℃；</w:t>
            </w:r>
          </w:p>
        </w:tc>
        <w:tc>
          <w:tcPr>
            <w:tcW w:w="1501" w:type="dxa"/>
            <w:noWrap w:val="0"/>
            <w:vAlign w:val="center"/>
          </w:tcPr>
          <w:p w14:paraId="21804374">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3924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219E8C4">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2.3工作湿度：20%-80%；</w:t>
            </w:r>
          </w:p>
        </w:tc>
        <w:tc>
          <w:tcPr>
            <w:tcW w:w="1501" w:type="dxa"/>
            <w:noWrap w:val="0"/>
            <w:vAlign w:val="center"/>
          </w:tcPr>
          <w:p w14:paraId="0E92CF22">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7F6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8F9528B">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三、技术参数</w:t>
            </w:r>
          </w:p>
        </w:tc>
        <w:tc>
          <w:tcPr>
            <w:tcW w:w="1501" w:type="dxa"/>
            <w:noWrap w:val="0"/>
            <w:vAlign w:val="center"/>
          </w:tcPr>
          <w:p w14:paraId="24C804C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600" w:name="_Toc27345"/>
            <w:bookmarkStart w:id="601" w:name="_Toc616"/>
            <w:r>
              <w:rPr>
                <w:rFonts w:hint="eastAsia" w:ascii="宋体" w:hAnsi="宋体" w:eastAsia="宋体" w:cs="宋体"/>
                <w:b w:val="0"/>
                <w:bCs w:val="0"/>
                <w:color w:val="auto"/>
                <w:sz w:val="21"/>
                <w:szCs w:val="21"/>
                <w:highlight w:val="none"/>
                <w:u w:val="none"/>
                <w:vertAlign w:val="baseline"/>
                <w:lang w:val="en-US" w:eastAsia="zh-CN" w:bidi="ar"/>
              </w:rPr>
              <w:t>/</w:t>
            </w:r>
            <w:bookmarkEnd w:id="600"/>
            <w:bookmarkEnd w:id="601"/>
          </w:p>
        </w:tc>
      </w:tr>
      <w:tr w14:paraId="529F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81FA47B">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3.1硬件参数要求：</w:t>
            </w:r>
          </w:p>
        </w:tc>
        <w:tc>
          <w:tcPr>
            <w:tcW w:w="1501" w:type="dxa"/>
            <w:noWrap w:val="0"/>
            <w:vAlign w:val="center"/>
          </w:tcPr>
          <w:p w14:paraId="61843984">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602" w:name="_Toc6670"/>
            <w:bookmarkStart w:id="603" w:name="_Toc3845"/>
            <w:r>
              <w:rPr>
                <w:rFonts w:hint="eastAsia" w:ascii="宋体" w:hAnsi="宋体" w:eastAsia="宋体" w:cs="宋体"/>
                <w:b w:val="0"/>
                <w:bCs w:val="0"/>
                <w:color w:val="auto"/>
                <w:sz w:val="21"/>
                <w:szCs w:val="21"/>
                <w:highlight w:val="none"/>
                <w:u w:val="none"/>
                <w:vertAlign w:val="baseline"/>
                <w:lang w:val="en-US" w:eastAsia="zh-CN" w:bidi="ar"/>
              </w:rPr>
              <w:t>/</w:t>
            </w:r>
            <w:bookmarkEnd w:id="602"/>
            <w:bookmarkEnd w:id="603"/>
          </w:p>
        </w:tc>
      </w:tr>
      <w:tr w14:paraId="63FD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C2993DE">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3.1.1微波功率≥1500 W；</w:t>
            </w:r>
          </w:p>
        </w:tc>
        <w:tc>
          <w:tcPr>
            <w:tcW w:w="1501" w:type="dxa"/>
            <w:noWrap w:val="0"/>
            <w:vAlign w:val="center"/>
          </w:tcPr>
          <w:p w14:paraId="1BC6800C">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D98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C7CC8A8">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▲3.1.2最大工作压力≥200 Bar，最大操作温度≥300 °C；【投标时需提供产品彩页或有关证明材料并加盖投标人单位公章】</w:t>
            </w:r>
          </w:p>
        </w:tc>
        <w:tc>
          <w:tcPr>
            <w:tcW w:w="1501" w:type="dxa"/>
            <w:noWrap w:val="0"/>
            <w:vAlign w:val="center"/>
          </w:tcPr>
          <w:p w14:paraId="1904BB8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604" w:name="_Toc6472"/>
            <w:bookmarkStart w:id="605" w:name="_Toc10602"/>
            <w:r>
              <w:rPr>
                <w:rFonts w:hint="eastAsia" w:ascii="宋体" w:hAnsi="宋体" w:eastAsia="宋体" w:cs="宋体"/>
                <w:b w:val="0"/>
                <w:bCs w:val="0"/>
                <w:color w:val="auto"/>
                <w:sz w:val="21"/>
                <w:szCs w:val="21"/>
                <w:highlight w:val="none"/>
                <w:u w:val="none"/>
                <w:vertAlign w:val="baseline"/>
                <w:lang w:val="en-US" w:eastAsia="zh-CN" w:bidi="ar"/>
              </w:rPr>
              <w:t>实质性参数</w:t>
            </w:r>
            <w:bookmarkEnd w:id="604"/>
            <w:bookmarkEnd w:id="605"/>
          </w:p>
        </w:tc>
      </w:tr>
      <w:tr w14:paraId="26AC4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B28F24B">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3.1.3反应腔体积≥1.0L；最大样品处理通量：≥26个/批，单支反应管体积≥7 ml；</w:t>
            </w:r>
          </w:p>
        </w:tc>
        <w:tc>
          <w:tcPr>
            <w:tcW w:w="1501" w:type="dxa"/>
            <w:noWrap w:val="0"/>
            <w:vAlign w:val="center"/>
          </w:tcPr>
          <w:p w14:paraId="7B4982A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8DA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98ECED4">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3.1.4内置式自动排酸系统；</w:t>
            </w:r>
          </w:p>
        </w:tc>
        <w:tc>
          <w:tcPr>
            <w:tcW w:w="1501" w:type="dxa"/>
            <w:noWrap w:val="0"/>
            <w:vAlign w:val="center"/>
          </w:tcPr>
          <w:p w14:paraId="1F28B9C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D3C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5D7D19D">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3.1.5自动预加压：反应腔样品消解前可预先充入高压氮气，使反应腔压力达到30-90 bar。 可自动加压和泄压，无需手动操作；</w:t>
            </w:r>
          </w:p>
        </w:tc>
        <w:tc>
          <w:tcPr>
            <w:tcW w:w="1501" w:type="dxa"/>
            <w:noWrap w:val="0"/>
            <w:vAlign w:val="center"/>
          </w:tcPr>
          <w:p w14:paraId="0A67E4D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525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D834317">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3.1.6 冷却系统：反应过程中在高温下实时冷却保护反应腔，反应结束后快速冷却降温，提高反应效率；智能控温，控温精度±1℃，确保主机正常使用；</w:t>
            </w:r>
          </w:p>
        </w:tc>
        <w:tc>
          <w:tcPr>
            <w:tcW w:w="1501" w:type="dxa"/>
            <w:noWrap w:val="0"/>
            <w:vAlign w:val="center"/>
          </w:tcPr>
          <w:p w14:paraId="2C94FCF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2CE6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85E8606">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3.1.7内置一体式触摸屏，屏幕≥8英寸；</w:t>
            </w:r>
          </w:p>
        </w:tc>
        <w:tc>
          <w:tcPr>
            <w:tcW w:w="1501" w:type="dxa"/>
            <w:noWrap w:val="0"/>
            <w:vAlign w:val="center"/>
          </w:tcPr>
          <w:p w14:paraId="798CCEE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63EA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C8495D0">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3.1.8温度控制系统：内置温度传感系统，实时监测、控制反应腔内温度，实时显示温度数据与温度曲线；</w:t>
            </w:r>
          </w:p>
        </w:tc>
        <w:tc>
          <w:tcPr>
            <w:tcW w:w="1501" w:type="dxa"/>
            <w:noWrap w:val="0"/>
            <w:vAlign w:val="center"/>
          </w:tcPr>
          <w:p w14:paraId="670E0F15">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3666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A97D629">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3.1.9压力控制系统：内置压力传感系统，实时监测反应腔内压力，实时显示压力数据与压力曲线；</w:t>
            </w:r>
          </w:p>
        </w:tc>
        <w:tc>
          <w:tcPr>
            <w:tcW w:w="1501" w:type="dxa"/>
            <w:noWrap w:val="0"/>
            <w:vAlign w:val="center"/>
          </w:tcPr>
          <w:p w14:paraId="1CDF100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4E1E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8471297">
            <w:pPr>
              <w:keepNext w:val="0"/>
              <w:keepLines w:val="0"/>
              <w:pageBreakBefore w:val="0"/>
              <w:widowControl w:val="0"/>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 xml:space="preserve">▲3.1.10 </w:t>
            </w:r>
            <w:r>
              <w:rPr>
                <w:rFonts w:hint="eastAsia" w:ascii="宋体" w:hAnsi="宋体" w:eastAsia="宋体" w:cs="宋体"/>
                <w:bCs/>
                <w:color w:val="auto"/>
                <w:sz w:val="21"/>
                <w:szCs w:val="21"/>
                <w:highlight w:val="none"/>
                <w:rtl w:val="0"/>
                <w:lang w:val="en-US" w:eastAsia="zh-CN"/>
              </w:rPr>
              <w:t>消解完成以后，内衬杯或腔盖可整体自动提升；【投标时需提供内衬杯或腔盖自动提升过程照片并加盖投保人单位公章】</w:t>
            </w:r>
          </w:p>
        </w:tc>
        <w:tc>
          <w:tcPr>
            <w:tcW w:w="1501" w:type="dxa"/>
            <w:noWrap w:val="0"/>
            <w:vAlign w:val="center"/>
          </w:tcPr>
          <w:p w14:paraId="54AD46B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606" w:name="_Toc16752"/>
            <w:bookmarkStart w:id="607" w:name="_Toc29889"/>
            <w:r>
              <w:rPr>
                <w:rFonts w:hint="eastAsia" w:ascii="宋体" w:hAnsi="宋体" w:eastAsia="宋体" w:cs="宋体"/>
                <w:b w:val="0"/>
                <w:bCs w:val="0"/>
                <w:color w:val="auto"/>
                <w:sz w:val="21"/>
                <w:szCs w:val="21"/>
                <w:highlight w:val="none"/>
                <w:u w:val="none"/>
                <w:vertAlign w:val="baseline"/>
                <w:lang w:val="en-US" w:eastAsia="zh-CN" w:bidi="ar"/>
              </w:rPr>
              <w:t>实质性参数</w:t>
            </w:r>
            <w:bookmarkEnd w:id="606"/>
            <w:bookmarkEnd w:id="607"/>
          </w:p>
        </w:tc>
      </w:tr>
      <w:tr w14:paraId="25FF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1A77409">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▲3.1.11 仪器反应腔支持使用逆王水等试剂消解样品；【投标时需提供参数部件照片及说明】</w:t>
            </w:r>
          </w:p>
        </w:tc>
        <w:tc>
          <w:tcPr>
            <w:tcW w:w="1501" w:type="dxa"/>
            <w:noWrap w:val="0"/>
            <w:vAlign w:val="center"/>
          </w:tcPr>
          <w:p w14:paraId="4F791BE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608" w:name="_Toc6451"/>
            <w:bookmarkStart w:id="609" w:name="_Toc28997"/>
            <w:r>
              <w:rPr>
                <w:rFonts w:hint="eastAsia" w:ascii="宋体" w:hAnsi="宋体" w:eastAsia="宋体" w:cs="宋体"/>
                <w:b w:val="0"/>
                <w:bCs w:val="0"/>
                <w:color w:val="auto"/>
                <w:sz w:val="21"/>
                <w:szCs w:val="21"/>
                <w:highlight w:val="none"/>
                <w:u w:val="none"/>
                <w:vertAlign w:val="baseline"/>
                <w:lang w:val="en-US" w:eastAsia="zh-CN" w:bidi="ar"/>
              </w:rPr>
              <w:t>实质性参数</w:t>
            </w:r>
            <w:bookmarkEnd w:id="608"/>
            <w:bookmarkEnd w:id="609"/>
          </w:p>
        </w:tc>
      </w:tr>
      <w:tr w14:paraId="10A2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2283D6F">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▲3.1.12 支架及消解管：消解管类型可选玻璃，石英，特氟龙等，消解管体积5-50mL范围内最少三种规格可选，并匹配相应规格的特氟龙支架；【投标时需提供拟配置装置清单列表及照片图片】</w:t>
            </w:r>
          </w:p>
        </w:tc>
        <w:tc>
          <w:tcPr>
            <w:tcW w:w="1501" w:type="dxa"/>
            <w:noWrap w:val="0"/>
            <w:vAlign w:val="center"/>
          </w:tcPr>
          <w:p w14:paraId="6D3D261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610" w:name="_Toc25778"/>
            <w:bookmarkStart w:id="611" w:name="_Toc30407"/>
            <w:r>
              <w:rPr>
                <w:rFonts w:hint="eastAsia" w:ascii="宋体" w:hAnsi="宋体" w:eastAsia="宋体" w:cs="宋体"/>
                <w:b w:val="0"/>
                <w:bCs w:val="0"/>
                <w:color w:val="auto"/>
                <w:sz w:val="21"/>
                <w:szCs w:val="21"/>
                <w:highlight w:val="none"/>
                <w:u w:val="none"/>
                <w:vertAlign w:val="baseline"/>
                <w:lang w:val="en-US" w:eastAsia="zh-CN" w:bidi="ar"/>
              </w:rPr>
              <w:t>实质性参数</w:t>
            </w:r>
            <w:bookmarkEnd w:id="610"/>
            <w:bookmarkEnd w:id="611"/>
          </w:p>
        </w:tc>
      </w:tr>
      <w:tr w14:paraId="49CA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EB33A58">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 软件控制系统：</w:t>
            </w:r>
          </w:p>
        </w:tc>
        <w:tc>
          <w:tcPr>
            <w:tcW w:w="1501" w:type="dxa"/>
            <w:noWrap w:val="0"/>
            <w:vAlign w:val="center"/>
          </w:tcPr>
          <w:p w14:paraId="04876E5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612" w:name="_Toc12389"/>
            <w:bookmarkStart w:id="613" w:name="_Toc10785"/>
            <w:r>
              <w:rPr>
                <w:rFonts w:hint="eastAsia" w:ascii="宋体" w:hAnsi="宋体" w:eastAsia="宋体" w:cs="宋体"/>
                <w:b w:val="0"/>
                <w:bCs w:val="0"/>
                <w:color w:val="auto"/>
                <w:sz w:val="21"/>
                <w:szCs w:val="21"/>
                <w:highlight w:val="none"/>
                <w:u w:val="none"/>
                <w:vertAlign w:val="baseline"/>
                <w:lang w:val="en-US" w:eastAsia="zh-CN" w:bidi="ar"/>
              </w:rPr>
              <w:t>/</w:t>
            </w:r>
            <w:bookmarkEnd w:id="612"/>
            <w:bookmarkEnd w:id="613"/>
          </w:p>
        </w:tc>
      </w:tr>
      <w:tr w14:paraId="22BF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E51E1A7">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3.2.1通过预设方法曲线自动调节微波功率，实时显示微波功率曲线；</w:t>
            </w:r>
          </w:p>
        </w:tc>
        <w:tc>
          <w:tcPr>
            <w:tcW w:w="1501" w:type="dxa"/>
            <w:noWrap w:val="0"/>
            <w:vAlign w:val="center"/>
          </w:tcPr>
          <w:p w14:paraId="13E53E9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E741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70FE67E">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3.2.2 可控制和修改所有的反应参数；</w:t>
            </w:r>
          </w:p>
        </w:tc>
        <w:tc>
          <w:tcPr>
            <w:tcW w:w="1501" w:type="dxa"/>
            <w:noWrap w:val="0"/>
            <w:vAlign w:val="center"/>
          </w:tcPr>
          <w:p w14:paraId="14BDB6CC">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C9F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C13BA0F">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3.2.3 具有智能程序升温、梯度升温功能，实时显示反应腔内温度、压力；</w:t>
            </w:r>
          </w:p>
        </w:tc>
        <w:tc>
          <w:tcPr>
            <w:tcW w:w="1501" w:type="dxa"/>
            <w:noWrap w:val="0"/>
            <w:vAlign w:val="center"/>
          </w:tcPr>
          <w:p w14:paraId="2FA39569">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373D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181CB92">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3.2.4 智能移动终端（手机、平板电脑等）可远程监测仪器设备的运行状态，智能移动终端等实时显示所有数据及曲线；</w:t>
            </w:r>
          </w:p>
        </w:tc>
        <w:tc>
          <w:tcPr>
            <w:tcW w:w="1501" w:type="dxa"/>
            <w:noWrap w:val="0"/>
            <w:vAlign w:val="center"/>
          </w:tcPr>
          <w:p w14:paraId="0671815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582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671DF47">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3.2.5仪器具有状态灯光系统，实时显示设备状态；</w:t>
            </w:r>
          </w:p>
        </w:tc>
        <w:tc>
          <w:tcPr>
            <w:tcW w:w="1501" w:type="dxa"/>
            <w:noWrap w:val="0"/>
            <w:vAlign w:val="center"/>
          </w:tcPr>
          <w:p w14:paraId="36E1F4B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068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B251C91">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3.3赶酸模块：</w:t>
            </w:r>
          </w:p>
        </w:tc>
        <w:tc>
          <w:tcPr>
            <w:tcW w:w="1501" w:type="dxa"/>
            <w:noWrap w:val="0"/>
            <w:vAlign w:val="center"/>
          </w:tcPr>
          <w:p w14:paraId="200B5602">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614" w:name="_Toc5101"/>
            <w:bookmarkStart w:id="615" w:name="_Toc7635"/>
            <w:r>
              <w:rPr>
                <w:rFonts w:hint="eastAsia" w:ascii="宋体" w:hAnsi="宋体" w:eastAsia="宋体" w:cs="宋体"/>
                <w:b w:val="0"/>
                <w:bCs w:val="0"/>
                <w:color w:val="auto"/>
                <w:sz w:val="21"/>
                <w:szCs w:val="21"/>
                <w:highlight w:val="none"/>
                <w:u w:val="none"/>
                <w:vertAlign w:val="baseline"/>
                <w:lang w:val="en-US" w:eastAsia="zh-CN" w:bidi="ar"/>
              </w:rPr>
              <w:t>/</w:t>
            </w:r>
            <w:bookmarkEnd w:id="614"/>
            <w:bookmarkEnd w:id="615"/>
          </w:p>
        </w:tc>
      </w:tr>
      <w:tr w14:paraId="42A06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4E711FB">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3.3.1控温范围：室温-200℃；</w:t>
            </w:r>
          </w:p>
        </w:tc>
        <w:tc>
          <w:tcPr>
            <w:tcW w:w="1501" w:type="dxa"/>
            <w:noWrap w:val="0"/>
            <w:vAlign w:val="center"/>
          </w:tcPr>
          <w:p w14:paraId="08AF2CDC">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C7D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F794B21">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3.3.2控温精度： ±1℃；</w:t>
            </w:r>
          </w:p>
        </w:tc>
        <w:tc>
          <w:tcPr>
            <w:tcW w:w="1501" w:type="dxa"/>
            <w:noWrap w:val="0"/>
            <w:vAlign w:val="center"/>
          </w:tcPr>
          <w:p w14:paraId="7358895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7567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F50502C">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3.3.3整机通过防腐处理，加热材质为石墨，表面喷有特氟龙防腐涂层，操作台面喷涂特氟龙防腐涂层；</w:t>
            </w:r>
          </w:p>
        </w:tc>
        <w:tc>
          <w:tcPr>
            <w:tcW w:w="1501" w:type="dxa"/>
            <w:noWrap w:val="0"/>
            <w:vAlign w:val="center"/>
          </w:tcPr>
          <w:p w14:paraId="268ED0FC">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2FDB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E4C53AB">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▲3.3.4样品孔数：大于等于27个；至少满足三种规格消解管；【投标时需提供拟配置装置清单列表及照片图片】</w:t>
            </w:r>
          </w:p>
        </w:tc>
        <w:tc>
          <w:tcPr>
            <w:tcW w:w="1501" w:type="dxa"/>
            <w:noWrap w:val="0"/>
            <w:vAlign w:val="center"/>
          </w:tcPr>
          <w:p w14:paraId="64B89F4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616" w:name="_Toc10770"/>
            <w:bookmarkStart w:id="617" w:name="_Toc28263"/>
            <w:r>
              <w:rPr>
                <w:rFonts w:hint="eastAsia" w:ascii="宋体" w:hAnsi="宋体" w:eastAsia="宋体" w:cs="宋体"/>
                <w:b w:val="0"/>
                <w:bCs w:val="0"/>
                <w:color w:val="auto"/>
                <w:sz w:val="21"/>
                <w:szCs w:val="21"/>
                <w:highlight w:val="none"/>
                <w:u w:val="none"/>
                <w:vertAlign w:val="baseline"/>
                <w:lang w:val="en-US" w:eastAsia="zh-CN" w:bidi="ar"/>
              </w:rPr>
              <w:t>实质性参数</w:t>
            </w:r>
            <w:bookmarkEnd w:id="616"/>
            <w:bookmarkEnd w:id="617"/>
          </w:p>
        </w:tc>
      </w:tr>
      <w:tr w14:paraId="18F0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51AAC5F">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3.3.5定时范围：1-999分钟。</w:t>
            </w:r>
          </w:p>
        </w:tc>
        <w:tc>
          <w:tcPr>
            <w:tcW w:w="1501" w:type="dxa"/>
            <w:noWrap w:val="0"/>
            <w:vAlign w:val="center"/>
          </w:tcPr>
          <w:p w14:paraId="5DB46C0C">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618" w:name="_Toc7051"/>
            <w:bookmarkStart w:id="619" w:name="_Toc29363"/>
            <w:r>
              <w:rPr>
                <w:rFonts w:hint="eastAsia" w:ascii="宋体" w:hAnsi="宋体" w:eastAsia="宋体" w:cs="宋体"/>
                <w:b w:val="0"/>
                <w:bCs w:val="0"/>
                <w:color w:val="auto"/>
                <w:sz w:val="21"/>
                <w:szCs w:val="21"/>
                <w:highlight w:val="none"/>
                <w:u w:val="none"/>
                <w:vertAlign w:val="baseline"/>
                <w:lang w:val="en-US" w:eastAsia="zh-CN" w:bidi="ar"/>
              </w:rPr>
              <w:t>一般参数</w:t>
            </w:r>
            <w:bookmarkEnd w:id="618"/>
            <w:bookmarkEnd w:id="619"/>
          </w:p>
        </w:tc>
      </w:tr>
      <w:tr w14:paraId="2124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6447088">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四、单台配置及消耗品清单（可实现技术参数的功能）</w:t>
            </w:r>
          </w:p>
        </w:tc>
        <w:tc>
          <w:tcPr>
            <w:tcW w:w="1501" w:type="dxa"/>
            <w:noWrap w:val="0"/>
            <w:vAlign w:val="center"/>
          </w:tcPr>
          <w:p w14:paraId="23C1F5F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w:t>
            </w:r>
          </w:p>
        </w:tc>
      </w:tr>
      <w:tr w14:paraId="3F21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3AD92B2">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4.1超级微波消解仪主机（含一体式控制系统和操作软件，内置一体式触摸屏，屏幕≥8英寸），1套；</w:t>
            </w:r>
          </w:p>
        </w:tc>
        <w:tc>
          <w:tcPr>
            <w:tcW w:w="1501" w:type="dxa"/>
            <w:noWrap w:val="0"/>
            <w:vAlign w:val="center"/>
          </w:tcPr>
          <w:p w14:paraId="6CF5B08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620" w:name="_Toc28414"/>
            <w:bookmarkStart w:id="621" w:name="_Toc26335"/>
            <w:r>
              <w:rPr>
                <w:rFonts w:hint="eastAsia" w:ascii="宋体" w:hAnsi="宋体" w:eastAsia="宋体" w:cs="宋体"/>
                <w:b w:val="0"/>
                <w:bCs w:val="0"/>
                <w:color w:val="auto"/>
                <w:sz w:val="21"/>
                <w:szCs w:val="21"/>
                <w:highlight w:val="none"/>
                <w:u w:val="none"/>
                <w:vertAlign w:val="baseline"/>
                <w:lang w:val="en-US" w:eastAsia="zh-CN" w:bidi="ar"/>
              </w:rPr>
              <w:t>一般参数</w:t>
            </w:r>
            <w:bookmarkEnd w:id="620"/>
            <w:bookmarkEnd w:id="621"/>
          </w:p>
        </w:tc>
      </w:tr>
      <w:tr w14:paraId="1034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80648BA">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4.2高精度温度控制系统，1套；</w:t>
            </w:r>
          </w:p>
        </w:tc>
        <w:tc>
          <w:tcPr>
            <w:tcW w:w="1501" w:type="dxa"/>
            <w:noWrap w:val="0"/>
            <w:vAlign w:val="center"/>
          </w:tcPr>
          <w:p w14:paraId="1C9F22E5">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2C720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A495256">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4.3自动压力控制系统，1套；</w:t>
            </w:r>
          </w:p>
        </w:tc>
        <w:tc>
          <w:tcPr>
            <w:tcW w:w="1501" w:type="dxa"/>
            <w:noWrap w:val="0"/>
            <w:vAlign w:val="center"/>
          </w:tcPr>
          <w:p w14:paraId="703FA4E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3DCD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EFC39DC">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4.4冷却系统，1套；</w:t>
            </w:r>
          </w:p>
        </w:tc>
        <w:tc>
          <w:tcPr>
            <w:tcW w:w="1501" w:type="dxa"/>
            <w:noWrap w:val="0"/>
            <w:vAlign w:val="center"/>
          </w:tcPr>
          <w:p w14:paraId="535F374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35CE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E4E232C">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4.5特氟龙支架及配套消解管1（位数≥7位，配消解管体积≥30ml，数量18根，特氟龙盖子18个，若有配套专用定位盘，须提供），1套；</w:t>
            </w:r>
          </w:p>
        </w:tc>
        <w:tc>
          <w:tcPr>
            <w:tcW w:w="1501" w:type="dxa"/>
            <w:noWrap w:val="0"/>
            <w:vAlign w:val="center"/>
          </w:tcPr>
          <w:p w14:paraId="4E39423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498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9765B29">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4.6特氟龙支架及配套消解管2（位数≥18位，配套特氟龙消解管体积≥14ml，36 根，特氟龙盖子36个，若有配套专用定位盘，须提供），1套；</w:t>
            </w:r>
          </w:p>
        </w:tc>
        <w:tc>
          <w:tcPr>
            <w:tcW w:w="1501" w:type="dxa"/>
            <w:noWrap w:val="0"/>
            <w:vAlign w:val="center"/>
          </w:tcPr>
          <w:p w14:paraId="2C980AAC">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25F59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D485872">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4.7特氟龙支架及配套消解管3（位数≥24位，配套特氟龙消解管体积≥7ml，48根，特氟龙盖子48个，若有配套专用定位盘，须提供），1套；</w:t>
            </w:r>
          </w:p>
        </w:tc>
        <w:tc>
          <w:tcPr>
            <w:tcW w:w="1501" w:type="dxa"/>
            <w:noWrap w:val="0"/>
            <w:vAlign w:val="center"/>
          </w:tcPr>
          <w:p w14:paraId="661661C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1CE8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58558FF">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4.8赶酸模块（孔位大小和位数同时满足4.5、4.6、4.7要求），1套。</w:t>
            </w:r>
          </w:p>
        </w:tc>
        <w:tc>
          <w:tcPr>
            <w:tcW w:w="1501" w:type="dxa"/>
            <w:noWrap w:val="0"/>
            <w:vAlign w:val="center"/>
          </w:tcPr>
          <w:p w14:paraId="2490041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bl>
    <w:p w14:paraId="05E312B7">
      <w:pPr>
        <w:rPr>
          <w:rFonts w:hint="eastAsia"/>
          <w:color w:val="auto"/>
          <w:highlight w:val="none"/>
          <w:lang w:eastAsia="zh-CN"/>
        </w:rPr>
      </w:pPr>
      <w:r>
        <w:rPr>
          <w:rFonts w:hint="eastAsia"/>
          <w:color w:val="auto"/>
          <w:highlight w:val="none"/>
          <w:lang w:eastAsia="zh-CN"/>
        </w:rPr>
        <w:br w:type="page"/>
      </w:r>
    </w:p>
    <w:p w14:paraId="09E06F96">
      <w:pPr>
        <w:pStyle w:val="31"/>
        <w:numPr>
          <w:ilvl w:val="0"/>
          <w:numId w:val="0"/>
        </w:numPr>
        <w:outlineLvl w:val="1"/>
        <w:rPr>
          <w:rFonts w:hint="default" w:ascii="仿宋" w:hAnsi="仿宋" w:eastAsia="仿宋" w:cs="仿宋"/>
          <w:color w:val="auto"/>
          <w:sz w:val="32"/>
          <w:szCs w:val="32"/>
          <w:highlight w:val="none"/>
          <w:u w:val="single"/>
          <w:lang w:val="en-US" w:eastAsia="zh-CN"/>
        </w:rPr>
      </w:pPr>
      <w:bookmarkStart w:id="622" w:name="_Toc8869"/>
      <w:bookmarkStart w:id="623" w:name="_Toc6095"/>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kern w:val="0"/>
          <w:sz w:val="21"/>
          <w:szCs w:val="21"/>
          <w:highlight w:val="none"/>
          <w:lang w:val="en-US" w:eastAsia="zh-CN" w:bidi="ar-SA"/>
        </w:rPr>
        <w:t>标项</w:t>
      </w:r>
      <w:r>
        <w:rPr>
          <w:rFonts w:hint="eastAsia" w:ascii="宋体" w:hAnsi="宋体" w:cs="宋体"/>
          <w:b/>
          <w:bCs/>
          <w:color w:val="auto"/>
          <w:kern w:val="0"/>
          <w:sz w:val="21"/>
          <w:szCs w:val="21"/>
          <w:highlight w:val="none"/>
          <w:lang w:val="en-US" w:eastAsia="zh-CN" w:bidi="ar-SA"/>
        </w:rPr>
        <w:t>六</w:t>
      </w:r>
      <w:r>
        <w:rPr>
          <w:rFonts w:hint="eastAsia" w:ascii="宋体" w:hAnsi="宋体" w:eastAsia="宋体" w:cs="宋体"/>
          <w:b/>
          <w:bCs/>
          <w:color w:val="auto"/>
          <w:kern w:val="0"/>
          <w:sz w:val="21"/>
          <w:szCs w:val="21"/>
          <w:highlight w:val="none"/>
          <w:lang w:val="en-US" w:eastAsia="zh-CN" w:bidi="ar-SA"/>
        </w:rPr>
        <w:t>（分包</w:t>
      </w:r>
      <w:r>
        <w:rPr>
          <w:rFonts w:hint="eastAsia" w:ascii="宋体" w:hAnsi="宋体" w:cs="宋体"/>
          <w:b/>
          <w:bCs/>
          <w:color w:val="auto"/>
          <w:kern w:val="0"/>
          <w:sz w:val="21"/>
          <w:szCs w:val="21"/>
          <w:highlight w:val="none"/>
          <w:lang w:val="en-US" w:eastAsia="zh-CN" w:bidi="ar-SA"/>
        </w:rPr>
        <w:t>6</w:t>
      </w:r>
      <w:r>
        <w:rPr>
          <w:rFonts w:hint="eastAsia" w:ascii="宋体" w:hAnsi="宋体" w:eastAsia="宋体" w:cs="宋体"/>
          <w:b/>
          <w:bCs/>
          <w:color w:val="auto"/>
          <w:kern w:val="0"/>
          <w:sz w:val="21"/>
          <w:szCs w:val="21"/>
          <w:highlight w:val="none"/>
          <w:lang w:val="en-US" w:eastAsia="zh-CN" w:bidi="ar-SA"/>
        </w:rPr>
        <w:t>）</w:t>
      </w:r>
      <w:r>
        <w:rPr>
          <w:rFonts w:hint="eastAsia" w:ascii="宋体" w:hAnsi="宋体" w:eastAsia="宋体" w:cs="宋体"/>
          <w:b/>
          <w:bCs/>
          <w:color w:val="auto"/>
          <w:sz w:val="21"/>
          <w:szCs w:val="21"/>
          <w:highlight w:val="none"/>
        </w:rPr>
        <w:t>评标标准</w:t>
      </w:r>
      <w:bookmarkEnd w:id="622"/>
      <w:bookmarkEnd w:id="623"/>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9"/>
        <w:gridCol w:w="875"/>
        <w:gridCol w:w="6672"/>
        <w:gridCol w:w="6"/>
      </w:tblGrid>
      <w:tr w14:paraId="0B35E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0B57F3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评标项目</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553C6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kern w:val="2"/>
                <w:sz w:val="21"/>
                <w:szCs w:val="21"/>
                <w:highlight w:val="none"/>
                <w:lang w:val="en-US" w:eastAsia="zh-CN" w:bidi="ar"/>
              </w:rPr>
              <w:t>评标</w:t>
            </w:r>
          </w:p>
          <w:p w14:paraId="7737FA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分值</w:t>
            </w:r>
          </w:p>
        </w:tc>
        <w:tc>
          <w:tcPr>
            <w:tcW w:w="6672" w:type="dxa"/>
            <w:tcBorders>
              <w:top w:val="single" w:color="000000" w:sz="4" w:space="0"/>
              <w:left w:val="single" w:color="000000" w:sz="4" w:space="0"/>
              <w:bottom w:val="single" w:color="000000" w:sz="4" w:space="0"/>
              <w:right w:val="single" w:color="000000" w:sz="4" w:space="0"/>
            </w:tcBorders>
            <w:noWrap w:val="0"/>
            <w:vAlign w:val="center"/>
          </w:tcPr>
          <w:p w14:paraId="712233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评标方法描述</w:t>
            </w:r>
          </w:p>
        </w:tc>
      </w:tr>
      <w:tr w14:paraId="021F7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2013A1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（一）价格分（满分30分）</w:t>
            </w:r>
          </w:p>
        </w:tc>
      </w:tr>
      <w:tr w14:paraId="5E334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1818DA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投标报价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606A1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30分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654AA4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1.评标报价为投标人的投标报价进行政策性扣除后的价格，评标报价只是作为评标时使用。最终中标人的中标金额等于投标报价。</w:t>
            </w:r>
          </w:p>
          <w:p w14:paraId="334C73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2.中小微企业、监狱企业、残疾人福利性单位的价格政策：</w:t>
            </w:r>
          </w:p>
          <w:p w14:paraId="4B1872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根据《政府采购促进中小企业发展管理办法》（财库〔2020〕46号）及《广西壮族自治区财政厅关于持续优化政府采购营商环境推动高质量发展的通知》（桂财采〔2024〕55号）的规定，投标产品制造商全部属于《政府采购促进中小企业发展管理办法》规定的小微企业的，对投标报价给予10%的扣除，扣除后的价格为评标价，即评标价=投标报价×（1–10%）；用扣除后的价格参加评审；大中型企业与小微企业组成联合体或者大中型企业向一家或者多家小微企业分包，且联合协议或者分包意向协议约定小微企业的合同份额占到合同总金额30%以上的，对联合体或者大中型企业的报价给予6%（工程项目为2%）的扣除，扣除后的价格为评标价，即评标价=投标报价×（1–6%）；不符合上述给予扣除情形的，评标价=投标报价。</w:t>
            </w:r>
          </w:p>
          <w:p w14:paraId="141330C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5E93E59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ED39D1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3.支持本国产品的价格政策：</w:t>
            </w:r>
          </w:p>
          <w:p w14:paraId="7CAF7A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既有本国产品又有非本国产品参与竞争的，依法对本国产品给予价格评审优惠，对本国产品的报价给予20%的价格扣除，用扣除后的价格参与评审，即评审价=投标报价×（1-20%）。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适用情形详见“投标人须知前附表”的规定。对供应商所出具的《声明函》完整性、准确性进行审查。符合澄清补正情形的，应以书面形式要求供应商澄清补正，澄清补正后仍不符合要求的，不享受价格评审优惠。</w:t>
            </w:r>
          </w:p>
          <w:p w14:paraId="3BBFAA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所有供应商提供参与投标竞争的均为本国产品，则不再执行支持本国产品价格评审优惠的扶植政策。</w:t>
            </w:r>
          </w:p>
          <w:p w14:paraId="63A456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4.本国产品价格扣除政策与中小微企业、监狱企业、残疾人福利性单位价格扣除政策可重复享受，统一在原投标报价的基础上进行价格扣除。</w:t>
            </w:r>
          </w:p>
          <w:p w14:paraId="3F9FFE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5.满足招标文件要求且评标报价最低的评标报价为评标基准价，其价格分为满分。</w:t>
            </w:r>
          </w:p>
          <w:p w14:paraId="4F21F7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6.价格分计算公式：</w:t>
            </w:r>
          </w:p>
          <w:p w14:paraId="0EB555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价格分=(评标基准价／评标报价)×30分。</w:t>
            </w:r>
          </w:p>
          <w:p w14:paraId="57D250A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7.（1）政府采购评审中出现下列情形之一的，评审委员会应当启动异常低价投标审查程序：</w:t>
            </w:r>
          </w:p>
          <w:p w14:paraId="7A79B35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①投标报价低于全部通过符合性审查供应商投标报价平均值65%的，即投标报价＜全部通过符合性审查供应商投标报价平均值×65%；</w:t>
            </w:r>
          </w:p>
          <w:p w14:paraId="28777AF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 2 \* GB3 \* MERGEFORMAT </w:instrText>
            </w:r>
            <w:r>
              <w:rPr>
                <w:rFonts w:hint="eastAsia" w:ascii="宋体" w:hAnsi="宋体" w:eastAsia="宋体" w:cs="宋体"/>
                <w:color w:val="auto"/>
                <w:kern w:val="2"/>
                <w:sz w:val="21"/>
                <w:szCs w:val="21"/>
                <w:highlight w:val="none"/>
                <w:lang w:val="en-US" w:eastAsia="zh-CN" w:bidi="ar"/>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投标报价低于通过符合性审查的次低报价供应商投标报价65%的，即投标报价＜通过符合性审查的次低报价供应商投标报价×65%；</w:t>
            </w:r>
          </w:p>
          <w:p w14:paraId="26B9C71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 3 \* GB3 \* MERGEFORMAT </w:instrText>
            </w:r>
            <w:r>
              <w:rPr>
                <w:rFonts w:hint="eastAsia" w:ascii="宋体" w:hAnsi="宋体" w:eastAsia="宋体" w:cs="宋体"/>
                <w:color w:val="auto"/>
                <w:kern w:val="2"/>
                <w:sz w:val="21"/>
                <w:szCs w:val="21"/>
                <w:highlight w:val="none"/>
                <w:lang w:val="en-US" w:eastAsia="zh-CN" w:bidi="ar"/>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投标报价低于采购项目最高限价65%的，即投标报价＜采购项目最高限价×65%；</w:t>
            </w:r>
          </w:p>
          <w:p w14:paraId="2B83B87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 4 \* GB3 \* MERGEFORMAT </w:instrText>
            </w:r>
            <w:r>
              <w:rPr>
                <w:rFonts w:hint="eastAsia" w:ascii="宋体" w:hAnsi="宋体" w:eastAsia="宋体" w:cs="宋体"/>
                <w:color w:val="auto"/>
                <w:kern w:val="2"/>
                <w:sz w:val="21"/>
                <w:szCs w:val="21"/>
                <w:highlight w:val="none"/>
                <w:lang w:val="en-US" w:eastAsia="zh-CN" w:bidi="ar"/>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评审委员会基于专业判断，认为供应商报价过低，有可能影响产品质量或者不能诚信履约的其他情形。</w:t>
            </w:r>
          </w:p>
          <w:p w14:paraId="6C78271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（2）评审委员会启动异常低价投标审查后，属于前述第①项至第</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 4 \* GB3 \* MERGEFORMAT </w:instrText>
            </w:r>
            <w:r>
              <w:rPr>
                <w:rFonts w:hint="eastAsia" w:ascii="宋体" w:hAnsi="宋体" w:eastAsia="宋体" w:cs="宋体"/>
                <w:color w:val="auto"/>
                <w:kern w:val="2"/>
                <w:sz w:val="21"/>
                <w:szCs w:val="21"/>
                <w:highlight w:val="none"/>
                <w:lang w:val="en-US" w:eastAsia="zh-CN" w:bidi="ar"/>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 3 \* GB3 \* MERGEFORMAT </w:instrText>
            </w:r>
            <w:r>
              <w:rPr>
                <w:rFonts w:hint="eastAsia" w:ascii="宋体" w:hAnsi="宋体" w:eastAsia="宋体" w:cs="宋体"/>
                <w:color w:val="auto"/>
                <w:kern w:val="2"/>
                <w:sz w:val="21"/>
                <w:szCs w:val="21"/>
                <w:highlight w:val="none"/>
                <w:lang w:val="en-US" w:eastAsia="zh-CN" w:bidi="ar"/>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项情形，供应商已随投标文件一并提交相关书面说明及必要的证明材料的，在评审现场可不再重复提交。</w:t>
            </w:r>
          </w:p>
          <w:p w14:paraId="51564F2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评审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4ABAD31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49B06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（5）异常低价投标审查的启动原因、审查意见和审查结果应当在评审报告中记录，并随供应商提供的相关书面说明及证明材料，以及评审委员会有关互联网浏览、查询历史一并归档。</w:t>
            </w:r>
          </w:p>
        </w:tc>
      </w:tr>
      <w:tr w14:paraId="4FB83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774ECC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（二）技术分（满分</w:t>
            </w:r>
            <w:r>
              <w:rPr>
                <w:rFonts w:hint="eastAsia" w:ascii="宋体" w:hAnsi="宋体" w:cs="宋体"/>
                <w:color w:val="auto"/>
                <w:kern w:val="2"/>
                <w:sz w:val="21"/>
                <w:szCs w:val="21"/>
                <w:highlight w:val="none"/>
                <w:lang w:val="en-US" w:eastAsia="zh-CN" w:bidi="ar"/>
              </w:rPr>
              <w:t>65</w:t>
            </w:r>
            <w:r>
              <w:rPr>
                <w:rFonts w:hint="eastAsia" w:ascii="宋体" w:hAnsi="宋体" w:eastAsia="宋体" w:cs="宋体"/>
                <w:color w:val="auto"/>
                <w:kern w:val="2"/>
                <w:sz w:val="21"/>
                <w:szCs w:val="21"/>
                <w:highlight w:val="none"/>
                <w:lang w:val="en-US" w:eastAsia="zh-CN" w:bidi="ar"/>
              </w:rPr>
              <w:t>分）</w:t>
            </w:r>
          </w:p>
        </w:tc>
      </w:tr>
      <w:tr w14:paraId="275AA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16EF9A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设备技术参数响应</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FB520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w:t>
            </w:r>
            <w:r>
              <w:rPr>
                <w:rFonts w:hint="eastAsia" w:ascii="宋体" w:hAnsi="宋体" w:cs="宋体"/>
                <w:color w:val="auto"/>
                <w:kern w:val="2"/>
                <w:sz w:val="21"/>
                <w:szCs w:val="21"/>
                <w:highlight w:val="none"/>
                <w:lang w:val="en-US" w:eastAsia="zh-CN" w:bidi="ar"/>
              </w:rPr>
              <w:t>29.6</w:t>
            </w:r>
            <w:r>
              <w:rPr>
                <w:rFonts w:hint="eastAsia" w:ascii="宋体" w:hAnsi="宋体" w:eastAsia="宋体" w:cs="宋体"/>
                <w:color w:val="auto"/>
                <w:kern w:val="2"/>
                <w:sz w:val="21"/>
                <w:szCs w:val="21"/>
                <w:highlight w:val="none"/>
                <w:lang w:val="en-US" w:eastAsia="zh-CN" w:bidi="ar"/>
              </w:rPr>
              <w:t>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76865E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根据投标人的设备技术参数响应情况对应以下要求评分：</w:t>
            </w:r>
          </w:p>
          <w:p w14:paraId="04E26237">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一般参数（包含软件对接需求）共</w:t>
            </w:r>
            <w:r>
              <w:rPr>
                <w:rFonts w:hint="eastAsia" w:ascii="宋体" w:hAnsi="宋体" w:cs="宋体"/>
                <w:color w:val="auto"/>
                <w:kern w:val="2"/>
                <w:sz w:val="21"/>
                <w:szCs w:val="21"/>
                <w:highlight w:val="none"/>
                <w:lang w:val="en-US" w:eastAsia="zh-CN" w:bidi="ar"/>
              </w:rPr>
              <w:t>34</w:t>
            </w:r>
            <w:r>
              <w:rPr>
                <w:rFonts w:hint="eastAsia" w:ascii="宋体" w:hAnsi="宋体" w:eastAsia="宋体" w:cs="宋体"/>
                <w:color w:val="auto"/>
                <w:kern w:val="2"/>
                <w:sz w:val="21"/>
                <w:szCs w:val="21"/>
                <w:highlight w:val="none"/>
                <w:lang w:val="en-US" w:eastAsia="zh-CN" w:bidi="ar"/>
              </w:rPr>
              <w:t>项，每一项符合（无负偏离）得0.</w:t>
            </w:r>
            <w:r>
              <w:rPr>
                <w:rFonts w:hint="eastAsia" w:ascii="宋体" w:hAnsi="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分，满分</w:t>
            </w:r>
            <w:r>
              <w:rPr>
                <w:rFonts w:hint="eastAsia" w:ascii="宋体" w:hAnsi="宋体" w:cs="宋体"/>
                <w:color w:val="auto"/>
                <w:kern w:val="2"/>
                <w:sz w:val="21"/>
                <w:szCs w:val="21"/>
                <w:highlight w:val="none"/>
                <w:lang w:val="en-US" w:eastAsia="zh-CN" w:bidi="ar"/>
              </w:rPr>
              <w:t>13.6</w:t>
            </w:r>
            <w:r>
              <w:rPr>
                <w:rFonts w:hint="eastAsia" w:ascii="宋体" w:hAnsi="宋体" w:eastAsia="宋体" w:cs="宋体"/>
                <w:color w:val="auto"/>
                <w:kern w:val="2"/>
                <w:sz w:val="21"/>
                <w:szCs w:val="21"/>
                <w:highlight w:val="none"/>
                <w:lang w:val="en-US" w:eastAsia="zh-CN" w:bidi="ar"/>
              </w:rPr>
              <w:t>分。</w:t>
            </w:r>
          </w:p>
          <w:p w14:paraId="36CD17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重要参数共</w:t>
            </w:r>
            <w:r>
              <w:rPr>
                <w:rFonts w:hint="eastAsia" w:ascii="宋体" w:hAnsi="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项，如参数符合（无负偏离）的，每一项得2分；如参数为正偏离的，每一项得</w:t>
            </w:r>
            <w:r>
              <w:rPr>
                <w:rFonts w:hint="eastAsia" w:ascii="宋体" w:hAnsi="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分。满分1</w:t>
            </w:r>
            <w:r>
              <w:rPr>
                <w:rFonts w:hint="eastAsia" w:ascii="宋体" w:hAnsi="宋体" w:cs="宋体"/>
                <w:color w:val="auto"/>
                <w:kern w:val="2"/>
                <w:sz w:val="21"/>
                <w:szCs w:val="21"/>
                <w:highlight w:val="none"/>
                <w:lang w:val="en-US" w:eastAsia="zh-CN" w:bidi="ar"/>
              </w:rPr>
              <w:t>6</w:t>
            </w:r>
            <w:r>
              <w:rPr>
                <w:rFonts w:hint="eastAsia" w:ascii="宋体" w:hAnsi="宋体" w:eastAsia="宋体" w:cs="宋体"/>
                <w:color w:val="auto"/>
                <w:kern w:val="2"/>
                <w:sz w:val="21"/>
                <w:szCs w:val="21"/>
                <w:highlight w:val="none"/>
                <w:lang w:val="en-US" w:eastAsia="zh-CN" w:bidi="ar"/>
              </w:rPr>
              <w:t>分。</w:t>
            </w:r>
          </w:p>
          <w:p w14:paraId="5386DD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val="en-US"/>
              </w:rPr>
              <w:t>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一般参数指未标注“▲”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的指标参数。</w:t>
            </w:r>
            <w:r>
              <w:rPr>
                <w:rFonts w:hint="eastAsia" w:ascii="宋体" w:hAnsi="宋体" w:eastAsia="宋体" w:cs="宋体"/>
                <w:color w:val="auto"/>
                <w:sz w:val="21"/>
                <w:szCs w:val="21"/>
                <w:highlight w:val="none"/>
                <w:lang w:val="en-US" w:eastAsia="zh-CN"/>
              </w:rPr>
              <w:t>重要参数</w:t>
            </w:r>
            <w:r>
              <w:rPr>
                <w:rFonts w:hint="eastAsia" w:ascii="宋体" w:hAnsi="宋体" w:eastAsia="宋体" w:cs="宋体"/>
                <w:color w:val="auto"/>
                <w:sz w:val="21"/>
                <w:szCs w:val="21"/>
                <w:highlight w:val="none"/>
                <w:lang w:val="en-US"/>
              </w:rPr>
              <w:t>指标注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的指标参数。</w:t>
            </w:r>
          </w:p>
          <w:p w14:paraId="690977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（2）根据技术偏离表及相关证明材料进行评分，凡采购需求中有明确要求提供截图或照片或其他佐证材料等资料的，评审时以所提供的资料为评分依据。</w:t>
            </w:r>
          </w:p>
        </w:tc>
      </w:tr>
      <w:tr w14:paraId="3C1BB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40BDFE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项目实施方案</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FB852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w:t>
            </w:r>
            <w:r>
              <w:rPr>
                <w:rFonts w:hint="eastAsia" w:ascii="宋体" w:hAnsi="宋体" w:cs="宋体"/>
                <w:color w:val="auto"/>
                <w:kern w:val="2"/>
                <w:sz w:val="21"/>
                <w:szCs w:val="21"/>
                <w:highlight w:val="none"/>
                <w:lang w:val="en-US" w:eastAsia="zh-CN" w:bidi="ar"/>
              </w:rPr>
              <w:t>12</w:t>
            </w:r>
            <w:r>
              <w:rPr>
                <w:rFonts w:hint="eastAsia" w:ascii="宋体" w:hAnsi="宋体" w:eastAsia="宋体" w:cs="宋体"/>
                <w:color w:val="auto"/>
                <w:kern w:val="2"/>
                <w:sz w:val="21"/>
                <w:szCs w:val="21"/>
                <w:highlight w:val="none"/>
                <w:lang w:val="en-US" w:eastAsia="zh-CN" w:bidi="ar"/>
              </w:rPr>
              <w:t>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5C47E3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由评委根据项目实施计划、组织机构、人员安排、保障措施、应急保障措施等实施方案内容进行评审：</w:t>
            </w:r>
          </w:p>
          <w:p w14:paraId="285DD2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一档（</w:t>
            </w:r>
            <w:r>
              <w:rPr>
                <w:rFonts w:hint="eastAsia" w:ascii="宋体" w:hAnsi="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分）：有实施方案，基本满足项目实施要求。</w:t>
            </w:r>
          </w:p>
          <w:p w14:paraId="2BDF60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二档（</w:t>
            </w:r>
            <w:r>
              <w:rPr>
                <w:rFonts w:hint="eastAsia" w:ascii="宋体" w:hAnsi="宋体" w:cs="宋体"/>
                <w:color w:val="auto"/>
                <w:kern w:val="2"/>
                <w:sz w:val="21"/>
                <w:szCs w:val="21"/>
                <w:highlight w:val="none"/>
                <w:lang w:val="en-US" w:eastAsia="zh-CN" w:bidi="ar"/>
              </w:rPr>
              <w:t>7</w:t>
            </w:r>
            <w:r>
              <w:rPr>
                <w:rFonts w:hint="eastAsia" w:ascii="宋体" w:hAnsi="宋体" w:eastAsia="宋体" w:cs="宋体"/>
                <w:color w:val="auto"/>
                <w:kern w:val="2"/>
                <w:sz w:val="21"/>
                <w:szCs w:val="21"/>
                <w:highlight w:val="none"/>
                <w:lang w:val="en-US" w:eastAsia="zh-CN" w:bidi="ar"/>
              </w:rPr>
              <w:t>分）：实施方案阐述较全，包含有实施计划、组织机构、人员安排、供货保障措施、应急保障措施等。</w:t>
            </w:r>
          </w:p>
          <w:p w14:paraId="638BCC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三档（</w:t>
            </w:r>
            <w:r>
              <w:rPr>
                <w:rFonts w:hint="eastAsia" w:ascii="宋体" w:hAnsi="宋体" w:cs="宋体"/>
                <w:color w:val="auto"/>
                <w:kern w:val="2"/>
                <w:sz w:val="21"/>
                <w:szCs w:val="21"/>
                <w:highlight w:val="none"/>
                <w:lang w:val="en-US" w:eastAsia="zh-CN" w:bidi="ar"/>
              </w:rPr>
              <w:t>12</w:t>
            </w:r>
            <w:r>
              <w:rPr>
                <w:rFonts w:hint="eastAsia" w:ascii="宋体" w:hAnsi="宋体" w:eastAsia="宋体" w:cs="宋体"/>
                <w:color w:val="auto"/>
                <w:kern w:val="2"/>
                <w:sz w:val="21"/>
                <w:szCs w:val="21"/>
                <w:highlight w:val="none"/>
                <w:lang w:val="en-US" w:eastAsia="zh-CN" w:bidi="ar"/>
              </w:rPr>
              <w:t>分）：实施方案阐述详细，提出较符合采购人单位实际的措施安排，包含但不限于实施计划、组织机构、人员安排、供货保障措施、应急保障措施、安装调试工程师和周期安排具体可行、验收措施保障得当等等。</w:t>
            </w:r>
          </w:p>
          <w:p w14:paraId="3ED121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不满足一档的不得分。</w:t>
            </w:r>
          </w:p>
        </w:tc>
      </w:tr>
      <w:tr w14:paraId="319C1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5EE0FA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质量保障方案</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5A0A7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w:t>
            </w:r>
            <w:r>
              <w:rPr>
                <w:rFonts w:hint="eastAsia" w:ascii="宋体" w:hAnsi="宋体" w:cs="宋体"/>
                <w:color w:val="auto"/>
                <w:kern w:val="2"/>
                <w:sz w:val="21"/>
                <w:szCs w:val="21"/>
                <w:highlight w:val="none"/>
                <w:lang w:val="en-US" w:eastAsia="zh-CN" w:bidi="ar"/>
              </w:rPr>
              <w:t>12.4</w:t>
            </w:r>
            <w:r>
              <w:rPr>
                <w:rFonts w:hint="eastAsia" w:ascii="宋体" w:hAnsi="宋体" w:eastAsia="宋体" w:cs="宋体"/>
                <w:color w:val="auto"/>
                <w:kern w:val="2"/>
                <w:sz w:val="21"/>
                <w:szCs w:val="21"/>
                <w:highlight w:val="none"/>
                <w:lang w:val="en-US" w:eastAsia="zh-CN" w:bidi="ar"/>
              </w:rPr>
              <w:t>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0E70EF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由评委根据投标人提供的项目实施方案内容进行独立评审：</w:t>
            </w:r>
          </w:p>
          <w:p w14:paraId="2ACADA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一档（</w:t>
            </w:r>
            <w:r>
              <w:rPr>
                <w:rFonts w:hint="eastAsia" w:ascii="宋体" w:hAnsi="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分）：有质量保证方案，能满足项目需求中的质量保证要求；</w:t>
            </w:r>
          </w:p>
          <w:p w14:paraId="243AE7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二档（</w:t>
            </w:r>
            <w:r>
              <w:rPr>
                <w:rFonts w:hint="eastAsia" w:ascii="宋体" w:hAnsi="宋体" w:cs="宋体"/>
                <w:color w:val="auto"/>
                <w:kern w:val="2"/>
                <w:sz w:val="21"/>
                <w:szCs w:val="21"/>
                <w:highlight w:val="none"/>
                <w:lang w:val="en-US" w:eastAsia="zh-CN" w:bidi="ar"/>
              </w:rPr>
              <w:t>7</w:t>
            </w:r>
            <w:r>
              <w:rPr>
                <w:rFonts w:hint="eastAsia" w:ascii="宋体" w:hAnsi="宋体" w:eastAsia="宋体" w:cs="宋体"/>
                <w:color w:val="auto"/>
                <w:kern w:val="2"/>
                <w:sz w:val="21"/>
                <w:szCs w:val="21"/>
                <w:highlight w:val="none"/>
                <w:lang w:val="en-US" w:eastAsia="zh-CN" w:bidi="ar"/>
              </w:rPr>
              <w:t>分）：有详细的质量保证方案，能根据项目需求中的质量保证要求，逐条做出详细的质量保证方案计划。</w:t>
            </w:r>
          </w:p>
          <w:p w14:paraId="016008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三档（</w:t>
            </w:r>
            <w:r>
              <w:rPr>
                <w:rFonts w:hint="eastAsia" w:ascii="宋体" w:hAnsi="宋体" w:cs="宋体"/>
                <w:color w:val="auto"/>
                <w:kern w:val="2"/>
                <w:sz w:val="21"/>
                <w:szCs w:val="21"/>
                <w:highlight w:val="none"/>
                <w:lang w:val="en-US" w:eastAsia="zh-CN" w:bidi="ar"/>
              </w:rPr>
              <w:t>12.4</w:t>
            </w:r>
            <w:r>
              <w:rPr>
                <w:rFonts w:hint="eastAsia" w:ascii="宋体" w:hAnsi="宋体" w:eastAsia="宋体" w:cs="宋体"/>
                <w:color w:val="auto"/>
                <w:kern w:val="2"/>
                <w:sz w:val="21"/>
                <w:szCs w:val="21"/>
                <w:highlight w:val="none"/>
                <w:lang w:val="en-US" w:eastAsia="zh-CN" w:bidi="ar"/>
              </w:rPr>
              <w:t>分）：有详细的质量保证方案，能根据项目需求中的质量保证要求，逐条做出详细的符合采购人单位实际的质量保证方案计划，明确具体环节保障人员，有保障重点及难点分析并提出针对性的解决方案。</w:t>
            </w:r>
          </w:p>
          <w:p w14:paraId="1E1E1E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不满足一档的不得分。</w:t>
            </w:r>
          </w:p>
        </w:tc>
      </w:tr>
      <w:tr w14:paraId="53030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1A8FB1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售后服务方案</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5CC3B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w:t>
            </w:r>
            <w:r>
              <w:rPr>
                <w:rFonts w:hint="eastAsia" w:ascii="宋体" w:hAnsi="宋体" w:cs="宋体"/>
                <w:color w:val="auto"/>
                <w:kern w:val="2"/>
                <w:sz w:val="21"/>
                <w:szCs w:val="21"/>
                <w:highlight w:val="none"/>
                <w:lang w:val="en-US" w:eastAsia="zh-CN" w:bidi="ar"/>
              </w:rPr>
              <w:t>11</w:t>
            </w:r>
            <w:r>
              <w:rPr>
                <w:rFonts w:hint="eastAsia" w:ascii="宋体" w:hAnsi="宋体" w:eastAsia="宋体" w:cs="宋体"/>
                <w:color w:val="auto"/>
                <w:kern w:val="2"/>
                <w:sz w:val="21"/>
                <w:szCs w:val="21"/>
                <w:highlight w:val="none"/>
                <w:lang w:val="en-US" w:eastAsia="zh-CN" w:bidi="ar"/>
              </w:rPr>
              <w:t>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0329AE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由评委根据投标人提供的售后服务方案内容进行独立评审：</w:t>
            </w:r>
          </w:p>
          <w:p w14:paraId="16861B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一档（</w:t>
            </w:r>
            <w:r>
              <w:rPr>
                <w:rFonts w:hint="eastAsia" w:ascii="宋体" w:hAnsi="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分）：满足项目质保期及售后服务要求，有定期回访及培训。</w:t>
            </w:r>
          </w:p>
          <w:p w14:paraId="01B6E8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二档（</w:t>
            </w:r>
            <w:r>
              <w:rPr>
                <w:rFonts w:hint="eastAsia" w:ascii="宋体" w:hAnsi="宋体" w:cs="宋体"/>
                <w:color w:val="auto"/>
                <w:kern w:val="2"/>
                <w:sz w:val="21"/>
                <w:szCs w:val="21"/>
                <w:highlight w:val="none"/>
                <w:lang w:val="en-US" w:eastAsia="zh-CN" w:bidi="ar"/>
              </w:rPr>
              <w:t>6.5</w:t>
            </w:r>
            <w:r>
              <w:rPr>
                <w:rFonts w:hint="eastAsia" w:ascii="宋体" w:hAnsi="宋体" w:eastAsia="宋体" w:cs="宋体"/>
                <w:color w:val="auto"/>
                <w:kern w:val="2"/>
                <w:sz w:val="21"/>
                <w:szCs w:val="21"/>
                <w:highlight w:val="none"/>
                <w:lang w:val="en-US" w:eastAsia="zh-CN" w:bidi="ar"/>
              </w:rPr>
              <w:t>分）：优于项目质保期及售后服务要求，在接到采购人维修要求后应立即响应并在1小时内提出解决方案，4小时内到达现场对故障进行处理，维修过程中所需材料中标人在接到通知后应及时提供,最长不超过18小时必须送达采购人。若48小时内无法修复的，应36小时内提供相应备用设备并负责安装调试；定期回访一年不少于2次，回访方案详细；培训组织能根据不同产品制定详细的培训方案。</w:t>
            </w:r>
          </w:p>
          <w:p w14:paraId="6D5205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三档（</w:t>
            </w:r>
            <w:r>
              <w:rPr>
                <w:rFonts w:hint="eastAsia" w:ascii="宋体" w:hAnsi="宋体" w:cs="宋体"/>
                <w:color w:val="auto"/>
                <w:kern w:val="2"/>
                <w:sz w:val="21"/>
                <w:szCs w:val="21"/>
                <w:highlight w:val="none"/>
                <w:lang w:val="en-US" w:eastAsia="zh-CN" w:bidi="ar"/>
              </w:rPr>
              <w:t>11</w:t>
            </w:r>
            <w:r>
              <w:rPr>
                <w:rFonts w:hint="eastAsia" w:ascii="宋体" w:hAnsi="宋体" w:eastAsia="宋体" w:cs="宋体"/>
                <w:color w:val="auto"/>
                <w:kern w:val="2"/>
                <w:sz w:val="21"/>
                <w:szCs w:val="21"/>
                <w:highlight w:val="none"/>
                <w:lang w:val="en-US" w:eastAsia="zh-CN" w:bidi="ar"/>
              </w:rPr>
              <w:t>分）：高于项目质保期及售后服务要求，质保期有延长，在接到采购人维修要求后应立即响应并在0.5小时内提出解决方案，4小时内到达现场对故障进行处理，维修过程中所需材料中标人在接到通知后应及时提供,最长不超过12小时必须送达采购人。若48小时内无法修复的，应24小时内提供相应备用设备并负责安装调试；定期回访一年不少于4次，回访方案详细，有回访重点，能针对回访遇到的问题提出解决方案；培训组织能根据采购人单位实际出发，针对本分标的不同产品制定个性化培训方案，能结合产品特点给出科学合理的设备拓展升级方案。</w:t>
            </w:r>
          </w:p>
          <w:p w14:paraId="109728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不满足一档的不得分。</w:t>
            </w:r>
          </w:p>
        </w:tc>
      </w:tr>
      <w:tr w14:paraId="1F9CE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65F191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（三）商务分（满分</w:t>
            </w:r>
            <w:r>
              <w:rPr>
                <w:rFonts w:hint="eastAsia" w:ascii="宋体" w:hAnsi="宋体" w:cs="宋体"/>
                <w:color w:val="auto"/>
                <w:kern w:val="2"/>
                <w:sz w:val="21"/>
                <w:szCs w:val="21"/>
                <w:highlight w:val="none"/>
                <w:lang w:val="en-US" w:eastAsia="zh-CN" w:bidi="ar"/>
              </w:rPr>
              <w:t>5</w:t>
            </w:r>
            <w:r>
              <w:rPr>
                <w:rFonts w:hint="eastAsia" w:ascii="宋体" w:hAnsi="宋体" w:eastAsia="宋体" w:cs="宋体"/>
                <w:color w:val="auto"/>
                <w:kern w:val="2"/>
                <w:sz w:val="21"/>
                <w:szCs w:val="21"/>
                <w:highlight w:val="none"/>
                <w:lang w:val="en-US" w:eastAsia="zh-CN" w:bidi="ar"/>
              </w:rPr>
              <w:t>分）</w:t>
            </w:r>
          </w:p>
        </w:tc>
      </w:tr>
      <w:tr w14:paraId="12A6C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508B45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业绩分</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31B4D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满分</w:t>
            </w:r>
            <w:r>
              <w:rPr>
                <w:rFonts w:hint="eastAsia" w:ascii="宋体" w:hAnsi="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3B193F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投标人或投标产品生产厂家自2021年1月1日以来有过同类设备业绩（</w:t>
            </w:r>
            <w:r>
              <w:rPr>
                <w:rFonts w:hint="eastAsia" w:ascii="宋体" w:hAnsi="宋体" w:eastAsia="宋体" w:cs="宋体"/>
                <w:color w:val="auto"/>
                <w:sz w:val="21"/>
                <w:szCs w:val="21"/>
                <w:highlight w:val="none"/>
                <w:lang w:val="en-US" w:eastAsia="zh-CN"/>
              </w:rPr>
              <w:t>遥感影像接收处理工作站</w:t>
            </w:r>
            <w:r>
              <w:rPr>
                <w:rFonts w:hint="eastAsia" w:ascii="宋体" w:hAnsi="宋体" w:eastAsia="宋体" w:cs="宋体"/>
                <w:color w:val="auto"/>
                <w:kern w:val="2"/>
                <w:sz w:val="21"/>
                <w:szCs w:val="21"/>
                <w:highlight w:val="none"/>
                <w:lang w:val="en-US" w:eastAsia="zh-CN" w:bidi="ar"/>
              </w:rPr>
              <w:t>），每个业绩得</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分，本项满分</w:t>
            </w:r>
            <w:r>
              <w:rPr>
                <w:rFonts w:hint="eastAsia" w:ascii="宋体" w:hAnsi="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分。</w:t>
            </w:r>
          </w:p>
          <w:p w14:paraId="081358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注：必须提供中标/成交通知书或合同（首页、签字盖章页、产品所在页）复印件等证明材料复印件并加盖公章，否则不得分。</w:t>
            </w:r>
          </w:p>
        </w:tc>
      </w:tr>
      <w:tr w14:paraId="7019E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3236D9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政策功能分</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8A464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满分1分</w:t>
            </w:r>
          </w:p>
        </w:tc>
        <w:tc>
          <w:tcPr>
            <w:tcW w:w="6678" w:type="dxa"/>
            <w:gridSpan w:val="2"/>
            <w:tcBorders>
              <w:top w:val="single" w:color="000000" w:sz="4" w:space="0"/>
              <w:left w:val="single" w:color="000000" w:sz="4" w:space="0"/>
              <w:bottom w:val="single" w:color="000000" w:sz="4" w:space="0"/>
              <w:right w:val="single" w:color="000000" w:sz="4" w:space="0"/>
            </w:tcBorders>
            <w:noWrap w:val="0"/>
            <w:vAlign w:val="center"/>
          </w:tcPr>
          <w:p w14:paraId="0D8DF5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属于财政部《节能产品政府采购品目清单》内优先采购（清单内未标注“★”的品目）的产品[投标文件中提供有效的认证证书复印件及品目清单（标注出投标产品在品目清单中所属的品目）]，每提供一项得0.5分，满分0.5分。</w:t>
            </w:r>
          </w:p>
          <w:p w14:paraId="7B4ACC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（2）属于财政部《环境标志产品政府采购品目清单》内的产品[投标文件中提供有效的认证证书复印件及品目清单（标注出投标产品在品目清单中所属的品目）]，每提供一项得0.5分，满分0.5分。</w:t>
            </w:r>
          </w:p>
          <w:p w14:paraId="667E74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（3）非节能、环境标志产品的不得分。</w:t>
            </w:r>
          </w:p>
        </w:tc>
      </w:tr>
      <w:tr w14:paraId="6BB94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5A99C7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总得分=（一）+（二）+（三）</w:t>
            </w:r>
          </w:p>
        </w:tc>
      </w:tr>
    </w:tbl>
    <w:p w14:paraId="095DA57C">
      <w:pPr>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br w:type="page"/>
      </w:r>
    </w:p>
    <w:p w14:paraId="4DBA803E">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outlineLvl w:val="2"/>
        <w:rPr>
          <w:rFonts w:hint="default"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附件：分包6技术参数指标等级对照表</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1"/>
        <w:gridCol w:w="1501"/>
      </w:tblGrid>
      <w:tr w14:paraId="38BE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14:paraId="194A031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624" w:name="_Toc17775"/>
            <w:bookmarkStart w:id="625" w:name="_Toc28280"/>
            <w:r>
              <w:rPr>
                <w:rFonts w:hint="eastAsia" w:ascii="宋体" w:hAnsi="宋体" w:eastAsia="宋体" w:cs="宋体"/>
                <w:b/>
                <w:bCs/>
                <w:color w:val="auto"/>
                <w:sz w:val="21"/>
                <w:szCs w:val="21"/>
                <w:highlight w:val="none"/>
                <w:u w:val="none"/>
                <w:vertAlign w:val="baseline"/>
                <w:lang w:val="en-US" w:eastAsia="zh-CN" w:bidi="ar"/>
              </w:rPr>
              <w:t>技术参数指标等级对照表</w:t>
            </w:r>
            <w:bookmarkEnd w:id="624"/>
            <w:bookmarkEnd w:id="625"/>
          </w:p>
        </w:tc>
      </w:tr>
      <w:tr w14:paraId="03C9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gridSpan w:val="2"/>
            <w:noWrap w:val="0"/>
            <w:vAlign w:val="top"/>
          </w:tcPr>
          <w:p w14:paraId="426F7027">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626" w:name="_Toc5820"/>
            <w:bookmarkStart w:id="627" w:name="_Toc25525"/>
            <w:r>
              <w:rPr>
                <w:rFonts w:hint="eastAsia" w:ascii="宋体" w:hAnsi="宋体" w:eastAsia="宋体" w:cs="宋体"/>
                <w:b w:val="0"/>
                <w:bCs w:val="0"/>
                <w:color w:val="auto"/>
                <w:sz w:val="21"/>
                <w:szCs w:val="21"/>
                <w:highlight w:val="none"/>
                <w:u w:val="none"/>
                <w:vertAlign w:val="baseline"/>
                <w:lang w:val="en-US" w:eastAsia="zh-CN" w:bidi="ar"/>
              </w:rPr>
              <w:t>一般参数指标合计</w:t>
            </w:r>
            <w:r>
              <w:rPr>
                <w:rFonts w:hint="eastAsia" w:ascii="宋体" w:hAnsi="宋体" w:cs="宋体"/>
                <w:b w:val="0"/>
                <w:bCs w:val="0"/>
                <w:color w:val="auto"/>
                <w:sz w:val="21"/>
                <w:szCs w:val="21"/>
                <w:highlight w:val="none"/>
                <w:u w:val="none"/>
                <w:vertAlign w:val="baseline"/>
                <w:lang w:val="en-US" w:eastAsia="zh-CN" w:bidi="ar"/>
              </w:rPr>
              <w:t>34</w:t>
            </w:r>
            <w:r>
              <w:rPr>
                <w:rFonts w:hint="eastAsia" w:ascii="宋体" w:hAnsi="宋体" w:eastAsia="宋体" w:cs="宋体"/>
                <w:b w:val="0"/>
                <w:bCs w:val="0"/>
                <w:color w:val="auto"/>
                <w:sz w:val="21"/>
                <w:szCs w:val="21"/>
                <w:highlight w:val="none"/>
                <w:u w:val="none"/>
                <w:vertAlign w:val="baseline"/>
                <w:lang w:val="en-US" w:eastAsia="zh-CN" w:bidi="ar"/>
              </w:rPr>
              <w:t>项</w:t>
            </w:r>
            <w:bookmarkEnd w:id="626"/>
            <w:bookmarkEnd w:id="627"/>
            <w:r>
              <w:rPr>
                <w:rFonts w:hint="eastAsia" w:ascii="宋体" w:hAnsi="宋体" w:eastAsia="宋体" w:cs="宋体"/>
                <w:b w:val="0"/>
                <w:bCs w:val="0"/>
                <w:color w:val="auto"/>
                <w:sz w:val="21"/>
                <w:szCs w:val="21"/>
                <w:highlight w:val="none"/>
                <w:u w:val="none"/>
                <w:vertAlign w:val="baseline"/>
                <w:lang w:val="en-US" w:eastAsia="zh-CN" w:bidi="ar"/>
              </w:rPr>
              <w:t>，重要参数指标合计4项</w:t>
            </w:r>
          </w:p>
        </w:tc>
      </w:tr>
      <w:tr w14:paraId="31CFF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1" w:type="dxa"/>
            <w:noWrap w:val="0"/>
            <w:vAlign w:val="top"/>
          </w:tcPr>
          <w:p w14:paraId="3D39C36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628" w:name="_Toc30467"/>
            <w:bookmarkStart w:id="629" w:name="_Toc20086"/>
            <w:r>
              <w:rPr>
                <w:rFonts w:hint="eastAsia" w:ascii="宋体" w:hAnsi="宋体" w:eastAsia="宋体" w:cs="宋体"/>
                <w:b w:val="0"/>
                <w:bCs w:val="0"/>
                <w:color w:val="auto"/>
                <w:spacing w:val="0"/>
                <w:sz w:val="21"/>
                <w:szCs w:val="21"/>
                <w:highlight w:val="none"/>
                <w:lang w:bidi="ar"/>
              </w:rPr>
              <w:t>技术</w:t>
            </w:r>
            <w:r>
              <w:rPr>
                <w:rFonts w:hint="eastAsia" w:ascii="宋体" w:hAnsi="宋体" w:eastAsia="宋体" w:cs="宋体"/>
                <w:b w:val="0"/>
                <w:bCs w:val="0"/>
                <w:color w:val="auto"/>
                <w:spacing w:val="0"/>
                <w:sz w:val="21"/>
                <w:szCs w:val="21"/>
                <w:highlight w:val="none"/>
                <w:lang w:val="en-US" w:eastAsia="zh-CN" w:bidi="ar"/>
              </w:rPr>
              <w:t>参数</w:t>
            </w:r>
            <w:r>
              <w:rPr>
                <w:rFonts w:hint="eastAsia" w:ascii="宋体" w:hAnsi="宋体" w:eastAsia="宋体" w:cs="宋体"/>
                <w:b w:val="0"/>
                <w:bCs w:val="0"/>
                <w:color w:val="auto"/>
                <w:spacing w:val="0"/>
                <w:sz w:val="21"/>
                <w:szCs w:val="21"/>
                <w:highlight w:val="none"/>
                <w:lang w:bidi="ar"/>
              </w:rPr>
              <w:t>指标要求</w:t>
            </w:r>
            <w:bookmarkEnd w:id="628"/>
            <w:bookmarkEnd w:id="629"/>
          </w:p>
        </w:tc>
        <w:tc>
          <w:tcPr>
            <w:tcW w:w="1501" w:type="dxa"/>
            <w:noWrap w:val="0"/>
            <w:vAlign w:val="top"/>
          </w:tcPr>
          <w:p w14:paraId="53DF300B">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630" w:name="_Toc22434"/>
            <w:bookmarkStart w:id="631" w:name="_Toc12596"/>
            <w:r>
              <w:rPr>
                <w:rFonts w:hint="eastAsia" w:ascii="宋体" w:hAnsi="宋体" w:eastAsia="宋体" w:cs="宋体"/>
                <w:b w:val="0"/>
                <w:bCs w:val="0"/>
                <w:color w:val="auto"/>
                <w:sz w:val="21"/>
                <w:szCs w:val="21"/>
                <w:highlight w:val="none"/>
                <w:u w:val="none"/>
                <w:vertAlign w:val="baseline"/>
                <w:lang w:val="en-US" w:eastAsia="zh-CN" w:bidi="ar"/>
              </w:rPr>
              <w:t>指标等级</w:t>
            </w:r>
            <w:bookmarkEnd w:id="630"/>
            <w:bookmarkEnd w:id="631"/>
          </w:p>
        </w:tc>
      </w:tr>
      <w:tr w14:paraId="355F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gridSpan w:val="2"/>
            <w:noWrap w:val="0"/>
            <w:vAlign w:val="top"/>
          </w:tcPr>
          <w:p w14:paraId="0D11CAB4">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632" w:name="_Toc16199"/>
            <w:bookmarkStart w:id="633" w:name="_Toc9541"/>
            <w:r>
              <w:rPr>
                <w:rFonts w:hint="eastAsia" w:ascii="宋体" w:hAnsi="宋体" w:eastAsia="宋体" w:cs="宋体"/>
                <w:b w:val="0"/>
                <w:bCs w:val="0"/>
                <w:color w:val="auto"/>
                <w:sz w:val="21"/>
                <w:szCs w:val="21"/>
                <w:highlight w:val="none"/>
                <w:u w:val="none"/>
                <w:vertAlign w:val="baseline"/>
                <w:lang w:val="en-US" w:eastAsia="zh-CN" w:bidi="ar"/>
              </w:rPr>
              <w:t>遥感影像接收处理工作站</w:t>
            </w:r>
            <w:bookmarkEnd w:id="632"/>
            <w:bookmarkEnd w:id="633"/>
          </w:p>
        </w:tc>
      </w:tr>
      <w:tr w14:paraId="32B0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6F1DA0B">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一、遥感影像接收处理工作站设备组成：</w:t>
            </w:r>
          </w:p>
        </w:tc>
        <w:tc>
          <w:tcPr>
            <w:tcW w:w="1501" w:type="dxa"/>
            <w:noWrap w:val="0"/>
            <w:vAlign w:val="center"/>
          </w:tcPr>
          <w:p w14:paraId="3032311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634" w:name="_Toc21082"/>
            <w:bookmarkStart w:id="635" w:name="_Toc23032"/>
            <w:r>
              <w:rPr>
                <w:rFonts w:hint="eastAsia" w:ascii="宋体" w:hAnsi="宋体" w:eastAsia="宋体" w:cs="宋体"/>
                <w:b w:val="0"/>
                <w:bCs w:val="0"/>
                <w:color w:val="auto"/>
                <w:sz w:val="21"/>
                <w:szCs w:val="21"/>
                <w:highlight w:val="none"/>
                <w:u w:val="none"/>
                <w:vertAlign w:val="baseline"/>
                <w:lang w:val="en-US" w:eastAsia="zh-CN" w:bidi="ar"/>
              </w:rPr>
              <w:t>/</w:t>
            </w:r>
            <w:bookmarkEnd w:id="634"/>
            <w:bookmarkEnd w:id="635"/>
          </w:p>
        </w:tc>
      </w:tr>
      <w:tr w14:paraId="344B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65E28B7">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1.主体部分包括：2台数据获取处理工作站、1台地图制作工作站、存储设备；</w:t>
            </w:r>
          </w:p>
        </w:tc>
        <w:tc>
          <w:tcPr>
            <w:tcW w:w="1501" w:type="dxa"/>
            <w:noWrap w:val="0"/>
            <w:vAlign w:val="center"/>
          </w:tcPr>
          <w:p w14:paraId="590C8F4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7732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CDBA10C">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2.配件部分包括：5台固定遥感影像处理终端、2台移动数据处理终端、5台移动手持采集器。</w:t>
            </w:r>
          </w:p>
        </w:tc>
        <w:tc>
          <w:tcPr>
            <w:tcW w:w="1501" w:type="dxa"/>
            <w:noWrap w:val="0"/>
            <w:vAlign w:val="center"/>
          </w:tcPr>
          <w:p w14:paraId="146AFE8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575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3031717">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二、技术参数：</w:t>
            </w:r>
          </w:p>
        </w:tc>
        <w:tc>
          <w:tcPr>
            <w:tcW w:w="1501" w:type="dxa"/>
            <w:noWrap w:val="0"/>
            <w:vAlign w:val="center"/>
          </w:tcPr>
          <w:p w14:paraId="7E917354">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636" w:name="_Toc11251"/>
            <w:bookmarkStart w:id="637" w:name="_Toc19823"/>
            <w:r>
              <w:rPr>
                <w:rFonts w:hint="eastAsia" w:ascii="宋体" w:hAnsi="宋体" w:eastAsia="宋体" w:cs="宋体"/>
                <w:b w:val="0"/>
                <w:bCs w:val="0"/>
                <w:color w:val="auto"/>
                <w:sz w:val="21"/>
                <w:szCs w:val="21"/>
                <w:highlight w:val="none"/>
                <w:u w:val="none"/>
                <w:vertAlign w:val="baseline"/>
                <w:lang w:val="en-US" w:eastAsia="zh-CN" w:bidi="ar"/>
              </w:rPr>
              <w:t>/</w:t>
            </w:r>
            <w:bookmarkEnd w:id="636"/>
            <w:bookmarkEnd w:id="637"/>
          </w:p>
        </w:tc>
      </w:tr>
      <w:tr w14:paraId="4AC1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E5EC0B0">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（一）主体部分</w:t>
            </w:r>
          </w:p>
        </w:tc>
        <w:tc>
          <w:tcPr>
            <w:tcW w:w="1501" w:type="dxa"/>
            <w:noWrap w:val="0"/>
            <w:vAlign w:val="center"/>
          </w:tcPr>
          <w:p w14:paraId="0CCBD294">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638" w:name="_Toc1987"/>
            <w:bookmarkStart w:id="639" w:name="_Toc5260"/>
            <w:r>
              <w:rPr>
                <w:rFonts w:hint="eastAsia" w:ascii="宋体" w:hAnsi="宋体" w:eastAsia="宋体" w:cs="宋体"/>
                <w:b w:val="0"/>
                <w:bCs w:val="0"/>
                <w:color w:val="auto"/>
                <w:sz w:val="21"/>
                <w:szCs w:val="21"/>
                <w:highlight w:val="none"/>
                <w:u w:val="none"/>
                <w:vertAlign w:val="baseline"/>
                <w:lang w:val="en-US" w:eastAsia="zh-CN" w:bidi="ar"/>
              </w:rPr>
              <w:t>/</w:t>
            </w:r>
            <w:bookmarkEnd w:id="638"/>
            <w:bookmarkEnd w:id="639"/>
          </w:p>
        </w:tc>
      </w:tr>
      <w:tr w14:paraId="47D3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3D4702C">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1.数据获取处理工作站：</w:t>
            </w:r>
          </w:p>
        </w:tc>
        <w:tc>
          <w:tcPr>
            <w:tcW w:w="1501" w:type="dxa"/>
            <w:noWrap w:val="0"/>
            <w:vAlign w:val="center"/>
          </w:tcPr>
          <w:p w14:paraId="7E5AEB6B">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640" w:name="_Toc7022"/>
            <w:bookmarkStart w:id="641" w:name="_Toc19393"/>
            <w:r>
              <w:rPr>
                <w:rFonts w:hint="eastAsia" w:ascii="宋体" w:hAnsi="宋体" w:eastAsia="宋体" w:cs="宋体"/>
                <w:b w:val="0"/>
                <w:bCs w:val="0"/>
                <w:color w:val="auto"/>
                <w:sz w:val="21"/>
                <w:szCs w:val="21"/>
                <w:highlight w:val="none"/>
                <w:u w:val="none"/>
                <w:vertAlign w:val="baseline"/>
                <w:lang w:val="en-US" w:eastAsia="zh-CN" w:bidi="ar"/>
              </w:rPr>
              <w:t>/</w:t>
            </w:r>
            <w:bookmarkEnd w:id="640"/>
            <w:bookmarkEnd w:id="641"/>
          </w:p>
        </w:tc>
      </w:tr>
      <w:tr w14:paraId="329E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9920504">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CPU：不低于20核*2</w:t>
            </w:r>
          </w:p>
        </w:tc>
        <w:tc>
          <w:tcPr>
            <w:tcW w:w="1501" w:type="dxa"/>
            <w:noWrap w:val="0"/>
            <w:vAlign w:val="center"/>
          </w:tcPr>
          <w:p w14:paraId="1621C2A3">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3FD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BFFB078">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内存：不低于</w:t>
            </w:r>
            <w:r>
              <w:rPr>
                <w:rFonts w:hint="eastAsia" w:ascii="宋体" w:hAnsi="宋体" w:cs="宋体"/>
                <w:i w:val="0"/>
                <w:iCs w:val="0"/>
                <w:color w:val="auto"/>
                <w:kern w:val="0"/>
                <w:sz w:val="21"/>
                <w:szCs w:val="21"/>
                <w:highlight w:val="none"/>
                <w:u w:val="none"/>
                <w:lang w:val="en-US" w:eastAsia="zh-CN" w:bidi="ar"/>
              </w:rPr>
              <w:t>128</w:t>
            </w:r>
            <w:r>
              <w:rPr>
                <w:rFonts w:hint="eastAsia" w:ascii="宋体" w:hAnsi="宋体" w:eastAsia="宋体" w:cs="宋体"/>
                <w:i w:val="0"/>
                <w:iCs w:val="0"/>
                <w:color w:val="auto"/>
                <w:kern w:val="0"/>
                <w:sz w:val="21"/>
                <w:szCs w:val="21"/>
                <w:highlight w:val="none"/>
                <w:u w:val="none"/>
                <w:lang w:val="en-US" w:eastAsia="zh-CN" w:bidi="ar"/>
              </w:rPr>
              <w:t>GB</w:t>
            </w:r>
          </w:p>
        </w:tc>
        <w:tc>
          <w:tcPr>
            <w:tcW w:w="1501" w:type="dxa"/>
            <w:noWrap w:val="0"/>
            <w:vAlign w:val="center"/>
          </w:tcPr>
          <w:p w14:paraId="4E768D0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513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21A3065">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系统盘：不低于2TB SSD</w:t>
            </w:r>
          </w:p>
        </w:tc>
        <w:tc>
          <w:tcPr>
            <w:tcW w:w="1501" w:type="dxa"/>
            <w:noWrap w:val="0"/>
            <w:vAlign w:val="center"/>
          </w:tcPr>
          <w:p w14:paraId="0F7B9CF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384E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4AD9004">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生产盘：不低于</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TB SSD</w:t>
            </w:r>
          </w:p>
        </w:tc>
        <w:tc>
          <w:tcPr>
            <w:tcW w:w="1501" w:type="dxa"/>
            <w:noWrap w:val="0"/>
            <w:vAlign w:val="center"/>
          </w:tcPr>
          <w:p w14:paraId="3D82DA4B">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316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B149D98">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存储盘：数据集中存放</w:t>
            </w:r>
          </w:p>
        </w:tc>
        <w:tc>
          <w:tcPr>
            <w:tcW w:w="1501" w:type="dxa"/>
            <w:noWrap w:val="0"/>
            <w:vAlign w:val="center"/>
          </w:tcPr>
          <w:p w14:paraId="7EE86E3B">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23A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A5EA98F">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▲操作系统：国产麒麟操作系统【投标时需提供产品彩页或有关证明材料并加盖投标人单位公章】</w:t>
            </w:r>
          </w:p>
        </w:tc>
        <w:tc>
          <w:tcPr>
            <w:tcW w:w="1501" w:type="dxa"/>
            <w:noWrap w:val="0"/>
            <w:vAlign w:val="center"/>
          </w:tcPr>
          <w:p w14:paraId="7A39B4C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实质性参数</w:t>
            </w:r>
          </w:p>
        </w:tc>
      </w:tr>
      <w:tr w14:paraId="274A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CF1A795">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2.地图制作工作站：</w:t>
            </w:r>
          </w:p>
        </w:tc>
        <w:tc>
          <w:tcPr>
            <w:tcW w:w="1501" w:type="dxa"/>
            <w:noWrap w:val="0"/>
            <w:vAlign w:val="center"/>
          </w:tcPr>
          <w:p w14:paraId="1C474BA5">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642" w:name="_Toc11822"/>
            <w:bookmarkStart w:id="643" w:name="_Toc20364"/>
            <w:r>
              <w:rPr>
                <w:rFonts w:hint="eastAsia" w:ascii="宋体" w:hAnsi="宋体" w:eastAsia="宋体" w:cs="宋体"/>
                <w:b w:val="0"/>
                <w:bCs w:val="0"/>
                <w:color w:val="auto"/>
                <w:sz w:val="21"/>
                <w:szCs w:val="21"/>
                <w:highlight w:val="none"/>
                <w:u w:val="none"/>
                <w:vertAlign w:val="baseline"/>
                <w:lang w:val="en-US" w:eastAsia="zh-CN" w:bidi="ar"/>
              </w:rPr>
              <w:t>/</w:t>
            </w:r>
            <w:bookmarkEnd w:id="642"/>
            <w:bookmarkEnd w:id="643"/>
          </w:p>
        </w:tc>
      </w:tr>
      <w:tr w14:paraId="09D5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04D76D6">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CPU：不低于20核*2</w:t>
            </w:r>
          </w:p>
        </w:tc>
        <w:tc>
          <w:tcPr>
            <w:tcW w:w="1501" w:type="dxa"/>
            <w:noWrap w:val="0"/>
            <w:vAlign w:val="center"/>
          </w:tcPr>
          <w:p w14:paraId="0718A8B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74F9B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C193A54">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GPU：不低于24G显存独立显卡</w:t>
            </w:r>
          </w:p>
        </w:tc>
        <w:tc>
          <w:tcPr>
            <w:tcW w:w="1501" w:type="dxa"/>
            <w:noWrap w:val="0"/>
            <w:vAlign w:val="center"/>
          </w:tcPr>
          <w:p w14:paraId="7BDBB389">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2AF3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207CB70">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内存：不低于</w:t>
            </w:r>
            <w:r>
              <w:rPr>
                <w:rFonts w:hint="eastAsia" w:ascii="宋体" w:hAnsi="宋体" w:cs="宋体"/>
                <w:i w:val="0"/>
                <w:iCs w:val="0"/>
                <w:color w:val="auto"/>
                <w:kern w:val="0"/>
                <w:sz w:val="21"/>
                <w:szCs w:val="21"/>
                <w:highlight w:val="none"/>
                <w:u w:val="none"/>
                <w:lang w:val="en-US" w:eastAsia="zh-CN" w:bidi="ar"/>
              </w:rPr>
              <w:t>128</w:t>
            </w:r>
            <w:r>
              <w:rPr>
                <w:rFonts w:hint="eastAsia" w:ascii="宋体" w:hAnsi="宋体" w:eastAsia="宋体" w:cs="宋体"/>
                <w:i w:val="0"/>
                <w:iCs w:val="0"/>
                <w:color w:val="auto"/>
                <w:kern w:val="0"/>
                <w:sz w:val="21"/>
                <w:szCs w:val="21"/>
                <w:highlight w:val="none"/>
                <w:u w:val="none"/>
                <w:lang w:val="en-US" w:eastAsia="zh-CN" w:bidi="ar"/>
              </w:rPr>
              <w:t>GB</w:t>
            </w:r>
          </w:p>
        </w:tc>
        <w:tc>
          <w:tcPr>
            <w:tcW w:w="1501" w:type="dxa"/>
            <w:noWrap w:val="0"/>
            <w:vAlign w:val="center"/>
          </w:tcPr>
          <w:p w14:paraId="2BC8560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253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7149E72">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系统盘：不低于2TB SSD</w:t>
            </w:r>
          </w:p>
        </w:tc>
        <w:tc>
          <w:tcPr>
            <w:tcW w:w="1501" w:type="dxa"/>
            <w:noWrap w:val="0"/>
            <w:vAlign w:val="center"/>
          </w:tcPr>
          <w:p w14:paraId="1E45B35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1D6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0C9935F">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生产盘：不低于</w:t>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TB SSD</w:t>
            </w:r>
          </w:p>
        </w:tc>
        <w:tc>
          <w:tcPr>
            <w:tcW w:w="1501" w:type="dxa"/>
            <w:noWrap w:val="0"/>
            <w:vAlign w:val="center"/>
          </w:tcPr>
          <w:p w14:paraId="1DD4C83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80E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5459E5F9">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存储盘：数据集中存放</w:t>
            </w:r>
          </w:p>
        </w:tc>
        <w:tc>
          <w:tcPr>
            <w:tcW w:w="1501" w:type="dxa"/>
            <w:noWrap w:val="0"/>
            <w:vAlign w:val="center"/>
          </w:tcPr>
          <w:p w14:paraId="72966DB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A3D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D5BFED0">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▲操作系统：国产麒麟操作系统【投标时需提供产品彩页或有关证明材料并加盖投标人单位公章】</w:t>
            </w:r>
          </w:p>
        </w:tc>
        <w:tc>
          <w:tcPr>
            <w:tcW w:w="1501" w:type="dxa"/>
            <w:noWrap w:val="0"/>
            <w:vAlign w:val="center"/>
          </w:tcPr>
          <w:p w14:paraId="298B742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实质性参数</w:t>
            </w:r>
          </w:p>
        </w:tc>
      </w:tr>
      <w:tr w14:paraId="5319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7021" w:type="dxa"/>
            <w:noWrap w:val="0"/>
            <w:vAlign w:val="center"/>
          </w:tcPr>
          <w:p w14:paraId="2E81E1A5">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3.存储设备：</w:t>
            </w:r>
          </w:p>
          <w:p w14:paraId="5E286EA8">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不低于</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0TB，4U 双控制器，含</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块2.5英寸SAS硬盘-10000RPM-600GB-DSU2624-G2，</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块3.5英寸SAS硬盘-7200RPM-10TB-DSU2624-G2。在现有的参数上，采购的硬件设备必须支持存储内存可扩容到PB级别的能力。如，目前是</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0T，后续必须支持在保持数据不迁移的情况下可继续扩展存储内存。</w:t>
            </w:r>
          </w:p>
        </w:tc>
        <w:tc>
          <w:tcPr>
            <w:tcW w:w="1501" w:type="dxa"/>
            <w:noWrap w:val="0"/>
            <w:vAlign w:val="center"/>
          </w:tcPr>
          <w:p w14:paraId="7902D40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A46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2A30374">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w:t>
            </w:r>
            <w:r>
              <w:rPr>
                <w:rFonts w:hint="eastAsia" w:ascii="宋体" w:hAnsi="宋体" w:eastAsia="宋体" w:cs="宋体"/>
                <w:color w:val="auto"/>
                <w:sz w:val="21"/>
                <w:szCs w:val="21"/>
                <w:highlight w:val="none"/>
                <w:lang w:val="en-US" w:eastAsia="zh-CN"/>
              </w:rPr>
              <w:t>遥感影像接收处理工作站功能，包括影像自动接入与入库管理、影像处理、影像切片与影像</w:t>
            </w:r>
            <w:r>
              <w:rPr>
                <w:rFonts w:hint="eastAsia" w:ascii="宋体" w:hAnsi="宋体" w:cs="宋体"/>
                <w:color w:val="auto"/>
                <w:sz w:val="21"/>
                <w:szCs w:val="21"/>
                <w:highlight w:val="none"/>
                <w:lang w:val="en-US" w:eastAsia="zh-CN"/>
              </w:rPr>
              <w:t>地</w:t>
            </w:r>
            <w:r>
              <w:rPr>
                <w:rFonts w:hint="eastAsia" w:ascii="宋体" w:hAnsi="宋体" w:eastAsia="宋体" w:cs="宋体"/>
                <w:color w:val="auto"/>
                <w:sz w:val="21"/>
                <w:szCs w:val="21"/>
                <w:highlight w:val="none"/>
                <w:lang w:val="en-US" w:eastAsia="zh-CN"/>
              </w:rPr>
              <w:t>图制作功能、遥感影像一张图生产功能、生态参数计算功能模块扩展等</w:t>
            </w:r>
            <w:r>
              <w:rPr>
                <w:rFonts w:hint="eastAsia" w:ascii="宋体" w:hAnsi="宋体" w:eastAsia="宋体" w:cs="宋体"/>
                <w:i w:val="0"/>
                <w:iCs w:val="0"/>
                <w:color w:val="auto"/>
                <w:kern w:val="0"/>
                <w:sz w:val="21"/>
                <w:szCs w:val="21"/>
                <w:highlight w:val="none"/>
                <w:u w:val="none"/>
                <w:lang w:val="en-US" w:eastAsia="zh-CN" w:bidi="ar"/>
              </w:rPr>
              <w:t>。</w:t>
            </w:r>
          </w:p>
        </w:tc>
        <w:tc>
          <w:tcPr>
            <w:tcW w:w="1501" w:type="dxa"/>
            <w:noWrap w:val="0"/>
            <w:vAlign w:val="center"/>
          </w:tcPr>
          <w:p w14:paraId="67299C8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747D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7021" w:type="dxa"/>
            <w:noWrap w:val="0"/>
            <w:vAlign w:val="center"/>
          </w:tcPr>
          <w:p w14:paraId="63E52FD5">
            <w:pPr>
              <w:keepNext w:val="0"/>
              <w:keepLines w:val="0"/>
              <w:numPr>
                <w:ilvl w:val="-1"/>
                <w:numId w:val="0"/>
              </w:numPr>
              <w:suppressLineNumbers w:val="0"/>
              <w:spacing w:before="0" w:beforeAutospacing="0" w:after="0" w:afterAutospacing="0" w:line="400" w:lineRule="exact"/>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 影像自动入库管理功能</w:t>
            </w:r>
          </w:p>
          <w:p w14:paraId="4A76B44C">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支持国产卫星影像（高分、ZY、FY 系列）自动接入与归档入库；多源数据编目、时空、关键字检索、可视化及元数据管理，提供2年数据</w:t>
            </w:r>
            <w:r>
              <w:rPr>
                <w:rFonts w:hint="eastAsia" w:ascii="宋体" w:hAnsi="宋体" w:cs="宋体"/>
                <w:color w:val="auto"/>
                <w:sz w:val="21"/>
                <w:szCs w:val="21"/>
                <w:highlight w:val="none"/>
                <w:lang w:val="en-US" w:eastAsia="zh-CN"/>
              </w:rPr>
              <w:t>免费</w:t>
            </w:r>
            <w:r>
              <w:rPr>
                <w:rFonts w:hint="eastAsia" w:ascii="宋体" w:hAnsi="宋体" w:eastAsia="宋体" w:cs="宋体"/>
                <w:color w:val="auto"/>
                <w:sz w:val="21"/>
                <w:szCs w:val="21"/>
                <w:highlight w:val="none"/>
                <w:lang w:val="en-US" w:eastAsia="zh-CN"/>
              </w:rPr>
              <w:t>使用。</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正偏离：</w:t>
            </w:r>
            <w:r>
              <w:rPr>
                <w:rFonts w:hint="eastAsia" w:ascii="宋体" w:hAnsi="宋体" w:eastAsia="宋体" w:cs="宋体"/>
                <w:color w:val="auto"/>
                <w:sz w:val="21"/>
                <w:szCs w:val="21"/>
                <w:highlight w:val="none"/>
                <w:lang w:val="en-US" w:eastAsia="zh-CN"/>
              </w:rPr>
              <w:t>提供2年</w:t>
            </w:r>
            <w:r>
              <w:rPr>
                <w:rFonts w:hint="eastAsia" w:ascii="宋体" w:hAnsi="宋体" w:cs="宋体"/>
                <w:color w:val="auto"/>
                <w:sz w:val="21"/>
                <w:szCs w:val="21"/>
                <w:highlight w:val="none"/>
                <w:lang w:val="en-US" w:eastAsia="zh-CN"/>
              </w:rPr>
              <w:t>以上</w:t>
            </w:r>
            <w:r>
              <w:rPr>
                <w:rFonts w:hint="eastAsia" w:ascii="宋体" w:hAnsi="宋体" w:eastAsia="宋体" w:cs="宋体"/>
                <w:color w:val="auto"/>
                <w:sz w:val="21"/>
                <w:szCs w:val="21"/>
                <w:highlight w:val="none"/>
                <w:lang w:val="en-US" w:eastAsia="zh-CN"/>
              </w:rPr>
              <w:t>数据</w:t>
            </w:r>
            <w:r>
              <w:rPr>
                <w:rFonts w:hint="eastAsia" w:ascii="宋体" w:hAnsi="宋体" w:cs="宋体"/>
                <w:color w:val="auto"/>
                <w:sz w:val="21"/>
                <w:szCs w:val="21"/>
                <w:highlight w:val="none"/>
                <w:lang w:val="en-US" w:eastAsia="zh-CN"/>
              </w:rPr>
              <w:t>免费</w:t>
            </w:r>
            <w:r>
              <w:rPr>
                <w:rFonts w:hint="eastAsia" w:ascii="宋体" w:hAnsi="宋体" w:eastAsia="宋体" w:cs="宋体"/>
                <w:color w:val="auto"/>
                <w:sz w:val="21"/>
                <w:szCs w:val="21"/>
                <w:highlight w:val="none"/>
                <w:lang w:val="en-US" w:eastAsia="zh-CN"/>
              </w:rPr>
              <w:t>使用</w:t>
            </w:r>
            <w:r>
              <w:rPr>
                <w:rFonts w:hint="eastAsia" w:ascii="宋体" w:hAnsi="宋体" w:cs="宋体"/>
                <w:color w:val="auto"/>
                <w:sz w:val="21"/>
                <w:szCs w:val="21"/>
                <w:highlight w:val="none"/>
                <w:lang w:val="en-US" w:eastAsia="zh-CN"/>
              </w:rPr>
              <w:t>；无偏离：</w:t>
            </w:r>
            <w:r>
              <w:rPr>
                <w:rFonts w:hint="eastAsia" w:ascii="宋体" w:hAnsi="宋体" w:eastAsia="宋体" w:cs="宋体"/>
                <w:color w:val="auto"/>
                <w:sz w:val="21"/>
                <w:szCs w:val="21"/>
                <w:highlight w:val="none"/>
                <w:lang w:val="en-US" w:eastAsia="zh-CN"/>
              </w:rPr>
              <w:t>提供2年数据</w:t>
            </w:r>
            <w:r>
              <w:rPr>
                <w:rFonts w:hint="eastAsia" w:ascii="宋体" w:hAnsi="宋体" w:cs="宋体"/>
                <w:color w:val="auto"/>
                <w:sz w:val="21"/>
                <w:szCs w:val="21"/>
                <w:highlight w:val="none"/>
                <w:lang w:val="en-US" w:eastAsia="zh-CN"/>
              </w:rPr>
              <w:t>免费</w:t>
            </w:r>
            <w:r>
              <w:rPr>
                <w:rFonts w:hint="eastAsia" w:ascii="宋体" w:hAnsi="宋体" w:eastAsia="宋体" w:cs="宋体"/>
                <w:color w:val="auto"/>
                <w:sz w:val="21"/>
                <w:szCs w:val="21"/>
                <w:highlight w:val="none"/>
                <w:lang w:val="en-US" w:eastAsia="zh-CN"/>
              </w:rPr>
              <w:t>使用</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投标时需提供</w:t>
            </w:r>
            <w:r>
              <w:rPr>
                <w:rFonts w:hint="eastAsia" w:ascii="宋体" w:hAnsi="宋体" w:cs="宋体"/>
                <w:color w:val="auto"/>
                <w:sz w:val="21"/>
                <w:szCs w:val="21"/>
                <w:highlight w:val="none"/>
                <w:lang w:val="en-US" w:eastAsia="zh-CN"/>
              </w:rPr>
              <w:t>承诺函承诺</w:t>
            </w:r>
            <w:r>
              <w:rPr>
                <w:rFonts w:hint="eastAsia" w:ascii="宋体" w:hAnsi="宋体" w:eastAsia="宋体" w:cs="宋体"/>
                <w:color w:val="auto"/>
                <w:sz w:val="21"/>
                <w:szCs w:val="21"/>
                <w:highlight w:val="none"/>
                <w:lang w:val="en-US" w:eastAsia="zh-CN"/>
              </w:rPr>
              <w:t>影像自动入库管理功能</w:t>
            </w:r>
            <w:r>
              <w:rPr>
                <w:rFonts w:hint="eastAsia" w:ascii="宋体" w:hAnsi="宋体" w:cs="宋体"/>
                <w:color w:val="auto"/>
                <w:sz w:val="21"/>
                <w:szCs w:val="21"/>
                <w:highlight w:val="none"/>
                <w:lang w:val="en-US" w:eastAsia="zh-CN"/>
              </w:rPr>
              <w:t>免费使用年限</w:t>
            </w:r>
            <w:r>
              <w:rPr>
                <w:rFonts w:hint="eastAsia" w:ascii="宋体" w:hAnsi="宋体" w:eastAsia="宋体" w:cs="宋体"/>
                <w:color w:val="auto"/>
                <w:sz w:val="21"/>
                <w:szCs w:val="21"/>
                <w:highlight w:val="none"/>
                <w:lang w:eastAsia="zh-CN"/>
              </w:rPr>
              <w:t>】</w:t>
            </w:r>
          </w:p>
        </w:tc>
        <w:tc>
          <w:tcPr>
            <w:tcW w:w="1501" w:type="dxa"/>
            <w:noWrap w:val="0"/>
            <w:vAlign w:val="center"/>
          </w:tcPr>
          <w:p w14:paraId="03481515">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cs="宋体"/>
                <w:b w:val="0"/>
                <w:bCs w:val="0"/>
                <w:color w:val="auto"/>
                <w:sz w:val="21"/>
                <w:szCs w:val="21"/>
                <w:highlight w:val="none"/>
                <w:u w:val="none"/>
                <w:vertAlign w:val="baseline"/>
                <w:lang w:val="en-US" w:eastAsia="zh-CN" w:bidi="ar"/>
              </w:rPr>
              <w:t>重要</w:t>
            </w:r>
            <w:r>
              <w:rPr>
                <w:rFonts w:hint="eastAsia" w:ascii="宋体" w:hAnsi="宋体" w:eastAsia="宋体" w:cs="宋体"/>
                <w:b w:val="0"/>
                <w:bCs w:val="0"/>
                <w:color w:val="auto"/>
                <w:sz w:val="21"/>
                <w:szCs w:val="21"/>
                <w:highlight w:val="none"/>
                <w:u w:val="none"/>
                <w:vertAlign w:val="baseline"/>
                <w:lang w:val="en-US" w:eastAsia="zh-CN" w:bidi="ar"/>
              </w:rPr>
              <w:t>参数</w:t>
            </w:r>
          </w:p>
        </w:tc>
      </w:tr>
      <w:tr w14:paraId="5423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7021" w:type="dxa"/>
            <w:noWrap w:val="0"/>
            <w:vAlign w:val="center"/>
          </w:tcPr>
          <w:p w14:paraId="277906C6">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 影像处理功能</w:t>
            </w:r>
          </w:p>
          <w:p w14:paraId="1C0E0509">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通用处理：解压缩、金字塔创建、波段合成等；</w:t>
            </w:r>
          </w:p>
          <w:p w14:paraId="187A2062">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基础处理：正射校正、融合、真彩色等全流程。</w:t>
            </w:r>
          </w:p>
          <w:p w14:paraId="7151DE40">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其中空间参考要求：（1）坐标系统为2000 国家大地坐标系（CGCS2000）（2）投影方式为高斯-克吕格投影，按3°分带，中央子午线分别为东经105°E、108°E、111°E，坐标单位为米。</w:t>
            </w:r>
          </w:p>
          <w:p w14:paraId="23DAA240">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高程基准：1985 国家高程基准。</w:t>
            </w:r>
          </w:p>
        </w:tc>
        <w:tc>
          <w:tcPr>
            <w:tcW w:w="1501" w:type="dxa"/>
            <w:noWrap w:val="0"/>
            <w:vAlign w:val="center"/>
          </w:tcPr>
          <w:p w14:paraId="570F3F3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A5B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7021" w:type="dxa"/>
            <w:noWrap w:val="0"/>
            <w:vAlign w:val="center"/>
          </w:tcPr>
          <w:p w14:paraId="02A72D03">
            <w:pPr>
              <w:keepNext w:val="0"/>
              <w:keepLines w:val="0"/>
              <w:numPr>
                <w:ilvl w:val="-1"/>
                <w:numId w:val="0"/>
              </w:numPr>
              <w:suppressLineNumbers w:val="0"/>
              <w:spacing w:before="0" w:beforeAutospacing="0" w:after="0" w:afterAutospacing="0" w:line="400" w:lineRule="exact"/>
              <w:ind w:left="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 影像切片与</w:t>
            </w:r>
            <w:r>
              <w:rPr>
                <w:rFonts w:hint="eastAsia" w:ascii="宋体" w:hAnsi="宋体" w:cs="宋体"/>
                <w:color w:val="auto"/>
                <w:sz w:val="21"/>
                <w:szCs w:val="21"/>
                <w:highlight w:val="none"/>
                <w:lang w:val="en-US" w:eastAsia="zh-CN"/>
              </w:rPr>
              <w:t>地</w:t>
            </w:r>
            <w:r>
              <w:rPr>
                <w:rFonts w:hint="eastAsia" w:ascii="宋体" w:hAnsi="宋体" w:eastAsia="宋体" w:cs="宋体"/>
                <w:color w:val="auto"/>
                <w:sz w:val="21"/>
                <w:szCs w:val="21"/>
                <w:highlight w:val="none"/>
                <w:lang w:val="en-US" w:eastAsia="zh-CN"/>
              </w:rPr>
              <w:t>图制作功能</w:t>
            </w:r>
          </w:p>
          <w:p w14:paraId="0903B517">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支持 OGC协议；地图服务瓦片调用响应≤</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s，支持任务集管理。</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正偏离：</w:t>
            </w:r>
            <w:r>
              <w:rPr>
                <w:rFonts w:hint="eastAsia" w:ascii="宋体" w:hAnsi="宋体" w:eastAsia="宋体" w:cs="宋体"/>
                <w:color w:val="auto"/>
                <w:sz w:val="21"/>
                <w:szCs w:val="21"/>
                <w:highlight w:val="none"/>
                <w:lang w:val="en-US" w:eastAsia="zh-CN"/>
              </w:rPr>
              <w:t>地图服务瓦片调用响应＜</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s</w:t>
            </w:r>
            <w:r>
              <w:rPr>
                <w:rFonts w:hint="eastAsia" w:ascii="宋体" w:hAnsi="宋体" w:cs="宋体"/>
                <w:color w:val="auto"/>
                <w:sz w:val="21"/>
                <w:szCs w:val="21"/>
                <w:highlight w:val="none"/>
                <w:lang w:val="en-US" w:eastAsia="zh-CN"/>
              </w:rPr>
              <w:t>同时</w:t>
            </w:r>
            <w:r>
              <w:rPr>
                <w:rFonts w:hint="eastAsia" w:ascii="宋体" w:hAnsi="宋体" w:eastAsia="宋体" w:cs="宋体"/>
                <w:color w:val="auto"/>
                <w:sz w:val="21"/>
                <w:szCs w:val="21"/>
                <w:highlight w:val="none"/>
                <w:lang w:val="en-US" w:eastAsia="zh-CN"/>
              </w:rPr>
              <w:t>支持任务集管理</w:t>
            </w:r>
            <w:r>
              <w:rPr>
                <w:rFonts w:hint="eastAsia" w:ascii="宋体" w:hAnsi="宋体" w:cs="宋体"/>
                <w:color w:val="auto"/>
                <w:sz w:val="21"/>
                <w:szCs w:val="21"/>
                <w:highlight w:val="none"/>
                <w:lang w:val="en-US" w:eastAsia="zh-CN"/>
              </w:rPr>
              <w:t>；无偏离：</w:t>
            </w:r>
            <w:r>
              <w:rPr>
                <w:rFonts w:hint="eastAsia" w:ascii="宋体" w:hAnsi="宋体" w:eastAsia="宋体" w:cs="宋体"/>
                <w:color w:val="auto"/>
                <w:sz w:val="21"/>
                <w:szCs w:val="21"/>
                <w:highlight w:val="none"/>
                <w:lang w:val="en-US" w:eastAsia="zh-CN"/>
              </w:rPr>
              <w:t>地图服务瓦片调用响应</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s</w:t>
            </w:r>
            <w:r>
              <w:rPr>
                <w:rFonts w:hint="eastAsia" w:ascii="宋体" w:hAnsi="宋体" w:cs="宋体"/>
                <w:color w:val="auto"/>
                <w:sz w:val="21"/>
                <w:szCs w:val="21"/>
                <w:highlight w:val="none"/>
                <w:lang w:val="en-US" w:eastAsia="zh-CN"/>
              </w:rPr>
              <w:t>同时</w:t>
            </w:r>
            <w:r>
              <w:rPr>
                <w:rFonts w:hint="eastAsia" w:ascii="宋体" w:hAnsi="宋体" w:eastAsia="宋体" w:cs="宋体"/>
                <w:color w:val="auto"/>
                <w:sz w:val="21"/>
                <w:szCs w:val="21"/>
                <w:highlight w:val="none"/>
                <w:lang w:val="en-US" w:eastAsia="zh-CN"/>
              </w:rPr>
              <w:t>支持任务集管理。投标时需提供产品彩页或有关证明材料并加盖投标人单位公章</w:t>
            </w:r>
            <w:r>
              <w:rPr>
                <w:rFonts w:hint="eastAsia" w:ascii="宋体" w:hAnsi="宋体" w:eastAsia="宋体" w:cs="宋体"/>
                <w:color w:val="auto"/>
                <w:sz w:val="21"/>
                <w:szCs w:val="21"/>
                <w:highlight w:val="none"/>
                <w:lang w:eastAsia="zh-CN"/>
              </w:rPr>
              <w:t>】</w:t>
            </w:r>
          </w:p>
        </w:tc>
        <w:tc>
          <w:tcPr>
            <w:tcW w:w="1501" w:type="dxa"/>
            <w:noWrap w:val="0"/>
            <w:vAlign w:val="center"/>
          </w:tcPr>
          <w:p w14:paraId="41C7142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cs="宋体"/>
                <w:b w:val="0"/>
                <w:bCs w:val="0"/>
                <w:color w:val="auto"/>
                <w:sz w:val="21"/>
                <w:szCs w:val="21"/>
                <w:highlight w:val="none"/>
                <w:u w:val="none"/>
                <w:vertAlign w:val="baseline"/>
                <w:lang w:val="en-US" w:eastAsia="zh-CN" w:bidi="ar"/>
              </w:rPr>
              <w:t>重要</w:t>
            </w:r>
            <w:r>
              <w:rPr>
                <w:rFonts w:hint="eastAsia" w:ascii="宋体" w:hAnsi="宋体" w:eastAsia="宋体" w:cs="宋体"/>
                <w:b w:val="0"/>
                <w:bCs w:val="0"/>
                <w:color w:val="auto"/>
                <w:sz w:val="21"/>
                <w:szCs w:val="21"/>
                <w:highlight w:val="none"/>
                <w:u w:val="none"/>
                <w:vertAlign w:val="baseline"/>
                <w:lang w:val="en-US" w:eastAsia="zh-CN" w:bidi="ar"/>
              </w:rPr>
              <w:t>参数</w:t>
            </w:r>
          </w:p>
        </w:tc>
      </w:tr>
      <w:tr w14:paraId="732A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7021" w:type="dxa"/>
            <w:noWrap w:val="0"/>
            <w:vAlign w:val="center"/>
          </w:tcPr>
          <w:p w14:paraId="72090BB1">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4.4影像产品一张图生产功能</w:t>
            </w:r>
          </w:p>
          <w:p w14:paraId="60C2FACB">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支持自主选择区域、优选数据进行影像正射、融合、真彩色、匀色、镶嵌、分幅等处理，形成影像产品一张图。</w:t>
            </w:r>
          </w:p>
        </w:tc>
        <w:tc>
          <w:tcPr>
            <w:tcW w:w="1501" w:type="dxa"/>
            <w:noWrap w:val="0"/>
            <w:vAlign w:val="center"/>
          </w:tcPr>
          <w:p w14:paraId="563F415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2E4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7021" w:type="dxa"/>
            <w:noWrap w:val="0"/>
            <w:vAlign w:val="center"/>
          </w:tcPr>
          <w:p w14:paraId="40C38009">
            <w:pPr>
              <w:keepNext w:val="0"/>
              <w:keepLines w:val="0"/>
              <w:numPr>
                <w:ilvl w:val="-1"/>
                <w:numId w:val="0"/>
              </w:numPr>
              <w:suppressLineNumbers w:val="0"/>
              <w:spacing w:before="0" w:beforeAutospacing="0" w:after="0" w:afterAutospacing="0" w:line="400" w:lineRule="exact"/>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■4.5</w:t>
            </w:r>
            <w:r>
              <w:rPr>
                <w:rFonts w:hint="eastAsia" w:ascii="宋体" w:hAnsi="宋体" w:eastAsia="宋体" w:cs="宋体"/>
                <w:color w:val="auto"/>
                <w:sz w:val="21"/>
                <w:szCs w:val="21"/>
                <w:highlight w:val="none"/>
                <w:lang w:val="en-US" w:eastAsia="zh-CN"/>
              </w:rPr>
              <w:t>生态参数计算功能</w:t>
            </w:r>
          </w:p>
          <w:p w14:paraId="12501692">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支持 FVC（植被覆盖度）、NDVI（归一化植被指数）计算</w:t>
            </w:r>
            <w:r>
              <w:rPr>
                <w:rFonts w:hint="eastAsia" w:ascii="宋体" w:hAnsi="宋体" w:cs="宋体"/>
                <w:color w:val="auto"/>
                <w:sz w:val="21"/>
                <w:szCs w:val="21"/>
                <w:highlight w:val="none"/>
                <w:lang w:val="en-US" w:eastAsia="zh-CN"/>
              </w:rPr>
              <w:t>，LAI（叶面积指数）、NPP（净初级生产力）等生态参数拓展</w:t>
            </w:r>
            <w:r>
              <w:rPr>
                <w:rFonts w:hint="eastAsia" w:ascii="宋体" w:hAnsi="宋体" w:eastAsia="宋体" w:cs="宋体"/>
                <w:color w:val="auto"/>
                <w:sz w:val="21"/>
                <w:szCs w:val="21"/>
                <w:highlight w:val="none"/>
                <w:lang w:val="en-US" w:eastAsia="zh-CN"/>
              </w:rPr>
              <w:t>功能，满足区域生态监测精度要求。</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正偏离：同时支持</w:t>
            </w:r>
            <w:r>
              <w:rPr>
                <w:rFonts w:hint="eastAsia" w:ascii="宋体" w:hAnsi="宋体" w:eastAsia="宋体" w:cs="宋体"/>
                <w:color w:val="auto"/>
                <w:sz w:val="21"/>
                <w:szCs w:val="21"/>
                <w:highlight w:val="none"/>
                <w:lang w:val="en-US" w:eastAsia="zh-CN"/>
              </w:rPr>
              <w:t>FVC</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NDVI</w:t>
            </w:r>
            <w:r>
              <w:rPr>
                <w:rFonts w:hint="eastAsia" w:ascii="宋体" w:hAnsi="宋体" w:cs="宋体"/>
                <w:color w:val="auto"/>
                <w:sz w:val="21"/>
                <w:szCs w:val="21"/>
                <w:highlight w:val="none"/>
                <w:lang w:val="en-US" w:eastAsia="zh-CN"/>
              </w:rPr>
              <w:t>计算和LAI、NPP拓展等4项功能；无偏离：支持</w:t>
            </w:r>
            <w:r>
              <w:rPr>
                <w:rFonts w:hint="eastAsia" w:ascii="宋体" w:hAnsi="宋体" w:eastAsia="宋体" w:cs="宋体"/>
                <w:color w:val="auto"/>
                <w:sz w:val="21"/>
                <w:szCs w:val="21"/>
                <w:highlight w:val="none"/>
                <w:lang w:val="en-US" w:eastAsia="zh-CN"/>
              </w:rPr>
              <w:t>FVC</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NDVI</w:t>
            </w:r>
            <w:r>
              <w:rPr>
                <w:rFonts w:hint="eastAsia" w:ascii="宋体" w:hAnsi="宋体" w:cs="宋体"/>
                <w:color w:val="auto"/>
                <w:sz w:val="21"/>
                <w:szCs w:val="21"/>
                <w:highlight w:val="none"/>
                <w:lang w:val="en-US" w:eastAsia="zh-CN"/>
              </w:rPr>
              <w:t>计算，但LAI、NPP拓展功能不全或佐证不够清晰。</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tc>
        <w:tc>
          <w:tcPr>
            <w:tcW w:w="1501" w:type="dxa"/>
            <w:noWrap w:val="0"/>
            <w:vAlign w:val="center"/>
          </w:tcPr>
          <w:p w14:paraId="3172C0A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cs="宋体"/>
                <w:b w:val="0"/>
                <w:bCs w:val="0"/>
                <w:color w:val="auto"/>
                <w:sz w:val="21"/>
                <w:szCs w:val="21"/>
                <w:highlight w:val="none"/>
                <w:u w:val="none"/>
                <w:vertAlign w:val="baseline"/>
                <w:lang w:val="en-US" w:eastAsia="zh-CN" w:bidi="ar"/>
              </w:rPr>
              <w:t>重要</w:t>
            </w:r>
            <w:r>
              <w:rPr>
                <w:rFonts w:hint="eastAsia" w:ascii="宋体" w:hAnsi="宋体" w:eastAsia="宋体" w:cs="宋体"/>
                <w:b w:val="0"/>
                <w:bCs w:val="0"/>
                <w:color w:val="auto"/>
                <w:sz w:val="21"/>
                <w:szCs w:val="21"/>
                <w:highlight w:val="none"/>
                <w:u w:val="none"/>
                <w:vertAlign w:val="baseline"/>
                <w:lang w:val="en-US" w:eastAsia="zh-CN" w:bidi="ar"/>
              </w:rPr>
              <w:t>参数</w:t>
            </w:r>
          </w:p>
        </w:tc>
      </w:tr>
      <w:tr w14:paraId="7A721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7021" w:type="dxa"/>
            <w:noWrap w:val="0"/>
            <w:vAlign w:val="center"/>
          </w:tcPr>
          <w:p w14:paraId="6D1499CE">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4.6 质量控制与监控</w:t>
            </w:r>
          </w:p>
          <w:p w14:paraId="0F50BA0E">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具备数据完整性及精度检查与资源监控（节点、存储、服务）、告警及日志管理。</w:t>
            </w:r>
          </w:p>
        </w:tc>
        <w:tc>
          <w:tcPr>
            <w:tcW w:w="1501" w:type="dxa"/>
            <w:noWrap w:val="0"/>
            <w:vAlign w:val="center"/>
          </w:tcPr>
          <w:p w14:paraId="67133C95">
            <w:pPr>
              <w:pStyle w:val="31"/>
              <w:keepNext w:val="0"/>
              <w:keepLines w:val="0"/>
              <w:pageBreakBefore w:val="0"/>
              <w:kinsoku/>
              <w:wordWrap/>
              <w:overflowPunct/>
              <w:topLinePunct w:val="0"/>
              <w:autoSpaceDE/>
              <w:autoSpaceDN/>
              <w:bidi w:val="0"/>
              <w:adjustRightInd/>
              <w:spacing w:line="400" w:lineRule="exact"/>
              <w:ind w:firstLine="210" w:firstLineChars="100"/>
              <w:jc w:val="both"/>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0DD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7021" w:type="dxa"/>
            <w:noWrap w:val="0"/>
            <w:vAlign w:val="center"/>
          </w:tcPr>
          <w:p w14:paraId="5A2CB651">
            <w:pPr>
              <w:keepNext w:val="0"/>
              <w:keepLines w:val="0"/>
              <w:numPr>
                <w:ilvl w:val="-1"/>
                <w:numId w:val="0"/>
              </w:numPr>
              <w:suppressLineNumbers w:val="0"/>
              <w:spacing w:before="0" w:beforeAutospacing="0" w:after="0" w:afterAutospacing="0" w:line="400" w:lineRule="exact"/>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■4.7 自动化与效率</w:t>
            </w:r>
          </w:p>
          <w:p w14:paraId="13D1BDB8">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10 万平方公里米级影像处理不超过24 小时；每小时入库效率，原始影像不少于200 景、融合影像不少于150景、真彩色影像不少于200景；应急数据</w:t>
            </w:r>
            <w:r>
              <w:rPr>
                <w:rFonts w:hint="eastAsia" w:ascii="宋体" w:hAnsi="宋体" w:cs="宋体"/>
                <w:color w:val="auto"/>
                <w:sz w:val="21"/>
                <w:szCs w:val="21"/>
                <w:highlight w:val="none"/>
                <w:lang w:val="en-US" w:eastAsia="zh-CN"/>
              </w:rPr>
              <w:t>生产</w:t>
            </w:r>
            <w:r>
              <w:rPr>
                <w:rFonts w:hint="eastAsia" w:ascii="宋体" w:hAnsi="宋体" w:eastAsia="宋体" w:cs="宋体"/>
                <w:color w:val="auto"/>
                <w:sz w:val="21"/>
                <w:szCs w:val="21"/>
                <w:highlight w:val="none"/>
                <w:lang w:val="en-US" w:eastAsia="zh-CN"/>
              </w:rPr>
              <w:t>时效不超过2 天。</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正偏离：同时满足</w:t>
            </w:r>
            <w:r>
              <w:rPr>
                <w:rFonts w:hint="eastAsia" w:ascii="宋体" w:hAnsi="宋体" w:eastAsia="宋体" w:cs="宋体"/>
                <w:color w:val="auto"/>
                <w:sz w:val="21"/>
                <w:szCs w:val="21"/>
                <w:highlight w:val="none"/>
                <w:lang w:val="en-US" w:eastAsia="zh-CN"/>
              </w:rPr>
              <w:t>10 万平方公里米级影像处理</w:t>
            </w:r>
            <w:r>
              <w:rPr>
                <w:rFonts w:hint="eastAsia" w:ascii="宋体" w:hAnsi="宋体" w:cs="宋体"/>
                <w:color w:val="auto"/>
                <w:sz w:val="21"/>
                <w:szCs w:val="21"/>
                <w:highlight w:val="none"/>
                <w:lang w:val="en-US" w:eastAsia="zh-CN"/>
              </w:rPr>
              <w:t>时长≤24小时、</w:t>
            </w:r>
            <w:r>
              <w:rPr>
                <w:rFonts w:hint="eastAsia" w:ascii="宋体" w:hAnsi="宋体" w:eastAsia="宋体" w:cs="宋体"/>
                <w:color w:val="auto"/>
                <w:sz w:val="21"/>
                <w:szCs w:val="21"/>
                <w:highlight w:val="none"/>
                <w:lang w:val="en-US" w:eastAsia="zh-CN"/>
              </w:rPr>
              <w:t>原始影像</w:t>
            </w:r>
            <w:r>
              <w:rPr>
                <w:rFonts w:hint="eastAsia" w:ascii="宋体" w:hAnsi="宋体" w:cs="宋体"/>
                <w:color w:val="auto"/>
                <w:sz w:val="21"/>
                <w:szCs w:val="21"/>
                <w:highlight w:val="none"/>
                <w:lang w:val="en-US" w:eastAsia="zh-CN"/>
              </w:rPr>
              <w:t>入库效率≥200景/小时、</w:t>
            </w:r>
            <w:r>
              <w:rPr>
                <w:rFonts w:hint="eastAsia" w:ascii="宋体" w:hAnsi="宋体" w:eastAsia="宋体" w:cs="宋体"/>
                <w:color w:val="auto"/>
                <w:sz w:val="21"/>
                <w:szCs w:val="21"/>
                <w:highlight w:val="none"/>
                <w:lang w:val="en-US" w:eastAsia="zh-CN"/>
              </w:rPr>
              <w:t>融合影像</w:t>
            </w:r>
            <w:r>
              <w:rPr>
                <w:rFonts w:hint="eastAsia" w:ascii="宋体" w:hAnsi="宋体" w:cs="宋体"/>
                <w:color w:val="auto"/>
                <w:sz w:val="21"/>
                <w:szCs w:val="21"/>
                <w:highlight w:val="none"/>
                <w:lang w:val="en-US" w:eastAsia="zh-CN"/>
              </w:rPr>
              <w:t>入库效率≥150景/小时、</w:t>
            </w:r>
            <w:r>
              <w:rPr>
                <w:rFonts w:hint="eastAsia" w:ascii="宋体" w:hAnsi="宋体" w:eastAsia="宋体" w:cs="宋体"/>
                <w:color w:val="auto"/>
                <w:sz w:val="21"/>
                <w:szCs w:val="21"/>
                <w:highlight w:val="none"/>
                <w:lang w:val="en-US" w:eastAsia="zh-CN"/>
              </w:rPr>
              <w:t>真彩色影像</w:t>
            </w:r>
            <w:r>
              <w:rPr>
                <w:rFonts w:hint="eastAsia" w:ascii="宋体" w:hAnsi="宋体" w:cs="宋体"/>
                <w:color w:val="auto"/>
                <w:sz w:val="21"/>
                <w:szCs w:val="21"/>
                <w:highlight w:val="none"/>
                <w:lang w:val="en-US" w:eastAsia="zh-CN"/>
              </w:rPr>
              <w:t>入库效率≥200景/小时、</w:t>
            </w:r>
            <w:r>
              <w:rPr>
                <w:rFonts w:hint="eastAsia" w:ascii="宋体" w:hAnsi="宋体" w:eastAsia="宋体" w:cs="宋体"/>
                <w:color w:val="auto"/>
                <w:sz w:val="21"/>
                <w:szCs w:val="21"/>
                <w:highlight w:val="none"/>
                <w:lang w:val="en-US" w:eastAsia="zh-CN"/>
              </w:rPr>
              <w:t>应急数据</w:t>
            </w:r>
            <w:r>
              <w:rPr>
                <w:rFonts w:hint="eastAsia" w:ascii="宋体" w:hAnsi="宋体" w:cs="宋体"/>
                <w:color w:val="auto"/>
                <w:sz w:val="21"/>
                <w:szCs w:val="21"/>
                <w:highlight w:val="none"/>
                <w:lang w:val="en-US" w:eastAsia="zh-CN"/>
              </w:rPr>
              <w:t>生产</w:t>
            </w:r>
            <w:r>
              <w:rPr>
                <w:rFonts w:hint="eastAsia" w:ascii="宋体" w:hAnsi="宋体" w:eastAsia="宋体" w:cs="宋体"/>
                <w:color w:val="auto"/>
                <w:sz w:val="21"/>
                <w:szCs w:val="21"/>
                <w:highlight w:val="none"/>
                <w:lang w:val="en-US" w:eastAsia="zh-CN"/>
              </w:rPr>
              <w:t>时效</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 天</w:t>
            </w:r>
            <w:r>
              <w:rPr>
                <w:rFonts w:hint="eastAsia" w:ascii="宋体" w:hAnsi="宋体" w:cs="宋体"/>
                <w:color w:val="auto"/>
                <w:sz w:val="21"/>
                <w:szCs w:val="21"/>
                <w:highlight w:val="none"/>
                <w:lang w:val="en-US" w:eastAsia="zh-CN"/>
              </w:rPr>
              <w:t>等5项功能要求；无偏离：以上5项功能要求仅满足部分或佐证不够清晰。</w:t>
            </w:r>
            <w:r>
              <w:rPr>
                <w:rFonts w:hint="eastAsia" w:ascii="宋体" w:hAnsi="宋体" w:eastAsia="宋体" w:cs="宋体"/>
                <w:color w:val="auto"/>
                <w:sz w:val="21"/>
                <w:szCs w:val="21"/>
                <w:highlight w:val="none"/>
                <w:lang w:val="en-US" w:eastAsia="zh-CN"/>
              </w:rPr>
              <w:t>投标时需提供产品彩页或有关证明材料并加盖投标人单位公章</w:t>
            </w:r>
            <w:r>
              <w:rPr>
                <w:rFonts w:hint="eastAsia" w:ascii="宋体" w:hAnsi="宋体" w:eastAsia="宋体" w:cs="宋体"/>
                <w:color w:val="auto"/>
                <w:sz w:val="21"/>
                <w:szCs w:val="21"/>
                <w:highlight w:val="none"/>
                <w:lang w:eastAsia="zh-CN"/>
              </w:rPr>
              <w:t>】</w:t>
            </w:r>
          </w:p>
        </w:tc>
        <w:tc>
          <w:tcPr>
            <w:tcW w:w="1501" w:type="dxa"/>
            <w:noWrap w:val="0"/>
            <w:vAlign w:val="center"/>
          </w:tcPr>
          <w:p w14:paraId="2CAC6FBB">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cs="宋体"/>
                <w:b w:val="0"/>
                <w:bCs w:val="0"/>
                <w:color w:val="auto"/>
                <w:sz w:val="21"/>
                <w:szCs w:val="21"/>
                <w:highlight w:val="none"/>
                <w:u w:val="none"/>
                <w:vertAlign w:val="baseline"/>
                <w:lang w:val="en-US" w:eastAsia="zh-CN" w:bidi="ar"/>
              </w:rPr>
              <w:t>重要</w:t>
            </w:r>
            <w:r>
              <w:rPr>
                <w:rFonts w:hint="eastAsia" w:ascii="宋体" w:hAnsi="宋体" w:eastAsia="宋体" w:cs="宋体"/>
                <w:b w:val="0"/>
                <w:bCs w:val="0"/>
                <w:color w:val="auto"/>
                <w:sz w:val="21"/>
                <w:szCs w:val="21"/>
                <w:highlight w:val="none"/>
                <w:u w:val="none"/>
                <w:vertAlign w:val="baseline"/>
                <w:lang w:val="en-US" w:eastAsia="zh-CN" w:bidi="ar"/>
              </w:rPr>
              <w:t>参数</w:t>
            </w:r>
          </w:p>
        </w:tc>
      </w:tr>
      <w:tr w14:paraId="6F49B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3096AC4A">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5.国产化与安全</w:t>
            </w:r>
          </w:p>
        </w:tc>
        <w:tc>
          <w:tcPr>
            <w:tcW w:w="1501" w:type="dxa"/>
            <w:noWrap w:val="0"/>
            <w:vAlign w:val="center"/>
          </w:tcPr>
          <w:p w14:paraId="2BF6079B">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w:t>
            </w:r>
          </w:p>
        </w:tc>
      </w:tr>
      <w:tr w14:paraId="60FD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5D82203">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5.1与国产软硬件兼容，提供与国产 CPU、国产操作系统的有效性兼容性认证证书或测试报告。</w:t>
            </w:r>
          </w:p>
        </w:tc>
        <w:tc>
          <w:tcPr>
            <w:tcW w:w="1501" w:type="dxa"/>
            <w:noWrap w:val="0"/>
            <w:vAlign w:val="center"/>
          </w:tcPr>
          <w:p w14:paraId="3EF7A7FB">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4E7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8602FD5">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5.2核心遥感处理算法需具备知识产权（专利证书、软件著作权登记证书），承诺不侵犯第三方知识产权，并提供核心算法源代码及技术文档，保障后期维护可持续性。</w:t>
            </w:r>
          </w:p>
        </w:tc>
        <w:tc>
          <w:tcPr>
            <w:tcW w:w="1501" w:type="dxa"/>
            <w:noWrap w:val="0"/>
            <w:vAlign w:val="center"/>
          </w:tcPr>
          <w:p w14:paraId="63EA1E9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60E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01A8513">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（二）配件部分</w:t>
            </w:r>
          </w:p>
        </w:tc>
        <w:tc>
          <w:tcPr>
            <w:tcW w:w="1501" w:type="dxa"/>
            <w:noWrap w:val="0"/>
            <w:vAlign w:val="center"/>
          </w:tcPr>
          <w:p w14:paraId="656B488B">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w:t>
            </w:r>
          </w:p>
        </w:tc>
      </w:tr>
      <w:tr w14:paraId="386D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A24272C">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1.固定遥感影像处理终端5台套，每台套参数（不低于）如下：</w:t>
            </w:r>
          </w:p>
        </w:tc>
        <w:tc>
          <w:tcPr>
            <w:tcW w:w="1501" w:type="dxa"/>
            <w:noWrap w:val="0"/>
            <w:vAlign w:val="center"/>
          </w:tcPr>
          <w:p w14:paraId="48B55C9C">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w:t>
            </w:r>
          </w:p>
        </w:tc>
      </w:tr>
      <w:tr w14:paraId="693B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25637BA">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处理器：</w:t>
            </w:r>
            <w:r>
              <w:rPr>
                <w:rFonts w:hint="eastAsia" w:ascii="宋体" w:hAnsi="宋体" w:cs="宋体"/>
                <w:i w:val="0"/>
                <w:iCs w:val="0"/>
                <w:color w:val="auto"/>
                <w:kern w:val="0"/>
                <w:sz w:val="21"/>
                <w:szCs w:val="21"/>
                <w:highlight w:val="none"/>
                <w:u w:val="none"/>
                <w:lang w:val="en-US" w:eastAsia="zh-CN" w:bidi="ar"/>
              </w:rPr>
              <w:t>20</w:t>
            </w:r>
            <w:r>
              <w:rPr>
                <w:rFonts w:hint="eastAsia" w:ascii="宋体" w:hAnsi="宋体" w:eastAsia="宋体" w:cs="宋体"/>
                <w:i w:val="0"/>
                <w:iCs w:val="0"/>
                <w:color w:val="auto"/>
                <w:kern w:val="0"/>
                <w:sz w:val="21"/>
                <w:szCs w:val="21"/>
                <w:highlight w:val="none"/>
                <w:u w:val="none"/>
                <w:lang w:val="en-US" w:eastAsia="zh-CN" w:bidi="ar"/>
              </w:rPr>
              <w:t>核</w:t>
            </w:r>
            <w:r>
              <w:rPr>
                <w:rFonts w:hint="eastAsia" w:ascii="宋体" w:hAnsi="宋体" w:cs="宋体"/>
                <w:i w:val="0"/>
                <w:iCs w:val="0"/>
                <w:color w:val="auto"/>
                <w:kern w:val="0"/>
                <w:sz w:val="21"/>
                <w:szCs w:val="21"/>
                <w:highlight w:val="none"/>
                <w:u w:val="none"/>
                <w:lang w:val="en-US" w:eastAsia="zh-CN" w:bidi="ar"/>
              </w:rPr>
              <w:t>28</w:t>
            </w:r>
            <w:r>
              <w:rPr>
                <w:rFonts w:hint="eastAsia" w:ascii="宋体" w:hAnsi="宋体" w:eastAsia="宋体" w:cs="宋体"/>
                <w:i w:val="0"/>
                <w:iCs w:val="0"/>
                <w:color w:val="auto"/>
                <w:kern w:val="0"/>
                <w:sz w:val="21"/>
                <w:szCs w:val="21"/>
                <w:highlight w:val="none"/>
                <w:u w:val="none"/>
                <w:lang w:val="en-US" w:eastAsia="zh-CN" w:bidi="ar"/>
              </w:rPr>
              <w:t>线程</w:t>
            </w:r>
          </w:p>
        </w:tc>
        <w:tc>
          <w:tcPr>
            <w:tcW w:w="1501" w:type="dxa"/>
            <w:noWrap w:val="0"/>
            <w:vAlign w:val="center"/>
          </w:tcPr>
          <w:p w14:paraId="3D7785C0">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C7E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B1CD0D6">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内存：128GB DDR5</w:t>
            </w:r>
          </w:p>
        </w:tc>
        <w:tc>
          <w:tcPr>
            <w:tcW w:w="1501" w:type="dxa"/>
            <w:noWrap w:val="0"/>
            <w:vAlign w:val="center"/>
          </w:tcPr>
          <w:p w14:paraId="6479F3D6">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2BDDA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975987C">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硬盘：1TB NVMe SSD + 4TB SATA HDD</w:t>
            </w:r>
          </w:p>
        </w:tc>
        <w:tc>
          <w:tcPr>
            <w:tcW w:w="1501" w:type="dxa"/>
            <w:noWrap w:val="0"/>
            <w:vAlign w:val="center"/>
          </w:tcPr>
          <w:p w14:paraId="1EDB578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374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73AADBA">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显卡：不低于20GB专业卡</w:t>
            </w:r>
          </w:p>
        </w:tc>
        <w:tc>
          <w:tcPr>
            <w:tcW w:w="1501" w:type="dxa"/>
            <w:noWrap w:val="0"/>
            <w:vAlign w:val="center"/>
          </w:tcPr>
          <w:p w14:paraId="71E49A5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53E1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4801AF06">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配备27英寸4K显示器</w:t>
            </w:r>
          </w:p>
        </w:tc>
        <w:tc>
          <w:tcPr>
            <w:tcW w:w="1501" w:type="dxa"/>
            <w:noWrap w:val="0"/>
            <w:vAlign w:val="center"/>
          </w:tcPr>
          <w:p w14:paraId="095B473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152C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BDA12FF">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2.移动数据处理终端2台套，每台套参数（不低于）如下：</w:t>
            </w:r>
          </w:p>
        </w:tc>
        <w:tc>
          <w:tcPr>
            <w:tcW w:w="1501" w:type="dxa"/>
            <w:noWrap w:val="0"/>
            <w:vAlign w:val="center"/>
          </w:tcPr>
          <w:p w14:paraId="384041BF">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w:t>
            </w:r>
          </w:p>
        </w:tc>
      </w:tr>
      <w:tr w14:paraId="15C5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E6FB16C">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处理器：Ultra 9 HX 16核22线程</w:t>
            </w:r>
          </w:p>
        </w:tc>
        <w:tc>
          <w:tcPr>
            <w:tcW w:w="1501" w:type="dxa"/>
            <w:noWrap w:val="0"/>
            <w:vAlign w:val="center"/>
          </w:tcPr>
          <w:p w14:paraId="2CA2E8E9">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7234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3C7B9AA">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内存：64GB DDR5</w:t>
            </w:r>
          </w:p>
        </w:tc>
        <w:tc>
          <w:tcPr>
            <w:tcW w:w="1501" w:type="dxa"/>
            <w:noWrap w:val="0"/>
            <w:vAlign w:val="center"/>
          </w:tcPr>
          <w:p w14:paraId="11AF6644">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37CD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20AC6560">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硬盘：不低于2TB SSD</w:t>
            </w:r>
          </w:p>
        </w:tc>
        <w:tc>
          <w:tcPr>
            <w:tcW w:w="1501" w:type="dxa"/>
            <w:noWrap w:val="0"/>
            <w:vAlign w:val="center"/>
          </w:tcPr>
          <w:p w14:paraId="771AD3D1">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2A38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CA60EB8">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显卡：不低于12GB</w:t>
            </w:r>
          </w:p>
        </w:tc>
        <w:tc>
          <w:tcPr>
            <w:tcW w:w="1501" w:type="dxa"/>
            <w:noWrap w:val="0"/>
            <w:vAlign w:val="center"/>
          </w:tcPr>
          <w:p w14:paraId="0B94AC68">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0B6D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E285513">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3.移动手持数据采集器5台套 ，每台套参数（不低于）如下：</w:t>
            </w:r>
          </w:p>
        </w:tc>
        <w:tc>
          <w:tcPr>
            <w:tcW w:w="1501" w:type="dxa"/>
            <w:noWrap w:val="0"/>
            <w:vAlign w:val="center"/>
          </w:tcPr>
          <w:p w14:paraId="5E75B124">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bookmarkStart w:id="644" w:name="_Toc30243"/>
            <w:bookmarkStart w:id="645" w:name="_Toc20802"/>
            <w:r>
              <w:rPr>
                <w:rFonts w:hint="eastAsia" w:ascii="宋体" w:hAnsi="宋体" w:eastAsia="宋体" w:cs="宋体"/>
                <w:b w:val="0"/>
                <w:bCs w:val="0"/>
                <w:color w:val="auto"/>
                <w:sz w:val="21"/>
                <w:szCs w:val="21"/>
                <w:highlight w:val="none"/>
                <w:u w:val="none"/>
                <w:vertAlign w:val="baseline"/>
                <w:lang w:val="en-US" w:eastAsia="zh-CN" w:bidi="ar"/>
              </w:rPr>
              <w:t>/</w:t>
            </w:r>
            <w:bookmarkEnd w:id="644"/>
            <w:bookmarkEnd w:id="645"/>
          </w:p>
        </w:tc>
      </w:tr>
      <w:tr w14:paraId="6638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6E6FDD9C">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内存：不低于12GB</w:t>
            </w:r>
          </w:p>
        </w:tc>
        <w:tc>
          <w:tcPr>
            <w:tcW w:w="1501" w:type="dxa"/>
            <w:noWrap w:val="0"/>
            <w:vAlign w:val="center"/>
          </w:tcPr>
          <w:p w14:paraId="6EFDC39E">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43125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03815754">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存储容量：不低于256GB</w:t>
            </w:r>
          </w:p>
        </w:tc>
        <w:tc>
          <w:tcPr>
            <w:tcW w:w="1501" w:type="dxa"/>
            <w:noWrap w:val="0"/>
            <w:vAlign w:val="center"/>
          </w:tcPr>
          <w:p w14:paraId="7666A6DA">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3A2E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101D2E6D">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卫星通信功能：支持天通卫星通信。</w:t>
            </w:r>
          </w:p>
        </w:tc>
        <w:tc>
          <w:tcPr>
            <w:tcW w:w="1501" w:type="dxa"/>
            <w:noWrap w:val="0"/>
            <w:vAlign w:val="center"/>
          </w:tcPr>
          <w:p w14:paraId="6FFA868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6491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1" w:type="dxa"/>
            <w:noWrap w:val="0"/>
            <w:vAlign w:val="center"/>
          </w:tcPr>
          <w:p w14:paraId="7B056B0A">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三、软件对接需求</w:t>
            </w:r>
          </w:p>
        </w:tc>
        <w:tc>
          <w:tcPr>
            <w:tcW w:w="1501" w:type="dxa"/>
            <w:noWrap w:val="0"/>
            <w:vAlign w:val="center"/>
          </w:tcPr>
          <w:p w14:paraId="3A20855D">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w:t>
            </w:r>
          </w:p>
        </w:tc>
      </w:tr>
      <w:tr w14:paraId="34C2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4" w:hRule="atLeast"/>
        </w:trPr>
        <w:tc>
          <w:tcPr>
            <w:tcW w:w="7021" w:type="dxa"/>
            <w:noWrap w:val="0"/>
            <w:vAlign w:val="center"/>
          </w:tcPr>
          <w:p w14:paraId="1E66F607">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1.技术中台对接采购需求</w:t>
            </w:r>
          </w:p>
          <w:p w14:paraId="6662F7A1">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需基于生态环境统一支撑平台提供的能力进行建设，需遵循统一的建设要求。业务应用系统相关的接口和服务需通过统一应用网关对外暴露，需按平台统一的路由配置规范设置访问路径。业务应用系统需支持广西水生态环境监管平台提供的统一身份认证协议，与平台提供的统一单点登录系统对接，通过解析平台签发的密钥来获取用户身份信息，并以此为依据进行系统内部的权限判断和控制。业务应用系统内需要触达用户的通知（如事项办理、业务告警、状态变更等），需按平台定义的消息模板规范，调用统一消息中心的接口实现消息的接入。业务应用系统的日志需输出到标准输出和标准错误，建议输出结构化日志，并对接统一的日志管理模块，便于后续的日志检索和分析。</w:t>
            </w:r>
          </w:p>
        </w:tc>
        <w:tc>
          <w:tcPr>
            <w:tcW w:w="1501" w:type="dxa"/>
            <w:noWrap w:val="0"/>
            <w:vAlign w:val="center"/>
          </w:tcPr>
          <w:p w14:paraId="29274F42">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r w14:paraId="357F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7021" w:type="dxa"/>
            <w:noWrap w:val="0"/>
            <w:vAlign w:val="center"/>
          </w:tcPr>
          <w:p w14:paraId="2B560B66">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2.数据资源方面对接需求</w:t>
            </w:r>
          </w:p>
          <w:p w14:paraId="0CDDE234">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必须在生态环境厅提供的数据资源平台上实现数据接入、调用和共享，严格遵循统一的数据标准、接口规范和安全策略。所有的交互（如数据交换、数据接口调用、目录共享等）均由生态环境厅制定统一要求并提供对接服务，必须无缝对接。</w:t>
            </w:r>
          </w:p>
        </w:tc>
        <w:tc>
          <w:tcPr>
            <w:tcW w:w="1501" w:type="dxa"/>
            <w:noWrap w:val="0"/>
            <w:vAlign w:val="center"/>
          </w:tcPr>
          <w:p w14:paraId="507430E0">
            <w:pPr>
              <w:pStyle w:val="31"/>
              <w:keepNext w:val="0"/>
              <w:keepLines w:val="0"/>
              <w:pageBreakBefore w:val="0"/>
              <w:kinsoku/>
              <w:wordWrap/>
              <w:overflowPunct/>
              <w:topLinePunct w:val="0"/>
              <w:autoSpaceDE/>
              <w:autoSpaceDN/>
              <w:bidi w:val="0"/>
              <w:adjustRightInd/>
              <w:spacing w:line="400" w:lineRule="exact"/>
              <w:jc w:val="center"/>
              <w:textAlignment w:val="auto"/>
              <w:outlineLvl w:val="1"/>
              <w:rPr>
                <w:rFonts w:hint="eastAsia" w:ascii="宋体" w:hAnsi="宋体" w:eastAsia="宋体" w:cs="宋体"/>
                <w:b w:val="0"/>
                <w:bCs w:val="0"/>
                <w:color w:val="auto"/>
                <w:sz w:val="21"/>
                <w:szCs w:val="21"/>
                <w:highlight w:val="none"/>
                <w:u w:val="none"/>
                <w:vertAlign w:val="baseline"/>
                <w:lang w:val="en-US" w:eastAsia="zh-CN" w:bidi="ar"/>
              </w:rPr>
            </w:pPr>
            <w:r>
              <w:rPr>
                <w:rFonts w:hint="eastAsia" w:ascii="宋体" w:hAnsi="宋体" w:eastAsia="宋体" w:cs="宋体"/>
                <w:b w:val="0"/>
                <w:bCs w:val="0"/>
                <w:color w:val="auto"/>
                <w:sz w:val="21"/>
                <w:szCs w:val="21"/>
                <w:highlight w:val="none"/>
                <w:u w:val="none"/>
                <w:vertAlign w:val="baseline"/>
                <w:lang w:val="en-US" w:eastAsia="zh-CN" w:bidi="ar"/>
              </w:rPr>
              <w:t>一般参数</w:t>
            </w:r>
          </w:p>
        </w:tc>
      </w:tr>
    </w:tbl>
    <w:p w14:paraId="020092F8">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p>
    <w:p w14:paraId="103E5AA9">
      <w:pPr>
        <w:rPr>
          <w:rFonts w:hint="eastAsia" w:ascii="宋体" w:hAnsi="宋体" w:eastAsia="宋体" w:cs="宋体"/>
          <w:color w:val="auto"/>
          <w:sz w:val="30"/>
          <w:szCs w:val="30"/>
          <w:highlight w:val="none"/>
        </w:rPr>
      </w:pPr>
    </w:p>
    <w:p w14:paraId="780A4ACD">
      <w:pPr>
        <w:pStyle w:val="3"/>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outlineLvl w:val="1"/>
        <w:rPr>
          <w:rFonts w:hint="eastAsia" w:ascii="宋体" w:hAnsi="宋体" w:eastAsia="宋体" w:cs="宋体"/>
          <w:color w:val="auto"/>
          <w:sz w:val="24"/>
          <w:szCs w:val="24"/>
          <w:highlight w:val="none"/>
        </w:rPr>
      </w:pPr>
      <w:bookmarkStart w:id="646" w:name="_Toc11640"/>
      <w:bookmarkStart w:id="647" w:name="_Toc16216"/>
      <w:bookmarkStart w:id="648" w:name="_Toc14949"/>
      <w:bookmarkStart w:id="649" w:name="_Toc27646"/>
      <w:r>
        <w:rPr>
          <w:rFonts w:hint="eastAsia" w:ascii="宋体" w:hAnsi="宋体" w:eastAsia="宋体" w:cs="宋体"/>
          <w:color w:val="auto"/>
          <w:sz w:val="24"/>
          <w:szCs w:val="24"/>
          <w:highlight w:val="none"/>
        </w:rPr>
        <w:t>四、中标候选人推荐原则</w:t>
      </w:r>
      <w:bookmarkEnd w:id="646"/>
      <w:bookmarkEnd w:id="647"/>
      <w:bookmarkEnd w:id="648"/>
      <w:bookmarkEnd w:id="649"/>
    </w:p>
    <w:p w14:paraId="404A7CB2">
      <w:pPr>
        <w:pStyle w:val="25"/>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（一）综合评分法</w:t>
      </w:r>
    </w:p>
    <w:p w14:paraId="211A69EC">
      <w:pPr>
        <w:pStyle w:val="25"/>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评标委员会将根据总得分由高到低排列次序并推荐中标候选人。投标文件满足招标文件全部实质性要求，且按照评审因素的量化指标评审得分最高的投标人为排名第一的中标候选人。</w:t>
      </w:r>
    </w:p>
    <w:p w14:paraId="4FF3BFE6">
      <w:pPr>
        <w:pStyle w:val="25"/>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lang w:eastAsia="zh-CN"/>
        </w:rPr>
      </w:pPr>
    </w:p>
    <w:p w14:paraId="5392EA16">
      <w:pPr>
        <w:spacing w:before="120" w:beforeLines="50" w:after="120" w:afterLines="50" w:line="400" w:lineRule="exact"/>
        <w:outlineLvl w:val="9"/>
        <w:rPr>
          <w:rFonts w:hint="eastAsia" w:ascii="宋体" w:hAnsi="宋体" w:eastAsia="宋体" w:cs="宋体"/>
          <w:b/>
          <w:color w:val="auto"/>
          <w:sz w:val="24"/>
          <w:highlight w:val="none"/>
        </w:rPr>
      </w:pPr>
    </w:p>
    <w:p w14:paraId="3C086475">
      <w:pPr>
        <w:spacing w:before="120" w:beforeLines="50" w:after="120" w:afterLines="50" w:line="400" w:lineRule="exact"/>
        <w:outlineLvl w:val="9"/>
        <w:rPr>
          <w:rFonts w:hint="eastAsia" w:ascii="宋体" w:hAnsi="宋体" w:eastAsia="宋体" w:cs="宋体"/>
          <w:b/>
          <w:color w:val="auto"/>
          <w:sz w:val="24"/>
          <w:highlight w:val="none"/>
        </w:rPr>
      </w:pPr>
    </w:p>
    <w:p w14:paraId="0E306C19">
      <w:pPr>
        <w:spacing w:before="120" w:beforeLines="50" w:after="120" w:afterLines="50" w:line="400" w:lineRule="exact"/>
        <w:outlineLvl w:val="9"/>
        <w:rPr>
          <w:rFonts w:hint="eastAsia" w:ascii="宋体" w:hAnsi="宋体" w:eastAsia="宋体" w:cs="宋体"/>
          <w:b/>
          <w:color w:val="auto"/>
          <w:sz w:val="24"/>
          <w:highlight w:val="none"/>
        </w:rPr>
      </w:pPr>
    </w:p>
    <w:p w14:paraId="191A3FA9">
      <w:pPr>
        <w:spacing w:before="120" w:beforeLines="50" w:after="120" w:afterLines="50" w:line="400" w:lineRule="exact"/>
        <w:outlineLvl w:val="9"/>
        <w:rPr>
          <w:rFonts w:hint="eastAsia" w:ascii="宋体" w:hAnsi="宋体" w:eastAsia="宋体" w:cs="宋体"/>
          <w:b/>
          <w:color w:val="auto"/>
          <w:sz w:val="24"/>
          <w:highlight w:val="none"/>
        </w:rPr>
      </w:pPr>
    </w:p>
    <w:p w14:paraId="04B261C5">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5E58362A">
      <w:pPr>
        <w:pStyle w:val="2"/>
        <w:jc w:val="center"/>
        <w:rPr>
          <w:rFonts w:hint="eastAsia" w:ascii="方正小标宋_GBK" w:hAnsi="方正小标宋_GBK" w:eastAsia="方正小标宋_GBK" w:cs="方正小标宋_GBK"/>
          <w:color w:val="auto"/>
          <w:sz w:val="24"/>
          <w:szCs w:val="24"/>
          <w:highlight w:val="none"/>
        </w:rPr>
      </w:pPr>
      <w:bookmarkStart w:id="650" w:name="_Toc11605"/>
      <w:bookmarkStart w:id="651" w:name="_Toc16074"/>
      <w:bookmarkStart w:id="652" w:name="_Toc74320804"/>
      <w:bookmarkStart w:id="653" w:name="_Toc16476"/>
      <w:r>
        <w:rPr>
          <w:rFonts w:hint="eastAsia" w:ascii="方正小标宋_GBK" w:hAnsi="方正小标宋_GBK" w:eastAsia="方正小标宋_GBK" w:cs="方正小标宋_GBK"/>
          <w:color w:val="auto"/>
          <w:sz w:val="24"/>
          <w:szCs w:val="24"/>
          <w:highlight w:val="none"/>
        </w:rPr>
        <w:t>第五章  拟签订的合同文本</w:t>
      </w:r>
      <w:bookmarkEnd w:id="650"/>
      <w:bookmarkEnd w:id="651"/>
      <w:bookmarkEnd w:id="652"/>
      <w:bookmarkEnd w:id="653"/>
    </w:p>
    <w:p w14:paraId="6B5D5DE8">
      <w:pPr>
        <w:snapToGrid w:val="0"/>
        <w:jc w:val="center"/>
        <w:rPr>
          <w:rFonts w:hint="eastAsia" w:ascii="宋体" w:hAnsi="宋体" w:eastAsia="宋体" w:cs="宋体"/>
          <w:bCs/>
          <w:color w:val="auto"/>
          <w:sz w:val="32"/>
          <w:szCs w:val="32"/>
          <w:highlight w:val="none"/>
        </w:rPr>
      </w:pPr>
    </w:p>
    <w:p w14:paraId="433C5C05">
      <w:pPr>
        <w:snapToGrid w:val="0"/>
        <w:jc w:val="center"/>
        <w:rPr>
          <w:rFonts w:hint="eastAsia" w:ascii="宋体" w:hAnsi="宋体" w:eastAsia="宋体" w:cs="宋体"/>
          <w:bCs/>
          <w:color w:val="auto"/>
          <w:sz w:val="32"/>
          <w:szCs w:val="32"/>
          <w:highlight w:val="none"/>
        </w:rPr>
      </w:pPr>
    </w:p>
    <w:p w14:paraId="4C1F333F">
      <w:pPr>
        <w:snapToGrid w:val="0"/>
        <w:jc w:val="center"/>
        <w:rPr>
          <w:rFonts w:hint="eastAsia" w:ascii="宋体" w:hAnsi="宋体" w:eastAsia="宋体" w:cs="宋体"/>
          <w:bCs/>
          <w:color w:val="auto"/>
          <w:sz w:val="32"/>
          <w:szCs w:val="32"/>
          <w:highlight w:val="none"/>
        </w:rPr>
      </w:pPr>
    </w:p>
    <w:p w14:paraId="0805FA6E">
      <w:pPr>
        <w:snapToGrid w:val="0"/>
        <w:jc w:val="center"/>
        <w:rPr>
          <w:rFonts w:hint="eastAsia" w:ascii="宋体" w:hAnsi="宋体" w:eastAsia="宋体" w:cs="宋体"/>
          <w:bCs/>
          <w:color w:val="auto"/>
          <w:sz w:val="32"/>
          <w:szCs w:val="32"/>
          <w:highlight w:val="none"/>
        </w:rPr>
      </w:pPr>
    </w:p>
    <w:p w14:paraId="118D73B7">
      <w:pPr>
        <w:snapToGrid w:val="0"/>
        <w:jc w:val="center"/>
        <w:rPr>
          <w:rFonts w:hint="eastAsia" w:ascii="宋体" w:hAnsi="宋体" w:eastAsia="宋体" w:cs="宋体"/>
          <w:bCs/>
          <w:color w:val="auto"/>
          <w:sz w:val="32"/>
          <w:szCs w:val="32"/>
          <w:highlight w:val="none"/>
        </w:rPr>
      </w:pPr>
    </w:p>
    <w:p w14:paraId="73E45797">
      <w:pPr>
        <w:snapToGrid w:val="0"/>
        <w:jc w:val="center"/>
        <w:rPr>
          <w:rFonts w:hint="eastAsia" w:ascii="宋体" w:hAnsi="宋体" w:eastAsia="宋体" w:cs="宋体"/>
          <w:bCs/>
          <w:color w:val="auto"/>
          <w:sz w:val="32"/>
          <w:szCs w:val="32"/>
          <w:highlight w:val="none"/>
        </w:rPr>
      </w:pPr>
    </w:p>
    <w:p w14:paraId="3AF9B807">
      <w:pPr>
        <w:snapToGrid w:val="0"/>
        <w:jc w:val="center"/>
        <w:rPr>
          <w:rFonts w:hint="eastAsia" w:ascii="宋体" w:hAnsi="宋体" w:eastAsia="宋体" w:cs="宋体"/>
          <w:bCs/>
          <w:color w:val="auto"/>
          <w:sz w:val="32"/>
          <w:szCs w:val="32"/>
          <w:highlight w:val="none"/>
        </w:rPr>
      </w:pPr>
    </w:p>
    <w:p w14:paraId="5E759EE2">
      <w:pPr>
        <w:snapToGrid w:val="0"/>
        <w:jc w:val="center"/>
        <w:rPr>
          <w:rFonts w:hint="eastAsia" w:ascii="宋体" w:hAnsi="宋体" w:eastAsia="宋体" w:cs="宋体"/>
          <w:bCs/>
          <w:color w:val="auto"/>
          <w:sz w:val="32"/>
          <w:szCs w:val="32"/>
          <w:highlight w:val="none"/>
        </w:rPr>
      </w:pPr>
    </w:p>
    <w:p w14:paraId="0330EF42">
      <w:pPr>
        <w:snapToGrid w:val="0"/>
        <w:jc w:val="center"/>
        <w:rPr>
          <w:rFonts w:hint="eastAsia" w:ascii="宋体" w:hAnsi="宋体" w:eastAsia="宋体" w:cs="宋体"/>
          <w:bCs/>
          <w:color w:val="auto"/>
          <w:sz w:val="32"/>
          <w:szCs w:val="32"/>
          <w:highlight w:val="none"/>
        </w:rPr>
      </w:pPr>
    </w:p>
    <w:p w14:paraId="67F9EECD">
      <w:pPr>
        <w:snapToGrid w:val="0"/>
        <w:jc w:val="center"/>
        <w:rPr>
          <w:rFonts w:hint="eastAsia" w:ascii="宋体" w:hAnsi="宋体" w:eastAsia="宋体" w:cs="宋体"/>
          <w:bCs/>
          <w:color w:val="auto"/>
          <w:sz w:val="32"/>
          <w:szCs w:val="32"/>
          <w:highlight w:val="none"/>
        </w:rPr>
      </w:pPr>
    </w:p>
    <w:p w14:paraId="229455C8">
      <w:pPr>
        <w:snapToGrid w:val="0"/>
        <w:jc w:val="center"/>
        <w:rPr>
          <w:rFonts w:hint="eastAsia" w:ascii="宋体" w:hAnsi="宋体" w:eastAsia="宋体" w:cs="宋体"/>
          <w:bCs/>
          <w:color w:val="auto"/>
          <w:sz w:val="32"/>
          <w:szCs w:val="32"/>
          <w:highlight w:val="none"/>
        </w:rPr>
      </w:pPr>
    </w:p>
    <w:p w14:paraId="5FFAB4E3">
      <w:pPr>
        <w:snapToGrid w:val="0"/>
        <w:jc w:val="center"/>
        <w:rPr>
          <w:rFonts w:hint="eastAsia" w:ascii="宋体" w:hAnsi="宋体" w:eastAsia="宋体" w:cs="宋体"/>
          <w:bCs/>
          <w:color w:val="auto"/>
          <w:sz w:val="32"/>
          <w:szCs w:val="32"/>
          <w:highlight w:val="none"/>
        </w:rPr>
      </w:pPr>
    </w:p>
    <w:p w14:paraId="04D8EE13">
      <w:pPr>
        <w:snapToGrid w:val="0"/>
        <w:spacing w:line="360" w:lineRule="auto"/>
        <w:ind w:left="420" w:hanging="640" w:hangingChars="200"/>
        <w:rPr>
          <w:rFonts w:hint="eastAsia" w:ascii="宋体" w:hAnsi="宋体" w:eastAsia="宋体" w:cs="宋体"/>
          <w:color w:val="auto"/>
          <w:szCs w:val="21"/>
          <w:highlight w:val="none"/>
        </w:rPr>
      </w:pPr>
      <w:r>
        <w:rPr>
          <w:rFonts w:hint="eastAsia" w:ascii="宋体" w:hAnsi="宋体" w:eastAsia="宋体" w:cs="宋体"/>
          <w:bCs/>
          <w:color w:val="auto"/>
          <w:sz w:val="32"/>
          <w:szCs w:val="32"/>
          <w:highlight w:val="none"/>
        </w:rPr>
        <w:br w:type="page"/>
      </w:r>
      <w:bookmarkStart w:id="654" w:name="_Hlk55381736"/>
    </w:p>
    <w:p w14:paraId="5BAA2212">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p w14:paraId="50C34AAE">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合同编号：</w:t>
      </w:r>
      <w:r>
        <w:rPr>
          <w:rFonts w:hint="eastAsia" w:ascii="宋体" w:hAnsi="宋体" w:eastAsia="宋体" w:cs="宋体"/>
          <w:color w:val="auto"/>
          <w:kern w:val="0"/>
          <w:sz w:val="21"/>
          <w:szCs w:val="21"/>
          <w:highlight w:val="none"/>
        </w:rPr>
        <w:t xml:space="preserve">            </w:t>
      </w:r>
    </w:p>
    <w:p w14:paraId="3A620ED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p w14:paraId="14B2707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kern w:val="0"/>
          <w:sz w:val="21"/>
          <w:szCs w:val="21"/>
          <w:highlight w:val="none"/>
        </w:rPr>
      </w:pPr>
    </w:p>
    <w:p w14:paraId="3EB660E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政府采购货物合同</w:t>
      </w:r>
    </w:p>
    <w:p w14:paraId="74D7707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kern w:val="0"/>
          <w:sz w:val="21"/>
          <w:szCs w:val="21"/>
          <w:highlight w:val="none"/>
        </w:rPr>
      </w:pPr>
    </w:p>
    <w:p w14:paraId="208CDCB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p w14:paraId="71B833D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p w14:paraId="104C4FE0">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采购计划号：</w:t>
      </w:r>
      <w:r>
        <w:rPr>
          <w:rFonts w:hint="eastAsia" w:ascii="宋体" w:hAnsi="宋体" w:eastAsia="宋体" w:cs="宋体"/>
          <w:color w:val="auto"/>
          <w:sz w:val="21"/>
          <w:szCs w:val="21"/>
          <w:highlight w:val="none"/>
          <w:u w:val="single"/>
        </w:rPr>
        <w:t xml:space="preserve">                                            </w:t>
      </w:r>
    </w:p>
    <w:p w14:paraId="2065DC0F">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67EE4B64">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p>
    <w:p w14:paraId="57929AA0">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rPr>
        <w:t>签订地点：</w:t>
      </w:r>
      <w:r>
        <w:rPr>
          <w:rFonts w:hint="eastAsia" w:ascii="宋体" w:hAnsi="宋体" w:eastAsia="宋体" w:cs="宋体"/>
          <w:color w:val="auto"/>
          <w:sz w:val="21"/>
          <w:szCs w:val="21"/>
          <w:highlight w:val="none"/>
          <w:u w:val="single"/>
        </w:rPr>
        <w:t xml:space="preserve">                                              </w:t>
      </w:r>
    </w:p>
    <w:p w14:paraId="3ABF50BB">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签订时间：</w:t>
      </w:r>
      <w:r>
        <w:rPr>
          <w:rFonts w:hint="eastAsia" w:ascii="宋体" w:hAnsi="宋体" w:eastAsia="宋体" w:cs="宋体"/>
          <w:color w:val="auto"/>
          <w:sz w:val="21"/>
          <w:szCs w:val="21"/>
          <w:highlight w:val="none"/>
          <w:u w:val="single"/>
        </w:rPr>
        <w:t xml:space="preserve">                                              </w:t>
      </w:r>
    </w:p>
    <w:p w14:paraId="09720DA5">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甲方（采购人）：</w:t>
      </w:r>
      <w:r>
        <w:rPr>
          <w:rFonts w:hint="eastAsia" w:ascii="宋体" w:hAnsi="宋体" w:eastAsia="宋体" w:cs="宋体"/>
          <w:color w:val="auto"/>
          <w:kern w:val="0"/>
          <w:sz w:val="21"/>
          <w:szCs w:val="21"/>
          <w:highlight w:val="none"/>
          <w:u w:val="single"/>
        </w:rPr>
        <w:t xml:space="preserve">                                        </w:t>
      </w:r>
    </w:p>
    <w:p w14:paraId="4D10BC87">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住所地：</w:t>
      </w:r>
      <w:r>
        <w:rPr>
          <w:rFonts w:hint="eastAsia" w:ascii="宋体" w:hAnsi="宋体" w:eastAsia="宋体" w:cs="宋体"/>
          <w:color w:val="auto"/>
          <w:kern w:val="0"/>
          <w:sz w:val="21"/>
          <w:szCs w:val="21"/>
          <w:highlight w:val="none"/>
          <w:u w:val="single"/>
        </w:rPr>
        <w:t xml:space="preserve">                                                </w:t>
      </w:r>
    </w:p>
    <w:p w14:paraId="19DA56A0">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法定代表人：</w:t>
      </w:r>
      <w:r>
        <w:rPr>
          <w:rFonts w:hint="eastAsia" w:ascii="宋体" w:hAnsi="宋体" w:eastAsia="宋体" w:cs="宋体"/>
          <w:color w:val="auto"/>
          <w:kern w:val="0"/>
          <w:sz w:val="21"/>
          <w:szCs w:val="21"/>
          <w:highlight w:val="none"/>
          <w:u w:val="single"/>
        </w:rPr>
        <w:t xml:space="preserve">                                            </w:t>
      </w:r>
    </w:p>
    <w:p w14:paraId="14C86D95">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通讯地址：</w:t>
      </w:r>
      <w:r>
        <w:rPr>
          <w:rFonts w:hint="eastAsia" w:ascii="宋体" w:hAnsi="宋体" w:eastAsia="宋体" w:cs="宋体"/>
          <w:color w:val="auto"/>
          <w:kern w:val="0"/>
          <w:sz w:val="21"/>
          <w:szCs w:val="21"/>
          <w:highlight w:val="none"/>
          <w:u w:val="single"/>
        </w:rPr>
        <w:t xml:space="preserve">                                              </w:t>
      </w:r>
    </w:p>
    <w:p w14:paraId="0F48DCE0">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联系电话：</w:t>
      </w:r>
      <w:r>
        <w:rPr>
          <w:rFonts w:hint="eastAsia" w:ascii="宋体" w:hAnsi="宋体" w:eastAsia="宋体" w:cs="宋体"/>
          <w:color w:val="auto"/>
          <w:kern w:val="0"/>
          <w:sz w:val="21"/>
          <w:szCs w:val="21"/>
          <w:highlight w:val="none"/>
          <w:u w:val="single"/>
        </w:rPr>
        <w:t xml:space="preserve">                                              </w:t>
      </w:r>
    </w:p>
    <w:p w14:paraId="216A33B1">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kern w:val="0"/>
          <w:sz w:val="21"/>
          <w:szCs w:val="21"/>
          <w:highlight w:val="none"/>
          <w:u w:val="single"/>
        </w:rPr>
        <w:t xml:space="preserve">                                              </w:t>
      </w:r>
    </w:p>
    <w:p w14:paraId="56EB2738">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乙方（供应商）：</w:t>
      </w:r>
      <w:r>
        <w:rPr>
          <w:rFonts w:hint="eastAsia" w:ascii="宋体" w:hAnsi="宋体" w:eastAsia="宋体" w:cs="宋体"/>
          <w:color w:val="auto"/>
          <w:kern w:val="0"/>
          <w:sz w:val="21"/>
          <w:szCs w:val="21"/>
          <w:highlight w:val="none"/>
          <w:u w:val="single"/>
        </w:rPr>
        <w:t xml:space="preserve">                                        </w:t>
      </w:r>
    </w:p>
    <w:p w14:paraId="37E389E3">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住所地：</w:t>
      </w:r>
      <w:r>
        <w:rPr>
          <w:rFonts w:hint="eastAsia" w:ascii="宋体" w:hAnsi="宋体" w:eastAsia="宋体" w:cs="宋体"/>
          <w:color w:val="auto"/>
          <w:kern w:val="0"/>
          <w:sz w:val="21"/>
          <w:szCs w:val="21"/>
          <w:highlight w:val="none"/>
          <w:u w:val="single"/>
        </w:rPr>
        <w:t xml:space="preserve">                                                </w:t>
      </w:r>
    </w:p>
    <w:p w14:paraId="67573A4C">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法定代表人：</w:t>
      </w:r>
      <w:r>
        <w:rPr>
          <w:rFonts w:hint="eastAsia" w:ascii="宋体" w:hAnsi="宋体" w:eastAsia="宋体" w:cs="宋体"/>
          <w:color w:val="auto"/>
          <w:kern w:val="0"/>
          <w:sz w:val="21"/>
          <w:szCs w:val="21"/>
          <w:highlight w:val="none"/>
          <w:u w:val="single"/>
        </w:rPr>
        <w:t xml:space="preserve">                                            </w:t>
      </w:r>
    </w:p>
    <w:p w14:paraId="0A3D02F4">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通讯地址：</w:t>
      </w:r>
      <w:r>
        <w:rPr>
          <w:rFonts w:hint="eastAsia" w:ascii="宋体" w:hAnsi="宋体" w:eastAsia="宋体" w:cs="宋体"/>
          <w:color w:val="auto"/>
          <w:sz w:val="21"/>
          <w:szCs w:val="21"/>
          <w:highlight w:val="none"/>
          <w:u w:val="single"/>
        </w:rPr>
        <w:t xml:space="preserve">                                              </w:t>
      </w:r>
    </w:p>
    <w:p w14:paraId="00E6C811">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                               </w:t>
      </w:r>
    </w:p>
    <w:p w14:paraId="7144F236">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r>
        <w:rPr>
          <w:rFonts w:hint="eastAsia" w:ascii="宋体" w:hAnsi="宋体" w:eastAsia="宋体" w:cs="宋体"/>
          <w:color w:val="auto"/>
          <w:kern w:val="0"/>
          <w:sz w:val="21"/>
          <w:szCs w:val="21"/>
          <w:highlight w:val="none"/>
          <w:u w:val="single"/>
        </w:rPr>
        <w:t xml:space="preserve">                                              </w:t>
      </w:r>
    </w:p>
    <w:p w14:paraId="213686F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p>
    <w:p w14:paraId="0EC54C2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F309E7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根据《中华人民共和国政府采购法》《中华人民共和国民法典》等法律、法规规定，按照招标文件（采购文件）规定条款和投标文件及承诺，甲乙双方签订本合同。</w:t>
      </w:r>
    </w:p>
    <w:p w14:paraId="6582FE1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合同标的</w:t>
      </w:r>
    </w:p>
    <w:p w14:paraId="55A38FB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供货一览表</w:t>
      </w:r>
    </w:p>
    <w:tbl>
      <w:tblPr>
        <w:tblStyle w:val="48"/>
        <w:tblW w:w="9022" w:type="dxa"/>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
        <w:gridCol w:w="1072"/>
        <w:gridCol w:w="951"/>
        <w:gridCol w:w="723"/>
        <w:gridCol w:w="1058"/>
        <w:gridCol w:w="1393"/>
        <w:gridCol w:w="535"/>
        <w:gridCol w:w="817"/>
        <w:gridCol w:w="1099"/>
        <w:gridCol w:w="1001"/>
      </w:tblGrid>
      <w:tr w14:paraId="4BB5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373" w:type="dxa"/>
            <w:tcBorders>
              <w:top w:val="single" w:color="auto" w:sz="4" w:space="0"/>
              <w:left w:val="single" w:color="auto" w:sz="4" w:space="0"/>
              <w:bottom w:val="single" w:color="auto" w:sz="4" w:space="0"/>
              <w:right w:val="single" w:color="auto" w:sz="4" w:space="0"/>
            </w:tcBorders>
            <w:noWrap w:val="0"/>
            <w:vAlign w:val="center"/>
          </w:tcPr>
          <w:p w14:paraId="551CDB2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08EC12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标项名称</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7BC02AF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6314C9B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商标品牌</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1D73CA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规格型号</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095A4C5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pacing w:val="-17"/>
                <w:sz w:val="21"/>
                <w:szCs w:val="21"/>
                <w:highlight w:val="none"/>
              </w:rPr>
              <w:t>生产厂家</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83AD50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3E18F7B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1099" w:type="dxa"/>
            <w:tcBorders>
              <w:top w:val="single" w:color="auto" w:sz="4" w:space="0"/>
              <w:left w:val="single" w:color="auto" w:sz="4" w:space="0"/>
              <w:bottom w:val="single" w:color="auto" w:sz="4" w:space="0"/>
              <w:right w:val="single" w:color="auto" w:sz="4" w:space="0"/>
            </w:tcBorders>
            <w:noWrap w:val="0"/>
            <w:vAlign w:val="center"/>
          </w:tcPr>
          <w:p w14:paraId="7ECC122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w:t>
            </w:r>
            <w:r>
              <w:rPr>
                <w:rFonts w:hint="eastAsia" w:ascii="宋体" w:hAnsi="宋体" w:eastAsia="宋体" w:cs="宋体"/>
                <w:b/>
                <w:bCs/>
                <w:color w:val="auto"/>
                <w:sz w:val="21"/>
                <w:szCs w:val="21"/>
                <w:highlight w:val="none"/>
                <w:lang w:val="en"/>
              </w:rPr>
              <w:t xml:space="preserve"> </w:t>
            </w:r>
            <w:r>
              <w:rPr>
                <w:rFonts w:hint="eastAsia" w:ascii="宋体" w:hAnsi="宋体" w:eastAsia="宋体" w:cs="宋体"/>
                <w:b/>
                <w:bCs/>
                <w:color w:val="auto"/>
                <w:sz w:val="21"/>
                <w:szCs w:val="21"/>
                <w:highlight w:val="none"/>
              </w:rPr>
              <w:t>价</w:t>
            </w:r>
          </w:p>
          <w:p w14:paraId="0E42089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（元）</w:t>
            </w:r>
          </w:p>
        </w:tc>
        <w:tc>
          <w:tcPr>
            <w:tcW w:w="1001" w:type="dxa"/>
            <w:tcBorders>
              <w:top w:val="single" w:color="auto" w:sz="4" w:space="0"/>
              <w:left w:val="single" w:color="auto" w:sz="4" w:space="0"/>
              <w:bottom w:val="single" w:color="auto" w:sz="4" w:space="0"/>
              <w:right w:val="single" w:color="auto" w:sz="4" w:space="0"/>
            </w:tcBorders>
            <w:noWrap w:val="0"/>
            <w:vAlign w:val="center"/>
          </w:tcPr>
          <w:p w14:paraId="7A235DB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合 价</w:t>
            </w:r>
          </w:p>
          <w:p w14:paraId="4F83090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（元）</w:t>
            </w:r>
          </w:p>
        </w:tc>
      </w:tr>
      <w:tr w14:paraId="41E82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373" w:type="dxa"/>
            <w:tcBorders>
              <w:top w:val="single" w:color="auto" w:sz="4" w:space="0"/>
              <w:left w:val="single" w:color="auto" w:sz="4" w:space="0"/>
              <w:bottom w:val="single" w:color="auto" w:sz="4" w:space="0"/>
              <w:right w:val="single" w:color="auto" w:sz="4" w:space="0"/>
            </w:tcBorders>
            <w:noWrap w:val="0"/>
            <w:vAlign w:val="center"/>
          </w:tcPr>
          <w:p w14:paraId="24A3826B">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E8D68E5">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宋体" w:hAnsi="宋体" w:eastAsia="宋体" w:cs="宋体"/>
                <w:color w:val="auto"/>
                <w:sz w:val="21"/>
                <w:szCs w:val="21"/>
                <w:highlight w:val="none"/>
              </w:rPr>
            </w:pPr>
          </w:p>
        </w:tc>
        <w:tc>
          <w:tcPr>
            <w:tcW w:w="951" w:type="dxa"/>
            <w:tcBorders>
              <w:top w:val="single" w:color="auto" w:sz="4" w:space="0"/>
              <w:left w:val="single" w:color="auto" w:sz="4" w:space="0"/>
              <w:bottom w:val="single" w:color="auto" w:sz="4" w:space="0"/>
              <w:right w:val="single" w:color="auto" w:sz="4" w:space="0"/>
            </w:tcBorders>
            <w:noWrap w:val="0"/>
            <w:vAlign w:val="center"/>
          </w:tcPr>
          <w:p w14:paraId="773E2434">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宋体" w:hAnsi="宋体" w:eastAsia="宋体" w:cs="宋体"/>
                <w:color w:val="auto"/>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0"/>
            <w:vAlign w:val="center"/>
          </w:tcPr>
          <w:p w14:paraId="2CA05981">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宋体" w:hAnsi="宋体" w:eastAsia="宋体" w:cs="宋体"/>
                <w:color w:val="auto"/>
                <w:sz w:val="21"/>
                <w:szCs w:val="21"/>
                <w:highlight w:val="none"/>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45A29D71">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宋体" w:hAnsi="宋体" w:eastAsia="宋体" w:cs="宋体"/>
                <w:color w:val="auto"/>
                <w:sz w:val="21"/>
                <w:szCs w:val="21"/>
                <w:highlight w:val="none"/>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21565DAD">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宋体" w:hAnsi="宋体" w:eastAsia="宋体" w:cs="宋体"/>
                <w:color w:val="auto"/>
                <w:sz w:val="21"/>
                <w:szCs w:val="21"/>
                <w:highlight w:val="none"/>
              </w:rPr>
            </w:pPr>
          </w:p>
        </w:tc>
        <w:tc>
          <w:tcPr>
            <w:tcW w:w="535" w:type="dxa"/>
            <w:tcBorders>
              <w:top w:val="single" w:color="auto" w:sz="4" w:space="0"/>
              <w:left w:val="single" w:color="auto" w:sz="4" w:space="0"/>
              <w:bottom w:val="single" w:color="auto" w:sz="4" w:space="0"/>
              <w:right w:val="single" w:color="auto" w:sz="4" w:space="0"/>
            </w:tcBorders>
            <w:noWrap w:val="0"/>
            <w:vAlign w:val="center"/>
          </w:tcPr>
          <w:p w14:paraId="5C2DB249">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宋体" w:hAnsi="宋体" w:eastAsia="宋体" w:cs="宋体"/>
                <w:color w:val="auto"/>
                <w:sz w:val="21"/>
                <w:szCs w:val="21"/>
                <w:highlight w:val="none"/>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6C3B5430">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宋体" w:hAnsi="宋体" w:eastAsia="宋体" w:cs="宋体"/>
                <w:color w:val="auto"/>
                <w:sz w:val="21"/>
                <w:szCs w:val="21"/>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32580C56">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宋体" w:hAnsi="宋体" w:eastAsia="宋体" w:cs="宋体"/>
                <w:color w:val="auto"/>
                <w:sz w:val="21"/>
                <w:szCs w:val="21"/>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6598C5AA">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宋体" w:hAnsi="宋体" w:eastAsia="宋体" w:cs="宋体"/>
                <w:b w:val="0"/>
                <w:bCs w:val="0"/>
                <w:color w:val="auto"/>
                <w:sz w:val="21"/>
                <w:szCs w:val="21"/>
                <w:highlight w:val="none"/>
              </w:rPr>
            </w:pPr>
          </w:p>
        </w:tc>
      </w:tr>
      <w:tr w14:paraId="5325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22" w:type="dxa"/>
            <w:gridSpan w:val="10"/>
            <w:tcBorders>
              <w:top w:val="single" w:color="auto" w:sz="4" w:space="0"/>
              <w:left w:val="single" w:color="auto" w:sz="4" w:space="0"/>
              <w:bottom w:val="single" w:color="auto" w:sz="4" w:space="0"/>
              <w:right w:val="single" w:color="auto" w:sz="4" w:space="0"/>
            </w:tcBorders>
            <w:noWrap w:val="0"/>
            <w:vAlign w:val="center"/>
          </w:tcPr>
          <w:p w14:paraId="4EF43FEC">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合同合计金额（人民币，大写）</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none"/>
                <w:lang w:val="en-US" w:eastAsia="zh-CN"/>
              </w:rPr>
              <w:t>元整</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none"/>
              </w:rPr>
              <w:t>）</w:t>
            </w:r>
          </w:p>
        </w:tc>
      </w:tr>
    </w:tbl>
    <w:p w14:paraId="588B6E0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合同合计金额包含产品价、运输费（含装卸费）、随配附件、备品备件、工具、保险费、安装调试费（仪器安装所需要水电改造及实验室改造费用）、税费、培训费、产品检测费、验收、产品质保期内维护费、售后服务及其他所有成本费等费用；对于招标文件中明确列明必须报价的货物或服务，乙方应分别报价；对于招标文件中未列明，而乙方认为必需的费用也需列入总报价；在合同实施时，甲方将不予支付乙方没有列入的项目费用，并认为此项目的费用已包括在合同总价中。</w:t>
      </w:r>
    </w:p>
    <w:p w14:paraId="17EDB22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质量保证</w:t>
      </w:r>
    </w:p>
    <w:p w14:paraId="2D0AB92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所提供的产品名称、商标品牌、生产厂家、规格型号、技术参数、质量等必须与招标文件规定、投标文件及承诺相一致，并符合国家标准和行业标准对货物质量的规定。未制定国家标准、行业标准的，按照通常标准或者符合合同目的的特定标准确定，符合保障人体健康和人身、财产安全的要求。</w:t>
      </w:r>
    </w:p>
    <w:p w14:paraId="7F180D4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乙方提供的节能和环保产品必须是列入政府采购品目清单的产品。</w:t>
      </w:r>
    </w:p>
    <w:p w14:paraId="05B2EAA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乙方所提供的货物必须是全新、未使用的原装产品，且在正常安装、使用和保养条件下，其使用寿命期内各项指标均达到招标文件规定或者投标文件及承诺的质量要求。</w:t>
      </w:r>
    </w:p>
    <w:p w14:paraId="4A738EA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权利保证</w:t>
      </w:r>
    </w:p>
    <w:p w14:paraId="48E2F78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乙方应保证所提供货物在使用时不会侵犯任何第三方的专利权、商标权、工业设计权或者其他权利。</w:t>
      </w:r>
      <w:r>
        <w:rPr>
          <w:rFonts w:hint="eastAsia" w:ascii="宋体" w:hAnsi="宋体" w:eastAsia="宋体" w:cs="宋体"/>
          <w:color w:val="auto"/>
          <w:kern w:val="0"/>
          <w:sz w:val="21"/>
          <w:szCs w:val="21"/>
          <w:highlight w:val="none"/>
        </w:rPr>
        <w:t>如乙方违反上述规定，则乙方应负责消除甲方拥有并使用乙方交付的货物、软件、技术资料等所存在的全部法律障碍，并赔偿甲方的损失。</w:t>
      </w:r>
      <w:r>
        <w:rPr>
          <w:rFonts w:hint="eastAsia" w:ascii="宋体" w:hAnsi="宋体" w:eastAsia="宋体" w:cs="宋体"/>
          <w:color w:val="auto"/>
          <w:sz w:val="21"/>
          <w:szCs w:val="21"/>
          <w:highlight w:val="none"/>
        </w:rPr>
        <w:t>如甲方因使用乙方交付的货物构成侵权的，则由乙方承担全部责任。</w:t>
      </w:r>
    </w:p>
    <w:p w14:paraId="085789F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乙方应按招标文件规定或者投标文件承诺的时间向甲方提供使用货物的有关技术资料。</w:t>
      </w:r>
    </w:p>
    <w:p w14:paraId="20B84A2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2186358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保证将要交付的货物的所有权完全属于乙方且无任何抵押、质押、查封等产权瑕疵。如乙方所交付货物有产权瑕疵的，视为乙方违约。但在已经全部支付完合同款后才发现有产权瑕疵的，乙方除了支付违约金，还应负担甲方由此产生的一切损失。</w:t>
      </w:r>
    </w:p>
    <w:p w14:paraId="5E44781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包装和运输</w:t>
      </w:r>
    </w:p>
    <w:p w14:paraId="15CB31D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1.乙方提供的货物均应按招标文件规定或者投标文件承诺的要求的包装材料、包装标准、包装方式进行包装，有原厂家包装的均应采用原厂家包装，每一包装单元内应附详细的装箱单和质量合格证。</w:t>
      </w:r>
    </w:p>
    <w:p w14:paraId="3095384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2.货物的运输方式：</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，乙方应采用保证货物安全的运输方式进行运输，运费、装卸费等由乙方承担，由于包装或运输不当所造成的损坏或损失均由乙方承担。</w:t>
      </w:r>
    </w:p>
    <w:p w14:paraId="0B3EA1C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3.货物的包装应适于长途运输和反复装卸，并且乙方应根据货物不同的特性和要求采取防潮、防雨、防锈、防震、防腐等保护措施，以保证货物安全无损地到达甲方指定地点。</w:t>
      </w:r>
    </w:p>
    <w:p w14:paraId="782BAA6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4.乙方在货物发运手续办理完毕后24小时内或者货到甲方48小时前通知甲方，以准备接货。</w:t>
      </w:r>
    </w:p>
    <w:p w14:paraId="080F65B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5.货物应在规定的交付期限内由乙方送达甲方指定的地点，乙方同时需通知甲方货物已送达。</w:t>
      </w:r>
    </w:p>
    <w:p w14:paraId="08A350A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第五条　交付和验收</w:t>
      </w:r>
    </w:p>
    <w:p w14:paraId="10EE99F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交付时间：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44E8DF2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交付地点：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0289510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3.验收标准：</w:t>
      </w:r>
    </w:p>
    <w:p w14:paraId="349BBEA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检查供货范围或服务范围</w:t>
      </w:r>
    </w:p>
    <w:p w14:paraId="2CB4C0A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产品到达现场后，乙方应在甲方单位人员在场情况下当面开箱，共同清点、检查外观，作出开箱记录，双方签字确认；乙方应保证货物到达甲方所在地完好无损，如有缺漏、损坏，由乙方负责调换、补齐或赔偿。</w:t>
      </w:r>
    </w:p>
    <w:p w14:paraId="5C8F9F4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乙方应提供完备的技术或服务资料、装箱单和合格证等，并派遣专业人员进行现场安装调试；验收合格条件如下：</w:t>
      </w:r>
    </w:p>
    <w:p w14:paraId="782CC8F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（1）货物或服务技术参数与招标文件中响应表或证明材料一致，性能或指标达到规定的标准，否则，以实际货物或服务技术参数与招标文件响应表参数或证明材料比较，按如下情况处理：</w:t>
      </w:r>
    </w:p>
    <w:p w14:paraId="7136FDE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①乙方投标文件响应表或证明材料中满足或优于的技术参数，在验收时实际不满足技术参数要求的，视为乙方违约，甲方有权终止合同拒收货物，并追究乙方责任；</w:t>
      </w:r>
    </w:p>
    <w:p w14:paraId="2910307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②乙方投标文件响应表或证明材料中优于的技术参数，在验收时实际仅满足并未优于技术参数要求的，视为乙方违约，甲方有权终止合同拒收货物，并追究乙方责任；</w:t>
      </w:r>
    </w:p>
    <w:p w14:paraId="4BB96D5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③乙方投标文件响应表或证明材料中不满足的技术参数，在验收时实际满足技术参数的要求，以满足技术参数的要求验收；</w:t>
      </w:r>
    </w:p>
    <w:p w14:paraId="6BB51CB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④乙方投标文件响应表或证明材料中满足的技术参数，在验收时实际优于技术参数的要求，以满足技术参数的要求验收；</w:t>
      </w:r>
    </w:p>
    <w:p w14:paraId="2056A94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⑤乙方投标文件响应表或证明材料中优于的技术参数，在验收时实际也优于技术参数的要求，但没有达到响应表或证明材料中优于的程度，由甲方与乙方协商按是否满足要求验收；</w:t>
      </w:r>
    </w:p>
    <w:p w14:paraId="7877B22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⑥实际货物与投标货物型号不一致的，验收时不论实际是优于还是满足技术参数的要求，甲方均有权终止合同拒收货物；如影响货物或服务的使用、质量、档次及甲方需求的，还可视为乙方违约，追究乙方责任；</w:t>
      </w:r>
    </w:p>
    <w:p w14:paraId="6C322C3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（2）技术资料、装箱单、合格证等资料齐全；</w:t>
      </w:r>
    </w:p>
    <w:p w14:paraId="798CF03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（3）在测试或试运行期间所出现的问题得到解决，并运行或工作正常；</w:t>
      </w:r>
    </w:p>
    <w:p w14:paraId="0E47D5E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（4）在规定时间内完成交货及验收，并经甲方确认；</w:t>
      </w:r>
    </w:p>
    <w:p w14:paraId="1D6FBC5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（5）如货物采购需求中明确需要检定或校准的因乙方的原因导致仪器未能通过检定或校准的，甲方有权进行退货处理，必要时延长预付款保函有效期或终止合同，并追究乙方责任。</w:t>
      </w:r>
    </w:p>
    <w:p w14:paraId="28FDC4F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产品或服务在安装调试并试运行符合要求后，才作为最终验收。</w:t>
      </w:r>
    </w:p>
    <w:p w14:paraId="510B921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 乙方提供的货物或服务未达到招标文件规定要求，且对甲方造成损失的，由乙方承担一切责任，并赔偿所造成的损失。</w:t>
      </w:r>
    </w:p>
    <w:p w14:paraId="3970861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 甲方需要制造商对乙方交付的产品或服务（包括质量、参数等）进行确认的，制造商应予以配合并出具书面意见，相关配合事项由乙方与制造商协调。</w:t>
      </w:r>
    </w:p>
    <w:p w14:paraId="2636847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 产品包装材料归甲方所有。</w:t>
      </w:r>
    </w:p>
    <w:p w14:paraId="4F02F5B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 大型或者复杂的采购项目，甲方应当邀请具有相关资质的检测机构参加验收工作：</w:t>
      </w:r>
    </w:p>
    <w:p w14:paraId="77A54DA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（1）设备到场后，由甲方和乙方一起依据招标文件上的技术规格要求和国家有关质量标准进行现场初步验收，外观、说明书符合招标文件技术要求的，给予签收，初步验收不合格的不予签收；</w:t>
      </w:r>
    </w:p>
    <w:p w14:paraId="3877202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（2）涉及行业标准的内容由甲方和厂家工程师共同完成符合性的确认；</w:t>
      </w:r>
    </w:p>
    <w:p w14:paraId="2EA2E12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验收时对招标采购涉及参数的全部条款进行确认；参数中涉及的检出限、精密度、正确度能在常规实验室验证的，在仪器安装调试完成后由甲方人员和仪器厂家工程师共同完成验证；部分检出限、精密度、正确度无法在常规实验室验证的以厂家证明文件作为验收依据；</w:t>
      </w:r>
    </w:p>
    <w:p w14:paraId="17FD2F7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（4）其它参数部分以提供厂家证明文件作为验收依据；仪器正常运行，参数验证合格后，乙方配合甲方完成最终验收报告的编制；以验收报告完成时间作为质保期起始日期进行质保时间的计算；</w:t>
      </w:r>
    </w:p>
    <w:p w14:paraId="2568787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（5）完成最终验收所需要的全部费用由乙方负责。</w:t>
      </w:r>
    </w:p>
    <w:p w14:paraId="4AF729A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 乙方需要提供采购标的中的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的检定或校准证书；因乙方的原因导致仪器未能通过检定或校准的，甲方有权进行退货处理，必要时延长预付款保函有效期或终止合同，并追究乙方责任；计量检定/校准服务费用及相关其他因检验产生的费用由乙方负责；如检定/校准不符合要求则按退货处理。</w:t>
      </w:r>
    </w:p>
    <w:p w14:paraId="237899C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 其他验收要求按本合同执行，未尽事宜按照相关法律法规规定执行。</w:t>
      </w:r>
    </w:p>
    <w:p w14:paraId="020D882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kern w:val="10"/>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本合同中所称的交付，指货物安装调试完毕后的交付。如</w:t>
      </w:r>
      <w:r>
        <w:rPr>
          <w:rFonts w:hint="eastAsia" w:ascii="宋体" w:hAnsi="宋体" w:eastAsia="宋体" w:cs="宋体"/>
          <w:color w:val="auto"/>
          <w:kern w:val="10"/>
          <w:sz w:val="21"/>
          <w:szCs w:val="21"/>
          <w:highlight w:val="none"/>
        </w:rPr>
        <w:t>无需安装调试，货物运至甲方指定地点，甲方或甲方指定的第三人签署接收单后即为交付。</w:t>
      </w:r>
    </w:p>
    <w:p w14:paraId="4C4E97A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乙方提供不符合招标文件规定或者投标文件承诺的和本合同规定的货物，甲方有权拒绝接受。</w:t>
      </w:r>
    </w:p>
    <w:p w14:paraId="54DE715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甲方</w:t>
      </w:r>
      <w:r>
        <w:rPr>
          <w:rFonts w:hint="eastAsia" w:ascii="宋体" w:hAnsi="宋体" w:eastAsia="宋体" w:cs="宋体"/>
          <w:color w:val="auto"/>
          <w:kern w:val="0"/>
          <w:sz w:val="21"/>
          <w:szCs w:val="21"/>
          <w:highlight w:val="none"/>
        </w:rPr>
        <w:t>在交付货物的同时需向甲方提供有关货物的附随资料，包括但不限于：</w:t>
      </w:r>
      <w:r>
        <w:rPr>
          <w:rFonts w:hint="eastAsia" w:ascii="宋体" w:hAnsi="宋体" w:eastAsia="宋体" w:cs="宋体"/>
          <w:color w:val="auto"/>
          <w:sz w:val="21"/>
          <w:szCs w:val="21"/>
          <w:highlight w:val="none"/>
        </w:rPr>
        <w:t>货物目录、装箱清单、用户手册、质量合格证书、质保证书、</w:t>
      </w:r>
      <w:r>
        <w:rPr>
          <w:rFonts w:hint="eastAsia" w:ascii="宋体" w:hAnsi="宋体" w:eastAsia="宋体" w:cs="宋体"/>
          <w:color w:val="auto"/>
          <w:kern w:val="0"/>
          <w:sz w:val="21"/>
          <w:szCs w:val="21"/>
          <w:highlight w:val="none"/>
        </w:rPr>
        <w:t>安装图纸、使用说明书、技术资料、</w:t>
      </w:r>
      <w:r>
        <w:rPr>
          <w:rFonts w:hint="eastAsia" w:ascii="宋体" w:hAnsi="宋体" w:eastAsia="宋体" w:cs="宋体"/>
          <w:color w:val="auto"/>
          <w:sz w:val="21"/>
          <w:szCs w:val="21"/>
          <w:highlight w:val="none"/>
        </w:rPr>
        <w:t>原厂保修卡、工具和备品、备件等，货物属于进口产品的，供货时应同时附上货物原装进口的有关凭证和中文使用说明书，如有缺失应在合理的规定时间内补齐，否则视为逾期交货。</w:t>
      </w:r>
    </w:p>
    <w:p w14:paraId="06129BC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货物需要安装调试的，</w:t>
      </w:r>
      <w:r>
        <w:rPr>
          <w:rFonts w:hint="eastAsia" w:ascii="宋体" w:hAnsi="宋体" w:eastAsia="宋体" w:cs="宋体"/>
          <w:color w:val="auto"/>
          <w:kern w:val="10"/>
          <w:sz w:val="21"/>
          <w:szCs w:val="21"/>
          <w:highlight w:val="none"/>
        </w:rPr>
        <w:t>乙方应在货物运到甲方指定地点后</w:t>
      </w:r>
      <w:r>
        <w:rPr>
          <w:rFonts w:hint="eastAsia" w:ascii="宋体" w:hAnsi="宋体" w:eastAsia="宋体" w:cs="宋体"/>
          <w:color w:val="auto"/>
          <w:sz w:val="21"/>
          <w:szCs w:val="21"/>
          <w:highlight w:val="none"/>
        </w:rPr>
        <w:t>3</w:t>
      </w:r>
      <w:r>
        <w:rPr>
          <w:rFonts w:hint="eastAsia" w:ascii="宋体" w:hAnsi="宋体" w:eastAsia="宋体" w:cs="宋体"/>
          <w:color w:val="auto"/>
          <w:kern w:val="10"/>
          <w:sz w:val="21"/>
          <w:szCs w:val="21"/>
          <w:highlight w:val="none"/>
        </w:rPr>
        <w:t>个工作日内</w:t>
      </w:r>
      <w:r>
        <w:rPr>
          <w:rFonts w:hint="eastAsia" w:ascii="宋体" w:hAnsi="宋体" w:eastAsia="宋体" w:cs="宋体"/>
          <w:color w:val="auto"/>
          <w:kern w:val="0"/>
          <w:sz w:val="21"/>
          <w:szCs w:val="21"/>
          <w:highlight w:val="none"/>
        </w:rPr>
        <w:t>，按照甲方的要求完成货物的安装调试</w:t>
      </w:r>
      <w:r>
        <w:rPr>
          <w:rFonts w:hint="eastAsia" w:ascii="宋体" w:hAnsi="宋体" w:eastAsia="宋体" w:cs="宋体"/>
          <w:color w:val="auto"/>
          <w:kern w:val="10"/>
          <w:sz w:val="21"/>
          <w:szCs w:val="21"/>
          <w:highlight w:val="none"/>
        </w:rPr>
        <w:t>并向甲方交付。</w:t>
      </w:r>
    </w:p>
    <w:p w14:paraId="795437E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甲方应当在到货（安装、调试完）后七个工作日内进行验收，逾期不验收的，乙方可视同验收合格。验收合格后由甲乙双方签署货物验收合格单并加盖甲方公章，甲乙双方各执一份。</w:t>
      </w:r>
    </w:p>
    <w:p w14:paraId="4506510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甲方对乙方提交的货物依据招标文件上的技术规格要求、投标文件及承诺、国家有关质量标准进行现场初步验收，外观、说明书符合要求的，给予签收，初步验收不合格的不予签收。</w:t>
      </w:r>
    </w:p>
    <w:p w14:paraId="06F7F10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乙方交货前应对货物作出全面检查和对验收文件进行整理，并列出清单，作为甲方收货验收和使用的技术条件依据，检验的结果应随货物交甲方。</w:t>
      </w:r>
    </w:p>
    <w:p w14:paraId="0DB0907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
        </w:rPr>
        <w:t>1</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甲方对乙方提供的货物在使用前进行调试时，乙方需负责安装并培训甲方的使用操作人员，并协助甲方一起调试，直到符合技术要求，甲方才做最终验收。</w:t>
      </w:r>
    </w:p>
    <w:p w14:paraId="62F458B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
        </w:rPr>
        <w:t>1</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对技术复杂的货物，甲方应请国家认可的专业检测机构参与初步验收及最终验收，并由其出具质量检测报告。</w:t>
      </w:r>
    </w:p>
    <w:p w14:paraId="0F1D72E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
        </w:rPr>
        <w:t>1</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验收时乙方必须在现场，验收完毕后作出验收结果报告；验收费用由乙方负责承担。</w:t>
      </w:r>
    </w:p>
    <w:p w14:paraId="6C70950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
        </w:rPr>
        <w:t>1</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甲方在验收过程中发现乙方提供的货物不满足招标文件、投标文件及合同规定的，可暂缓资金结算，直到乙方及时改正并经甲方验收合格后，方可办理资金结算事宜。</w:t>
      </w:r>
    </w:p>
    <w:p w14:paraId="4633D30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
        </w:rPr>
        <w:t>1</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甲方在验收中，如发现货物的品种、型号、规格、数量、质量等不符合合同、招标文件、投标文件及承诺规定或附件关于货物配置的描述或存在其他问题的，有权拒绝接收货物，并可以在验收后五个工作日内以书面形式向乙方提出，乙方应在收到甲方书面通知后在甲方指定的期限内按照甲方的要求采取补足、更换或退货等处理措施予以解决。因补足、更换货物造成逾期的，按乙方逾期交付处理。</w:t>
      </w:r>
    </w:p>
    <w:p w14:paraId="77966A3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第六条　售后服务、服务质量保证期及培训</w:t>
      </w:r>
    </w:p>
    <w:p w14:paraId="39B4BD2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乙方应按招标文件规定的产品名称、商标品牌、生产厂家、规格型号、技术参数、质量标准向甲方提供未经使用的全新产品。不符合要求的，根据实际情况，经甲乙双方协商，可按以下办法处理：</w:t>
      </w:r>
    </w:p>
    <w:p w14:paraId="33E47BA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1）</w:t>
      </w:r>
      <w:r>
        <w:rPr>
          <w:rFonts w:hint="eastAsia" w:ascii="宋体" w:hAnsi="宋体" w:eastAsia="宋体" w:cs="宋体"/>
          <w:color w:val="auto"/>
          <w:sz w:val="21"/>
          <w:szCs w:val="21"/>
          <w:highlight w:val="none"/>
        </w:rPr>
        <w:t>更换：由乙方承担所发生的全部费用。</w:t>
      </w:r>
    </w:p>
    <w:p w14:paraId="0E033E6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2）</w:t>
      </w:r>
      <w:r>
        <w:rPr>
          <w:rFonts w:hint="eastAsia" w:ascii="宋体" w:hAnsi="宋体" w:eastAsia="宋体" w:cs="宋体"/>
          <w:color w:val="auto"/>
          <w:sz w:val="21"/>
          <w:szCs w:val="21"/>
          <w:highlight w:val="none"/>
        </w:rPr>
        <w:t>贬值处理：由甲乙双方合议定价。</w:t>
      </w:r>
    </w:p>
    <w:p w14:paraId="13789CA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3）</w:t>
      </w:r>
      <w:r>
        <w:rPr>
          <w:rFonts w:hint="eastAsia" w:ascii="宋体" w:hAnsi="宋体" w:eastAsia="宋体" w:cs="宋体"/>
          <w:color w:val="auto"/>
          <w:sz w:val="21"/>
          <w:szCs w:val="21"/>
          <w:highlight w:val="none"/>
        </w:rPr>
        <w:t>退货处理：乙方应退还甲方支付的合同款，同时应承担该货物的直接费用（运输、保险、检验、货款利息及银行手续费等）。</w:t>
      </w:r>
    </w:p>
    <w:p w14:paraId="4BA3918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乙方应按照国家有关法律法规、投标文件和合同所附的《售后服务承诺》要求为甲方提供相应的售后服务。</w:t>
      </w:r>
    </w:p>
    <w:p w14:paraId="56F6CF4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在质保期内，乙方应对货物出现的质量及安全问题负责处理解决并承担一切费用。</w:t>
      </w:r>
    </w:p>
    <w:p w14:paraId="20F103A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质保期为自最终验收报告的编制完成时间之日起</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年。货物自身有质保期且该质保期超过约定质保期的，按照货物质保期计算，货物自身的质保期比约定的质保期短的，按约定的质保期计算。</w:t>
      </w:r>
    </w:p>
    <w:p w14:paraId="26EEC30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质保期内乙方负责保修，终身维修。</w:t>
      </w:r>
    </w:p>
    <w:p w14:paraId="30719E5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在质保期内每年至少提供维护保养1次（工程师差旅费、住宿费、耗材配件等所产生的全部费用均由乙方承担），如采购需求有明确要求的按采购需求执行。</w:t>
      </w:r>
    </w:p>
    <w:p w14:paraId="6974F75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大型或复杂的采购项目，其质保期限自动适用国家有关规定中最长的质保期限。</w:t>
      </w:r>
    </w:p>
    <w:p w14:paraId="50C60CE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
        </w:rPr>
        <w:t>.</w:t>
      </w:r>
      <w:r>
        <w:rPr>
          <w:rFonts w:hint="eastAsia" w:ascii="宋体" w:hAnsi="宋体" w:eastAsia="宋体" w:cs="宋体"/>
          <w:color w:val="auto"/>
          <w:kern w:val="0"/>
          <w:sz w:val="21"/>
          <w:szCs w:val="21"/>
          <w:highlight w:val="none"/>
        </w:rPr>
        <w:t>质保期内，乙方应当提供每周7天、每天24小时的电话支持服务。乙方接到甲方保修通知后2个小时内响应，12个小时内排除故障。</w:t>
      </w:r>
      <w:r>
        <w:rPr>
          <w:rFonts w:hint="eastAsia" w:ascii="宋体" w:hAnsi="宋体" w:eastAsia="宋体" w:cs="宋体"/>
          <w:color w:val="auto"/>
          <w:spacing w:val="-10"/>
          <w:sz w:val="21"/>
          <w:szCs w:val="21"/>
          <w:highlight w:val="none"/>
        </w:rPr>
        <w:t>货物出现重大故障或维修时限超过</w:t>
      </w:r>
      <w:r>
        <w:rPr>
          <w:rFonts w:hint="eastAsia" w:ascii="宋体" w:hAnsi="宋体" w:eastAsia="宋体" w:cs="宋体"/>
          <w:color w:val="auto"/>
          <w:sz w:val="21"/>
          <w:szCs w:val="21"/>
          <w:highlight w:val="none"/>
        </w:rPr>
        <w:t>2日的，</w:t>
      </w:r>
      <w:r>
        <w:rPr>
          <w:rFonts w:hint="eastAsia" w:ascii="宋体" w:hAnsi="宋体" w:eastAsia="宋体" w:cs="宋体"/>
          <w:color w:val="auto"/>
          <w:kern w:val="0"/>
          <w:sz w:val="21"/>
          <w:szCs w:val="21"/>
          <w:highlight w:val="none"/>
        </w:rPr>
        <w:t>乙方应在24个小时内免费更换备品备件。</w:t>
      </w:r>
    </w:p>
    <w:p w14:paraId="61D6A60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
        </w:rPr>
        <w:t>.</w:t>
      </w:r>
      <w:r>
        <w:rPr>
          <w:rFonts w:hint="eastAsia" w:ascii="宋体" w:hAnsi="宋体" w:eastAsia="宋体" w:cs="宋体"/>
          <w:color w:val="auto"/>
          <w:kern w:val="0"/>
          <w:sz w:val="21"/>
          <w:szCs w:val="21"/>
          <w:highlight w:val="none"/>
        </w:rPr>
        <w:t>质保期届满后，乙方对本合同项下货物提供终身维修服务，且维修时只收取所需维修部件的成本费，服务内容应与质保期内的要求相一致。</w:t>
      </w:r>
    </w:p>
    <w:p w14:paraId="51C9C46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甲方应提供必要安装条件（如场地、电源、水源等）。</w:t>
      </w:r>
    </w:p>
    <w:p w14:paraId="371D841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乙方按招标文件要求及投标文件承诺负责甲方有关人员的培训。</w:t>
      </w:r>
    </w:p>
    <w:p w14:paraId="3A814E8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培训时间及地点：</w:t>
      </w:r>
      <w:r>
        <w:rPr>
          <w:rFonts w:hint="eastAsia" w:ascii="宋体" w:hAnsi="宋体" w:eastAsia="宋体" w:cs="宋体"/>
          <w:color w:val="auto"/>
          <w:sz w:val="21"/>
          <w:szCs w:val="21"/>
          <w:highlight w:val="none"/>
          <w:u w:val="single"/>
        </w:rPr>
        <w:t>甲方指定时间及地点。</w:t>
      </w:r>
    </w:p>
    <w:p w14:paraId="13290F9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第七条　辅助服务</w:t>
      </w:r>
    </w:p>
    <w:p w14:paraId="6A292A6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乙方应提供下列服务：</w:t>
      </w:r>
    </w:p>
    <w:p w14:paraId="3215168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（1）货物的现场移动、安装、调试、启动监督及技术支持；</w:t>
      </w:r>
    </w:p>
    <w:p w14:paraId="3837DEC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（2）提供货物组装和维修所需的专用工具和辅助材料；</w:t>
      </w:r>
    </w:p>
    <w:p w14:paraId="58A91CA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（3）在甲方指定的期限内对所有的货物实施运行监督、维修，但该服务并不能免除乙方在质量保证期内所承担的义务；</w:t>
      </w:r>
    </w:p>
    <w:p w14:paraId="4137914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（4）在现场就货物的安装、启动、运营、维护，按照甲方的要求，对甲方的相关人员免费进行必要的培训。培训目标为受训者能够独立、熟练地完成操作，实现货物的使用目标和功能。</w:t>
      </w:r>
    </w:p>
    <w:p w14:paraId="20EC790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辅助服务的费用已经包含在合同总价中，甲方不再另行支付。</w:t>
      </w:r>
    </w:p>
    <w:p w14:paraId="70B8E67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第八条　货物保管及风险承担</w:t>
      </w:r>
    </w:p>
    <w:p w14:paraId="76FB2AF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在货物交付前，货物保管责任及损毁、灭失的风险由乙方承担，货物验收合格后的风险转由甲方承担。</w:t>
      </w:r>
    </w:p>
    <w:p w14:paraId="0BE39E9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第九条　付款方式</w:t>
      </w:r>
    </w:p>
    <w:p w14:paraId="4BC97984">
      <w:pPr>
        <w:keepNext w:val="0"/>
        <w:keepLines w:val="0"/>
        <w:pageBreakBefore w:val="0"/>
        <w:widowControl/>
        <w:kinsoku/>
        <w:wordWrap/>
        <w:overflowPunct/>
        <w:topLinePunct w:val="0"/>
        <w:autoSpaceDE/>
        <w:autoSpaceDN/>
        <w:bidi w:val="0"/>
        <w:adjustRightInd/>
        <w:snapToGrid w:val="0"/>
        <w:spacing w:line="400" w:lineRule="exact"/>
        <w:ind w:firstLine="420" w:firstLineChars="200"/>
        <w:jc w:val="both"/>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付款方式</w:t>
      </w:r>
    </w:p>
    <w:p w14:paraId="589EA8AA">
      <w:pPr>
        <w:keepNext w:val="0"/>
        <w:keepLines w:val="0"/>
        <w:pageBreakBefore w:val="0"/>
        <w:widowControl/>
        <w:kinsoku/>
        <w:wordWrap/>
        <w:overflowPunct/>
        <w:topLinePunct w:val="0"/>
        <w:autoSpaceDE/>
        <w:autoSpaceDN/>
        <w:bidi w:val="0"/>
        <w:adjustRightInd/>
        <w:snapToGrid w:val="0"/>
        <w:spacing w:line="400" w:lineRule="exact"/>
        <w:ind w:firstLine="420" w:firstLineChars="0"/>
        <w:textAlignment w:val="center"/>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本合同总金额为人民币     元整（¥     元)，甲乙双方同意按以下方式支付合同合计金额：</w:t>
      </w:r>
    </w:p>
    <w:p w14:paraId="03278AD9">
      <w:pPr>
        <w:keepNext w:val="0"/>
        <w:keepLines w:val="0"/>
        <w:pageBreakBefore w:val="0"/>
        <w:widowControl/>
        <w:kinsoku/>
        <w:wordWrap/>
        <w:overflowPunct/>
        <w:topLinePunct w:val="0"/>
        <w:autoSpaceDE/>
        <w:autoSpaceDN/>
        <w:bidi w:val="0"/>
        <w:adjustRightInd/>
        <w:snapToGrid w:val="0"/>
        <w:spacing w:line="400" w:lineRule="exact"/>
        <w:ind w:firstLine="420" w:firstLineChars="0"/>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合同签订后，甲方向乙方支付合同总金额50%的预付款；</w:t>
      </w:r>
    </w:p>
    <w:p w14:paraId="5B0D2706">
      <w:pPr>
        <w:keepNext w:val="0"/>
        <w:keepLines w:val="0"/>
        <w:pageBreakBefore w:val="0"/>
        <w:widowControl/>
        <w:kinsoku/>
        <w:wordWrap/>
        <w:overflowPunct/>
        <w:topLinePunct w:val="0"/>
        <w:autoSpaceDE/>
        <w:autoSpaceDN/>
        <w:bidi w:val="0"/>
        <w:adjustRightInd/>
        <w:snapToGrid w:val="0"/>
        <w:spacing w:line="400" w:lineRule="exact"/>
        <w:ind w:firstLine="420" w:firstLineChars="0"/>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乙方在收到首笔合同款后20个工作日内向甲方递交合同总金额50%的预付款保函（有效期自开具之日起不少于15个月，验收合格后退还）全部货物到货并经甲方确认后，甲方向乙方支付合同总金额的50%：</w:t>
      </w:r>
    </w:p>
    <w:p w14:paraId="17CC388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全部货物安装调试完毕，甲方对所有货物最终性能验收合格后，乙方向甲方提交合同总金额5%的履约保函（有效期自开具之日起不少于24个月，质保期满退履约保函）；</w:t>
      </w:r>
    </w:p>
    <w:p w14:paraId="06DE4D9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每次付款前，中标人须提供与支付金额对应的增值税普通发票。</w:t>
      </w:r>
    </w:p>
    <w:p w14:paraId="0CDCCBA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乙方指定以下账户为接受本合同价款的账户，并对其指定的下列账户信息真实性、安全性、准确性负责。</w:t>
      </w:r>
    </w:p>
    <w:p w14:paraId="61594A6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账户名称：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37CA7D3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开户银行</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7E1902F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银行账号：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6BFE0AF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联系人：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1F01ADF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联系电话：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2021C8B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如乙方上述账户信息发生变更，乙方应提前向甲方发送书面通知，未能提前书面通知而产生的不利后果由乙方自行承担。</w:t>
      </w:r>
    </w:p>
    <w:p w14:paraId="44AABC5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乙方应持甲方签字确认的验收合格单结算货款。</w:t>
      </w:r>
    </w:p>
    <w:p w14:paraId="281136D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甲方在支付每笔款项前，乙方应当提供可供政府审计并且符合税务规定的正式发票，</w:t>
      </w:r>
      <w:r>
        <w:rPr>
          <w:rFonts w:hint="eastAsia" w:ascii="宋体" w:hAnsi="宋体" w:eastAsia="宋体" w:cs="宋体"/>
          <w:color w:val="auto"/>
          <w:spacing w:val="-6"/>
          <w:sz w:val="21"/>
          <w:szCs w:val="21"/>
          <w:highlight w:val="none"/>
        </w:rPr>
        <w:t>否则甲方有权拒付相应款项直至乙方能提供符合规定的发票为止。因乙方提供不符合甲方要求的发票导致付款逾期，甲方不构成违约，相应的付款期限自甲方收到乙方符合要求发票重新计算。</w:t>
      </w:r>
    </w:p>
    <w:p w14:paraId="0E1373B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第十条　履约保证金</w:t>
      </w:r>
    </w:p>
    <w:p w14:paraId="4711EF3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乙方提供的履约保证金金额为：</w:t>
      </w:r>
      <w:r>
        <w:rPr>
          <w:rFonts w:hint="eastAsia" w:ascii="宋体" w:hAnsi="宋体" w:eastAsia="宋体" w:cs="宋体"/>
          <w:bCs/>
          <w:color w:val="auto"/>
          <w:sz w:val="21"/>
          <w:szCs w:val="21"/>
          <w:highlight w:val="none"/>
        </w:rPr>
        <w:t>履约保证金金额为</w:t>
      </w:r>
      <w:r>
        <w:rPr>
          <w:rFonts w:hint="eastAsia" w:ascii="宋体" w:hAnsi="宋体" w:eastAsia="宋体" w:cs="宋体"/>
          <w:color w:val="auto"/>
          <w:sz w:val="21"/>
          <w:szCs w:val="21"/>
          <w:highlight w:val="none"/>
        </w:rPr>
        <w:t>本</w:t>
      </w:r>
      <w:r>
        <w:rPr>
          <w:rFonts w:hint="eastAsia" w:ascii="宋体" w:hAnsi="宋体" w:cs="宋体"/>
          <w:color w:val="auto"/>
          <w:sz w:val="21"/>
          <w:szCs w:val="21"/>
          <w:highlight w:val="none"/>
          <w:lang w:val="en-US" w:eastAsia="zh-CN"/>
        </w:rPr>
        <w:t>合同</w:t>
      </w:r>
      <w:r>
        <w:rPr>
          <w:rFonts w:hint="eastAsia" w:ascii="宋体" w:hAnsi="宋体" w:eastAsia="宋体" w:cs="宋体"/>
          <w:color w:val="auto"/>
          <w:sz w:val="21"/>
          <w:szCs w:val="21"/>
          <w:highlight w:val="none"/>
        </w:rPr>
        <w:t>总金额</w:t>
      </w:r>
      <w:r>
        <w:rPr>
          <w:rFonts w:hint="eastAsia" w:ascii="宋体" w:hAnsi="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lang w:val="en-US" w:eastAsia="zh-CN"/>
        </w:rPr>
        <w:t>%</w:t>
      </w:r>
      <w:r>
        <w:rPr>
          <w:rFonts w:hint="eastAsia" w:ascii="宋体" w:hAnsi="宋体" w:cs="宋体"/>
          <w:color w:val="auto"/>
          <w:sz w:val="21"/>
          <w:szCs w:val="21"/>
          <w:highlight w:val="none"/>
          <w:u w:val="none"/>
          <w:lang w:val="en-US" w:eastAsia="zh-CN"/>
        </w:rPr>
        <w:t>（</w:t>
      </w:r>
      <w:r>
        <w:rPr>
          <w:rFonts w:hint="eastAsia" w:ascii="宋体" w:hAnsi="宋体" w:cs="宋体"/>
          <w:color w:val="auto"/>
          <w:sz w:val="21"/>
          <w:szCs w:val="21"/>
          <w:highlight w:val="none"/>
          <w:lang w:eastAsia="zh-CN"/>
        </w:rPr>
        <w:t>对中小</w:t>
      </w:r>
      <w:r>
        <w:rPr>
          <w:rFonts w:hint="eastAsia" w:ascii="宋体" w:hAnsi="宋体" w:cs="宋体"/>
          <w:color w:val="auto"/>
          <w:sz w:val="21"/>
          <w:szCs w:val="21"/>
          <w:highlight w:val="none"/>
          <w:lang w:val="en-US" w:eastAsia="zh-CN"/>
        </w:rPr>
        <w:t>微</w:t>
      </w:r>
      <w:r>
        <w:rPr>
          <w:rFonts w:hint="eastAsia" w:ascii="宋体" w:hAnsi="宋体" w:cs="宋体"/>
          <w:color w:val="auto"/>
          <w:sz w:val="21"/>
          <w:szCs w:val="21"/>
          <w:highlight w:val="none"/>
          <w:lang w:eastAsia="zh-CN"/>
        </w:rPr>
        <w:t>企业收取的履约保证金</w:t>
      </w:r>
      <w:r>
        <w:rPr>
          <w:rFonts w:hint="eastAsia" w:ascii="宋体" w:hAnsi="宋体" w:cs="宋体"/>
          <w:color w:val="auto"/>
          <w:sz w:val="21"/>
          <w:szCs w:val="21"/>
          <w:highlight w:val="none"/>
          <w:lang w:val="en-US" w:eastAsia="zh-CN"/>
        </w:rPr>
        <w:t>金额</w:t>
      </w:r>
      <w:r>
        <w:rPr>
          <w:rFonts w:hint="eastAsia" w:ascii="宋体" w:hAnsi="宋体" w:cs="宋体"/>
          <w:color w:val="auto"/>
          <w:sz w:val="21"/>
          <w:szCs w:val="21"/>
          <w:highlight w:val="none"/>
          <w:lang w:eastAsia="zh-CN"/>
        </w:rPr>
        <w:t>为</w:t>
      </w:r>
      <w:r>
        <w:rPr>
          <w:rFonts w:hint="eastAsia" w:ascii="宋体" w:hAnsi="宋体" w:cs="宋体"/>
          <w:color w:val="auto"/>
          <w:sz w:val="21"/>
          <w:szCs w:val="21"/>
          <w:highlight w:val="none"/>
          <w:lang w:val="en-US" w:eastAsia="zh-CN"/>
        </w:rPr>
        <w:t>合同总金额</w:t>
      </w:r>
      <w:r>
        <w:rPr>
          <w:rFonts w:hint="eastAsia" w:ascii="宋体" w:hAnsi="宋体" w:cs="宋体"/>
          <w:color w:val="auto"/>
          <w:sz w:val="21"/>
          <w:szCs w:val="21"/>
          <w:highlight w:val="none"/>
          <w:lang w:eastAsia="zh-CN"/>
        </w:rPr>
        <w:t>的2%</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rPr>
        <w:t>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或</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p>
    <w:p w14:paraId="3EEDA0F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履约保证金递交方式：银行转账、支票、汇票、本票或者金融机构出具的保函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含电子保函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等非现金方式。</w:t>
      </w:r>
    </w:p>
    <w:p w14:paraId="318FCED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履约保证金退付方式、时间及条件：由乙方向甲方提供《广西壮族自治区政府采购项目合同验收书》</w:t>
      </w:r>
      <w:r>
        <w:rPr>
          <w:rFonts w:hint="eastAsia" w:ascii="宋体" w:hAnsi="宋体" w:eastAsia="宋体" w:cs="宋体"/>
          <w:color w:val="auto"/>
          <w:sz w:val="21"/>
          <w:szCs w:val="21"/>
          <w:highlight w:val="none"/>
          <w:u w:val="none"/>
          <w:lang w:eastAsia="zh-CN"/>
        </w:rPr>
        <w:t>、履约保证金退付函和乙方履约保证金支付凭证</w:t>
      </w:r>
      <w:r>
        <w:rPr>
          <w:rFonts w:hint="eastAsia" w:ascii="宋体" w:hAnsi="宋体" w:eastAsia="宋体" w:cs="宋体"/>
          <w:color w:val="auto"/>
          <w:sz w:val="21"/>
          <w:szCs w:val="21"/>
          <w:highlight w:val="none"/>
        </w:rPr>
        <w:t>，甲方在收到合格材料后五个工作日内办理退还手续（不计利息）。</w:t>
      </w:r>
    </w:p>
    <w:p w14:paraId="3ABCEB3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第十一条　税费</w:t>
      </w:r>
    </w:p>
    <w:p w14:paraId="1EECE2E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本合同执行中相关的一切税费均由乙方负担。</w:t>
      </w:r>
    </w:p>
    <w:p w14:paraId="43E2A26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第十二条　违约责任</w:t>
      </w:r>
    </w:p>
    <w:p w14:paraId="0CFC8A4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乙方仅交付部分货物的，甲方有权解除合同，退还已收货物，乙方应退还已经收取的货款，并按合同合计金额的</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％承担违约金；甲方不退还已收货物的，有权要求乙方退还已收取的未交付货物的货款，并要求乙方按合同合计金额的</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％承担违约金。</w:t>
      </w:r>
    </w:p>
    <w:p w14:paraId="09A9132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乙方逾期交付货物的，每逾期一日，应按合同合计金额的3%向甲方支付逾期交付的违约金；逾期超过十日的，甲方有权单方解除合同，并要求乙方退还已收取的款项，同时乙方应按照合同合计金额的</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%向甲方支付违约金并承担因此给甲方造成的经济损失。</w:t>
      </w:r>
    </w:p>
    <w:p w14:paraId="7673801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所提供的产品名称、商标品牌、生产厂家、规格型号、技术参数、质量等不合格的，应按甲方的要求、在甲方指定的期限内更换，乙方因更换造成货物逾期交付的，按乙方逾期交付承担违约责任；因质量问题甲方不同意接收的或者特殊情况甲方同意接收的，乙方应向甲方支付合同合计金额</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％的违约金并赔偿甲方经济损失。</w:t>
      </w:r>
    </w:p>
    <w:p w14:paraId="323BAA4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提供的货物如侵犯了第三方合法权益而引发的任何纠纷或者诉讼，均由乙方负责交涉并承担全部责任，如甲方为解决纠纷矛盾先期支付了费用的，乙方应当自收到甲方要求偿还费用的函之日起五日内向甲方偿还完毕，逾期未偿还，乙方承担应向甲方支付合同合计金额20％的违约金并赔偿甲方经济损失。</w:t>
      </w:r>
    </w:p>
    <w:p w14:paraId="350EDB7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乙方明示不履行或不能履行合同，或交付的货物存在严重瑕疵，不具有正常使用功能或不能满足本合同目的，甲方有权解除合同，要求乙方退还已收取的货款，并要求乙方按合同合计金额的</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％支付违约金。</w:t>
      </w:r>
    </w:p>
    <w:p w14:paraId="367F70E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因包装、运输引起的货物损坏，按质量不合格处理。</w:t>
      </w:r>
    </w:p>
    <w:p w14:paraId="4C8ACC6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乙方未按本合同和招标文件、投标文件中规定的服务承诺提供售后服务的，每违约一次，应按合同合计金额的10%向甲方支付违约金，并赔偿甲方因此所造成全部损失。</w:t>
      </w:r>
    </w:p>
    <w:p w14:paraId="6E292C3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乙方提供的货物在质量保证期内，因设计、工艺或者材料的缺陷和其它质量原因造成的问题，由乙方负责，费用从余款或者履约保证金中扣除，不足另补。</w:t>
      </w:r>
    </w:p>
    <w:p w14:paraId="4521D7E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乙方支付的违约金不足以弥补甲方损失的，应承担赔偿责任，甲方有权继续向乙方追偿。乙方应支付给甲方的任何款项，甲方有权从任何应支付未支付给乙方的款项中直接抵扣。</w:t>
      </w:r>
    </w:p>
    <w:p w14:paraId="131FF37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甲方延期付货款的，每天向乙方偿付延期货款额3‰的违约金，但违约金累计不得超过延期货款额的5%。</w:t>
      </w:r>
    </w:p>
    <w:p w14:paraId="574AB3C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本合同所称的甲方经济损失或者甲方损失，包括甲方遭受的全部直接经济损失及为此支出的合理费用（包括但不限于为此支出的调查费、诉讼费、保全费、保全保险费、垫付资金占用费、律师费、差旅费等）。</w:t>
      </w:r>
    </w:p>
    <w:p w14:paraId="7E34304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第十三条　不可抗力事件处理</w:t>
      </w:r>
    </w:p>
    <w:p w14:paraId="682E852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在合同有效期内，任何一方因不可抗力事件导致不能履行合同，则合同履行期可延长，其延长期与不可抗力影响期相同。</w:t>
      </w:r>
    </w:p>
    <w:p w14:paraId="1CB5F99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不可抗力事件发生后，应立即通知对方，并寄送有关权威机构出具的证明。</w:t>
      </w:r>
    </w:p>
    <w:p w14:paraId="69758F2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不可抗力事件延续一百二十天以上，甲乙双方应通过友好协商，确定是否继续履行合同。</w:t>
      </w:r>
    </w:p>
    <w:p w14:paraId="34C39AE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合同履行过程中，因接受政府行政指令而无法履行的，接受政府行政指令的一方可以免除责任。</w:t>
      </w:r>
    </w:p>
    <w:p w14:paraId="3FB08E2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第十四条　合同争议解决</w:t>
      </w:r>
    </w:p>
    <w:p w14:paraId="1B2AECF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因货物质量问题发生争议的，应提交具有相应资质的机构进行鉴定。货物符合标准的，鉴定费由甲方承担；货物不符合标准的，鉴定费由乙方承担。</w:t>
      </w:r>
    </w:p>
    <w:p w14:paraId="2F2EF7C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因履行本合同引起的或者与本合同有关的争议，甲乙双方应首先通过友好协商解决，如果协商不能解决，可向甲方所在地有管辖权的人民法院提起诉讼。</w:t>
      </w:r>
    </w:p>
    <w:p w14:paraId="22BD3C0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第十五条　合同生效及其他</w:t>
      </w:r>
    </w:p>
    <w:p w14:paraId="24C6B67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合同经甲乙双方法定代表人或者授权代表签字并加盖单位公章后生效。</w:t>
      </w:r>
    </w:p>
    <w:p w14:paraId="4B6CB44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合同执行中涉及采购资金和采购内容修改或者补充的，须经政府采购监管部门审批，并签书面补充协议报政府采购监管部门备案，方可作为主合同不可分割的一部分。</w:t>
      </w:r>
    </w:p>
    <w:p w14:paraId="0A8667D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合同未尽事宜，遵照《中华人民共和国民法典》等相关法律、法规规定有关条文执行。</w:t>
      </w:r>
    </w:p>
    <w:p w14:paraId="3AB91EC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第十六条　合同的变更、终止与转让</w:t>
      </w:r>
    </w:p>
    <w:p w14:paraId="237E5A3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除《中华人民共和国政府采购法》第五十条规定的情形外，本合同一经签订，甲乙双方不得擅自变更、中止或者终止。</w:t>
      </w:r>
    </w:p>
    <w:p w14:paraId="612CA61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未经甲方书面同意，乙方不得擅自转让其应履行的合同义务。</w:t>
      </w:r>
    </w:p>
    <w:p w14:paraId="16F58EC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第十七条　本合同与下列文件一起构成合同文件</w:t>
      </w:r>
    </w:p>
    <w:p w14:paraId="49C275D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中标通知书；</w:t>
      </w:r>
    </w:p>
    <w:p w14:paraId="7F9E9B4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开标一览表；</w:t>
      </w:r>
    </w:p>
    <w:p w14:paraId="2B14494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采购需求；</w:t>
      </w:r>
    </w:p>
    <w:p w14:paraId="4AE0796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投标函；</w:t>
      </w:r>
    </w:p>
    <w:p w14:paraId="116553D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商务条款偏离表和技术需求偏离表；</w:t>
      </w:r>
    </w:p>
    <w:p w14:paraId="58B58C6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配置清单；</w:t>
      </w:r>
    </w:p>
    <w:p w14:paraId="73449D5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投标文件中的其他相关文件。</w:t>
      </w:r>
    </w:p>
    <w:p w14:paraId="1D60AE5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上述合同文件互相补充和解释。如果合同文件之间存在矛盾或者不一致之处，以本合同、上述文件的排列顺序在先者为准。</w:t>
      </w:r>
    </w:p>
    <w:p w14:paraId="31990EA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第十八条　其他约定事项</w:t>
      </w:r>
    </w:p>
    <w:p w14:paraId="1015DFC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本合同所有附件及相关文件均为本合同的有效组成部分，与本合同具有同等法律效力。若合同附件与本合同存在不一致的，则以本合同为准。</w:t>
      </w:r>
    </w:p>
    <w:p w14:paraId="15E7058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在履行本合同过程中，所有经甲乙双方签署确认的文件（包括会议纪要、补充协议、往来信函、电子邮件等）即成为本合同的有效组成部分。</w:t>
      </w:r>
    </w:p>
    <w:p w14:paraId="6FEE957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.甲乙</w:t>
      </w:r>
      <w:r>
        <w:rPr>
          <w:rFonts w:hint="eastAsia" w:ascii="宋体" w:hAnsi="宋体" w:eastAsia="宋体" w:cs="宋体"/>
          <w:color w:val="auto"/>
          <w:sz w:val="21"/>
          <w:szCs w:val="21"/>
          <w:highlight w:val="none"/>
        </w:rPr>
        <w:t>双方确认，以下为各方真实有效通讯地址：</w:t>
      </w:r>
    </w:p>
    <w:p w14:paraId="7F71591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lang w:val="en-US" w:eastAsia="zh-CN"/>
        </w:rPr>
        <w:t>广西壮族自治区生态环境厅</w:t>
      </w:r>
      <w:r>
        <w:rPr>
          <w:rFonts w:hint="eastAsia" w:ascii="宋体" w:hAnsi="宋体" w:eastAsia="宋体" w:cs="宋体"/>
          <w:color w:val="auto"/>
          <w:sz w:val="21"/>
          <w:szCs w:val="21"/>
          <w:highlight w:val="none"/>
        </w:rPr>
        <w:t>，</w:t>
      </w:r>
    </w:p>
    <w:p w14:paraId="1DCC096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lang w:val="en-US" w:eastAsia="zh-CN"/>
        </w:rPr>
        <w:t>南宁市青秀区佛子岭路16号</w:t>
      </w:r>
      <w:r>
        <w:rPr>
          <w:rFonts w:hint="eastAsia" w:ascii="宋体" w:hAnsi="宋体" w:eastAsia="宋体" w:cs="宋体"/>
          <w:color w:val="auto"/>
          <w:sz w:val="21"/>
          <w:szCs w:val="21"/>
          <w:highlight w:val="none"/>
        </w:rPr>
        <w:t>，</w:t>
      </w:r>
    </w:p>
    <w:p w14:paraId="2892DA9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收件人：</w:t>
      </w:r>
      <w:r>
        <w:rPr>
          <w:rFonts w:hint="eastAsia" w:ascii="宋体" w:hAnsi="宋体" w:eastAsia="宋体" w:cs="宋体"/>
          <w:color w:val="auto"/>
          <w:sz w:val="21"/>
          <w:szCs w:val="21"/>
          <w:highlight w:val="none"/>
          <w:u w:val="single"/>
          <w:lang w:val="en-US" w:eastAsia="zh-CN"/>
        </w:rPr>
        <w:t xml:space="preserve">                       ，</w:t>
      </w:r>
    </w:p>
    <w:p w14:paraId="2F410CC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4585B96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E5854B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rPr>
        <w:t>乙方：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7A5E111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E7CB60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收件人：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0671611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联系电话：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79C571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u w:val="none"/>
        </w:rPr>
        <w:t>电子邮箱：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FA28C4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14:paraId="1DFFC37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
        </w:rPr>
        <w:t>4.</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lang w:val="en-US" w:eastAsia="zh-CN"/>
        </w:rPr>
        <w:t>捌</w:t>
      </w:r>
      <w:r>
        <w:rPr>
          <w:rFonts w:hint="eastAsia" w:ascii="宋体" w:hAnsi="宋体" w:eastAsia="宋体" w:cs="宋体"/>
          <w:color w:val="auto"/>
          <w:sz w:val="21"/>
          <w:szCs w:val="21"/>
          <w:highlight w:val="none"/>
        </w:rPr>
        <w:t>份，具有同等法律效力，政府采购监管部门、采购代理机构各</w:t>
      </w:r>
      <w:r>
        <w:rPr>
          <w:rFonts w:hint="eastAsia" w:ascii="宋体" w:hAnsi="宋体" w:eastAsia="宋体" w:cs="宋体"/>
          <w:color w:val="auto"/>
          <w:sz w:val="21"/>
          <w:szCs w:val="21"/>
          <w:highlight w:val="none"/>
          <w:u w:val="single"/>
          <w:lang w:val="en-US" w:eastAsia="zh-CN"/>
        </w:rPr>
        <w:t>壹</w:t>
      </w:r>
      <w:r>
        <w:rPr>
          <w:rFonts w:hint="eastAsia" w:ascii="宋体" w:hAnsi="宋体" w:eastAsia="宋体" w:cs="宋体"/>
          <w:color w:val="auto"/>
          <w:sz w:val="21"/>
          <w:szCs w:val="21"/>
          <w:highlight w:val="none"/>
        </w:rPr>
        <w:t>份，甲乙双方各</w:t>
      </w:r>
      <w:r>
        <w:rPr>
          <w:rFonts w:hint="eastAsia" w:ascii="宋体" w:hAnsi="宋体" w:eastAsia="宋体" w:cs="宋体"/>
          <w:color w:val="auto"/>
          <w:sz w:val="21"/>
          <w:szCs w:val="21"/>
          <w:highlight w:val="none"/>
          <w:u w:val="single"/>
          <w:lang w:val="en-US" w:eastAsia="zh-CN"/>
        </w:rPr>
        <w:t>叁</w:t>
      </w:r>
      <w:r>
        <w:rPr>
          <w:rFonts w:hint="eastAsia" w:ascii="宋体" w:hAnsi="宋体" w:eastAsia="宋体" w:cs="宋体"/>
          <w:color w:val="auto"/>
          <w:sz w:val="21"/>
          <w:szCs w:val="21"/>
          <w:highlight w:val="none"/>
        </w:rPr>
        <w:t>份。</w:t>
      </w:r>
    </w:p>
    <w:p w14:paraId="7F99FE7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本条款不因合同的变更、解除和终止而失效。</w:t>
      </w:r>
    </w:p>
    <w:p w14:paraId="23A58F3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第十九条　合同附件</w:t>
      </w:r>
    </w:p>
    <w:p w14:paraId="75E9684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附件一：中标通知书；</w:t>
      </w:r>
    </w:p>
    <w:p w14:paraId="69191F2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附件二：</w:t>
      </w:r>
      <w:r>
        <w:rPr>
          <w:rFonts w:hint="eastAsia" w:ascii="宋体" w:hAnsi="宋体" w:eastAsia="宋体" w:cs="宋体"/>
          <w:color w:val="auto"/>
          <w:sz w:val="21"/>
          <w:szCs w:val="21"/>
          <w:highlight w:val="none"/>
        </w:rPr>
        <w:t>开标一览表；</w:t>
      </w:r>
    </w:p>
    <w:p w14:paraId="7F103A2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附件三：</w:t>
      </w:r>
      <w:r>
        <w:rPr>
          <w:rFonts w:hint="eastAsia" w:ascii="宋体" w:hAnsi="宋体" w:eastAsia="宋体" w:cs="宋体"/>
          <w:color w:val="auto"/>
          <w:sz w:val="21"/>
          <w:szCs w:val="21"/>
          <w:highlight w:val="none"/>
        </w:rPr>
        <w:t>采购需求；</w:t>
      </w:r>
    </w:p>
    <w:p w14:paraId="07C157E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附件四：</w:t>
      </w:r>
      <w:r>
        <w:rPr>
          <w:rFonts w:hint="eastAsia" w:ascii="宋体" w:hAnsi="宋体" w:eastAsia="宋体" w:cs="宋体"/>
          <w:color w:val="auto"/>
          <w:sz w:val="21"/>
          <w:szCs w:val="21"/>
          <w:highlight w:val="none"/>
        </w:rPr>
        <w:t>投标函；</w:t>
      </w:r>
    </w:p>
    <w:p w14:paraId="3BC4B11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附件五：</w:t>
      </w:r>
      <w:r>
        <w:rPr>
          <w:rFonts w:hint="eastAsia" w:ascii="宋体" w:hAnsi="宋体" w:eastAsia="宋体" w:cs="宋体"/>
          <w:color w:val="auto"/>
          <w:sz w:val="21"/>
          <w:szCs w:val="21"/>
          <w:highlight w:val="none"/>
        </w:rPr>
        <w:t>商务条款偏离表和技术需求偏离表；</w:t>
      </w:r>
    </w:p>
    <w:p w14:paraId="553A5C4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附件六：货物</w:t>
      </w:r>
      <w:r>
        <w:rPr>
          <w:rFonts w:hint="eastAsia" w:ascii="宋体" w:hAnsi="宋体" w:eastAsia="宋体" w:cs="宋体"/>
          <w:color w:val="auto"/>
          <w:sz w:val="21"/>
          <w:szCs w:val="21"/>
          <w:highlight w:val="none"/>
        </w:rPr>
        <w:t>配置清单</w:t>
      </w:r>
      <w:r>
        <w:rPr>
          <w:rFonts w:hint="eastAsia" w:ascii="宋体" w:hAnsi="宋体" w:eastAsia="宋体" w:cs="宋体"/>
          <w:color w:val="auto"/>
          <w:sz w:val="21"/>
          <w:szCs w:val="21"/>
          <w:highlight w:val="none"/>
          <w:lang w:eastAsia="zh-CN"/>
        </w:rPr>
        <w:t>；</w:t>
      </w:r>
    </w:p>
    <w:p w14:paraId="3860F07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附件七：质保期承诺书。</w:t>
      </w:r>
    </w:p>
    <w:p w14:paraId="145DDF53">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lang w:eastAsia="zh-CN"/>
        </w:rPr>
      </w:pPr>
    </w:p>
    <w:tbl>
      <w:tblPr>
        <w:tblStyle w:val="48"/>
        <w:tblW w:w="8270" w:type="dxa"/>
        <w:tblInd w:w="122" w:type="dxa"/>
        <w:tblLayout w:type="fixed"/>
        <w:tblCellMar>
          <w:top w:w="0" w:type="dxa"/>
          <w:left w:w="108" w:type="dxa"/>
          <w:bottom w:w="0" w:type="dxa"/>
          <w:right w:w="108" w:type="dxa"/>
        </w:tblCellMar>
      </w:tblPr>
      <w:tblGrid>
        <w:gridCol w:w="4165"/>
        <w:gridCol w:w="4105"/>
      </w:tblGrid>
      <w:tr w14:paraId="460A7E1B">
        <w:tblPrEx>
          <w:tblCellMar>
            <w:top w:w="0" w:type="dxa"/>
            <w:left w:w="108" w:type="dxa"/>
            <w:bottom w:w="0" w:type="dxa"/>
            <w:right w:w="108" w:type="dxa"/>
          </w:tblCellMar>
        </w:tblPrEx>
        <w:trPr>
          <w:trHeight w:val="981" w:hRule="atLeast"/>
        </w:trPr>
        <w:tc>
          <w:tcPr>
            <w:tcW w:w="4165" w:type="dxa"/>
            <w:noWrap w:val="0"/>
            <w:vAlign w:val="top"/>
          </w:tcPr>
          <w:p w14:paraId="19B643F0">
            <w:pPr>
              <w:pStyle w:val="31"/>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甲方：广西壮族自治区生态环境厅</w:t>
            </w:r>
          </w:p>
        </w:tc>
        <w:tc>
          <w:tcPr>
            <w:tcW w:w="4105" w:type="dxa"/>
            <w:noWrap w:val="0"/>
            <w:vAlign w:val="top"/>
          </w:tcPr>
          <w:p w14:paraId="26A59411">
            <w:pPr>
              <w:pStyle w:val="31"/>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乙方：</w:t>
            </w:r>
            <w:r>
              <w:rPr>
                <w:rFonts w:hint="eastAsia" w:ascii="宋体" w:hAnsi="宋体" w:eastAsia="宋体" w:cs="宋体"/>
                <w:b/>
                <w:bCs/>
                <w:color w:val="auto"/>
                <w:sz w:val="21"/>
                <w:szCs w:val="21"/>
                <w:highlight w:val="none"/>
                <w:lang w:val="en-US" w:eastAsia="zh-CN"/>
              </w:rPr>
              <w:t xml:space="preserve"> </w:t>
            </w:r>
          </w:p>
        </w:tc>
      </w:tr>
      <w:tr w14:paraId="3CEDEBF3">
        <w:tblPrEx>
          <w:tblCellMar>
            <w:top w:w="0" w:type="dxa"/>
            <w:left w:w="108" w:type="dxa"/>
            <w:bottom w:w="0" w:type="dxa"/>
            <w:right w:w="108" w:type="dxa"/>
          </w:tblCellMar>
        </w:tblPrEx>
        <w:trPr>
          <w:trHeight w:val="1050" w:hRule="atLeast"/>
        </w:trPr>
        <w:tc>
          <w:tcPr>
            <w:tcW w:w="4165" w:type="dxa"/>
            <w:noWrap w:val="0"/>
            <w:vAlign w:val="top"/>
          </w:tcPr>
          <w:p w14:paraId="270ACF1F">
            <w:pPr>
              <w:pStyle w:val="31"/>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法定代表人（负责人）</w:t>
            </w:r>
            <w:r>
              <w:rPr>
                <w:rFonts w:hint="eastAsia" w:ascii="宋体" w:hAnsi="宋体" w:eastAsia="宋体" w:cs="宋体"/>
                <w:b/>
                <w:bCs/>
                <w:color w:val="auto"/>
                <w:sz w:val="21"/>
                <w:szCs w:val="21"/>
                <w:highlight w:val="none"/>
                <w:lang w:eastAsia="zh-CN"/>
              </w:rPr>
              <w:t>或授权代表</w:t>
            </w:r>
            <w:r>
              <w:rPr>
                <w:rFonts w:hint="eastAsia" w:ascii="宋体" w:hAnsi="宋体" w:eastAsia="宋体" w:cs="宋体"/>
                <w:b/>
                <w:bCs/>
                <w:color w:val="auto"/>
                <w:sz w:val="21"/>
                <w:szCs w:val="21"/>
                <w:highlight w:val="none"/>
              </w:rPr>
              <w:t>：</w:t>
            </w:r>
          </w:p>
          <w:p w14:paraId="786E6A42">
            <w:pPr>
              <w:pStyle w:val="31"/>
              <w:keepNext w:val="0"/>
              <w:keepLines w:val="0"/>
              <w:pageBreakBefore w:val="0"/>
              <w:widowControl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b/>
                <w:bCs/>
                <w:color w:val="auto"/>
                <w:sz w:val="21"/>
                <w:szCs w:val="21"/>
                <w:highlight w:val="none"/>
              </w:rPr>
            </w:pPr>
          </w:p>
          <w:p w14:paraId="68369F58">
            <w:pPr>
              <w:pStyle w:val="31"/>
              <w:keepNext w:val="0"/>
              <w:keepLines w:val="0"/>
              <w:pageBreakBefore w:val="0"/>
              <w:widowControl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b/>
                <w:bCs/>
                <w:color w:val="auto"/>
                <w:sz w:val="21"/>
                <w:szCs w:val="21"/>
                <w:highlight w:val="none"/>
              </w:rPr>
            </w:pPr>
          </w:p>
        </w:tc>
        <w:tc>
          <w:tcPr>
            <w:tcW w:w="4105" w:type="dxa"/>
            <w:noWrap w:val="0"/>
            <w:vAlign w:val="top"/>
          </w:tcPr>
          <w:p w14:paraId="37D121A7">
            <w:pPr>
              <w:pStyle w:val="31"/>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法定代表人（负责人）</w:t>
            </w:r>
            <w:r>
              <w:rPr>
                <w:rFonts w:hint="eastAsia" w:ascii="宋体" w:hAnsi="宋体" w:eastAsia="宋体" w:cs="宋体"/>
                <w:b/>
                <w:bCs/>
                <w:color w:val="auto"/>
                <w:sz w:val="21"/>
                <w:szCs w:val="21"/>
                <w:highlight w:val="none"/>
                <w:lang w:eastAsia="zh-CN"/>
              </w:rPr>
              <w:t>或授权代表</w:t>
            </w:r>
            <w:r>
              <w:rPr>
                <w:rFonts w:hint="eastAsia" w:ascii="宋体" w:hAnsi="宋体" w:eastAsia="宋体" w:cs="宋体"/>
                <w:b/>
                <w:bCs/>
                <w:color w:val="auto"/>
                <w:sz w:val="21"/>
                <w:szCs w:val="21"/>
                <w:highlight w:val="none"/>
              </w:rPr>
              <w:t>：</w:t>
            </w:r>
          </w:p>
          <w:p w14:paraId="35FEBC51">
            <w:pPr>
              <w:pStyle w:val="31"/>
              <w:keepNext w:val="0"/>
              <w:keepLines w:val="0"/>
              <w:pageBreakBefore w:val="0"/>
              <w:widowControl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b/>
                <w:bCs/>
                <w:color w:val="auto"/>
                <w:sz w:val="21"/>
                <w:szCs w:val="21"/>
                <w:highlight w:val="none"/>
                <w:lang w:val="en-US" w:eastAsia="zh-CN"/>
              </w:rPr>
            </w:pPr>
          </w:p>
          <w:p w14:paraId="33109306">
            <w:pPr>
              <w:pStyle w:val="31"/>
              <w:keepNext w:val="0"/>
              <w:keepLines w:val="0"/>
              <w:pageBreakBefore w:val="0"/>
              <w:widowControl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b/>
                <w:bCs/>
                <w:color w:val="auto"/>
                <w:sz w:val="21"/>
                <w:szCs w:val="21"/>
                <w:highlight w:val="none"/>
                <w:lang w:val="en-US" w:eastAsia="zh-CN"/>
              </w:rPr>
            </w:pPr>
          </w:p>
        </w:tc>
      </w:tr>
      <w:tr w14:paraId="1A2E458B">
        <w:tblPrEx>
          <w:tblCellMar>
            <w:top w:w="0" w:type="dxa"/>
            <w:left w:w="108" w:type="dxa"/>
            <w:bottom w:w="0" w:type="dxa"/>
            <w:right w:w="108" w:type="dxa"/>
          </w:tblCellMar>
        </w:tblPrEx>
        <w:trPr>
          <w:trHeight w:val="921" w:hRule="atLeast"/>
        </w:trPr>
        <w:tc>
          <w:tcPr>
            <w:tcW w:w="4165" w:type="dxa"/>
            <w:noWrap w:val="0"/>
            <w:vAlign w:val="top"/>
          </w:tcPr>
          <w:p w14:paraId="0B91AE0C">
            <w:pPr>
              <w:pStyle w:val="31"/>
              <w:keepNext w:val="0"/>
              <w:keepLines w:val="0"/>
              <w:pageBreakBefore w:val="0"/>
              <w:widowControl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年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月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日</w:t>
            </w:r>
          </w:p>
        </w:tc>
        <w:tc>
          <w:tcPr>
            <w:tcW w:w="4105" w:type="dxa"/>
            <w:noWrap w:val="0"/>
            <w:vAlign w:val="top"/>
          </w:tcPr>
          <w:p w14:paraId="24D59DDF">
            <w:pPr>
              <w:pStyle w:val="31"/>
              <w:keepNext w:val="0"/>
              <w:keepLines w:val="0"/>
              <w:pageBreakBefore w:val="0"/>
              <w:widowControl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年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月</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日</w:t>
            </w:r>
          </w:p>
        </w:tc>
      </w:tr>
    </w:tbl>
    <w:p w14:paraId="0480A3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sectPr>
          <w:headerReference r:id="rId10" w:type="default"/>
          <w:footerReference r:id="rId11" w:type="default"/>
          <w:pgSz w:w="12240" w:h="15840"/>
          <w:pgMar w:top="1440" w:right="1803" w:bottom="1440" w:left="1803" w:header="720" w:footer="720" w:gutter="0"/>
          <w:lnNumType w:countBy="0" w:distance="360"/>
          <w:pgNumType w:fmt="decimal"/>
          <w:cols w:space="0" w:num="1"/>
          <w:rtlGutter w:val="0"/>
          <w:docGrid w:type="linesAndChars" w:linePitch="312" w:charSpace="0"/>
        </w:sectPr>
      </w:pPr>
      <w:r>
        <w:rPr>
          <w:rFonts w:hint="eastAsia" w:ascii="宋体" w:hAnsi="宋体" w:eastAsia="宋体" w:cs="宋体"/>
          <w:color w:val="auto"/>
          <w:sz w:val="32"/>
          <w:szCs w:val="32"/>
          <w:highlight w:val="none"/>
        </w:rPr>
        <w:br w:type="page"/>
      </w:r>
    </w:p>
    <w:p w14:paraId="60EFF35A">
      <w:pPr>
        <w:snapToGrid w:val="0"/>
        <w:spacing w:line="360" w:lineRule="auto"/>
        <w:jc w:val="center"/>
        <w:rPr>
          <w:rFonts w:hint="eastAsia" w:ascii="宋体" w:hAnsi="宋体" w:eastAsia="宋体" w:cs="宋体"/>
          <w:color w:val="auto"/>
          <w:szCs w:val="21"/>
          <w:highlight w:val="none"/>
        </w:rPr>
      </w:pPr>
    </w:p>
    <w:p w14:paraId="313CD5C6">
      <w:pPr>
        <w:snapToGrid w:val="0"/>
        <w:jc w:val="both"/>
        <w:rPr>
          <w:rFonts w:hint="eastAsia" w:ascii="宋体" w:hAnsi="宋体" w:eastAsia="宋体" w:cs="宋体"/>
          <w:bCs/>
          <w:color w:val="auto"/>
          <w:sz w:val="32"/>
          <w:szCs w:val="32"/>
          <w:highlight w:val="none"/>
        </w:rPr>
      </w:pPr>
    </w:p>
    <w:bookmarkEnd w:id="654"/>
    <w:p w14:paraId="0DE8AF17">
      <w:pPr>
        <w:snapToGrid w:val="0"/>
        <w:spacing w:line="480" w:lineRule="auto"/>
        <w:rPr>
          <w:rFonts w:hint="eastAsia" w:ascii="宋体" w:hAnsi="宋体" w:eastAsia="宋体" w:cs="宋体"/>
          <w:bCs/>
          <w:color w:val="auto"/>
          <w:sz w:val="32"/>
          <w:szCs w:val="32"/>
          <w:highlight w:val="none"/>
        </w:rPr>
      </w:pPr>
    </w:p>
    <w:p w14:paraId="7BB4B23D">
      <w:pPr>
        <w:snapToGrid w:val="0"/>
        <w:jc w:val="center"/>
        <w:rPr>
          <w:rFonts w:hint="eastAsia" w:ascii="宋体" w:hAnsi="宋体" w:eastAsia="宋体" w:cs="宋体"/>
          <w:bCs/>
          <w:color w:val="auto"/>
          <w:sz w:val="32"/>
          <w:szCs w:val="32"/>
          <w:highlight w:val="none"/>
        </w:rPr>
      </w:pPr>
    </w:p>
    <w:p w14:paraId="752DF70F">
      <w:pPr>
        <w:snapToGrid w:val="0"/>
        <w:jc w:val="center"/>
        <w:rPr>
          <w:rFonts w:hint="eastAsia" w:ascii="宋体" w:hAnsi="宋体" w:eastAsia="宋体" w:cs="宋体"/>
          <w:bCs/>
          <w:color w:val="auto"/>
          <w:sz w:val="32"/>
          <w:szCs w:val="32"/>
          <w:highlight w:val="none"/>
        </w:rPr>
      </w:pPr>
    </w:p>
    <w:p w14:paraId="353A3454">
      <w:pPr>
        <w:snapToGrid w:val="0"/>
        <w:jc w:val="center"/>
        <w:rPr>
          <w:rFonts w:hint="eastAsia" w:ascii="宋体" w:hAnsi="宋体" w:eastAsia="宋体" w:cs="宋体"/>
          <w:bCs/>
          <w:color w:val="auto"/>
          <w:sz w:val="32"/>
          <w:szCs w:val="32"/>
          <w:highlight w:val="none"/>
        </w:rPr>
      </w:pPr>
    </w:p>
    <w:p w14:paraId="1F9C58D5">
      <w:pPr>
        <w:snapToGrid w:val="0"/>
        <w:jc w:val="center"/>
        <w:rPr>
          <w:rFonts w:hint="eastAsia" w:ascii="宋体" w:hAnsi="宋体" w:eastAsia="宋体" w:cs="宋体"/>
          <w:bCs/>
          <w:color w:val="auto"/>
          <w:sz w:val="32"/>
          <w:szCs w:val="32"/>
          <w:highlight w:val="none"/>
        </w:rPr>
      </w:pPr>
    </w:p>
    <w:p w14:paraId="2F118006">
      <w:pPr>
        <w:snapToGrid w:val="0"/>
        <w:jc w:val="center"/>
        <w:rPr>
          <w:rFonts w:hint="eastAsia" w:ascii="宋体" w:hAnsi="宋体" w:eastAsia="宋体" w:cs="宋体"/>
          <w:bCs/>
          <w:color w:val="auto"/>
          <w:sz w:val="32"/>
          <w:szCs w:val="32"/>
          <w:highlight w:val="none"/>
        </w:rPr>
      </w:pPr>
    </w:p>
    <w:p w14:paraId="6338F06B">
      <w:pPr>
        <w:snapToGrid w:val="0"/>
        <w:jc w:val="center"/>
        <w:rPr>
          <w:rFonts w:hint="eastAsia" w:ascii="宋体" w:hAnsi="宋体" w:eastAsia="宋体" w:cs="宋体"/>
          <w:bCs/>
          <w:color w:val="auto"/>
          <w:sz w:val="32"/>
          <w:szCs w:val="32"/>
          <w:highlight w:val="none"/>
        </w:rPr>
      </w:pPr>
    </w:p>
    <w:p w14:paraId="621BEC70">
      <w:pPr>
        <w:snapToGrid w:val="0"/>
        <w:jc w:val="center"/>
        <w:rPr>
          <w:rFonts w:hint="eastAsia" w:ascii="宋体" w:hAnsi="宋体" w:eastAsia="宋体" w:cs="宋体"/>
          <w:bCs/>
          <w:color w:val="auto"/>
          <w:sz w:val="32"/>
          <w:szCs w:val="32"/>
          <w:highlight w:val="none"/>
        </w:rPr>
      </w:pPr>
    </w:p>
    <w:p w14:paraId="49DB5DF6">
      <w:pPr>
        <w:snapToGrid w:val="0"/>
        <w:jc w:val="center"/>
        <w:rPr>
          <w:rFonts w:hint="eastAsia" w:ascii="宋体" w:hAnsi="宋体" w:eastAsia="宋体" w:cs="宋体"/>
          <w:bCs/>
          <w:color w:val="auto"/>
          <w:sz w:val="32"/>
          <w:szCs w:val="32"/>
          <w:highlight w:val="none"/>
        </w:rPr>
      </w:pPr>
    </w:p>
    <w:p w14:paraId="13224683">
      <w:pPr>
        <w:snapToGrid w:val="0"/>
        <w:jc w:val="center"/>
        <w:rPr>
          <w:rFonts w:hint="eastAsia" w:ascii="宋体" w:hAnsi="宋体" w:eastAsia="宋体" w:cs="宋体"/>
          <w:bCs/>
          <w:color w:val="auto"/>
          <w:sz w:val="32"/>
          <w:szCs w:val="32"/>
          <w:highlight w:val="none"/>
        </w:rPr>
      </w:pPr>
    </w:p>
    <w:p w14:paraId="22554E73">
      <w:pPr>
        <w:snapToGrid w:val="0"/>
        <w:jc w:val="center"/>
        <w:rPr>
          <w:rFonts w:hint="eastAsia" w:ascii="宋体" w:hAnsi="宋体" w:eastAsia="宋体" w:cs="宋体"/>
          <w:bCs/>
          <w:color w:val="auto"/>
          <w:sz w:val="32"/>
          <w:szCs w:val="32"/>
          <w:highlight w:val="none"/>
        </w:rPr>
      </w:pPr>
    </w:p>
    <w:p w14:paraId="142F5D5C">
      <w:pPr>
        <w:pStyle w:val="2"/>
        <w:jc w:val="center"/>
        <w:rPr>
          <w:rFonts w:hint="eastAsia" w:ascii="方正小标宋_GBK" w:hAnsi="方正小标宋_GBK" w:eastAsia="方正小标宋_GBK" w:cs="方正小标宋_GBK"/>
          <w:color w:val="auto"/>
          <w:sz w:val="28"/>
          <w:szCs w:val="28"/>
          <w:highlight w:val="none"/>
        </w:rPr>
      </w:pPr>
      <w:bookmarkStart w:id="655" w:name="_Toc74320805"/>
      <w:bookmarkStart w:id="656" w:name="_Toc15632"/>
      <w:bookmarkStart w:id="657" w:name="_Toc8082"/>
      <w:bookmarkStart w:id="658" w:name="_Toc13045"/>
      <w:r>
        <w:rPr>
          <w:rFonts w:hint="eastAsia" w:ascii="方正小标宋_GBK" w:hAnsi="方正小标宋_GBK" w:eastAsia="方正小标宋_GBK" w:cs="方正小标宋_GBK"/>
          <w:color w:val="auto"/>
          <w:sz w:val="28"/>
          <w:szCs w:val="28"/>
          <w:highlight w:val="none"/>
        </w:rPr>
        <w:t>第六章  投标文件格式</w:t>
      </w:r>
      <w:bookmarkEnd w:id="655"/>
      <w:bookmarkEnd w:id="656"/>
      <w:bookmarkEnd w:id="657"/>
      <w:bookmarkEnd w:id="658"/>
    </w:p>
    <w:p w14:paraId="003451D0">
      <w:pPr>
        <w:snapToGrid w:val="0"/>
        <w:spacing w:before="50" w:after="50"/>
        <w:outlineLvl w:val="9"/>
        <w:rPr>
          <w:rFonts w:hint="eastAsia" w:ascii="宋体" w:hAnsi="宋体" w:eastAsia="宋体" w:cs="宋体"/>
          <w:color w:val="auto"/>
          <w:sz w:val="32"/>
          <w:szCs w:val="20"/>
          <w:highlight w:val="none"/>
        </w:rPr>
      </w:pPr>
    </w:p>
    <w:p w14:paraId="298EEC1C">
      <w:pPr>
        <w:snapToGrid w:val="0"/>
        <w:spacing w:before="50" w:after="50"/>
        <w:outlineLvl w:val="9"/>
        <w:rPr>
          <w:rFonts w:hint="eastAsia" w:ascii="宋体" w:hAnsi="宋体" w:eastAsia="宋体" w:cs="宋体"/>
          <w:color w:val="auto"/>
          <w:sz w:val="32"/>
          <w:szCs w:val="20"/>
          <w:highlight w:val="none"/>
        </w:rPr>
      </w:pPr>
    </w:p>
    <w:p w14:paraId="4BFEC6BF">
      <w:pPr>
        <w:snapToGrid w:val="0"/>
        <w:spacing w:before="50" w:after="50"/>
        <w:outlineLvl w:val="9"/>
        <w:rPr>
          <w:rFonts w:hint="eastAsia" w:ascii="宋体" w:hAnsi="宋体" w:eastAsia="宋体" w:cs="宋体"/>
          <w:color w:val="auto"/>
          <w:sz w:val="32"/>
          <w:szCs w:val="20"/>
          <w:highlight w:val="none"/>
        </w:rPr>
      </w:pPr>
    </w:p>
    <w:p w14:paraId="57C70895">
      <w:pPr>
        <w:snapToGrid w:val="0"/>
        <w:spacing w:before="50" w:after="50"/>
        <w:outlineLvl w:val="9"/>
        <w:rPr>
          <w:rFonts w:hint="eastAsia" w:ascii="宋体" w:hAnsi="宋体" w:eastAsia="宋体" w:cs="宋体"/>
          <w:color w:val="auto"/>
          <w:sz w:val="32"/>
          <w:szCs w:val="20"/>
          <w:highlight w:val="none"/>
        </w:rPr>
      </w:pPr>
    </w:p>
    <w:p w14:paraId="0DFC66D9">
      <w:pPr>
        <w:snapToGrid w:val="0"/>
        <w:spacing w:before="50" w:after="50"/>
        <w:outlineLvl w:val="9"/>
        <w:rPr>
          <w:rFonts w:hint="eastAsia" w:ascii="宋体" w:hAnsi="宋体" w:eastAsia="宋体" w:cs="宋体"/>
          <w:color w:val="auto"/>
          <w:sz w:val="32"/>
          <w:szCs w:val="20"/>
          <w:highlight w:val="none"/>
        </w:rPr>
      </w:pPr>
    </w:p>
    <w:p w14:paraId="30394C5A">
      <w:pPr>
        <w:snapToGrid w:val="0"/>
        <w:spacing w:before="50" w:after="50"/>
        <w:outlineLvl w:val="9"/>
        <w:rPr>
          <w:rFonts w:hint="eastAsia" w:ascii="宋体" w:hAnsi="宋体" w:eastAsia="宋体" w:cs="宋体"/>
          <w:color w:val="auto"/>
          <w:sz w:val="32"/>
          <w:szCs w:val="20"/>
          <w:highlight w:val="none"/>
        </w:rPr>
      </w:pPr>
    </w:p>
    <w:p w14:paraId="3039777B">
      <w:pPr>
        <w:snapToGrid w:val="0"/>
        <w:spacing w:before="50" w:after="50"/>
        <w:outlineLvl w:val="9"/>
        <w:rPr>
          <w:rFonts w:hint="eastAsia" w:ascii="宋体" w:hAnsi="宋体" w:eastAsia="宋体" w:cs="宋体"/>
          <w:color w:val="auto"/>
          <w:sz w:val="32"/>
          <w:szCs w:val="20"/>
          <w:highlight w:val="none"/>
        </w:rPr>
      </w:pPr>
    </w:p>
    <w:p w14:paraId="7EA78744">
      <w:pPr>
        <w:snapToGrid w:val="0"/>
        <w:spacing w:before="50" w:after="50"/>
        <w:outlineLvl w:val="9"/>
        <w:rPr>
          <w:rFonts w:hint="eastAsia" w:ascii="宋体" w:hAnsi="宋体" w:eastAsia="宋体" w:cs="宋体"/>
          <w:color w:val="auto"/>
          <w:sz w:val="32"/>
          <w:szCs w:val="20"/>
          <w:highlight w:val="none"/>
        </w:rPr>
      </w:pPr>
    </w:p>
    <w:p w14:paraId="7353CBA1">
      <w:pPr>
        <w:snapToGrid w:val="0"/>
        <w:spacing w:before="50" w:after="50"/>
        <w:outlineLvl w:val="9"/>
        <w:rPr>
          <w:rFonts w:hint="eastAsia" w:ascii="宋体" w:hAnsi="宋体" w:eastAsia="宋体" w:cs="宋体"/>
          <w:color w:val="auto"/>
          <w:sz w:val="32"/>
          <w:szCs w:val="20"/>
          <w:highlight w:val="none"/>
        </w:rPr>
      </w:pPr>
    </w:p>
    <w:p w14:paraId="226B64EB">
      <w:pPr>
        <w:snapToGrid w:val="0"/>
        <w:spacing w:before="50" w:after="50"/>
        <w:outlineLvl w:val="9"/>
        <w:rPr>
          <w:rFonts w:hint="eastAsia" w:ascii="宋体" w:hAnsi="宋体" w:eastAsia="宋体" w:cs="宋体"/>
          <w:color w:val="auto"/>
          <w:sz w:val="32"/>
          <w:szCs w:val="20"/>
          <w:highlight w:val="none"/>
        </w:rPr>
      </w:pPr>
    </w:p>
    <w:p w14:paraId="794EA6E5">
      <w:pPr>
        <w:snapToGrid w:val="0"/>
        <w:spacing w:before="50" w:after="50"/>
        <w:outlineLvl w:val="9"/>
        <w:rPr>
          <w:rFonts w:hint="eastAsia" w:ascii="宋体" w:hAnsi="宋体" w:eastAsia="宋体" w:cs="宋体"/>
          <w:color w:val="auto"/>
          <w:sz w:val="32"/>
          <w:szCs w:val="20"/>
          <w:highlight w:val="none"/>
        </w:rPr>
      </w:pPr>
    </w:p>
    <w:p w14:paraId="56FA386A">
      <w:pPr>
        <w:snapToGrid w:val="0"/>
        <w:spacing w:before="120" w:beforeLines="50" w:after="50"/>
        <w:jc w:val="center"/>
        <w:outlineLvl w:val="9"/>
        <w:rPr>
          <w:rFonts w:hint="eastAsia" w:ascii="宋体" w:hAnsi="宋体" w:eastAsia="宋体" w:cs="宋体"/>
          <w:color w:val="auto"/>
          <w:highlight w:val="none"/>
        </w:rPr>
      </w:pPr>
    </w:p>
    <w:p w14:paraId="075F8D68">
      <w:pPr>
        <w:outlineLvl w:val="1"/>
        <w:rPr>
          <w:rFonts w:hint="eastAsia" w:ascii="宋体" w:hAnsi="宋体" w:eastAsia="宋体" w:cs="宋体"/>
          <w:b/>
          <w:color w:val="auto"/>
          <w:sz w:val="21"/>
          <w:szCs w:val="21"/>
          <w:highlight w:val="none"/>
        </w:rPr>
      </w:pPr>
      <w:bookmarkStart w:id="659" w:name="_Toc19686836"/>
      <w:bookmarkStart w:id="660" w:name="_Toc254970698"/>
      <w:bookmarkStart w:id="661" w:name="_Toc254970557"/>
      <w:r>
        <w:rPr>
          <w:rFonts w:hint="eastAsia" w:ascii="宋体" w:hAnsi="宋体" w:eastAsia="宋体" w:cs="宋体"/>
          <w:b/>
          <w:color w:val="auto"/>
          <w:sz w:val="28"/>
          <w:szCs w:val="28"/>
          <w:highlight w:val="none"/>
        </w:rPr>
        <w:br w:type="page"/>
      </w:r>
      <w:bookmarkStart w:id="662" w:name="_Toc16963"/>
      <w:bookmarkStart w:id="663" w:name="_Toc6110"/>
      <w:bookmarkStart w:id="664" w:name="_Toc28225"/>
      <w:r>
        <w:rPr>
          <w:rFonts w:hint="eastAsia" w:ascii="宋体" w:hAnsi="宋体" w:eastAsia="宋体" w:cs="宋体"/>
          <w:b/>
          <w:color w:val="auto"/>
          <w:sz w:val="21"/>
          <w:szCs w:val="21"/>
          <w:highlight w:val="none"/>
        </w:rPr>
        <w:t>一、报价文件格式</w:t>
      </w:r>
      <w:bookmarkEnd w:id="659"/>
      <w:bookmarkEnd w:id="662"/>
      <w:bookmarkEnd w:id="663"/>
      <w:bookmarkEnd w:id="664"/>
    </w:p>
    <w:p w14:paraId="2FA84D3E">
      <w:pPr>
        <w:snapToGrid w:val="0"/>
        <w:spacing w:before="120" w:beforeLines="50" w:after="50" w:line="360" w:lineRule="auto"/>
        <w:ind w:left="142"/>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1. 报价文件封面格式： </w:t>
      </w:r>
    </w:p>
    <w:p w14:paraId="4BAB9E92">
      <w:pPr>
        <w:snapToGrid w:val="0"/>
        <w:spacing w:before="120" w:beforeLines="50" w:after="50" w:line="40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                                                   </w:t>
      </w:r>
    </w:p>
    <w:p w14:paraId="132B8FE3">
      <w:pPr>
        <w:snapToGrid w:val="0"/>
        <w:spacing w:before="120" w:beforeLines="50" w:after="50" w:line="400" w:lineRule="exact"/>
        <w:jc w:val="center"/>
        <w:rPr>
          <w:rFonts w:hint="eastAsia" w:ascii="宋体" w:hAnsi="宋体" w:eastAsia="宋体" w:cs="宋体"/>
          <w:bCs/>
          <w:color w:val="auto"/>
          <w:sz w:val="21"/>
          <w:szCs w:val="21"/>
          <w:highlight w:val="none"/>
        </w:rPr>
      </w:pPr>
    </w:p>
    <w:p w14:paraId="1D1DB13E">
      <w:pPr>
        <w:snapToGrid w:val="0"/>
        <w:spacing w:before="120" w:beforeLines="50" w:after="50"/>
        <w:jc w:val="center"/>
        <w:rPr>
          <w:rFonts w:hint="eastAsia" w:ascii="方正小标宋_GBK" w:hAnsi="方正小标宋_GBK" w:eastAsia="方正小标宋_GBK" w:cs="方正小标宋_GBK"/>
          <w:color w:val="auto"/>
          <w:sz w:val="21"/>
          <w:szCs w:val="21"/>
          <w:highlight w:val="none"/>
        </w:rPr>
      </w:pPr>
      <w:r>
        <w:rPr>
          <w:rFonts w:hint="eastAsia" w:ascii="方正小标宋_GBK" w:hAnsi="方正小标宋_GBK" w:eastAsia="方正小标宋_GBK" w:cs="方正小标宋_GBK"/>
          <w:color w:val="auto"/>
          <w:sz w:val="21"/>
          <w:szCs w:val="21"/>
          <w:highlight w:val="none"/>
          <w:lang w:val="en-US" w:eastAsia="zh-CN"/>
        </w:rPr>
        <w:t>电子</w:t>
      </w:r>
      <w:r>
        <w:rPr>
          <w:rFonts w:hint="eastAsia" w:ascii="方正小标宋_GBK" w:hAnsi="方正小标宋_GBK" w:eastAsia="方正小标宋_GBK" w:cs="方正小标宋_GBK"/>
          <w:color w:val="auto"/>
          <w:sz w:val="21"/>
          <w:szCs w:val="21"/>
          <w:highlight w:val="none"/>
        </w:rPr>
        <w:t>投标文件</w:t>
      </w:r>
    </w:p>
    <w:p w14:paraId="4829A399">
      <w:pPr>
        <w:snapToGrid w:val="0"/>
        <w:spacing w:before="120" w:beforeLines="50" w:after="50" w:line="400" w:lineRule="exact"/>
        <w:jc w:val="center"/>
        <w:rPr>
          <w:rFonts w:hint="eastAsia" w:ascii="方正小标宋_GBK" w:hAnsi="方正小标宋_GBK" w:eastAsia="方正小标宋_GBK" w:cs="方正小标宋_GBK"/>
          <w:bCs/>
          <w:color w:val="auto"/>
          <w:sz w:val="21"/>
          <w:szCs w:val="21"/>
          <w:highlight w:val="none"/>
        </w:rPr>
      </w:pPr>
    </w:p>
    <w:p w14:paraId="122A2F1A">
      <w:pPr>
        <w:snapToGrid w:val="0"/>
        <w:spacing w:before="120" w:beforeLines="50" w:after="50" w:line="400" w:lineRule="exact"/>
        <w:jc w:val="center"/>
        <w:rPr>
          <w:rFonts w:hint="eastAsia" w:ascii="方正小标宋_GBK" w:hAnsi="方正小标宋_GBK" w:eastAsia="方正小标宋_GBK" w:cs="方正小标宋_GBK"/>
          <w:color w:val="auto"/>
          <w:sz w:val="21"/>
          <w:szCs w:val="21"/>
          <w:highlight w:val="none"/>
        </w:rPr>
      </w:pPr>
      <w:r>
        <w:rPr>
          <w:rFonts w:hint="eastAsia" w:ascii="方正小标宋_GBK" w:hAnsi="方正小标宋_GBK" w:eastAsia="方正小标宋_GBK" w:cs="方正小标宋_GBK"/>
          <w:color w:val="auto"/>
          <w:sz w:val="21"/>
          <w:szCs w:val="21"/>
          <w:highlight w:val="none"/>
        </w:rPr>
        <w:t>报  价  文  件</w:t>
      </w:r>
    </w:p>
    <w:p w14:paraId="292EB389">
      <w:pPr>
        <w:snapToGrid w:val="0"/>
        <w:spacing w:before="120" w:beforeLines="50" w:after="50" w:line="400" w:lineRule="exact"/>
        <w:rPr>
          <w:rFonts w:hint="eastAsia" w:ascii="宋体" w:hAnsi="宋体" w:eastAsia="宋体" w:cs="宋体"/>
          <w:bCs/>
          <w:color w:val="auto"/>
          <w:sz w:val="21"/>
          <w:szCs w:val="21"/>
          <w:highlight w:val="none"/>
        </w:rPr>
      </w:pPr>
    </w:p>
    <w:p w14:paraId="47A6B299">
      <w:pPr>
        <w:snapToGrid w:val="0"/>
        <w:spacing w:before="120" w:beforeLines="50" w:after="50" w:line="400" w:lineRule="exact"/>
        <w:rPr>
          <w:rFonts w:hint="eastAsia" w:ascii="宋体" w:hAnsi="宋体" w:eastAsia="宋体" w:cs="宋体"/>
          <w:bCs/>
          <w:color w:val="auto"/>
          <w:sz w:val="21"/>
          <w:szCs w:val="21"/>
          <w:highlight w:val="none"/>
        </w:rPr>
      </w:pPr>
    </w:p>
    <w:p w14:paraId="44B9B1D4">
      <w:pPr>
        <w:snapToGrid w:val="0"/>
        <w:spacing w:before="120" w:beforeLines="50" w:after="50" w:line="400" w:lineRule="exact"/>
        <w:rPr>
          <w:rFonts w:hint="eastAsia" w:ascii="宋体" w:hAnsi="宋体" w:eastAsia="宋体" w:cs="宋体"/>
          <w:bCs/>
          <w:color w:val="auto"/>
          <w:sz w:val="21"/>
          <w:szCs w:val="21"/>
          <w:highlight w:val="none"/>
        </w:rPr>
      </w:pPr>
    </w:p>
    <w:p w14:paraId="4A41886A">
      <w:pPr>
        <w:snapToGrid w:val="0"/>
        <w:spacing w:before="120" w:beforeLines="50" w:after="50" w:line="400" w:lineRule="exact"/>
        <w:rPr>
          <w:rFonts w:hint="eastAsia" w:ascii="宋体" w:hAnsi="宋体" w:eastAsia="宋体" w:cs="宋体"/>
          <w:bCs/>
          <w:color w:val="auto"/>
          <w:sz w:val="21"/>
          <w:szCs w:val="21"/>
          <w:highlight w:val="none"/>
        </w:rPr>
      </w:pPr>
    </w:p>
    <w:p w14:paraId="248AC8C8">
      <w:pPr>
        <w:snapToGrid w:val="0"/>
        <w:spacing w:before="120" w:beforeLines="50" w:after="50" w:line="400" w:lineRule="exact"/>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项目名称： </w:t>
      </w:r>
    </w:p>
    <w:p w14:paraId="6F6FC896">
      <w:pPr>
        <w:snapToGrid w:val="0"/>
        <w:spacing w:before="120" w:beforeLines="50" w:after="50" w:line="400" w:lineRule="exact"/>
        <w:ind w:firstLine="315" w:firstLineChars="150"/>
        <w:rPr>
          <w:rFonts w:hint="eastAsia" w:ascii="宋体" w:hAnsi="宋体" w:eastAsia="宋体" w:cs="宋体"/>
          <w:bCs/>
          <w:color w:val="auto"/>
          <w:sz w:val="21"/>
          <w:szCs w:val="21"/>
          <w:highlight w:val="none"/>
        </w:rPr>
      </w:pPr>
    </w:p>
    <w:p w14:paraId="3F91F433">
      <w:pPr>
        <w:snapToGrid w:val="0"/>
        <w:spacing w:before="120" w:beforeLines="50" w:after="50" w:line="400" w:lineRule="exact"/>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项目编号： </w:t>
      </w:r>
    </w:p>
    <w:p w14:paraId="6FFB1581">
      <w:pPr>
        <w:snapToGrid w:val="0"/>
        <w:spacing w:before="120" w:beforeLines="50" w:after="50" w:line="400" w:lineRule="exact"/>
        <w:ind w:firstLine="315" w:firstLineChars="150"/>
        <w:rPr>
          <w:rFonts w:hint="eastAsia" w:ascii="宋体" w:hAnsi="宋体" w:eastAsia="宋体" w:cs="宋体"/>
          <w:bCs/>
          <w:color w:val="auto"/>
          <w:sz w:val="21"/>
          <w:szCs w:val="21"/>
          <w:highlight w:val="none"/>
        </w:rPr>
      </w:pPr>
    </w:p>
    <w:p w14:paraId="3A2EBBF7">
      <w:pPr>
        <w:snapToGrid w:val="0"/>
        <w:spacing w:before="120" w:beforeLines="50" w:after="50" w:line="400" w:lineRule="exact"/>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所投分标：</w:t>
      </w:r>
    </w:p>
    <w:p w14:paraId="1DC2F127">
      <w:pPr>
        <w:snapToGrid w:val="0"/>
        <w:spacing w:before="120" w:beforeLines="50" w:after="50" w:line="400" w:lineRule="exact"/>
        <w:ind w:firstLine="315" w:firstLineChars="150"/>
        <w:rPr>
          <w:rFonts w:hint="eastAsia" w:ascii="宋体" w:hAnsi="宋体" w:eastAsia="宋体" w:cs="宋体"/>
          <w:bCs/>
          <w:color w:val="auto"/>
          <w:sz w:val="21"/>
          <w:szCs w:val="21"/>
          <w:highlight w:val="none"/>
        </w:rPr>
      </w:pPr>
    </w:p>
    <w:p w14:paraId="5777DD55">
      <w:pPr>
        <w:snapToGrid w:val="0"/>
        <w:spacing w:before="120" w:beforeLines="50" w:after="50" w:line="400" w:lineRule="exact"/>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投标人名称：</w:t>
      </w:r>
    </w:p>
    <w:p w14:paraId="21020DCB">
      <w:pPr>
        <w:snapToGrid w:val="0"/>
        <w:spacing w:before="120" w:beforeLines="50" w:after="50" w:line="400" w:lineRule="exact"/>
        <w:ind w:firstLine="315" w:firstLineChars="150"/>
        <w:rPr>
          <w:rFonts w:hint="eastAsia" w:ascii="宋体" w:hAnsi="宋体" w:eastAsia="宋体" w:cs="宋体"/>
          <w:bCs/>
          <w:color w:val="auto"/>
          <w:sz w:val="21"/>
          <w:szCs w:val="21"/>
          <w:highlight w:val="none"/>
        </w:rPr>
      </w:pPr>
    </w:p>
    <w:p w14:paraId="27396E0A">
      <w:pPr>
        <w:snapToGrid w:val="0"/>
        <w:spacing w:before="120" w:beforeLines="50" w:after="50" w:line="400" w:lineRule="exact"/>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投标人地址：</w:t>
      </w:r>
    </w:p>
    <w:p w14:paraId="0CBE95E7">
      <w:pPr>
        <w:pStyle w:val="7"/>
        <w:snapToGrid w:val="0"/>
        <w:spacing w:before="50" w:after="50" w:line="400" w:lineRule="exact"/>
        <w:ind w:firstLine="840" w:firstLineChars="400"/>
        <w:rPr>
          <w:rFonts w:hint="eastAsia" w:ascii="宋体" w:hAnsi="宋体" w:eastAsia="宋体" w:cs="宋体"/>
          <w:bCs/>
          <w:color w:val="auto"/>
          <w:sz w:val="21"/>
          <w:szCs w:val="21"/>
          <w:highlight w:val="none"/>
        </w:rPr>
      </w:pPr>
    </w:p>
    <w:p w14:paraId="73ED6B2D">
      <w:pPr>
        <w:snapToGrid w:val="0"/>
        <w:spacing w:before="120" w:beforeLines="50" w:after="5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5297344B">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2.</w:t>
      </w:r>
      <w:r>
        <w:rPr>
          <w:rFonts w:hint="eastAsia" w:ascii="宋体" w:hAnsi="宋体" w:eastAsia="宋体" w:cs="宋体"/>
          <w:b/>
          <w:bCs/>
          <w:color w:val="auto"/>
          <w:sz w:val="21"/>
          <w:szCs w:val="21"/>
          <w:highlight w:val="none"/>
        </w:rPr>
        <w:t>报价文件目录</w:t>
      </w:r>
    </w:p>
    <w:p w14:paraId="5F98B21A">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根据招标文件规定及投标人提供的材料自行编写目录。</w:t>
      </w:r>
    </w:p>
    <w:p w14:paraId="33128A30">
      <w:pPr>
        <w:snapToGrid w:val="0"/>
        <w:spacing w:before="120" w:beforeLines="50" w:after="50"/>
        <w:rPr>
          <w:rFonts w:hint="eastAsia" w:ascii="宋体" w:hAnsi="宋体" w:eastAsia="宋体" w:cs="宋体"/>
          <w:b/>
          <w:color w:val="auto"/>
          <w:sz w:val="21"/>
          <w:szCs w:val="21"/>
          <w:highlight w:val="none"/>
        </w:rPr>
      </w:pPr>
    </w:p>
    <w:p w14:paraId="2F2FC02B">
      <w:pPr>
        <w:snapToGrid w:val="0"/>
        <w:spacing w:before="120" w:beforeLines="50" w:after="50"/>
        <w:rPr>
          <w:rFonts w:hint="eastAsia" w:ascii="宋体" w:hAnsi="宋体" w:eastAsia="宋体" w:cs="宋体"/>
          <w:b/>
          <w:color w:val="auto"/>
          <w:sz w:val="21"/>
          <w:szCs w:val="21"/>
          <w:highlight w:val="none"/>
        </w:rPr>
      </w:pPr>
    </w:p>
    <w:p w14:paraId="44F60D3E">
      <w:pPr>
        <w:snapToGrid w:val="0"/>
        <w:spacing w:before="120" w:beforeLines="50" w:after="50"/>
        <w:rPr>
          <w:rFonts w:hint="eastAsia" w:ascii="宋体" w:hAnsi="宋体" w:eastAsia="宋体" w:cs="宋体"/>
          <w:b/>
          <w:color w:val="auto"/>
          <w:sz w:val="21"/>
          <w:szCs w:val="21"/>
          <w:highlight w:val="none"/>
        </w:rPr>
      </w:pPr>
    </w:p>
    <w:p w14:paraId="2AC277ED">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投标函格式</w:t>
      </w:r>
    </w:p>
    <w:p w14:paraId="30C991B3">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投标函</w:t>
      </w:r>
    </w:p>
    <w:p w14:paraId="5ECBDF15">
      <w:pPr>
        <w:keepNext w:val="0"/>
        <w:keepLines w:val="0"/>
        <w:pageBreakBefore w:val="0"/>
        <w:widowControl w:val="0"/>
        <w:kinsoku/>
        <w:wordWrap/>
        <w:overflowPunct/>
        <w:topLinePunct w:val="0"/>
        <w:autoSpaceDE/>
        <w:autoSpaceDN/>
        <w:bidi w:val="0"/>
        <w:adjustRightInd/>
        <w:spacing w:line="400" w:lineRule="exact"/>
        <w:ind w:left="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采购人名称</w:t>
      </w:r>
    </w:p>
    <w:p w14:paraId="2CC3B499">
      <w:pPr>
        <w:keepNext w:val="0"/>
        <w:keepLines w:val="0"/>
        <w:pageBreakBefore w:val="0"/>
        <w:widowControl w:val="0"/>
        <w:kinsoku/>
        <w:wordWrap/>
        <w:overflowPunct/>
        <w:topLinePunct w:val="0"/>
        <w:autoSpaceDE/>
        <w:autoSpaceDN/>
        <w:bidi w:val="0"/>
        <w:adjustRightInd/>
        <w:spacing w:line="400" w:lineRule="exact"/>
        <w:ind w:left="0" w:firstLine="48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）的招标公告，签字代表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（姓名）经正式授权并代表投标人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（投标人名称）提交</w:t>
      </w:r>
      <w:r>
        <w:rPr>
          <w:rFonts w:hint="eastAsia" w:ascii="宋体" w:hAnsi="宋体" w:eastAsia="宋体" w:cs="宋体"/>
          <w:color w:val="auto"/>
          <w:sz w:val="21"/>
          <w:szCs w:val="21"/>
          <w:highlight w:val="none"/>
          <w:u w:val="none"/>
          <w:lang w:val="en-US" w:eastAsia="zh-CN"/>
        </w:rPr>
        <w:t>的</w:t>
      </w:r>
      <w:r>
        <w:rPr>
          <w:rFonts w:hint="eastAsia" w:ascii="宋体" w:hAnsi="宋体" w:eastAsia="宋体" w:cs="宋体"/>
          <w:color w:val="auto"/>
          <w:sz w:val="21"/>
          <w:szCs w:val="21"/>
          <w:highlight w:val="none"/>
        </w:rPr>
        <w:t>投标文件。</w:t>
      </w:r>
    </w:p>
    <w:p w14:paraId="60D5D3E1">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据此函，我方宣布同意如下：</w:t>
      </w:r>
    </w:p>
    <w:p w14:paraId="786C3E08">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49DD8F96">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2.我方在投标之前已经完全理解并接受招标文件的各项规定和要求，对招标文件的合理性、合法性不再有异议。</w:t>
      </w:r>
    </w:p>
    <w:p w14:paraId="31B34A76">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3.本投标有效期自投标截止之日起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E85DD67">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4.如中标，本投标文件至本项目合同履行完毕止均保持有效，我方将按“招标文件”及政府采购法律、法规的规定履行合同责任和义务。</w:t>
      </w:r>
    </w:p>
    <w:p w14:paraId="32E8C649">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5.我方同意按照贵方要求提供与投标有关的一切数据或者资料。</w:t>
      </w:r>
    </w:p>
    <w:p w14:paraId="06AC1F4B">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6.我方向贵方提交的所有投标文件、资料都是准确的和真实的。</w:t>
      </w:r>
    </w:p>
    <w:p w14:paraId="180087A6">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7.以上事项如有虚假或者隐瞒，我方愿意承担一切后果，并不再寻求任何旨在减轻或者免除法律责任的辩解。</w:t>
      </w:r>
    </w:p>
    <w:p w14:paraId="35FD25AD">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16D351F7">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□我方本次投标文件</w:t>
      </w:r>
      <w:r>
        <w:rPr>
          <w:rFonts w:hint="eastAsia" w:ascii="宋体" w:hAnsi="宋体" w:eastAsia="宋体" w:cs="宋体"/>
          <w:color w:val="auto"/>
          <w:kern w:val="0"/>
          <w:sz w:val="21"/>
          <w:szCs w:val="21"/>
          <w:highlight w:val="none"/>
        </w:rPr>
        <w:t>内容中</w:t>
      </w:r>
      <w:r>
        <w:rPr>
          <w:rFonts w:hint="eastAsia" w:ascii="宋体" w:hAnsi="宋体" w:eastAsia="宋体" w:cs="宋体"/>
          <w:color w:val="auto"/>
          <w:sz w:val="21"/>
          <w:szCs w:val="21"/>
          <w:highlight w:val="none"/>
        </w:rPr>
        <w:t>未</w:t>
      </w:r>
      <w:r>
        <w:rPr>
          <w:rFonts w:hint="eastAsia" w:ascii="宋体" w:hAnsi="宋体" w:eastAsia="宋体" w:cs="宋体"/>
          <w:color w:val="auto"/>
          <w:kern w:val="0"/>
          <w:sz w:val="21"/>
          <w:szCs w:val="21"/>
          <w:highlight w:val="none"/>
        </w:rPr>
        <w:t>涉及商业秘密；</w:t>
      </w:r>
    </w:p>
    <w:p w14:paraId="2E2CBA6A">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□我方本次投标文件</w:t>
      </w:r>
      <w:r>
        <w:rPr>
          <w:rFonts w:hint="eastAsia" w:ascii="宋体" w:hAnsi="宋体" w:eastAsia="宋体" w:cs="宋体"/>
          <w:color w:val="auto"/>
          <w:kern w:val="0"/>
          <w:sz w:val="21"/>
          <w:szCs w:val="21"/>
          <w:highlight w:val="none"/>
        </w:rPr>
        <w:t>涉及商业秘密的内容有：</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4CFABEE">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9.与本投标有关的一切正式往来信函请寄：</w:t>
      </w:r>
    </w:p>
    <w:p w14:paraId="4773E5D2">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single"/>
        </w:rPr>
        <w:t xml:space="preserve">            </w:t>
      </w:r>
    </w:p>
    <w:p w14:paraId="3B7BE533">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77246705">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507D9765">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银行账号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5B1BBD5">
      <w:pPr>
        <w:keepNext w:val="0"/>
        <w:keepLines w:val="0"/>
        <w:pageBreakBefore w:val="0"/>
        <w:widowControl w:val="0"/>
        <w:kinsoku/>
        <w:wordWrap/>
        <w:overflowPunct/>
        <w:topLinePunct w:val="0"/>
        <w:autoSpaceDE/>
        <w:autoSpaceDN/>
        <w:bidi w:val="0"/>
        <w:adjustRightInd/>
        <w:spacing w:line="400" w:lineRule="exact"/>
        <w:ind w:lef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法定代表人或者委托代理人（签字或者电子签名）</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4FEAF73D">
      <w:pPr>
        <w:pStyle w:val="25"/>
        <w:keepNext w:val="0"/>
        <w:keepLines w:val="0"/>
        <w:pageBreakBefore w:val="0"/>
        <w:widowControl w:val="0"/>
        <w:kinsoku/>
        <w:wordWrap/>
        <w:overflowPunct/>
        <w:topLinePunct w:val="0"/>
        <w:autoSpaceDE/>
        <w:autoSpaceDN/>
        <w:bidi w:val="0"/>
        <w:adjustRightInd/>
        <w:spacing w:line="400" w:lineRule="exact"/>
        <w:ind w:left="0"/>
        <w:contextualSpacing/>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投标人名称（电子签章）：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E74C50C">
      <w:pPr>
        <w:pStyle w:val="25"/>
        <w:keepNext w:val="0"/>
        <w:keepLines w:val="0"/>
        <w:pageBreakBefore w:val="0"/>
        <w:widowControl w:val="0"/>
        <w:kinsoku/>
        <w:wordWrap/>
        <w:overflowPunct/>
        <w:topLinePunct w:val="0"/>
        <w:autoSpaceDE/>
        <w:autoSpaceDN/>
        <w:bidi w:val="0"/>
        <w:adjustRightInd/>
        <w:spacing w:line="400" w:lineRule="exact"/>
        <w:ind w:left="0" w:firstLine="4410" w:firstLineChars="21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37DBB94">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u w:val="single"/>
        </w:rPr>
        <w:br w:type="page"/>
      </w:r>
      <w:r>
        <w:rPr>
          <w:rFonts w:hint="eastAsia" w:ascii="宋体" w:hAnsi="宋体" w:eastAsia="宋体" w:cs="宋体"/>
          <w:b/>
          <w:color w:val="auto"/>
          <w:sz w:val="21"/>
          <w:szCs w:val="21"/>
          <w:highlight w:val="none"/>
        </w:rPr>
        <w:t>4.</w:t>
      </w:r>
      <w:r>
        <w:rPr>
          <w:rFonts w:hint="eastAsia" w:ascii="宋体" w:hAnsi="宋体" w:eastAsia="宋体" w:cs="宋体"/>
          <w:b/>
          <w:color w:val="auto"/>
          <w:sz w:val="21"/>
          <w:szCs w:val="21"/>
          <w:highlight w:val="none"/>
          <w:lang w:val="en-US" w:eastAsia="zh-CN"/>
        </w:rPr>
        <w:t>开标一览表格式</w:t>
      </w:r>
    </w:p>
    <w:p w14:paraId="7D8321B8">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jc w:val="center"/>
        <w:textAlignment w:val="auto"/>
        <w:outlineLvl w:val="9"/>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开标一览</w:t>
      </w:r>
      <w:r>
        <w:rPr>
          <w:rFonts w:hint="eastAsia" w:ascii="宋体" w:hAnsi="宋体" w:eastAsia="宋体" w:cs="宋体"/>
          <w:b/>
          <w:bCs w:val="0"/>
          <w:color w:val="auto"/>
          <w:sz w:val="21"/>
          <w:szCs w:val="21"/>
          <w:highlight w:val="none"/>
        </w:rPr>
        <w:t>表</w:t>
      </w:r>
    </w:p>
    <w:p w14:paraId="107CB00A">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jc w:val="center"/>
        <w:textAlignment w:val="auto"/>
        <w:outlineLvl w:val="9"/>
        <w:rPr>
          <w:rFonts w:hint="eastAsia" w:ascii="宋体" w:hAnsi="宋体" w:eastAsia="宋体" w:cs="宋体"/>
          <w:b/>
          <w:color w:val="auto"/>
          <w:sz w:val="21"/>
          <w:szCs w:val="21"/>
          <w:highlight w:val="none"/>
        </w:rPr>
      </w:pPr>
    </w:p>
    <w:p w14:paraId="07AA3A6B">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分标：</w:t>
      </w:r>
      <w:r>
        <w:rPr>
          <w:rFonts w:hint="eastAsia" w:ascii="宋体" w:hAnsi="宋体" w:eastAsia="宋体" w:cs="宋体"/>
          <w:color w:val="auto"/>
          <w:sz w:val="21"/>
          <w:szCs w:val="21"/>
          <w:highlight w:val="none"/>
          <w:u w:val="single"/>
        </w:rPr>
        <w:t xml:space="preserve">     </w:t>
      </w:r>
    </w:p>
    <w:p w14:paraId="285A708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单位：元</w:t>
      </w:r>
    </w:p>
    <w:tbl>
      <w:tblPr>
        <w:tblStyle w:val="48"/>
        <w:tblW w:w="95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2"/>
        <w:gridCol w:w="1636"/>
        <w:gridCol w:w="739"/>
        <w:gridCol w:w="1243"/>
        <w:gridCol w:w="1037"/>
        <w:gridCol w:w="1089"/>
        <w:gridCol w:w="732"/>
        <w:gridCol w:w="1229"/>
        <w:gridCol w:w="1146"/>
      </w:tblGrid>
      <w:tr w14:paraId="49220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7"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22473FFF">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序号</w:t>
            </w:r>
          </w:p>
        </w:tc>
        <w:tc>
          <w:tcPr>
            <w:tcW w:w="1636" w:type="dxa"/>
            <w:tcBorders>
              <w:top w:val="single" w:color="auto" w:sz="4" w:space="0"/>
              <w:left w:val="single" w:color="auto" w:sz="4" w:space="0"/>
              <w:bottom w:val="single" w:color="auto" w:sz="4" w:space="0"/>
              <w:right w:val="single" w:color="auto" w:sz="4" w:space="0"/>
            </w:tcBorders>
            <w:vAlign w:val="center"/>
          </w:tcPr>
          <w:p w14:paraId="15A1E87A">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标的名称</w:t>
            </w:r>
          </w:p>
          <w:p w14:paraId="5227AF6B">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（货物名称）</w:t>
            </w:r>
          </w:p>
        </w:tc>
        <w:tc>
          <w:tcPr>
            <w:tcW w:w="739" w:type="dxa"/>
            <w:tcBorders>
              <w:top w:val="single" w:color="auto" w:sz="4" w:space="0"/>
              <w:left w:val="single" w:color="auto" w:sz="4" w:space="0"/>
              <w:bottom w:val="single" w:color="auto" w:sz="4" w:space="0"/>
              <w:right w:val="single" w:color="auto" w:sz="4" w:space="0"/>
            </w:tcBorders>
            <w:vAlign w:val="center"/>
          </w:tcPr>
          <w:p w14:paraId="78B49572">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w:t>
            </w:r>
          </w:p>
        </w:tc>
        <w:tc>
          <w:tcPr>
            <w:tcW w:w="1243" w:type="dxa"/>
            <w:tcBorders>
              <w:top w:val="single" w:color="auto" w:sz="4" w:space="0"/>
              <w:left w:val="single" w:color="auto" w:sz="4" w:space="0"/>
              <w:bottom w:val="single" w:color="auto" w:sz="4" w:space="0"/>
              <w:right w:val="single" w:color="auto" w:sz="4" w:space="0"/>
            </w:tcBorders>
            <w:vAlign w:val="center"/>
          </w:tcPr>
          <w:p w14:paraId="41D1A5AD">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规格型号</w:t>
            </w:r>
          </w:p>
        </w:tc>
        <w:tc>
          <w:tcPr>
            <w:tcW w:w="1037" w:type="dxa"/>
            <w:tcBorders>
              <w:top w:val="single" w:color="auto" w:sz="4" w:space="0"/>
              <w:left w:val="single" w:color="auto" w:sz="4" w:space="0"/>
              <w:bottom w:val="single" w:color="auto" w:sz="4" w:space="0"/>
              <w:right w:val="single" w:color="auto" w:sz="4" w:space="0"/>
            </w:tcBorders>
            <w:vAlign w:val="center"/>
          </w:tcPr>
          <w:p w14:paraId="5B666241">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制造商</w:t>
            </w:r>
          </w:p>
        </w:tc>
        <w:tc>
          <w:tcPr>
            <w:tcW w:w="1089" w:type="dxa"/>
            <w:tcBorders>
              <w:top w:val="single" w:color="auto" w:sz="4" w:space="0"/>
              <w:left w:val="single" w:color="auto" w:sz="4" w:space="0"/>
              <w:bottom w:val="single" w:color="auto" w:sz="4" w:space="0"/>
              <w:right w:val="single" w:color="auto" w:sz="4" w:space="0"/>
            </w:tcBorders>
            <w:vAlign w:val="center"/>
          </w:tcPr>
          <w:p w14:paraId="70C3F05C">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数量及单位</w:t>
            </w:r>
            <w:r>
              <w:rPr>
                <w:rFonts w:hint="eastAsia" w:ascii="宋体" w:hAnsi="宋体" w:eastAsia="宋体" w:cs="宋体"/>
                <w:b/>
                <w:color w:val="auto"/>
                <w:sz w:val="21"/>
                <w:szCs w:val="21"/>
                <w:highlight w:val="none"/>
              </w:rPr>
              <w:t>①</w:t>
            </w:r>
          </w:p>
        </w:tc>
        <w:tc>
          <w:tcPr>
            <w:tcW w:w="732" w:type="dxa"/>
            <w:tcBorders>
              <w:top w:val="single" w:color="auto" w:sz="4" w:space="0"/>
              <w:left w:val="single" w:color="auto" w:sz="4" w:space="0"/>
              <w:bottom w:val="single" w:color="auto" w:sz="4" w:space="0"/>
              <w:right w:val="single" w:color="auto" w:sz="4" w:space="0"/>
            </w:tcBorders>
            <w:vAlign w:val="center"/>
          </w:tcPr>
          <w:p w14:paraId="05BFCB8A">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p>
          <w:p w14:paraId="399121A2">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②</w:t>
            </w:r>
          </w:p>
        </w:tc>
        <w:tc>
          <w:tcPr>
            <w:tcW w:w="1229" w:type="dxa"/>
            <w:tcBorders>
              <w:top w:val="single" w:color="auto" w:sz="4" w:space="0"/>
              <w:left w:val="single" w:color="auto" w:sz="4" w:space="0"/>
              <w:bottom w:val="single" w:color="auto" w:sz="4" w:space="0"/>
              <w:right w:val="single" w:color="auto" w:sz="4" w:space="0"/>
            </w:tcBorders>
            <w:vAlign w:val="center"/>
          </w:tcPr>
          <w:p w14:paraId="27149C73">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w:t>
            </w:r>
          </w:p>
          <w:p w14:paraId="5BA9B57B">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③=①×②</w:t>
            </w:r>
          </w:p>
        </w:tc>
        <w:tc>
          <w:tcPr>
            <w:tcW w:w="1146" w:type="dxa"/>
            <w:tcBorders>
              <w:top w:val="single" w:color="auto" w:sz="4" w:space="0"/>
              <w:left w:val="single" w:color="auto" w:sz="4" w:space="0"/>
              <w:bottom w:val="single" w:color="auto" w:sz="4" w:space="0"/>
              <w:right w:val="single" w:color="auto" w:sz="4" w:space="0"/>
            </w:tcBorders>
            <w:vAlign w:val="center"/>
          </w:tcPr>
          <w:p w14:paraId="4309F2B9">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default"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是否本国产品</w:t>
            </w:r>
          </w:p>
        </w:tc>
      </w:tr>
      <w:tr w14:paraId="46F6F5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34B46E07">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36" w:type="dxa"/>
            <w:tcBorders>
              <w:top w:val="single" w:color="auto" w:sz="4" w:space="0"/>
              <w:left w:val="single" w:color="auto" w:sz="4" w:space="0"/>
              <w:bottom w:val="single" w:color="auto" w:sz="4" w:space="0"/>
              <w:right w:val="single" w:color="auto" w:sz="4" w:space="0"/>
            </w:tcBorders>
            <w:vAlign w:val="center"/>
          </w:tcPr>
          <w:p w14:paraId="02B55D82">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kern w:val="0"/>
                <w:sz w:val="21"/>
                <w:szCs w:val="21"/>
                <w:highlight w:val="none"/>
              </w:rPr>
            </w:pPr>
          </w:p>
        </w:tc>
        <w:tc>
          <w:tcPr>
            <w:tcW w:w="739" w:type="dxa"/>
            <w:tcBorders>
              <w:top w:val="single" w:color="auto" w:sz="4" w:space="0"/>
              <w:left w:val="single" w:color="auto" w:sz="4" w:space="0"/>
              <w:bottom w:val="single" w:color="auto" w:sz="4" w:space="0"/>
              <w:right w:val="single" w:color="auto" w:sz="4" w:space="0"/>
            </w:tcBorders>
            <w:vAlign w:val="center"/>
          </w:tcPr>
          <w:p w14:paraId="5D8C1B1E">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kern w:val="0"/>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0E22214D">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b/>
                <w:color w:val="auto"/>
                <w:sz w:val="21"/>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5F40DF3B">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34DE6530">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732" w:type="dxa"/>
            <w:tcBorders>
              <w:top w:val="single" w:color="auto" w:sz="4" w:space="0"/>
              <w:left w:val="single" w:color="auto" w:sz="4" w:space="0"/>
              <w:bottom w:val="single" w:color="auto" w:sz="4" w:space="0"/>
              <w:right w:val="single" w:color="auto" w:sz="4" w:space="0"/>
            </w:tcBorders>
            <w:vAlign w:val="center"/>
          </w:tcPr>
          <w:p w14:paraId="2C20DA36">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1229" w:type="dxa"/>
            <w:tcBorders>
              <w:top w:val="single" w:color="auto" w:sz="4" w:space="0"/>
              <w:left w:val="single" w:color="auto" w:sz="4" w:space="0"/>
              <w:bottom w:val="single" w:color="auto" w:sz="4" w:space="0"/>
              <w:right w:val="single" w:color="auto" w:sz="4" w:space="0"/>
            </w:tcBorders>
            <w:vAlign w:val="center"/>
          </w:tcPr>
          <w:p w14:paraId="765700E6">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14:paraId="0908C42A">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r>
      <w:tr w14:paraId="31733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084B616F">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1636" w:type="dxa"/>
            <w:tcBorders>
              <w:top w:val="single" w:color="auto" w:sz="4" w:space="0"/>
              <w:left w:val="single" w:color="auto" w:sz="4" w:space="0"/>
              <w:bottom w:val="single" w:color="auto" w:sz="4" w:space="0"/>
              <w:right w:val="single" w:color="auto" w:sz="4" w:space="0"/>
            </w:tcBorders>
            <w:vAlign w:val="center"/>
          </w:tcPr>
          <w:p w14:paraId="4B5700B9">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kern w:val="0"/>
                <w:sz w:val="21"/>
                <w:szCs w:val="21"/>
                <w:highlight w:val="none"/>
              </w:rPr>
            </w:pPr>
          </w:p>
        </w:tc>
        <w:tc>
          <w:tcPr>
            <w:tcW w:w="739" w:type="dxa"/>
            <w:tcBorders>
              <w:top w:val="single" w:color="auto" w:sz="4" w:space="0"/>
              <w:left w:val="single" w:color="auto" w:sz="4" w:space="0"/>
              <w:bottom w:val="single" w:color="auto" w:sz="4" w:space="0"/>
              <w:right w:val="single" w:color="auto" w:sz="4" w:space="0"/>
            </w:tcBorders>
            <w:vAlign w:val="center"/>
          </w:tcPr>
          <w:p w14:paraId="71E63DCD">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kern w:val="0"/>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6FE0DDD9">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b/>
                <w:color w:val="auto"/>
                <w:sz w:val="21"/>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3C51DFBF">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351EC289">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732" w:type="dxa"/>
            <w:tcBorders>
              <w:top w:val="single" w:color="auto" w:sz="4" w:space="0"/>
              <w:left w:val="single" w:color="auto" w:sz="4" w:space="0"/>
              <w:bottom w:val="single" w:color="auto" w:sz="4" w:space="0"/>
              <w:right w:val="single" w:color="auto" w:sz="4" w:space="0"/>
            </w:tcBorders>
            <w:vAlign w:val="center"/>
          </w:tcPr>
          <w:p w14:paraId="153D8CEF">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1229" w:type="dxa"/>
            <w:tcBorders>
              <w:top w:val="single" w:color="auto" w:sz="4" w:space="0"/>
              <w:left w:val="single" w:color="auto" w:sz="4" w:space="0"/>
              <w:bottom w:val="single" w:color="auto" w:sz="4" w:space="0"/>
              <w:right w:val="single" w:color="auto" w:sz="4" w:space="0"/>
            </w:tcBorders>
            <w:vAlign w:val="center"/>
          </w:tcPr>
          <w:p w14:paraId="06836913">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14:paraId="7F1612B3">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r>
      <w:tr w14:paraId="195E8E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6EF6C548">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1636" w:type="dxa"/>
            <w:tcBorders>
              <w:top w:val="single" w:color="auto" w:sz="4" w:space="0"/>
              <w:left w:val="single" w:color="auto" w:sz="4" w:space="0"/>
              <w:bottom w:val="single" w:color="auto" w:sz="4" w:space="0"/>
              <w:right w:val="single" w:color="auto" w:sz="4" w:space="0"/>
            </w:tcBorders>
            <w:vAlign w:val="center"/>
          </w:tcPr>
          <w:p w14:paraId="58F3589E">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kern w:val="0"/>
                <w:sz w:val="21"/>
                <w:szCs w:val="21"/>
                <w:highlight w:val="none"/>
              </w:rPr>
            </w:pPr>
          </w:p>
        </w:tc>
        <w:tc>
          <w:tcPr>
            <w:tcW w:w="739" w:type="dxa"/>
            <w:tcBorders>
              <w:top w:val="single" w:color="auto" w:sz="4" w:space="0"/>
              <w:left w:val="single" w:color="auto" w:sz="4" w:space="0"/>
              <w:bottom w:val="single" w:color="auto" w:sz="4" w:space="0"/>
              <w:right w:val="single" w:color="auto" w:sz="4" w:space="0"/>
            </w:tcBorders>
            <w:vAlign w:val="center"/>
          </w:tcPr>
          <w:p w14:paraId="46862ED7">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kern w:val="0"/>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298F97F0">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b/>
                <w:color w:val="auto"/>
                <w:sz w:val="21"/>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03582D86">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202CA7D1">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732" w:type="dxa"/>
            <w:tcBorders>
              <w:top w:val="single" w:color="auto" w:sz="4" w:space="0"/>
              <w:left w:val="single" w:color="auto" w:sz="4" w:space="0"/>
              <w:bottom w:val="single" w:color="auto" w:sz="4" w:space="0"/>
              <w:right w:val="single" w:color="auto" w:sz="4" w:space="0"/>
            </w:tcBorders>
            <w:vAlign w:val="center"/>
          </w:tcPr>
          <w:p w14:paraId="7477995C">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1229" w:type="dxa"/>
            <w:tcBorders>
              <w:top w:val="single" w:color="auto" w:sz="4" w:space="0"/>
              <w:left w:val="single" w:color="auto" w:sz="4" w:space="0"/>
              <w:bottom w:val="single" w:color="auto" w:sz="4" w:space="0"/>
              <w:right w:val="single" w:color="auto" w:sz="4" w:space="0"/>
            </w:tcBorders>
            <w:vAlign w:val="center"/>
          </w:tcPr>
          <w:p w14:paraId="59ABFC4E">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14:paraId="2F724147">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p>
        </w:tc>
      </w:tr>
      <w:tr w14:paraId="6AE964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553" w:type="dxa"/>
            <w:gridSpan w:val="9"/>
            <w:tcBorders>
              <w:top w:val="single" w:color="auto" w:sz="4" w:space="0"/>
              <w:left w:val="single" w:color="auto" w:sz="4" w:space="0"/>
              <w:bottom w:val="single" w:color="auto" w:sz="4" w:space="0"/>
              <w:right w:val="single" w:color="auto" w:sz="4" w:space="0"/>
            </w:tcBorders>
            <w:vAlign w:val="center"/>
          </w:tcPr>
          <w:p w14:paraId="45486F26">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合计总金额</w:t>
            </w:r>
            <w:r>
              <w:rPr>
                <w:rFonts w:hint="eastAsia" w:ascii="宋体" w:hAnsi="宋体" w:eastAsia="宋体" w:cs="宋体"/>
                <w:color w:val="auto"/>
                <w:spacing w:val="20"/>
                <w:sz w:val="21"/>
                <w:szCs w:val="21"/>
                <w:highlight w:val="none"/>
              </w:rPr>
              <w:t>（</w:t>
            </w:r>
            <w:r>
              <w:rPr>
                <w:rFonts w:hint="eastAsia" w:ascii="宋体" w:hAnsi="宋体" w:eastAsia="宋体" w:cs="宋体"/>
                <w:color w:val="auto"/>
                <w:sz w:val="21"/>
                <w:szCs w:val="21"/>
                <w:highlight w:val="none"/>
              </w:rPr>
              <w:t>大写）：</w:t>
            </w:r>
            <w:r>
              <w:rPr>
                <w:rFonts w:hint="eastAsia" w:ascii="宋体" w:hAnsi="宋体" w:eastAsia="宋体" w:cs="宋体"/>
                <w:color w:val="auto"/>
                <w:spacing w:val="20"/>
                <w:sz w:val="21"/>
                <w:szCs w:val="21"/>
                <w:highlight w:val="none"/>
                <w:u w:val="single"/>
              </w:rPr>
              <w:t>人民币</w:t>
            </w:r>
            <w:r>
              <w:rPr>
                <w:rFonts w:hint="eastAsia" w:ascii="宋体" w:hAnsi="宋体" w:eastAsia="宋体" w:cs="宋体"/>
                <w:color w:val="auto"/>
                <w:sz w:val="21"/>
                <w:szCs w:val="21"/>
                <w:highlight w:val="none"/>
                <w:u w:val="single"/>
              </w:rPr>
              <w:t xml:space="preserve">                     元整</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pacing w:val="20"/>
                <w:sz w:val="21"/>
                <w:szCs w:val="21"/>
                <w:highlight w:val="none"/>
              </w:rPr>
              <w:t>）</w:t>
            </w:r>
          </w:p>
        </w:tc>
      </w:tr>
      <w:tr w14:paraId="5E674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553" w:type="dxa"/>
            <w:gridSpan w:val="9"/>
            <w:tcBorders>
              <w:top w:val="single" w:color="auto" w:sz="4" w:space="0"/>
              <w:left w:val="single" w:color="auto" w:sz="4" w:space="0"/>
              <w:bottom w:val="single" w:color="auto" w:sz="4" w:space="0"/>
              <w:right w:val="single" w:color="auto" w:sz="4" w:space="0"/>
            </w:tcBorders>
            <w:vAlign w:val="center"/>
          </w:tcPr>
          <w:p w14:paraId="0E213F94">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交货时间：</w:t>
            </w:r>
          </w:p>
        </w:tc>
      </w:tr>
    </w:tbl>
    <w:p w14:paraId="79AA883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z w:val="21"/>
          <w:szCs w:val="21"/>
          <w:highlight w:val="none"/>
        </w:rPr>
      </w:pPr>
    </w:p>
    <w:p w14:paraId="3157A48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w:t>
      </w:r>
    </w:p>
    <w:p w14:paraId="2D06B449">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报价一经涂改，应在涂改处加盖投标人公章或者加盖电子签章或者由法定代表人或者委托代理人签字（或者电子签名）</w:t>
      </w:r>
      <w:r>
        <w:rPr>
          <w:rFonts w:hint="eastAsia" w:ascii="宋体" w:hAnsi="宋体" w:eastAsia="宋体" w:cs="宋体"/>
          <w:b/>
          <w:color w:val="auto"/>
          <w:sz w:val="21"/>
          <w:szCs w:val="21"/>
          <w:highlight w:val="none"/>
        </w:rPr>
        <w:t>，否则其投标作无效标处理。</w:t>
      </w:r>
    </w:p>
    <w:p w14:paraId="3E8B7F3C">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rPr>
        <w:t>报价一经涂改，应在涂改处加盖投标人公章或者由法定代表人或者委托代理人签字或者盖章</w:t>
      </w:r>
      <w:r>
        <w:rPr>
          <w:rFonts w:hint="eastAsia" w:ascii="宋体" w:hAnsi="宋体" w:eastAsia="宋体" w:cs="宋体"/>
          <w:b/>
          <w:color w:val="auto"/>
          <w:sz w:val="21"/>
          <w:szCs w:val="21"/>
          <w:highlight w:val="none"/>
        </w:rPr>
        <w:t>，否则其投标作无效标处理。</w:t>
      </w:r>
    </w:p>
    <w:p w14:paraId="1E2831A7">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招标文件中列明采购专用耗材的，应按招标文件规定的耗材量或者按耗材的常规试用量提供报价。</w:t>
      </w:r>
    </w:p>
    <w:p w14:paraId="54E37CD7">
      <w:pPr>
        <w:keepNext w:val="0"/>
        <w:keepLines w:val="0"/>
        <w:pageBreakBefore w:val="0"/>
        <w:widowControl w:val="0"/>
        <w:kinsoku/>
        <w:wordWrap/>
        <w:overflowPunct/>
        <w:topLinePunct w:val="0"/>
        <w:autoSpaceDE/>
        <w:autoSpaceDN/>
        <w:bidi w:val="0"/>
        <w:adjustRightInd/>
        <w:snapToGrid w:val="0"/>
        <w:spacing w:line="400" w:lineRule="exact"/>
        <w:ind w:left="420" w:leftChars="200" w:right="0" w:rightChars="0" w:firstLine="0" w:firstLineChars="0"/>
        <w:jc w:val="both"/>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拟投多个</w:t>
      </w:r>
      <w:r>
        <w:rPr>
          <w:rFonts w:hint="eastAsia" w:ascii="宋体" w:hAnsi="宋体" w:eastAsia="宋体" w:cs="宋体"/>
          <w:color w:val="auto"/>
          <w:sz w:val="21"/>
          <w:szCs w:val="21"/>
          <w:highlight w:val="none"/>
        </w:rPr>
        <w:t>分标，按分标分别提供开标一览表，</w:t>
      </w:r>
      <w:r>
        <w:rPr>
          <w:rFonts w:hint="eastAsia" w:ascii="宋体" w:hAnsi="宋体" w:eastAsia="宋体" w:cs="宋体"/>
          <w:b/>
          <w:color w:val="auto"/>
          <w:sz w:val="21"/>
          <w:szCs w:val="21"/>
          <w:highlight w:val="none"/>
        </w:rPr>
        <w:t>否则投标无效。</w:t>
      </w:r>
    </w:p>
    <w:p w14:paraId="4B9F5C05">
      <w:pPr>
        <w:keepNext w:val="0"/>
        <w:keepLines w:val="0"/>
        <w:pageBreakBefore w:val="0"/>
        <w:widowControl w:val="0"/>
        <w:kinsoku/>
        <w:wordWrap/>
        <w:overflowPunct/>
        <w:topLinePunct w:val="0"/>
        <w:autoSpaceDE/>
        <w:autoSpaceDN/>
        <w:bidi w:val="0"/>
        <w:adjustRightInd/>
        <w:snapToGrid w:val="0"/>
        <w:spacing w:line="400" w:lineRule="exact"/>
        <w:ind w:left="420" w:leftChars="200" w:right="0" w:rightChars="0" w:firstLine="0" w:firstLineChars="0"/>
        <w:jc w:val="both"/>
        <w:textAlignment w:val="auto"/>
        <w:rPr>
          <w:rFonts w:hint="default" w:ascii="宋体" w:hAnsi="宋体" w:eastAsia="宋体" w:cs="宋体"/>
          <w:b/>
          <w:color w:val="auto"/>
          <w:sz w:val="21"/>
          <w:szCs w:val="21"/>
          <w:highlight w:val="none"/>
          <w:lang w:val="en-US" w:eastAsia="zh-CN"/>
        </w:rPr>
      </w:pPr>
      <w:r>
        <w:rPr>
          <w:rFonts w:hint="eastAsia" w:ascii="宋体" w:hAnsi="宋体" w:cs="宋体"/>
          <w:b w:val="0"/>
          <w:color w:val="auto"/>
          <w:sz w:val="21"/>
          <w:szCs w:val="21"/>
          <w:highlight w:val="none"/>
          <w:lang w:eastAsia="zh-CN"/>
        </w:rPr>
        <w:t>（</w:t>
      </w:r>
      <w:r>
        <w:rPr>
          <w:rFonts w:hint="eastAsia" w:ascii="宋体" w:hAnsi="宋体" w:cs="宋体"/>
          <w:b w:val="0"/>
          <w:color w:val="auto"/>
          <w:sz w:val="21"/>
          <w:szCs w:val="21"/>
          <w:highlight w:val="none"/>
          <w:lang w:val="en-US" w:eastAsia="zh-CN"/>
        </w:rPr>
        <w:t>5</w:t>
      </w:r>
      <w:r>
        <w:rPr>
          <w:rFonts w:hint="eastAsia" w:ascii="宋体" w:hAnsi="宋体" w:cs="宋体"/>
          <w:b w:val="0"/>
          <w:color w:val="auto"/>
          <w:sz w:val="21"/>
          <w:szCs w:val="21"/>
          <w:highlight w:val="none"/>
          <w:lang w:eastAsia="zh-CN"/>
        </w:rPr>
        <w:t>）“</w:t>
      </w:r>
      <w:r>
        <w:rPr>
          <w:rFonts w:hint="eastAsia" w:ascii="宋体" w:hAnsi="宋体" w:cs="宋体"/>
          <w:b w:val="0"/>
          <w:color w:val="auto"/>
          <w:sz w:val="21"/>
          <w:szCs w:val="21"/>
          <w:highlight w:val="none"/>
          <w:lang w:val="en-US" w:eastAsia="zh-CN"/>
        </w:rPr>
        <w:t>是否本国产品</w:t>
      </w:r>
      <w:r>
        <w:rPr>
          <w:rFonts w:hint="eastAsia" w:ascii="宋体" w:hAnsi="宋体" w:cs="宋体"/>
          <w:b w:val="0"/>
          <w:color w:val="auto"/>
          <w:sz w:val="21"/>
          <w:szCs w:val="21"/>
          <w:highlight w:val="none"/>
          <w:lang w:eastAsia="zh-CN"/>
        </w:rPr>
        <w:t>”</w:t>
      </w:r>
      <w:r>
        <w:rPr>
          <w:rFonts w:hint="eastAsia" w:ascii="宋体" w:hAnsi="宋体" w:cs="宋体"/>
          <w:b w:val="0"/>
          <w:color w:val="auto"/>
          <w:sz w:val="21"/>
          <w:szCs w:val="21"/>
          <w:highlight w:val="none"/>
          <w:lang w:val="en-US" w:eastAsia="zh-CN"/>
        </w:rPr>
        <w:t>如填写“是”，需按要求提供《关于符合本国产品标准的声明函》。</w:t>
      </w:r>
    </w:p>
    <w:p w14:paraId="1E3DD7E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textAlignment w:val="auto"/>
        <w:rPr>
          <w:rFonts w:hint="eastAsia" w:ascii="宋体" w:hAnsi="宋体" w:eastAsia="宋体" w:cs="宋体"/>
          <w:color w:val="auto"/>
          <w:sz w:val="21"/>
          <w:szCs w:val="21"/>
          <w:highlight w:val="none"/>
        </w:rPr>
      </w:pPr>
    </w:p>
    <w:p w14:paraId="482FF49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2906" w:firstLineChars="138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投标人名称（电子签章）：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C53FBB4">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2906" w:firstLineChars="1384"/>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日期：    年   月   日</w:t>
      </w:r>
      <w:r>
        <w:rPr>
          <w:rFonts w:hint="eastAsia" w:ascii="宋体" w:hAnsi="宋体" w:eastAsia="宋体" w:cs="宋体"/>
          <w:b/>
          <w:bCs/>
          <w:color w:val="auto"/>
          <w:sz w:val="21"/>
          <w:szCs w:val="21"/>
          <w:highlight w:val="none"/>
        </w:rPr>
        <w:br w:type="page"/>
      </w:r>
      <w:bookmarkStart w:id="665" w:name="_Toc19686837"/>
      <w:bookmarkStart w:id="666" w:name="_Toc26911"/>
    </w:p>
    <w:p w14:paraId="6E23D623">
      <w:pPr>
        <w:keepNext w:val="0"/>
        <w:keepLines w:val="0"/>
        <w:pageBreakBefore w:val="0"/>
        <w:widowControl w:val="0"/>
        <w:kinsoku/>
        <w:wordWrap/>
        <w:overflowPunct/>
        <w:topLinePunct w:val="0"/>
        <w:autoSpaceDE/>
        <w:autoSpaceDN/>
        <w:bidi w:val="0"/>
        <w:adjustRightInd/>
        <w:snapToGrid w:val="0"/>
        <w:spacing w:line="400" w:lineRule="exact"/>
        <w:ind w:right="0" w:rightChars="0"/>
        <w:textAlignment w:val="auto"/>
        <w:outlineLvl w:val="1"/>
        <w:rPr>
          <w:rFonts w:hint="eastAsia" w:ascii="宋体" w:hAnsi="宋体" w:eastAsia="宋体" w:cs="宋体"/>
          <w:b/>
          <w:color w:val="auto"/>
          <w:sz w:val="21"/>
          <w:szCs w:val="21"/>
          <w:highlight w:val="none"/>
        </w:rPr>
      </w:pPr>
      <w:bookmarkStart w:id="667" w:name="_Toc7744"/>
      <w:r>
        <w:rPr>
          <w:rFonts w:hint="eastAsia" w:ascii="宋体" w:hAnsi="宋体" w:eastAsia="宋体" w:cs="宋体"/>
          <w:b/>
          <w:color w:val="auto"/>
          <w:sz w:val="21"/>
          <w:szCs w:val="21"/>
          <w:highlight w:val="none"/>
        </w:rPr>
        <w:t>二、资格证明文件格式</w:t>
      </w:r>
      <w:bookmarkEnd w:id="660"/>
      <w:bookmarkEnd w:id="661"/>
      <w:bookmarkEnd w:id="665"/>
      <w:bookmarkEnd w:id="666"/>
      <w:bookmarkEnd w:id="667"/>
    </w:p>
    <w:p w14:paraId="47CC3F6F">
      <w:pPr>
        <w:numPr>
          <w:ilvl w:val="2"/>
          <w:numId w:val="0"/>
        </w:numPr>
        <w:snapToGrid w:val="0"/>
        <w:spacing w:before="120" w:beforeLines="50" w:after="50" w:line="360" w:lineRule="auto"/>
        <w:ind w:left="0" w:leftChars="0"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1.</w:t>
      </w:r>
      <w:r>
        <w:rPr>
          <w:rFonts w:hint="eastAsia" w:ascii="宋体" w:hAnsi="宋体" w:eastAsia="宋体" w:cs="宋体"/>
          <w:b/>
          <w:color w:val="auto"/>
          <w:sz w:val="21"/>
          <w:szCs w:val="21"/>
          <w:highlight w:val="none"/>
        </w:rPr>
        <w:t>资格证明文件封面格式：</w:t>
      </w:r>
    </w:p>
    <w:p w14:paraId="0C30BD13">
      <w:pPr>
        <w:snapToGrid w:val="0"/>
        <w:spacing w:before="120" w:beforeLines="50" w:after="5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                                                   </w:t>
      </w:r>
    </w:p>
    <w:p w14:paraId="67F0A01E">
      <w:pPr>
        <w:snapToGrid w:val="0"/>
        <w:spacing w:before="120" w:beforeLines="50" w:after="50"/>
        <w:rPr>
          <w:rFonts w:hint="eastAsia" w:ascii="宋体" w:hAnsi="宋体" w:eastAsia="宋体" w:cs="宋体"/>
          <w:color w:val="auto"/>
          <w:sz w:val="21"/>
          <w:szCs w:val="21"/>
          <w:highlight w:val="none"/>
        </w:rPr>
      </w:pPr>
    </w:p>
    <w:p w14:paraId="4022C847">
      <w:pPr>
        <w:snapToGrid w:val="0"/>
        <w:spacing w:before="120" w:beforeLines="50" w:after="50"/>
        <w:rPr>
          <w:rFonts w:hint="eastAsia" w:ascii="宋体" w:hAnsi="宋体" w:eastAsia="宋体" w:cs="宋体"/>
          <w:color w:val="auto"/>
          <w:sz w:val="21"/>
          <w:szCs w:val="21"/>
          <w:highlight w:val="none"/>
        </w:rPr>
      </w:pPr>
    </w:p>
    <w:p w14:paraId="795944D2">
      <w:pPr>
        <w:snapToGrid w:val="0"/>
        <w:spacing w:before="120" w:beforeLines="50" w:after="50"/>
        <w:jc w:val="center"/>
        <w:rPr>
          <w:rFonts w:hint="eastAsia" w:ascii="方正小标宋_GBK" w:hAnsi="方正小标宋_GBK" w:eastAsia="方正小标宋_GBK" w:cs="方正小标宋_GBK"/>
          <w:b w:val="0"/>
          <w:bCs w:val="0"/>
          <w:color w:val="auto"/>
          <w:sz w:val="21"/>
          <w:szCs w:val="21"/>
          <w:highlight w:val="none"/>
        </w:rPr>
      </w:pPr>
      <w:r>
        <w:rPr>
          <w:rFonts w:hint="eastAsia" w:ascii="方正小标宋_GBK" w:hAnsi="方正小标宋_GBK" w:eastAsia="方正小标宋_GBK" w:cs="方正小标宋_GBK"/>
          <w:b w:val="0"/>
          <w:bCs w:val="0"/>
          <w:color w:val="auto"/>
          <w:sz w:val="21"/>
          <w:szCs w:val="21"/>
          <w:highlight w:val="none"/>
          <w:lang w:val="en-US" w:eastAsia="zh-CN"/>
        </w:rPr>
        <w:t>电子</w:t>
      </w:r>
      <w:r>
        <w:rPr>
          <w:rFonts w:hint="eastAsia" w:ascii="方正小标宋_GBK" w:hAnsi="方正小标宋_GBK" w:eastAsia="方正小标宋_GBK" w:cs="方正小标宋_GBK"/>
          <w:b w:val="0"/>
          <w:bCs w:val="0"/>
          <w:color w:val="auto"/>
          <w:sz w:val="21"/>
          <w:szCs w:val="21"/>
          <w:highlight w:val="none"/>
        </w:rPr>
        <w:t>投标文件</w:t>
      </w:r>
    </w:p>
    <w:p w14:paraId="451311A7">
      <w:pPr>
        <w:snapToGrid w:val="0"/>
        <w:spacing w:before="120" w:beforeLines="50" w:after="50"/>
        <w:rPr>
          <w:rFonts w:hint="eastAsia" w:ascii="方正小标宋_GBK" w:hAnsi="方正小标宋_GBK" w:eastAsia="方正小标宋_GBK" w:cs="方正小标宋_GBK"/>
          <w:b w:val="0"/>
          <w:bCs w:val="0"/>
          <w:color w:val="auto"/>
          <w:sz w:val="21"/>
          <w:szCs w:val="21"/>
          <w:highlight w:val="none"/>
        </w:rPr>
      </w:pPr>
    </w:p>
    <w:p w14:paraId="421EE90E">
      <w:pPr>
        <w:snapToGrid w:val="0"/>
        <w:spacing w:before="120" w:beforeLines="50" w:after="50"/>
        <w:rPr>
          <w:rFonts w:hint="eastAsia" w:ascii="方正小标宋_GBK" w:hAnsi="方正小标宋_GBK" w:eastAsia="方正小标宋_GBK" w:cs="方正小标宋_GBK"/>
          <w:b w:val="0"/>
          <w:bCs w:val="0"/>
          <w:color w:val="auto"/>
          <w:sz w:val="21"/>
          <w:szCs w:val="21"/>
          <w:highlight w:val="none"/>
        </w:rPr>
      </w:pPr>
    </w:p>
    <w:p w14:paraId="67504ABD">
      <w:pPr>
        <w:snapToGrid w:val="0"/>
        <w:spacing w:before="120" w:beforeLines="50" w:after="50"/>
        <w:jc w:val="center"/>
        <w:rPr>
          <w:rFonts w:hint="eastAsia" w:ascii="方正小标宋_GBK" w:hAnsi="方正小标宋_GBK" w:eastAsia="方正小标宋_GBK" w:cs="方正小标宋_GBK"/>
          <w:b w:val="0"/>
          <w:bCs w:val="0"/>
          <w:color w:val="auto"/>
          <w:sz w:val="21"/>
          <w:szCs w:val="21"/>
          <w:highlight w:val="none"/>
        </w:rPr>
      </w:pPr>
      <w:r>
        <w:rPr>
          <w:rFonts w:hint="eastAsia" w:ascii="方正小标宋_GBK" w:hAnsi="方正小标宋_GBK" w:eastAsia="方正小标宋_GBK" w:cs="方正小标宋_GBK"/>
          <w:b w:val="0"/>
          <w:bCs w:val="0"/>
          <w:color w:val="auto"/>
          <w:sz w:val="21"/>
          <w:szCs w:val="21"/>
          <w:highlight w:val="none"/>
        </w:rPr>
        <w:t>资 格 证 明 文 件</w:t>
      </w:r>
    </w:p>
    <w:p w14:paraId="6E95D86B">
      <w:pPr>
        <w:snapToGrid w:val="0"/>
        <w:spacing w:before="120" w:beforeLines="50" w:after="50"/>
        <w:rPr>
          <w:rFonts w:hint="eastAsia" w:ascii="宋体" w:hAnsi="宋体" w:eastAsia="宋体" w:cs="宋体"/>
          <w:bCs/>
          <w:color w:val="auto"/>
          <w:sz w:val="21"/>
          <w:szCs w:val="21"/>
          <w:highlight w:val="none"/>
        </w:rPr>
      </w:pPr>
    </w:p>
    <w:p w14:paraId="2F5032FF">
      <w:pPr>
        <w:snapToGrid w:val="0"/>
        <w:spacing w:before="120" w:beforeLines="50" w:after="50"/>
        <w:rPr>
          <w:rFonts w:hint="eastAsia" w:ascii="宋体" w:hAnsi="宋体" w:eastAsia="宋体" w:cs="宋体"/>
          <w:bCs/>
          <w:color w:val="auto"/>
          <w:sz w:val="21"/>
          <w:szCs w:val="21"/>
          <w:highlight w:val="none"/>
        </w:rPr>
      </w:pPr>
    </w:p>
    <w:p w14:paraId="23BE0A2A">
      <w:pPr>
        <w:snapToGrid w:val="0"/>
        <w:spacing w:before="120" w:beforeLines="50" w:after="50"/>
        <w:rPr>
          <w:rFonts w:hint="eastAsia" w:ascii="宋体" w:hAnsi="宋体" w:eastAsia="宋体" w:cs="宋体"/>
          <w:bCs/>
          <w:color w:val="auto"/>
          <w:sz w:val="21"/>
          <w:szCs w:val="21"/>
          <w:highlight w:val="none"/>
        </w:rPr>
      </w:pPr>
    </w:p>
    <w:p w14:paraId="2C051DDE">
      <w:pPr>
        <w:snapToGrid w:val="0"/>
        <w:spacing w:before="120" w:beforeLines="50" w:after="50"/>
        <w:rPr>
          <w:rFonts w:hint="eastAsia" w:ascii="宋体" w:hAnsi="宋体" w:eastAsia="宋体" w:cs="宋体"/>
          <w:bCs/>
          <w:color w:val="auto"/>
          <w:sz w:val="21"/>
          <w:szCs w:val="21"/>
          <w:highlight w:val="none"/>
        </w:rPr>
      </w:pPr>
    </w:p>
    <w:p w14:paraId="654AB623">
      <w:pPr>
        <w:snapToGrid w:val="0"/>
        <w:spacing w:before="120" w:beforeLines="50" w:after="50"/>
        <w:rPr>
          <w:rFonts w:hint="eastAsia" w:ascii="宋体" w:hAnsi="宋体" w:eastAsia="宋体" w:cs="宋体"/>
          <w:bCs/>
          <w:color w:val="auto"/>
          <w:sz w:val="21"/>
          <w:szCs w:val="21"/>
          <w:highlight w:val="none"/>
        </w:rPr>
      </w:pPr>
    </w:p>
    <w:p w14:paraId="6015F2AB">
      <w:pPr>
        <w:snapToGrid w:val="0"/>
        <w:spacing w:before="120" w:beforeLines="50" w:after="50"/>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项目名称：</w:t>
      </w:r>
    </w:p>
    <w:p w14:paraId="20E1E5D0">
      <w:pPr>
        <w:snapToGrid w:val="0"/>
        <w:spacing w:before="120" w:beforeLines="50" w:after="50"/>
        <w:ind w:firstLine="472" w:firstLineChars="225"/>
        <w:rPr>
          <w:rFonts w:hint="eastAsia" w:ascii="宋体" w:hAnsi="宋体" w:eastAsia="宋体" w:cs="宋体"/>
          <w:bCs/>
          <w:color w:val="auto"/>
          <w:sz w:val="21"/>
          <w:szCs w:val="21"/>
          <w:highlight w:val="none"/>
        </w:rPr>
      </w:pPr>
    </w:p>
    <w:p w14:paraId="61DBAB71">
      <w:pPr>
        <w:snapToGrid w:val="0"/>
        <w:spacing w:before="120" w:beforeLines="50" w:after="50"/>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项目编号：</w:t>
      </w:r>
    </w:p>
    <w:p w14:paraId="22DEC7BA">
      <w:pPr>
        <w:snapToGrid w:val="0"/>
        <w:spacing w:before="120" w:beforeLines="50" w:after="50"/>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p>
    <w:p w14:paraId="543BDA12">
      <w:pPr>
        <w:snapToGrid w:val="0"/>
        <w:spacing w:before="120" w:beforeLines="50" w:after="50"/>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所投分标：</w:t>
      </w:r>
    </w:p>
    <w:p w14:paraId="2C30D4FE">
      <w:pPr>
        <w:pStyle w:val="7"/>
        <w:snapToGrid w:val="0"/>
        <w:spacing w:before="50" w:after="50"/>
        <w:ind w:firstLine="472" w:firstLineChars="225"/>
        <w:rPr>
          <w:rFonts w:hint="eastAsia" w:ascii="宋体" w:hAnsi="宋体" w:eastAsia="宋体" w:cs="宋体"/>
          <w:bCs/>
          <w:color w:val="auto"/>
          <w:sz w:val="21"/>
          <w:szCs w:val="21"/>
          <w:highlight w:val="none"/>
        </w:rPr>
      </w:pPr>
    </w:p>
    <w:p w14:paraId="2DCCC94B">
      <w:pPr>
        <w:pStyle w:val="7"/>
        <w:snapToGrid w:val="0"/>
        <w:spacing w:before="50" w:after="50"/>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投标人名称：</w:t>
      </w:r>
    </w:p>
    <w:p w14:paraId="556EE822">
      <w:pPr>
        <w:pStyle w:val="7"/>
        <w:snapToGrid w:val="0"/>
        <w:spacing w:before="50" w:after="50"/>
        <w:ind w:firstLine="472" w:firstLineChars="225"/>
        <w:rPr>
          <w:rFonts w:hint="eastAsia" w:ascii="宋体" w:hAnsi="宋体" w:eastAsia="宋体" w:cs="宋体"/>
          <w:bCs/>
          <w:color w:val="auto"/>
          <w:sz w:val="21"/>
          <w:szCs w:val="21"/>
          <w:highlight w:val="none"/>
        </w:rPr>
      </w:pPr>
    </w:p>
    <w:p w14:paraId="761D009E">
      <w:pPr>
        <w:pStyle w:val="7"/>
        <w:snapToGrid w:val="0"/>
        <w:spacing w:before="50" w:after="50"/>
        <w:ind w:firstLine="840" w:firstLineChars="400"/>
        <w:rPr>
          <w:rFonts w:hint="eastAsia" w:ascii="宋体" w:hAnsi="宋体" w:eastAsia="宋体" w:cs="宋体"/>
          <w:bCs/>
          <w:color w:val="auto"/>
          <w:sz w:val="21"/>
          <w:szCs w:val="21"/>
          <w:highlight w:val="none"/>
        </w:rPr>
      </w:pPr>
    </w:p>
    <w:p w14:paraId="06F0F364">
      <w:pPr>
        <w:snapToGrid w:val="0"/>
        <w:spacing w:before="120" w:beforeLines="50" w:after="50"/>
        <w:ind w:firstLine="64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3D204844">
      <w:pPr>
        <w:snapToGrid w:val="0"/>
        <w:spacing w:before="120" w:beforeLines="50" w:after="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239B15E">
      <w:pPr>
        <w:snapToGrid w:val="0"/>
        <w:spacing w:before="120" w:beforeLines="50" w:after="50"/>
        <w:rPr>
          <w:rFonts w:hint="eastAsia" w:ascii="宋体" w:hAnsi="宋体" w:eastAsia="宋体" w:cs="宋体"/>
          <w:color w:val="auto"/>
          <w:sz w:val="21"/>
          <w:szCs w:val="21"/>
          <w:highlight w:val="none"/>
        </w:rPr>
      </w:pPr>
    </w:p>
    <w:p w14:paraId="64FE1712">
      <w:pPr>
        <w:numPr>
          <w:ilvl w:val="2"/>
          <w:numId w:val="0"/>
        </w:numPr>
        <w:snapToGrid w:val="0"/>
        <w:spacing w:before="120" w:beforeLines="50" w:after="50" w:line="36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p>
    <w:p w14:paraId="79220731">
      <w:pPr>
        <w:numPr>
          <w:ilvl w:val="2"/>
          <w:numId w:val="0"/>
        </w:numPr>
        <w:snapToGrid w:val="0"/>
        <w:spacing w:before="120" w:beforeLines="50" w:after="50" w:line="36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p>
    <w:p w14:paraId="403893FF">
      <w:pPr>
        <w:numPr>
          <w:ilvl w:val="2"/>
          <w:numId w:val="0"/>
        </w:numPr>
        <w:snapToGrid w:val="0"/>
        <w:spacing w:before="120" w:beforeLines="50" w:after="50" w:line="36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p>
    <w:p w14:paraId="0C9E180E">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br w:type="page"/>
      </w:r>
    </w:p>
    <w:p w14:paraId="5A5E84C7">
      <w:pPr>
        <w:numPr>
          <w:ilvl w:val="2"/>
          <w:numId w:val="0"/>
        </w:numPr>
        <w:snapToGrid w:val="0"/>
        <w:spacing w:before="120" w:beforeLines="50" w:after="50" w:line="360" w:lineRule="auto"/>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
          <w:bCs/>
          <w:color w:val="auto"/>
          <w:sz w:val="21"/>
          <w:szCs w:val="21"/>
          <w:highlight w:val="none"/>
        </w:rPr>
        <w:t>资格证明文件目录</w:t>
      </w:r>
    </w:p>
    <w:p w14:paraId="34F0393F">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根据招标文件规定及投标人提供的材料自行编写目录。</w:t>
      </w:r>
    </w:p>
    <w:p w14:paraId="4F713A50">
      <w:pPr>
        <w:rPr>
          <w:rFonts w:hint="eastAsia" w:ascii="宋体" w:hAnsi="宋体" w:eastAsia="宋体" w:cs="宋体"/>
          <w:b/>
          <w:color w:val="auto"/>
          <w:sz w:val="21"/>
          <w:szCs w:val="21"/>
          <w:highlight w:val="none"/>
          <w:lang w:val="en-US" w:eastAsia="zh-CN"/>
        </w:rPr>
      </w:pPr>
    </w:p>
    <w:p w14:paraId="0A5AAA15">
      <w:pPr>
        <w:keepNext w:val="0"/>
        <w:keepLines w:val="0"/>
        <w:pageBreakBefore w:val="0"/>
        <w:widowControl w:val="0"/>
        <w:numPr>
          <w:ilvl w:val="0"/>
          <w:numId w:val="0"/>
        </w:numPr>
        <w:kinsoku/>
        <w:wordWrap/>
        <w:overflowPunct/>
        <w:topLinePunct w:val="0"/>
        <w:bidi w:val="0"/>
        <w:adjustRightInd/>
        <w:snapToGrid w:val="0"/>
        <w:spacing w:line="400" w:lineRule="exact"/>
        <w:ind w:left="0" w:leftChars="0" w:firstLine="0" w:firstLineChars="0"/>
        <w:jc w:val="left"/>
        <w:rPr>
          <w:rFonts w:hint="eastAsia" w:ascii="宋体" w:hAnsi="宋体" w:eastAsia="宋体" w:cs="宋体"/>
          <w:b/>
          <w:color w:val="auto"/>
          <w:sz w:val="21"/>
          <w:szCs w:val="21"/>
          <w:highlight w:val="none"/>
          <w:lang w:val="en-US" w:eastAsia="zh-CN"/>
        </w:rPr>
      </w:pPr>
    </w:p>
    <w:p w14:paraId="32757539">
      <w:pP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br w:type="page"/>
      </w:r>
    </w:p>
    <w:p w14:paraId="39F71994">
      <w:pPr>
        <w:keepNext w:val="0"/>
        <w:keepLines w:val="0"/>
        <w:pageBreakBefore w:val="0"/>
        <w:widowControl w:val="0"/>
        <w:numPr>
          <w:ilvl w:val="0"/>
          <w:numId w:val="0"/>
        </w:numPr>
        <w:kinsoku/>
        <w:wordWrap/>
        <w:overflowPunct/>
        <w:topLinePunct w:val="0"/>
        <w:bidi w:val="0"/>
        <w:adjustRightInd/>
        <w:snapToGrid w:val="0"/>
        <w:spacing w:line="400" w:lineRule="exact"/>
        <w:ind w:left="0" w:leftChars="0" w:right="0" w:firstLine="0" w:firstLineChars="0"/>
        <w:jc w:val="left"/>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kern w:val="2"/>
          <w:sz w:val="21"/>
          <w:szCs w:val="21"/>
          <w:highlight w:val="none"/>
          <w:lang w:val="en-US" w:eastAsia="zh-CN" w:bidi="ar-SA"/>
        </w:rPr>
        <w:t>3</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eastAsia="宋体" w:cs="宋体"/>
          <w:b w:val="0"/>
          <w:bCs/>
          <w:color w:val="auto"/>
          <w:sz w:val="21"/>
          <w:szCs w:val="21"/>
          <w:highlight w:val="none"/>
        </w:rPr>
        <w:t>投标人直接控股、管理关系信息表</w:t>
      </w:r>
      <w:r>
        <w:rPr>
          <w:rFonts w:hint="eastAsia" w:ascii="宋体" w:hAnsi="宋体" w:eastAsia="宋体" w:cs="宋体"/>
          <w:b w:val="0"/>
          <w:bCs/>
          <w:color w:val="auto"/>
          <w:sz w:val="21"/>
          <w:szCs w:val="21"/>
          <w:highlight w:val="none"/>
          <w:lang w:val="en-US" w:eastAsia="zh-CN"/>
        </w:rPr>
        <w:t>格式；</w:t>
      </w:r>
    </w:p>
    <w:p w14:paraId="1610BF9F">
      <w:pPr>
        <w:pStyle w:val="31"/>
        <w:keepNext w:val="0"/>
        <w:keepLines w:val="0"/>
        <w:pageBreakBefore w:val="0"/>
        <w:widowControl w:val="0"/>
        <w:kinsoku/>
        <w:wordWrap/>
        <w:overflowPunct/>
        <w:topLinePunct w:val="0"/>
        <w:bidi w:val="0"/>
        <w:adjustRightInd/>
        <w:spacing w:line="400" w:lineRule="exact"/>
        <w:ind w:right="0"/>
        <w:rPr>
          <w:rFonts w:hint="eastAsia" w:ascii="宋体" w:hAnsi="宋体" w:eastAsia="宋体" w:cs="宋体"/>
          <w:color w:val="auto"/>
          <w:sz w:val="21"/>
          <w:szCs w:val="21"/>
          <w:highlight w:val="none"/>
        </w:rPr>
      </w:pPr>
    </w:p>
    <w:p w14:paraId="27FCFDBF">
      <w:pPr>
        <w:pStyle w:val="31"/>
        <w:keepNext w:val="0"/>
        <w:keepLines w:val="0"/>
        <w:pageBreakBefore w:val="0"/>
        <w:widowControl w:val="0"/>
        <w:kinsoku/>
        <w:wordWrap/>
        <w:overflowPunct/>
        <w:topLinePunct w:val="0"/>
        <w:bidi w:val="0"/>
        <w:adjustRightInd/>
        <w:spacing w:line="400" w:lineRule="exact"/>
        <w:ind w:right="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投标人直接控股、管理关系信息表</w:t>
      </w:r>
    </w:p>
    <w:tbl>
      <w:tblPr>
        <w:tblStyle w:val="48"/>
        <w:tblW w:w="8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049"/>
        <w:gridCol w:w="802"/>
        <w:gridCol w:w="1359"/>
        <w:gridCol w:w="4521"/>
      </w:tblGrid>
      <w:tr w14:paraId="5C6B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3993" w:type="dxa"/>
            <w:gridSpan w:val="4"/>
            <w:shd w:val="clear" w:color="auto" w:fill="F2DBDB"/>
            <w:noWrap w:val="0"/>
            <w:vAlign w:val="center"/>
          </w:tcPr>
          <w:p w14:paraId="42728A5D">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供应商直接控股股东信息表</w:t>
            </w:r>
          </w:p>
        </w:tc>
        <w:tc>
          <w:tcPr>
            <w:tcW w:w="4521" w:type="dxa"/>
            <w:shd w:val="clear" w:color="auto" w:fill="F2DBDB"/>
            <w:noWrap w:val="0"/>
            <w:vAlign w:val="center"/>
          </w:tcPr>
          <w:p w14:paraId="3EEF7CBF">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tc>
      </w:tr>
      <w:tr w14:paraId="1393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246FE902">
            <w:pPr>
              <w:keepNext w:val="0"/>
              <w:keepLines w:val="0"/>
              <w:pageBreakBefore w:val="0"/>
              <w:widowControl w:val="0"/>
              <w:shd w:val="clear" w:color="auto" w:fill="auto"/>
              <w:kinsoku/>
              <w:wordWrap/>
              <w:overflowPunct/>
              <w:topLinePunct w:val="0"/>
              <w:autoSpaceDE/>
              <w:autoSpaceDN/>
              <w:bidi w:val="0"/>
              <w:adjustRightInd/>
              <w:spacing w:line="400" w:lineRule="exact"/>
              <w:ind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049" w:type="dxa"/>
            <w:noWrap w:val="0"/>
            <w:vAlign w:val="center"/>
          </w:tcPr>
          <w:p w14:paraId="4F48A9FE">
            <w:pPr>
              <w:keepNext w:val="0"/>
              <w:keepLines w:val="0"/>
              <w:pageBreakBefore w:val="0"/>
              <w:widowControl w:val="0"/>
              <w:shd w:val="clear" w:color="auto" w:fill="auto"/>
              <w:kinsoku/>
              <w:wordWrap/>
              <w:overflowPunct/>
              <w:topLinePunct w:val="0"/>
              <w:autoSpaceDE/>
              <w:autoSpaceDN/>
              <w:bidi w:val="0"/>
              <w:adjustRightInd/>
              <w:spacing w:line="400" w:lineRule="exact"/>
              <w:ind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直接控股股东名称</w:t>
            </w:r>
          </w:p>
        </w:tc>
        <w:tc>
          <w:tcPr>
            <w:tcW w:w="802" w:type="dxa"/>
            <w:noWrap w:val="0"/>
            <w:vAlign w:val="center"/>
          </w:tcPr>
          <w:p w14:paraId="2D0CB565">
            <w:pPr>
              <w:keepNext w:val="0"/>
              <w:keepLines w:val="0"/>
              <w:pageBreakBefore w:val="0"/>
              <w:widowControl w:val="0"/>
              <w:shd w:val="clear" w:color="auto" w:fill="auto"/>
              <w:kinsoku/>
              <w:wordWrap/>
              <w:overflowPunct/>
              <w:topLinePunct w:val="0"/>
              <w:autoSpaceDE/>
              <w:autoSpaceDN/>
              <w:bidi w:val="0"/>
              <w:adjustRightInd/>
              <w:spacing w:line="400" w:lineRule="exact"/>
              <w:ind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出资比例</w:t>
            </w:r>
          </w:p>
        </w:tc>
        <w:tc>
          <w:tcPr>
            <w:tcW w:w="1359" w:type="dxa"/>
            <w:noWrap w:val="0"/>
            <w:vAlign w:val="center"/>
          </w:tcPr>
          <w:p w14:paraId="4755D7E2">
            <w:pPr>
              <w:keepNext w:val="0"/>
              <w:keepLines w:val="0"/>
              <w:pageBreakBefore w:val="0"/>
              <w:widowControl w:val="0"/>
              <w:shd w:val="clear" w:color="auto" w:fill="auto"/>
              <w:kinsoku/>
              <w:wordWrap/>
              <w:overflowPunct/>
              <w:topLinePunct w:val="0"/>
              <w:autoSpaceDE/>
              <w:autoSpaceDN/>
              <w:bidi w:val="0"/>
              <w:adjustRightInd/>
              <w:spacing w:line="400" w:lineRule="exact"/>
              <w:ind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身份证号码或者统一社会信用代码</w:t>
            </w:r>
          </w:p>
        </w:tc>
        <w:tc>
          <w:tcPr>
            <w:tcW w:w="4521" w:type="dxa"/>
            <w:vMerge w:val="restart"/>
            <w:noWrap w:val="0"/>
            <w:vAlign w:val="center"/>
          </w:tcPr>
          <w:p w14:paraId="714859ED">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B68BE21">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本表所指的控股关系仅限于直接控股关系，不包括间接的控股关系。公司实际控制人与公司之间的关系不属于本表所指的直接控股关系。</w:t>
            </w:r>
          </w:p>
          <w:p w14:paraId="6D6D4E28">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供应商不存在直接控股股东的，则填“无”。</w:t>
            </w:r>
          </w:p>
        </w:tc>
      </w:tr>
      <w:tr w14:paraId="2EAE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527A2200">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049" w:type="dxa"/>
            <w:noWrap w:val="0"/>
            <w:vAlign w:val="center"/>
          </w:tcPr>
          <w:p w14:paraId="75E6982A">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p>
        </w:tc>
        <w:tc>
          <w:tcPr>
            <w:tcW w:w="802" w:type="dxa"/>
            <w:noWrap w:val="0"/>
            <w:vAlign w:val="center"/>
          </w:tcPr>
          <w:p w14:paraId="45884E15">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p>
        </w:tc>
        <w:tc>
          <w:tcPr>
            <w:tcW w:w="1359" w:type="dxa"/>
            <w:noWrap w:val="0"/>
            <w:vAlign w:val="center"/>
          </w:tcPr>
          <w:p w14:paraId="25602A78">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p>
        </w:tc>
        <w:tc>
          <w:tcPr>
            <w:tcW w:w="4521" w:type="dxa"/>
            <w:vMerge w:val="continue"/>
            <w:noWrap w:val="0"/>
            <w:vAlign w:val="top"/>
          </w:tcPr>
          <w:p w14:paraId="524180F8">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color w:val="auto"/>
                <w:sz w:val="21"/>
                <w:szCs w:val="21"/>
                <w:highlight w:val="none"/>
              </w:rPr>
            </w:pPr>
          </w:p>
        </w:tc>
      </w:tr>
      <w:tr w14:paraId="4DD9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0A7E818A">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1049" w:type="dxa"/>
            <w:noWrap w:val="0"/>
            <w:vAlign w:val="center"/>
          </w:tcPr>
          <w:p w14:paraId="15587CCF">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p>
        </w:tc>
        <w:tc>
          <w:tcPr>
            <w:tcW w:w="802" w:type="dxa"/>
            <w:noWrap w:val="0"/>
            <w:vAlign w:val="center"/>
          </w:tcPr>
          <w:p w14:paraId="7AE1F7B6">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p>
        </w:tc>
        <w:tc>
          <w:tcPr>
            <w:tcW w:w="1359" w:type="dxa"/>
            <w:noWrap w:val="0"/>
            <w:vAlign w:val="center"/>
          </w:tcPr>
          <w:p w14:paraId="374A7484">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p>
        </w:tc>
        <w:tc>
          <w:tcPr>
            <w:tcW w:w="4521" w:type="dxa"/>
            <w:vMerge w:val="continue"/>
            <w:noWrap w:val="0"/>
            <w:vAlign w:val="top"/>
          </w:tcPr>
          <w:p w14:paraId="499072F8">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b/>
                <w:color w:val="auto"/>
                <w:sz w:val="21"/>
                <w:szCs w:val="21"/>
                <w:highlight w:val="none"/>
              </w:rPr>
            </w:pPr>
          </w:p>
        </w:tc>
      </w:tr>
      <w:tr w14:paraId="60111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Borders>
              <w:bottom w:val="single" w:color="auto" w:sz="4" w:space="0"/>
            </w:tcBorders>
            <w:noWrap w:val="0"/>
            <w:vAlign w:val="center"/>
          </w:tcPr>
          <w:p w14:paraId="0D44BB60">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w:t>
            </w:r>
          </w:p>
        </w:tc>
        <w:tc>
          <w:tcPr>
            <w:tcW w:w="1049" w:type="dxa"/>
            <w:tcBorders>
              <w:bottom w:val="single" w:color="auto" w:sz="4" w:space="0"/>
            </w:tcBorders>
            <w:noWrap w:val="0"/>
            <w:vAlign w:val="center"/>
          </w:tcPr>
          <w:p w14:paraId="373711E5">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p>
        </w:tc>
        <w:tc>
          <w:tcPr>
            <w:tcW w:w="802" w:type="dxa"/>
            <w:tcBorders>
              <w:bottom w:val="single" w:color="auto" w:sz="4" w:space="0"/>
            </w:tcBorders>
            <w:noWrap w:val="0"/>
            <w:vAlign w:val="center"/>
          </w:tcPr>
          <w:p w14:paraId="6CF2C9C1">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p>
        </w:tc>
        <w:tc>
          <w:tcPr>
            <w:tcW w:w="1359" w:type="dxa"/>
            <w:tcBorders>
              <w:bottom w:val="single" w:color="auto" w:sz="4" w:space="0"/>
            </w:tcBorders>
            <w:noWrap w:val="0"/>
            <w:vAlign w:val="center"/>
          </w:tcPr>
          <w:p w14:paraId="7D2FF015">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p>
        </w:tc>
        <w:tc>
          <w:tcPr>
            <w:tcW w:w="4521" w:type="dxa"/>
            <w:vMerge w:val="continue"/>
            <w:tcBorders>
              <w:bottom w:val="single" w:color="auto" w:sz="4" w:space="0"/>
            </w:tcBorders>
            <w:noWrap w:val="0"/>
            <w:vAlign w:val="top"/>
          </w:tcPr>
          <w:p w14:paraId="1AFBF1CD">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b/>
                <w:color w:val="auto"/>
                <w:sz w:val="21"/>
                <w:szCs w:val="21"/>
                <w:highlight w:val="none"/>
              </w:rPr>
            </w:pPr>
          </w:p>
        </w:tc>
      </w:tr>
      <w:tr w14:paraId="3827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3993" w:type="dxa"/>
            <w:gridSpan w:val="4"/>
            <w:shd w:val="clear" w:color="auto" w:fill="F2DBDB"/>
            <w:noWrap w:val="0"/>
            <w:vAlign w:val="center"/>
          </w:tcPr>
          <w:p w14:paraId="1721CD30">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供应商直接管理关系信息表</w:t>
            </w:r>
          </w:p>
        </w:tc>
        <w:tc>
          <w:tcPr>
            <w:tcW w:w="4521" w:type="dxa"/>
            <w:shd w:val="clear" w:color="auto" w:fill="F2DBDB"/>
            <w:noWrap w:val="0"/>
            <w:vAlign w:val="center"/>
          </w:tcPr>
          <w:p w14:paraId="52038BB0">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tc>
      </w:tr>
      <w:tr w14:paraId="4FCE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4EE2AC3B">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序号</w:t>
            </w:r>
          </w:p>
        </w:tc>
        <w:tc>
          <w:tcPr>
            <w:tcW w:w="1851" w:type="dxa"/>
            <w:gridSpan w:val="2"/>
            <w:noWrap w:val="0"/>
            <w:vAlign w:val="center"/>
          </w:tcPr>
          <w:p w14:paraId="2ACAEE2C">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直接管理关系单位名称</w:t>
            </w:r>
          </w:p>
        </w:tc>
        <w:tc>
          <w:tcPr>
            <w:tcW w:w="1359" w:type="dxa"/>
            <w:noWrap w:val="0"/>
            <w:vAlign w:val="center"/>
          </w:tcPr>
          <w:p w14:paraId="3A8CBA92">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统一社会信用代码</w:t>
            </w:r>
          </w:p>
        </w:tc>
        <w:tc>
          <w:tcPr>
            <w:tcW w:w="4521" w:type="dxa"/>
            <w:vMerge w:val="restart"/>
            <w:noWrap w:val="0"/>
            <w:vAlign w:val="center"/>
          </w:tcPr>
          <w:p w14:paraId="367F805F">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管理关系：是指不具有出资持股关系的其他单位之间存在的管理与被管理关系，如一些上下级关系的事业单位和团体组织。</w:t>
            </w:r>
          </w:p>
          <w:p w14:paraId="5FE5A104">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本表所指的管理关系仅限于直接管理关系，不包括间接的管理关系。</w:t>
            </w:r>
          </w:p>
          <w:p w14:paraId="79292899">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供应商不存在直接管理关系的，则填“无”。</w:t>
            </w:r>
          </w:p>
        </w:tc>
      </w:tr>
      <w:tr w14:paraId="1DEA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4CC5C3AA">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851" w:type="dxa"/>
            <w:gridSpan w:val="2"/>
            <w:noWrap w:val="0"/>
            <w:vAlign w:val="center"/>
          </w:tcPr>
          <w:p w14:paraId="1FE6D5E0">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bCs/>
                <w:color w:val="auto"/>
                <w:kern w:val="0"/>
                <w:sz w:val="21"/>
                <w:szCs w:val="21"/>
                <w:highlight w:val="none"/>
              </w:rPr>
            </w:pPr>
          </w:p>
        </w:tc>
        <w:tc>
          <w:tcPr>
            <w:tcW w:w="1359" w:type="dxa"/>
            <w:noWrap w:val="0"/>
            <w:vAlign w:val="center"/>
          </w:tcPr>
          <w:p w14:paraId="3AFA47E8">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bCs/>
                <w:color w:val="auto"/>
                <w:kern w:val="0"/>
                <w:sz w:val="21"/>
                <w:szCs w:val="21"/>
                <w:highlight w:val="none"/>
              </w:rPr>
            </w:pPr>
          </w:p>
        </w:tc>
        <w:tc>
          <w:tcPr>
            <w:tcW w:w="4521" w:type="dxa"/>
            <w:vMerge w:val="continue"/>
            <w:noWrap w:val="0"/>
            <w:vAlign w:val="center"/>
          </w:tcPr>
          <w:p w14:paraId="4C6AFEF4">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color w:val="auto"/>
                <w:sz w:val="21"/>
                <w:szCs w:val="21"/>
                <w:highlight w:val="none"/>
              </w:rPr>
            </w:pPr>
          </w:p>
        </w:tc>
      </w:tr>
      <w:tr w14:paraId="7220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5C525C45">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1851" w:type="dxa"/>
            <w:gridSpan w:val="2"/>
            <w:noWrap w:val="0"/>
            <w:vAlign w:val="center"/>
          </w:tcPr>
          <w:p w14:paraId="5AE45238">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bCs/>
                <w:color w:val="auto"/>
                <w:kern w:val="0"/>
                <w:sz w:val="21"/>
                <w:szCs w:val="21"/>
                <w:highlight w:val="none"/>
              </w:rPr>
            </w:pPr>
          </w:p>
        </w:tc>
        <w:tc>
          <w:tcPr>
            <w:tcW w:w="1359" w:type="dxa"/>
            <w:noWrap w:val="0"/>
            <w:vAlign w:val="center"/>
          </w:tcPr>
          <w:p w14:paraId="2E7A00C6">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bCs/>
                <w:color w:val="auto"/>
                <w:kern w:val="0"/>
                <w:sz w:val="21"/>
                <w:szCs w:val="21"/>
                <w:highlight w:val="none"/>
              </w:rPr>
            </w:pPr>
          </w:p>
        </w:tc>
        <w:tc>
          <w:tcPr>
            <w:tcW w:w="4521" w:type="dxa"/>
            <w:vMerge w:val="continue"/>
            <w:noWrap w:val="0"/>
            <w:vAlign w:val="center"/>
          </w:tcPr>
          <w:p w14:paraId="000E627A">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color w:val="auto"/>
                <w:sz w:val="21"/>
                <w:szCs w:val="21"/>
                <w:highlight w:val="none"/>
              </w:rPr>
            </w:pPr>
          </w:p>
        </w:tc>
      </w:tr>
      <w:tr w14:paraId="4D98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37272086">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w:t>
            </w:r>
          </w:p>
        </w:tc>
        <w:tc>
          <w:tcPr>
            <w:tcW w:w="1851" w:type="dxa"/>
            <w:gridSpan w:val="2"/>
            <w:noWrap w:val="0"/>
            <w:vAlign w:val="center"/>
          </w:tcPr>
          <w:p w14:paraId="1136F834">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bCs/>
                <w:color w:val="auto"/>
                <w:kern w:val="0"/>
                <w:sz w:val="21"/>
                <w:szCs w:val="21"/>
                <w:highlight w:val="none"/>
              </w:rPr>
            </w:pPr>
          </w:p>
        </w:tc>
        <w:tc>
          <w:tcPr>
            <w:tcW w:w="1359" w:type="dxa"/>
            <w:noWrap w:val="0"/>
            <w:vAlign w:val="center"/>
          </w:tcPr>
          <w:p w14:paraId="0553181D">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center"/>
              <w:textAlignment w:val="auto"/>
              <w:rPr>
                <w:rFonts w:hint="eastAsia" w:ascii="宋体" w:hAnsi="宋体" w:eastAsia="宋体" w:cs="宋体"/>
                <w:b/>
                <w:bCs/>
                <w:color w:val="auto"/>
                <w:kern w:val="0"/>
                <w:sz w:val="21"/>
                <w:szCs w:val="21"/>
                <w:highlight w:val="none"/>
              </w:rPr>
            </w:pPr>
          </w:p>
        </w:tc>
        <w:tc>
          <w:tcPr>
            <w:tcW w:w="4521" w:type="dxa"/>
            <w:vMerge w:val="continue"/>
            <w:noWrap w:val="0"/>
            <w:vAlign w:val="center"/>
          </w:tcPr>
          <w:p w14:paraId="3D5A03C1">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right="0"/>
              <w:jc w:val="both"/>
              <w:textAlignment w:val="auto"/>
              <w:rPr>
                <w:rFonts w:hint="eastAsia" w:ascii="宋体" w:hAnsi="宋体" w:eastAsia="宋体" w:cs="宋体"/>
                <w:color w:val="auto"/>
                <w:sz w:val="21"/>
                <w:szCs w:val="21"/>
                <w:highlight w:val="none"/>
              </w:rPr>
            </w:pPr>
          </w:p>
        </w:tc>
      </w:tr>
    </w:tbl>
    <w:p w14:paraId="6EB00241">
      <w:pPr>
        <w:keepNext w:val="0"/>
        <w:keepLines w:val="0"/>
        <w:pageBreakBefore w:val="0"/>
        <w:widowControl w:val="0"/>
        <w:shd w:val="clear" w:color="auto" w:fill="auto"/>
        <w:kinsoku/>
        <w:wordWrap/>
        <w:overflowPunct/>
        <w:topLinePunct w:val="0"/>
        <w:bidi w:val="0"/>
        <w:adjustRightInd/>
        <w:spacing w:line="400" w:lineRule="exact"/>
        <w:ind w:right="0" w:firstLine="2625" w:firstLineChars="1250"/>
        <w:contextualSpacing/>
        <w:rPr>
          <w:rFonts w:hint="eastAsia" w:ascii="宋体" w:hAnsi="宋体" w:eastAsia="宋体" w:cs="宋体"/>
          <w:color w:val="auto"/>
          <w:sz w:val="21"/>
          <w:szCs w:val="21"/>
          <w:highlight w:val="none"/>
        </w:rPr>
      </w:pPr>
    </w:p>
    <w:p w14:paraId="606BD556">
      <w:pPr>
        <w:keepNext w:val="0"/>
        <w:keepLines w:val="0"/>
        <w:pageBreakBefore w:val="0"/>
        <w:widowControl w:val="0"/>
        <w:shd w:val="clear" w:color="auto" w:fill="auto"/>
        <w:kinsoku/>
        <w:wordWrap/>
        <w:overflowPunct/>
        <w:topLinePunct w:val="0"/>
        <w:bidi w:val="0"/>
        <w:adjustRightInd/>
        <w:spacing w:line="400" w:lineRule="exact"/>
        <w:ind w:right="0" w:firstLine="2625" w:firstLineChars="1250"/>
        <w:contextualSpacing/>
        <w:rPr>
          <w:rFonts w:hint="eastAsia" w:ascii="宋体" w:hAnsi="宋体" w:eastAsia="宋体" w:cs="宋体"/>
          <w:color w:val="auto"/>
          <w:sz w:val="21"/>
          <w:szCs w:val="21"/>
          <w:highlight w:val="none"/>
        </w:rPr>
      </w:pPr>
    </w:p>
    <w:p w14:paraId="0C5B3225">
      <w:pPr>
        <w:keepNext w:val="0"/>
        <w:keepLines w:val="0"/>
        <w:pageBreakBefore w:val="0"/>
        <w:widowControl w:val="0"/>
        <w:shd w:val="clear" w:color="auto" w:fill="auto"/>
        <w:kinsoku/>
        <w:wordWrap/>
        <w:overflowPunct/>
        <w:topLinePunct w:val="0"/>
        <w:bidi w:val="0"/>
        <w:adjustRightInd/>
        <w:spacing w:line="400" w:lineRule="exact"/>
        <w:ind w:right="0" w:firstLine="2625" w:firstLineChars="1250"/>
        <w:contextualSpacing/>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投标人名称（电子签章）：</w:t>
      </w:r>
      <w:r>
        <w:rPr>
          <w:rFonts w:hint="eastAsia" w:ascii="宋体" w:hAnsi="宋体" w:eastAsia="宋体" w:cs="宋体"/>
          <w:color w:val="auto"/>
          <w:sz w:val="21"/>
          <w:szCs w:val="21"/>
          <w:highlight w:val="none"/>
          <w:u w:val="single"/>
          <w:lang w:val="en-US" w:eastAsia="zh-CN"/>
        </w:rPr>
        <w:t xml:space="preserve">               </w:t>
      </w:r>
    </w:p>
    <w:p w14:paraId="7B99058D">
      <w:pPr>
        <w:keepNext w:val="0"/>
        <w:keepLines w:val="0"/>
        <w:pageBreakBefore w:val="0"/>
        <w:widowControl w:val="0"/>
        <w:shd w:val="clear" w:color="auto" w:fill="auto"/>
        <w:kinsoku/>
        <w:wordWrap/>
        <w:overflowPunct/>
        <w:topLinePunct w:val="0"/>
        <w:bidi w:val="0"/>
        <w:adjustRightInd/>
        <w:spacing w:line="400" w:lineRule="exact"/>
        <w:ind w:right="0" w:firstLine="420" w:firstLineChars="200"/>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14:paraId="753CA7FD">
      <w:pP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br w:type="page"/>
      </w:r>
    </w:p>
    <w:p w14:paraId="1E7E4C80">
      <w:pPr>
        <w:keepNext w:val="0"/>
        <w:keepLines w:val="0"/>
        <w:pageBreakBefore w:val="0"/>
        <w:widowControl w:val="0"/>
        <w:numPr>
          <w:ilvl w:val="2"/>
          <w:numId w:val="0"/>
        </w:numPr>
        <w:kinsoku/>
        <w:wordWrap/>
        <w:overflowPunct/>
        <w:topLinePunct w:val="0"/>
        <w:autoSpaceDE/>
        <w:autoSpaceDN/>
        <w:bidi w:val="0"/>
        <w:adjustRightInd/>
        <w:snapToGrid w:val="0"/>
        <w:spacing w:line="400" w:lineRule="exact"/>
        <w:ind w:left="0" w:leftChars="0" w:firstLine="0" w:firstLineChars="0"/>
        <w:jc w:val="left"/>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kern w:val="2"/>
          <w:sz w:val="21"/>
          <w:szCs w:val="21"/>
          <w:highlight w:val="none"/>
          <w:lang w:val="en-US" w:eastAsia="zh-CN" w:bidi="ar-SA"/>
        </w:rPr>
        <w:t>3</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eastAsia="宋体" w:cs="宋体"/>
          <w:b w:val="0"/>
          <w:bCs/>
          <w:color w:val="auto"/>
          <w:sz w:val="21"/>
          <w:szCs w:val="21"/>
          <w:highlight w:val="none"/>
        </w:rPr>
        <w:t>投标声明格式</w:t>
      </w:r>
    </w:p>
    <w:p w14:paraId="029917EC">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投标声明</w:t>
      </w:r>
    </w:p>
    <w:p w14:paraId="465B0B71">
      <w:pPr>
        <w:keepNext w:val="0"/>
        <w:keepLines w:val="0"/>
        <w:pageBreakBefore w:val="0"/>
        <w:widowControl w:val="0"/>
        <w:kinsoku/>
        <w:wordWrap/>
        <w:overflowPunct/>
        <w:topLinePunct w:val="0"/>
        <w:autoSpaceDE/>
        <w:autoSpaceDN/>
        <w:bidi w:val="0"/>
        <w:adjustRightInd/>
        <w:spacing w:line="400" w:lineRule="exact"/>
        <w:ind w:firstLine="0" w:firstLineChars="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（采购人名称）</w:t>
      </w:r>
      <w:r>
        <w:rPr>
          <w:rFonts w:hint="eastAsia" w:ascii="宋体" w:hAnsi="宋体" w:eastAsia="宋体" w:cs="宋体"/>
          <w:color w:val="auto"/>
          <w:sz w:val="21"/>
          <w:szCs w:val="21"/>
          <w:highlight w:val="none"/>
        </w:rPr>
        <w:t>：</w:t>
      </w:r>
    </w:p>
    <w:p w14:paraId="6F56A28C">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我方参加贵单位组织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）的政府采购活动。我方在此郑重声明：</w:t>
      </w:r>
    </w:p>
    <w:p w14:paraId="47328D1B">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FFEF696">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2.我方不是为本次采购项目提供整体设计、规范编制或者项目管理、监理、检测等服务的供应商。</w:t>
      </w:r>
    </w:p>
    <w:p w14:paraId="5C8CF857">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3.我方承诺符合《中华人民共和国政府采购法》第二十二条规定：</w:t>
      </w:r>
    </w:p>
    <w:p w14:paraId="63C33999">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（一）具有独立承担民事责任的能力；</w:t>
      </w:r>
    </w:p>
    <w:p w14:paraId="63DD95D8">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（二）具有良好的商业信誉和健全的财务会计制度；</w:t>
      </w:r>
    </w:p>
    <w:p w14:paraId="39E3A4BB">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（三）具有履行合同所必需的设备和专业技术能力；</w:t>
      </w:r>
    </w:p>
    <w:p w14:paraId="208A04EE">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（四）有依法缴纳税收和社会保障资金的良好记录；</w:t>
      </w:r>
    </w:p>
    <w:p w14:paraId="5C7C77FB">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（五）参加政府采购活动前三年内，在经营活动中没有重大违法记录；</w:t>
      </w:r>
    </w:p>
    <w:p w14:paraId="0F7CF0D7">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（六）法律、行政法规规定的其他条件。</w:t>
      </w:r>
    </w:p>
    <w:p w14:paraId="2DF05F16">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4.以上事项如有虚假或者隐瞒，我方愿意承担一切后果，并不再寻求任何旨在减轻或者免除法律责任的辩解。</w:t>
      </w:r>
    </w:p>
    <w:p w14:paraId="56784376">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0051F66A">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注：如为联合体投标，盖章处须加盖联合体各方公章并由联合体各方法定代表人分别签字，否则投标无效。</w:t>
      </w:r>
    </w:p>
    <w:p w14:paraId="5D7026A4">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eastAsia="宋体" w:cs="宋体"/>
          <w:color w:val="auto"/>
          <w:sz w:val="21"/>
          <w:szCs w:val="21"/>
          <w:highlight w:val="none"/>
        </w:rPr>
      </w:pPr>
    </w:p>
    <w:p w14:paraId="0062C78E">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eastAsia="宋体" w:cs="宋体"/>
          <w:color w:val="auto"/>
          <w:sz w:val="21"/>
          <w:szCs w:val="21"/>
          <w:highlight w:val="none"/>
        </w:rPr>
      </w:pPr>
    </w:p>
    <w:p w14:paraId="16205212">
      <w:pPr>
        <w:keepNext w:val="0"/>
        <w:keepLines w:val="0"/>
        <w:pageBreakBefore w:val="0"/>
        <w:widowControl w:val="0"/>
        <w:kinsoku/>
        <w:wordWrap/>
        <w:overflowPunct/>
        <w:topLinePunct w:val="0"/>
        <w:autoSpaceDE/>
        <w:autoSpaceDN/>
        <w:bidi w:val="0"/>
        <w:adjustRightInd/>
        <w:spacing w:line="400" w:lineRule="exact"/>
        <w:ind w:firstLine="1470" w:firstLineChars="700"/>
        <w:contextualSpacing/>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法定代表人或者委托代理人（签字或者电子签名）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52D51A42">
      <w:pPr>
        <w:keepNext w:val="0"/>
        <w:keepLines w:val="0"/>
        <w:pageBreakBefore w:val="0"/>
        <w:widowControl w:val="0"/>
        <w:kinsoku/>
        <w:wordWrap/>
        <w:overflowPunct/>
        <w:topLinePunct w:val="0"/>
        <w:autoSpaceDE/>
        <w:autoSpaceDN/>
        <w:bidi w:val="0"/>
        <w:adjustRightInd/>
        <w:spacing w:line="400" w:lineRule="exact"/>
        <w:ind w:firstLine="1470" w:firstLineChars="7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投标人名称（电子签章）：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6880335">
      <w:pPr>
        <w:keepNext w:val="0"/>
        <w:keepLines w:val="0"/>
        <w:pageBreakBefore w:val="0"/>
        <w:widowControl w:val="0"/>
        <w:kinsoku/>
        <w:wordWrap/>
        <w:overflowPunct/>
        <w:topLinePunct w:val="0"/>
        <w:autoSpaceDE/>
        <w:autoSpaceDN/>
        <w:bidi w:val="0"/>
        <w:adjustRightInd/>
        <w:spacing w:line="400" w:lineRule="exact"/>
        <w:ind w:firstLine="4830" w:firstLineChars="23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0D6C9727">
      <w:pPr>
        <w:keepNext w:val="0"/>
        <w:keepLines w:val="0"/>
        <w:pageBreakBefore w:val="0"/>
        <w:widowControl w:val="0"/>
        <w:numPr>
          <w:ilvl w:val="0"/>
          <w:numId w:val="0"/>
        </w:numPr>
        <w:kinsoku/>
        <w:wordWrap/>
        <w:overflowPunct/>
        <w:topLinePunct w:val="0"/>
        <w:autoSpaceDE w:val="0"/>
        <w:autoSpaceDN w:val="0"/>
        <w:bidi w:val="0"/>
        <w:adjustRightInd/>
        <w:snapToGrid w:val="0"/>
        <w:spacing w:line="400" w:lineRule="exact"/>
        <w:jc w:val="both"/>
        <w:textAlignment w:val="bottom"/>
        <w:outlineLvl w:val="1"/>
        <w:rPr>
          <w:rFonts w:hint="eastAsia" w:ascii="宋体" w:hAnsi="宋体" w:eastAsia="宋体" w:cs="宋体"/>
          <w:b/>
          <w:color w:val="auto"/>
          <w:sz w:val="21"/>
          <w:szCs w:val="21"/>
          <w:highlight w:val="none"/>
        </w:rPr>
      </w:pPr>
      <w:bookmarkStart w:id="668" w:name="_Toc19686838"/>
      <w:r>
        <w:rPr>
          <w:rFonts w:hint="eastAsia" w:ascii="宋体" w:hAnsi="宋体" w:eastAsia="宋体" w:cs="宋体"/>
          <w:b/>
          <w:color w:val="auto"/>
          <w:sz w:val="21"/>
          <w:szCs w:val="21"/>
          <w:highlight w:val="none"/>
        </w:rPr>
        <w:br w:type="page"/>
      </w:r>
      <w:bookmarkStart w:id="669" w:name="_Toc20365"/>
      <w:bookmarkStart w:id="670" w:name="_Toc7303"/>
      <w:bookmarkStart w:id="671" w:name="_Toc22412"/>
      <w:r>
        <w:rPr>
          <w:rFonts w:hint="eastAsia" w:ascii="宋体" w:hAnsi="宋体" w:eastAsia="宋体" w:cs="宋体"/>
          <w:b/>
          <w:color w:val="auto"/>
          <w:sz w:val="21"/>
          <w:szCs w:val="21"/>
          <w:highlight w:val="none"/>
        </w:rPr>
        <w:t>三、商务</w:t>
      </w:r>
      <w:r>
        <w:rPr>
          <w:rFonts w:hint="eastAsia" w:ascii="宋体" w:hAnsi="宋体" w:eastAsia="宋体" w:cs="宋体"/>
          <w:b/>
          <w:color w:val="auto"/>
          <w:sz w:val="21"/>
          <w:szCs w:val="21"/>
          <w:highlight w:val="none"/>
          <w:lang w:val="en-US" w:eastAsia="zh-CN"/>
        </w:rPr>
        <w:t>及技术</w:t>
      </w:r>
      <w:r>
        <w:rPr>
          <w:rFonts w:hint="eastAsia" w:ascii="宋体" w:hAnsi="宋体" w:eastAsia="宋体" w:cs="宋体"/>
          <w:b/>
          <w:color w:val="auto"/>
          <w:sz w:val="21"/>
          <w:szCs w:val="21"/>
          <w:highlight w:val="none"/>
        </w:rPr>
        <w:t>文件格式</w:t>
      </w:r>
      <w:bookmarkEnd w:id="668"/>
      <w:bookmarkEnd w:id="669"/>
      <w:bookmarkEnd w:id="670"/>
      <w:bookmarkEnd w:id="671"/>
    </w:p>
    <w:p w14:paraId="3CBDEC28">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1.商务</w:t>
      </w:r>
      <w:r>
        <w:rPr>
          <w:rFonts w:hint="eastAsia" w:ascii="宋体" w:hAnsi="宋体" w:eastAsia="宋体" w:cs="宋体"/>
          <w:b/>
          <w:color w:val="auto"/>
          <w:sz w:val="21"/>
          <w:szCs w:val="21"/>
          <w:highlight w:val="none"/>
          <w:lang w:val="en-US" w:eastAsia="zh-CN"/>
        </w:rPr>
        <w:t>及技术</w:t>
      </w:r>
      <w:r>
        <w:rPr>
          <w:rFonts w:hint="eastAsia" w:ascii="宋体" w:hAnsi="宋体" w:eastAsia="宋体" w:cs="宋体"/>
          <w:b/>
          <w:color w:val="auto"/>
          <w:sz w:val="21"/>
          <w:szCs w:val="21"/>
          <w:highlight w:val="none"/>
        </w:rPr>
        <w:t>文件封面格式：</w:t>
      </w:r>
    </w:p>
    <w:p w14:paraId="5799E3E2">
      <w:pPr>
        <w:snapToGrid w:val="0"/>
        <w:spacing w:before="120" w:beforeLines="50" w:after="5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                                                 </w:t>
      </w:r>
    </w:p>
    <w:p w14:paraId="0EB7DE76">
      <w:pPr>
        <w:snapToGrid w:val="0"/>
        <w:spacing w:before="120" w:beforeLines="50" w:after="50"/>
        <w:rPr>
          <w:rFonts w:hint="eastAsia" w:ascii="宋体" w:hAnsi="宋体" w:eastAsia="宋体" w:cs="宋体"/>
          <w:color w:val="auto"/>
          <w:sz w:val="21"/>
          <w:szCs w:val="21"/>
          <w:highlight w:val="none"/>
        </w:rPr>
      </w:pPr>
    </w:p>
    <w:p w14:paraId="2217ADA9">
      <w:pPr>
        <w:snapToGrid w:val="0"/>
        <w:spacing w:before="120" w:beforeLines="50" w:after="50"/>
        <w:rPr>
          <w:rFonts w:hint="eastAsia" w:ascii="宋体" w:hAnsi="宋体" w:eastAsia="宋体" w:cs="宋体"/>
          <w:color w:val="auto"/>
          <w:sz w:val="21"/>
          <w:szCs w:val="21"/>
          <w:highlight w:val="none"/>
        </w:rPr>
      </w:pPr>
    </w:p>
    <w:p w14:paraId="4B7FB43F">
      <w:pPr>
        <w:snapToGrid w:val="0"/>
        <w:spacing w:before="120" w:beforeLines="50" w:after="50"/>
        <w:rPr>
          <w:rFonts w:hint="eastAsia" w:ascii="宋体" w:hAnsi="宋体" w:eastAsia="宋体" w:cs="宋体"/>
          <w:color w:val="auto"/>
          <w:sz w:val="21"/>
          <w:szCs w:val="21"/>
          <w:highlight w:val="none"/>
        </w:rPr>
      </w:pPr>
    </w:p>
    <w:p w14:paraId="5A6C1E68">
      <w:pPr>
        <w:snapToGrid w:val="0"/>
        <w:spacing w:before="120" w:beforeLines="50" w:after="50"/>
        <w:jc w:val="center"/>
        <w:rPr>
          <w:rFonts w:hint="eastAsia" w:ascii="方正小标宋_GBK" w:hAnsi="方正小标宋_GBK" w:eastAsia="方正小标宋_GBK" w:cs="方正小标宋_GBK"/>
          <w:color w:val="auto"/>
          <w:sz w:val="21"/>
          <w:szCs w:val="21"/>
          <w:highlight w:val="none"/>
        </w:rPr>
      </w:pPr>
      <w:r>
        <w:rPr>
          <w:rFonts w:hint="eastAsia" w:ascii="方正小标宋_GBK" w:hAnsi="方正小标宋_GBK" w:eastAsia="方正小标宋_GBK" w:cs="方正小标宋_GBK"/>
          <w:color w:val="auto"/>
          <w:sz w:val="21"/>
          <w:szCs w:val="21"/>
          <w:highlight w:val="none"/>
          <w:lang w:val="en-US" w:eastAsia="zh-CN"/>
        </w:rPr>
        <w:t>电子</w:t>
      </w:r>
      <w:r>
        <w:rPr>
          <w:rFonts w:hint="eastAsia" w:ascii="方正小标宋_GBK" w:hAnsi="方正小标宋_GBK" w:eastAsia="方正小标宋_GBK" w:cs="方正小标宋_GBK"/>
          <w:color w:val="auto"/>
          <w:sz w:val="21"/>
          <w:szCs w:val="21"/>
          <w:highlight w:val="none"/>
        </w:rPr>
        <w:t>投标文件</w:t>
      </w:r>
    </w:p>
    <w:p w14:paraId="20A4D490">
      <w:pPr>
        <w:snapToGrid w:val="0"/>
        <w:spacing w:before="120" w:beforeLines="50" w:after="50"/>
        <w:rPr>
          <w:rFonts w:hint="eastAsia" w:ascii="方正小标宋_GBK" w:hAnsi="方正小标宋_GBK" w:eastAsia="方正小标宋_GBK" w:cs="方正小标宋_GBK"/>
          <w:color w:val="auto"/>
          <w:sz w:val="21"/>
          <w:szCs w:val="21"/>
          <w:highlight w:val="none"/>
        </w:rPr>
      </w:pPr>
    </w:p>
    <w:p w14:paraId="0A7E90DB">
      <w:pPr>
        <w:snapToGrid w:val="0"/>
        <w:spacing w:before="120" w:beforeLines="50" w:after="50"/>
        <w:rPr>
          <w:rFonts w:hint="eastAsia" w:ascii="方正小标宋_GBK" w:hAnsi="方正小标宋_GBK" w:eastAsia="方正小标宋_GBK" w:cs="方正小标宋_GBK"/>
          <w:color w:val="auto"/>
          <w:sz w:val="21"/>
          <w:szCs w:val="21"/>
          <w:highlight w:val="none"/>
        </w:rPr>
      </w:pPr>
    </w:p>
    <w:p w14:paraId="244BF342">
      <w:pPr>
        <w:snapToGrid w:val="0"/>
        <w:spacing w:before="120" w:beforeLines="50" w:after="50"/>
        <w:jc w:val="center"/>
        <w:rPr>
          <w:rFonts w:hint="eastAsia" w:ascii="方正小标宋_GBK" w:hAnsi="方正小标宋_GBK" w:eastAsia="方正小标宋_GBK" w:cs="方正小标宋_GBK"/>
          <w:bCs/>
          <w:color w:val="auto"/>
          <w:sz w:val="21"/>
          <w:szCs w:val="21"/>
          <w:highlight w:val="none"/>
        </w:rPr>
      </w:pPr>
      <w:r>
        <w:rPr>
          <w:rFonts w:hint="eastAsia" w:ascii="方正小标宋_GBK" w:hAnsi="方正小标宋_GBK" w:eastAsia="方正小标宋_GBK" w:cs="方正小标宋_GBK"/>
          <w:bCs/>
          <w:color w:val="auto"/>
          <w:sz w:val="21"/>
          <w:szCs w:val="21"/>
          <w:highlight w:val="none"/>
        </w:rPr>
        <w:t xml:space="preserve">商 务 </w:t>
      </w:r>
      <w:r>
        <w:rPr>
          <w:rFonts w:hint="eastAsia" w:ascii="方正小标宋_GBK" w:hAnsi="方正小标宋_GBK" w:eastAsia="方正小标宋_GBK" w:cs="方正小标宋_GBK"/>
          <w:bCs/>
          <w:color w:val="auto"/>
          <w:sz w:val="21"/>
          <w:szCs w:val="21"/>
          <w:highlight w:val="none"/>
          <w:lang w:val="en-US" w:eastAsia="zh-CN"/>
        </w:rPr>
        <w:t>及</w:t>
      </w:r>
      <w:r>
        <w:rPr>
          <w:rFonts w:hint="eastAsia" w:ascii="方正小标宋_GBK" w:hAnsi="方正小标宋_GBK" w:eastAsia="方正小标宋_GBK" w:cs="方正小标宋_GBK"/>
          <w:bCs/>
          <w:color w:val="auto"/>
          <w:sz w:val="21"/>
          <w:szCs w:val="21"/>
          <w:highlight w:val="none"/>
        </w:rPr>
        <w:t xml:space="preserve"> </w:t>
      </w:r>
      <w:r>
        <w:rPr>
          <w:rFonts w:hint="eastAsia" w:ascii="方正小标宋_GBK" w:hAnsi="方正小标宋_GBK" w:eastAsia="方正小标宋_GBK" w:cs="方正小标宋_GBK"/>
          <w:bCs/>
          <w:color w:val="auto"/>
          <w:sz w:val="21"/>
          <w:szCs w:val="21"/>
          <w:highlight w:val="none"/>
          <w:lang w:val="en-US" w:eastAsia="zh-CN"/>
        </w:rPr>
        <w:t>技</w:t>
      </w:r>
      <w:r>
        <w:rPr>
          <w:rFonts w:hint="eastAsia" w:ascii="方正小标宋_GBK" w:hAnsi="方正小标宋_GBK" w:eastAsia="方正小标宋_GBK" w:cs="方正小标宋_GBK"/>
          <w:bCs/>
          <w:color w:val="auto"/>
          <w:sz w:val="21"/>
          <w:szCs w:val="21"/>
          <w:highlight w:val="none"/>
        </w:rPr>
        <w:t xml:space="preserve"> </w:t>
      </w:r>
      <w:r>
        <w:rPr>
          <w:rFonts w:hint="eastAsia" w:ascii="方正小标宋_GBK" w:hAnsi="方正小标宋_GBK" w:eastAsia="方正小标宋_GBK" w:cs="方正小标宋_GBK"/>
          <w:bCs/>
          <w:color w:val="auto"/>
          <w:sz w:val="21"/>
          <w:szCs w:val="21"/>
          <w:highlight w:val="none"/>
          <w:lang w:val="en-US" w:eastAsia="zh-CN"/>
        </w:rPr>
        <w:t>术</w:t>
      </w:r>
      <w:r>
        <w:rPr>
          <w:rFonts w:hint="eastAsia" w:ascii="方正小标宋_GBK" w:hAnsi="方正小标宋_GBK" w:eastAsia="方正小标宋_GBK" w:cs="方正小标宋_GBK"/>
          <w:bCs/>
          <w:color w:val="auto"/>
          <w:sz w:val="21"/>
          <w:szCs w:val="21"/>
          <w:highlight w:val="none"/>
        </w:rPr>
        <w:t xml:space="preserve"> 文 件</w:t>
      </w:r>
    </w:p>
    <w:p w14:paraId="7B8A267B">
      <w:pPr>
        <w:snapToGrid w:val="0"/>
        <w:spacing w:before="120" w:beforeLines="50" w:after="50"/>
        <w:rPr>
          <w:rFonts w:hint="eastAsia" w:ascii="宋体" w:hAnsi="宋体" w:eastAsia="宋体" w:cs="宋体"/>
          <w:bCs/>
          <w:color w:val="auto"/>
          <w:sz w:val="21"/>
          <w:szCs w:val="21"/>
          <w:highlight w:val="none"/>
        </w:rPr>
      </w:pPr>
    </w:p>
    <w:p w14:paraId="60FE1BBA">
      <w:pPr>
        <w:snapToGrid w:val="0"/>
        <w:spacing w:before="120" w:beforeLines="50" w:after="50"/>
        <w:ind w:firstLine="472" w:firstLineChars="225"/>
        <w:rPr>
          <w:rFonts w:hint="eastAsia" w:ascii="宋体" w:hAnsi="宋体" w:eastAsia="宋体" w:cs="宋体"/>
          <w:bCs/>
          <w:color w:val="auto"/>
          <w:sz w:val="21"/>
          <w:szCs w:val="21"/>
          <w:highlight w:val="none"/>
        </w:rPr>
      </w:pPr>
    </w:p>
    <w:p w14:paraId="4565BF88">
      <w:pPr>
        <w:snapToGrid w:val="0"/>
        <w:spacing w:before="120" w:beforeLines="50" w:after="50"/>
        <w:ind w:firstLine="472" w:firstLineChars="225"/>
        <w:rPr>
          <w:rFonts w:hint="eastAsia" w:ascii="宋体" w:hAnsi="宋体" w:eastAsia="宋体" w:cs="宋体"/>
          <w:bCs/>
          <w:color w:val="auto"/>
          <w:sz w:val="21"/>
          <w:szCs w:val="21"/>
          <w:highlight w:val="none"/>
        </w:rPr>
      </w:pPr>
    </w:p>
    <w:p w14:paraId="79C510F3">
      <w:pPr>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p>
    <w:p w14:paraId="782EE90E">
      <w:pPr>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项目名称：</w:t>
      </w:r>
    </w:p>
    <w:p w14:paraId="0BA33564">
      <w:pPr>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p>
    <w:p w14:paraId="379E3717">
      <w:pPr>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项目编号：</w:t>
      </w:r>
    </w:p>
    <w:p w14:paraId="19D5C022">
      <w:pPr>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p>
    <w:p w14:paraId="141FB515">
      <w:pPr>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所投分标：</w:t>
      </w:r>
    </w:p>
    <w:p w14:paraId="2A4865CA">
      <w:pPr>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p>
    <w:p w14:paraId="226E3642">
      <w:pPr>
        <w:pStyle w:val="7"/>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投标人名称：</w:t>
      </w:r>
    </w:p>
    <w:p w14:paraId="0ECF2448">
      <w:pPr>
        <w:pStyle w:val="7"/>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p>
    <w:p w14:paraId="15B40505">
      <w:pPr>
        <w:pStyle w:val="7"/>
        <w:keepNext w:val="0"/>
        <w:keepLines w:val="0"/>
        <w:pageBreakBefore w:val="0"/>
        <w:widowControl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投标人地址：</w:t>
      </w:r>
    </w:p>
    <w:p w14:paraId="4CA2C665">
      <w:pPr>
        <w:pStyle w:val="7"/>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bCs/>
          <w:color w:val="auto"/>
          <w:sz w:val="21"/>
          <w:szCs w:val="21"/>
          <w:highlight w:val="none"/>
        </w:rPr>
      </w:pPr>
    </w:p>
    <w:p w14:paraId="6102BB8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5300EECF">
      <w:pPr>
        <w:snapToGrid w:val="0"/>
        <w:spacing w:before="120" w:beforeLines="50" w:after="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2CD4823">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2.商务</w:t>
      </w:r>
      <w:r>
        <w:rPr>
          <w:rFonts w:hint="eastAsia" w:ascii="宋体" w:hAnsi="宋体" w:eastAsia="宋体" w:cs="宋体"/>
          <w:b/>
          <w:bCs/>
          <w:color w:val="auto"/>
          <w:sz w:val="21"/>
          <w:szCs w:val="21"/>
          <w:highlight w:val="none"/>
          <w:lang w:val="en-US" w:eastAsia="zh-CN"/>
        </w:rPr>
        <w:t>及技术</w:t>
      </w:r>
      <w:r>
        <w:rPr>
          <w:rFonts w:hint="eastAsia" w:ascii="宋体" w:hAnsi="宋体" w:eastAsia="宋体" w:cs="宋体"/>
          <w:b/>
          <w:bCs/>
          <w:color w:val="auto"/>
          <w:sz w:val="21"/>
          <w:szCs w:val="21"/>
          <w:highlight w:val="none"/>
        </w:rPr>
        <w:t>文件目录</w:t>
      </w:r>
    </w:p>
    <w:p w14:paraId="08BA32E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根据招标文件规定及投标人提供的材料自行编写目录。</w:t>
      </w:r>
    </w:p>
    <w:p w14:paraId="1E7B405D">
      <w:pPr>
        <w:snapToGrid w:val="0"/>
        <w:spacing w:before="50" w:after="120" w:afterLines="50"/>
        <w:jc w:val="left"/>
        <w:rPr>
          <w:rFonts w:hint="eastAsia" w:ascii="宋体" w:hAnsi="宋体" w:eastAsia="宋体" w:cs="宋体"/>
          <w:color w:val="auto"/>
          <w:sz w:val="21"/>
          <w:szCs w:val="21"/>
          <w:highlight w:val="none"/>
        </w:rPr>
      </w:pPr>
    </w:p>
    <w:p w14:paraId="73776BCD">
      <w:pPr>
        <w:keepNext w:val="0"/>
        <w:keepLines w:val="0"/>
        <w:pageBreakBefore w:val="0"/>
        <w:widowControl w:val="0"/>
        <w:kinsoku/>
        <w:wordWrap/>
        <w:overflowPunct/>
        <w:topLinePunct w:val="0"/>
        <w:autoSpaceDE/>
        <w:autoSpaceDN/>
        <w:bidi w:val="0"/>
        <w:adjustRightInd/>
        <w:snapToGrid w:val="0"/>
        <w:spacing w:line="400" w:lineRule="exact"/>
        <w:ind w:right="0" w:firstLine="0" w:firstLineChars="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7A79285B">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0" w:firstLineChars="0"/>
        <w:jc w:val="both"/>
        <w:textAlignment w:val="auto"/>
        <w:rPr>
          <w:rFonts w:hint="eastAsia" w:ascii="宋体" w:hAnsi="宋体" w:eastAsia="宋体" w:cs="宋体"/>
          <w:b/>
          <w:bCs w:val="0"/>
          <w:color w:val="auto"/>
          <w:spacing w:val="-11"/>
          <w:sz w:val="21"/>
          <w:szCs w:val="21"/>
          <w:highlight w:val="none"/>
        </w:rPr>
      </w:pPr>
      <w:r>
        <w:rPr>
          <w:rFonts w:hint="eastAsia" w:ascii="宋体" w:hAnsi="宋体" w:eastAsia="宋体" w:cs="宋体"/>
          <w:b w:val="0"/>
          <w:bCs/>
          <w:color w:val="auto"/>
          <w:sz w:val="21"/>
          <w:szCs w:val="21"/>
          <w:highlight w:val="none"/>
        </w:rPr>
        <w:t>3.投标人参加本项目无围标串标行为的承诺</w:t>
      </w:r>
      <w:r>
        <w:rPr>
          <w:rFonts w:hint="eastAsia" w:ascii="宋体" w:hAnsi="宋体" w:eastAsia="宋体" w:cs="宋体"/>
          <w:b w:val="0"/>
          <w:bCs/>
          <w:color w:val="auto"/>
          <w:sz w:val="21"/>
          <w:szCs w:val="21"/>
          <w:highlight w:val="none"/>
          <w:lang w:val="en-US" w:eastAsia="zh-CN"/>
        </w:rPr>
        <w:t>函格式</w:t>
      </w:r>
      <w:bookmarkStart w:id="672" w:name="_Toc23750"/>
      <w:bookmarkStart w:id="673" w:name="_Toc9192"/>
    </w:p>
    <w:p w14:paraId="5A519E72">
      <w:pPr>
        <w:keepNext w:val="0"/>
        <w:keepLines w:val="0"/>
        <w:pageBreakBefore w:val="0"/>
        <w:widowControl w:val="0"/>
        <w:kinsoku/>
        <w:wordWrap/>
        <w:overflowPunct/>
        <w:topLinePunct w:val="0"/>
        <w:autoSpaceDE/>
        <w:autoSpaceDN/>
        <w:bidi w:val="0"/>
        <w:adjustRightInd/>
        <w:spacing w:line="400" w:lineRule="exact"/>
        <w:ind w:left="0" w:leftChars="0" w:right="0" w:firstLine="1511" w:firstLineChars="800"/>
        <w:contextualSpacing/>
        <w:jc w:val="both"/>
        <w:textAlignment w:val="auto"/>
        <w:outlineLvl w:val="9"/>
        <w:rPr>
          <w:rFonts w:hint="eastAsia" w:ascii="宋体" w:hAnsi="宋体" w:eastAsia="宋体" w:cs="宋体"/>
          <w:b/>
          <w:bCs w:val="0"/>
          <w:color w:val="auto"/>
          <w:spacing w:val="-11"/>
          <w:sz w:val="21"/>
          <w:szCs w:val="21"/>
          <w:highlight w:val="none"/>
        </w:rPr>
      </w:pPr>
      <w:r>
        <w:rPr>
          <w:rFonts w:hint="eastAsia" w:ascii="宋体" w:hAnsi="宋体" w:eastAsia="宋体" w:cs="宋体"/>
          <w:b/>
          <w:bCs w:val="0"/>
          <w:color w:val="auto"/>
          <w:spacing w:val="-11"/>
          <w:sz w:val="21"/>
          <w:szCs w:val="21"/>
          <w:highlight w:val="none"/>
        </w:rPr>
        <w:t>投标人参加本项目无围标串标行为的承诺函</w:t>
      </w:r>
      <w:bookmarkEnd w:id="672"/>
      <w:bookmarkEnd w:id="673"/>
    </w:p>
    <w:p w14:paraId="0B41FD2C">
      <w:pPr>
        <w:keepNext w:val="0"/>
        <w:keepLines w:val="0"/>
        <w:pageBreakBefore w:val="0"/>
        <w:widowControl w:val="0"/>
        <w:kinsoku/>
        <w:wordWrap/>
        <w:overflowPunct/>
        <w:topLinePunct w:val="0"/>
        <w:autoSpaceDE/>
        <w:autoSpaceDN/>
        <w:bidi w:val="0"/>
        <w:adjustRightInd/>
        <w:snapToGrid/>
        <w:spacing w:line="400" w:lineRule="exact"/>
        <w:ind w:left="0" w:leftChars="0" w:right="0" w:firstLine="422" w:firstLineChars="200"/>
        <w:contextualSpacing/>
        <w:jc w:val="both"/>
        <w:textAlignment w:val="auto"/>
        <w:outlineLvl w:val="9"/>
        <w:rPr>
          <w:rFonts w:hint="eastAsia" w:ascii="宋体" w:hAnsi="宋体" w:eastAsia="宋体" w:cs="宋体"/>
          <w:b/>
          <w:color w:val="auto"/>
          <w:sz w:val="21"/>
          <w:szCs w:val="21"/>
          <w:highlight w:val="none"/>
        </w:rPr>
      </w:pPr>
      <w:bookmarkStart w:id="674" w:name="_Toc20760"/>
      <w:bookmarkStart w:id="675" w:name="_Toc2512"/>
      <w:r>
        <w:rPr>
          <w:rFonts w:hint="eastAsia" w:ascii="宋体" w:hAnsi="宋体" w:eastAsia="宋体" w:cs="宋体"/>
          <w:b/>
          <w:color w:val="auto"/>
          <w:sz w:val="21"/>
          <w:szCs w:val="21"/>
          <w:highlight w:val="none"/>
        </w:rPr>
        <w:t>一、我方承诺无下列相互串通投标的情形：</w:t>
      </w:r>
      <w:bookmarkEnd w:id="674"/>
      <w:bookmarkEnd w:id="675"/>
    </w:p>
    <w:p w14:paraId="75BCD623">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1.不同投标人的投标文件由同一单位或者个人编制；</w:t>
      </w:r>
    </w:p>
    <w:p w14:paraId="588A8113">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2.不同投标人委托同一单位或者个人办理投标事宜；</w:t>
      </w:r>
    </w:p>
    <w:p w14:paraId="00C5A0D4">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3.不同的投标人的投标文件载明的项目管理员为同一个人；</w:t>
      </w:r>
    </w:p>
    <w:p w14:paraId="686C61B9">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4.不同投标人的投标文件异常一致或者投标报价呈规律性差异；</w:t>
      </w:r>
    </w:p>
    <w:p w14:paraId="4150FD96">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5.不同投标人的投标文件相互混装；</w:t>
      </w:r>
    </w:p>
    <w:p w14:paraId="24A8C337">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6.不同投标人的投标保证金从同一单位或者个人账户转出。</w:t>
      </w:r>
    </w:p>
    <w:p w14:paraId="67F2F6C7">
      <w:pPr>
        <w:keepNext w:val="0"/>
        <w:keepLines w:val="0"/>
        <w:pageBreakBefore w:val="0"/>
        <w:widowControl w:val="0"/>
        <w:kinsoku/>
        <w:wordWrap/>
        <w:overflowPunct/>
        <w:topLinePunct w:val="0"/>
        <w:autoSpaceDE/>
        <w:autoSpaceDN/>
        <w:bidi w:val="0"/>
        <w:adjustRightInd/>
        <w:snapToGrid/>
        <w:spacing w:line="400" w:lineRule="exact"/>
        <w:ind w:left="0" w:leftChars="0" w:right="0" w:firstLine="422" w:firstLineChars="200"/>
        <w:contextualSpacing/>
        <w:jc w:val="both"/>
        <w:textAlignment w:val="auto"/>
        <w:outlineLvl w:val="9"/>
        <w:rPr>
          <w:rFonts w:hint="eastAsia" w:ascii="宋体" w:hAnsi="宋体" w:eastAsia="宋体" w:cs="宋体"/>
          <w:color w:val="auto"/>
          <w:sz w:val="21"/>
          <w:szCs w:val="21"/>
          <w:highlight w:val="none"/>
        </w:rPr>
      </w:pPr>
      <w:bookmarkStart w:id="676" w:name="_Toc18226"/>
      <w:bookmarkStart w:id="677" w:name="_Toc7105"/>
      <w:r>
        <w:rPr>
          <w:rFonts w:hint="eastAsia" w:ascii="宋体" w:hAnsi="宋体" w:eastAsia="宋体" w:cs="宋体"/>
          <w:b/>
          <w:color w:val="auto"/>
          <w:sz w:val="21"/>
          <w:szCs w:val="21"/>
          <w:highlight w:val="none"/>
        </w:rPr>
        <w:t>二、我方承诺无下列恶意串通的情形：</w:t>
      </w:r>
      <w:bookmarkEnd w:id="676"/>
      <w:bookmarkEnd w:id="677"/>
    </w:p>
    <w:p w14:paraId="02935FE9">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1.投标人直接或者间接从采购人或者采购代理机构处获得其他投标人的相关信息并修改其投标文件或者响应文件；</w:t>
      </w:r>
    </w:p>
    <w:p w14:paraId="329A242F">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2.投标人按照采购人或者采购代理机构的授意撤换、修改投标文件或者响应文件；</w:t>
      </w:r>
    </w:p>
    <w:p w14:paraId="38F38F5C">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3.投标人直接或者间接从采购人或者采购代理机构处获得评标委员会成员信息</w:t>
      </w:r>
      <w:r>
        <w:rPr>
          <w:rFonts w:hint="eastAsia" w:ascii="宋体" w:hAnsi="宋体" w:eastAsia="宋体" w:cs="宋体"/>
          <w:color w:val="auto"/>
          <w:sz w:val="21"/>
          <w:szCs w:val="21"/>
          <w:highlight w:val="none"/>
          <w:lang w:eastAsia="zh-CN"/>
        </w:rPr>
        <w:t>；</w:t>
      </w:r>
    </w:p>
    <w:p w14:paraId="6759E081">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投标人之间协商报价、技术方案等投标文件或者响应文件的实质性内容；</w:t>
      </w:r>
    </w:p>
    <w:p w14:paraId="0A427D80">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.属于同一集团、协会、商会等组织成员的投标人按照该组织要求协同参加政府采购活动；</w:t>
      </w:r>
    </w:p>
    <w:p w14:paraId="08968F66">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.投标人之间事先约定一致抬高或者压低投标报价，或者在招标项目中事先约定轮流以高价位或者低价位中标，或者事先约定由某一特定投标人中标，然后再参加投标；</w:t>
      </w:r>
    </w:p>
    <w:p w14:paraId="51388614">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.投标人之间商定部分投标人放弃参加政府采购活动或者放弃中标；</w:t>
      </w:r>
    </w:p>
    <w:p w14:paraId="54A8DA49">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.投标人与采购人或者采购代理机构之间、投标人相互之间，为谋求特定投标人中标或者排斥其他投标人的其他串通行为。</w:t>
      </w:r>
    </w:p>
    <w:p w14:paraId="45D11EBE">
      <w:pPr>
        <w:keepNext w:val="0"/>
        <w:keepLines w:val="0"/>
        <w:pageBreakBefore w:val="0"/>
        <w:widowControl w:val="0"/>
        <w:kinsoku/>
        <w:wordWrap/>
        <w:overflowPunct/>
        <w:topLinePunct w:val="0"/>
        <w:autoSpaceDE/>
        <w:autoSpaceDN/>
        <w:bidi w:val="0"/>
        <w:adjustRightInd/>
        <w:snapToGrid/>
        <w:spacing w:line="400" w:lineRule="exact"/>
        <w:ind w:left="0" w:leftChars="0" w:right="0" w:firstLine="422" w:firstLineChars="200"/>
        <w:contextualSpacing/>
        <w:jc w:val="both"/>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以上情形一经核查属实，我方愿意承担一切后果，并不再寻求任何旨在减轻或者免除法律责任的辩解。</w:t>
      </w:r>
    </w:p>
    <w:p w14:paraId="69B61A2B">
      <w:pPr>
        <w:keepNext w:val="0"/>
        <w:keepLines w:val="0"/>
        <w:pageBreakBefore w:val="0"/>
        <w:widowControl w:val="0"/>
        <w:shd w:val="clear" w:color="auto" w:fill="auto"/>
        <w:kinsoku/>
        <w:wordWrap/>
        <w:overflowPunct/>
        <w:topLinePunct w:val="0"/>
        <w:autoSpaceDE/>
        <w:autoSpaceDN/>
        <w:bidi w:val="0"/>
        <w:adjustRightInd/>
        <w:spacing w:line="400" w:lineRule="exact"/>
        <w:ind w:left="0" w:leftChars="0" w:right="0" w:firstLine="0" w:firstLineChars="0"/>
        <w:contextualSpacing/>
        <w:jc w:val="both"/>
        <w:textAlignment w:val="auto"/>
        <w:outlineLvl w:val="9"/>
        <w:rPr>
          <w:rFonts w:hint="eastAsia" w:ascii="宋体" w:hAnsi="宋体" w:eastAsia="宋体" w:cs="宋体"/>
          <w:color w:val="auto"/>
          <w:sz w:val="21"/>
          <w:szCs w:val="21"/>
          <w:highlight w:val="none"/>
        </w:rPr>
      </w:pPr>
    </w:p>
    <w:p w14:paraId="6B7FC233">
      <w:pPr>
        <w:keepNext w:val="0"/>
        <w:keepLines w:val="0"/>
        <w:pageBreakBefore w:val="0"/>
        <w:widowControl w:val="0"/>
        <w:shd w:val="clear" w:color="auto" w:fill="auto"/>
        <w:kinsoku/>
        <w:wordWrap/>
        <w:overflowPunct/>
        <w:topLinePunct w:val="0"/>
        <w:autoSpaceDE/>
        <w:autoSpaceDN/>
        <w:bidi w:val="0"/>
        <w:adjustRightInd/>
        <w:spacing w:line="400" w:lineRule="exact"/>
        <w:ind w:left="0" w:leftChars="0" w:right="0" w:firstLine="3990" w:firstLineChars="1900"/>
        <w:contextualSpacing/>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投标人名称（电子签章）：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5E3B2CD9">
      <w:pPr>
        <w:pStyle w:val="25"/>
        <w:keepNext w:val="0"/>
        <w:keepLines w:val="0"/>
        <w:pageBreakBefore w:val="0"/>
        <w:widowControl w:val="0"/>
        <w:kinsoku/>
        <w:wordWrap/>
        <w:overflowPunct/>
        <w:topLinePunct w:val="0"/>
        <w:autoSpaceDE/>
        <w:autoSpaceDN/>
        <w:bidi w:val="0"/>
        <w:adjustRightInd/>
        <w:spacing w:line="400" w:lineRule="exact"/>
        <w:ind w:left="0" w:leftChars="0" w:right="0" w:firstLine="5040" w:firstLineChars="24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2EF4924">
      <w:pPr>
        <w:keepNext w:val="0"/>
        <w:keepLines w:val="0"/>
        <w:pageBreakBefore w:val="0"/>
        <w:kinsoku/>
        <w:wordWrap/>
        <w:overflowPunct/>
        <w:topLinePunct w:val="0"/>
        <w:autoSpaceDE/>
        <w:autoSpaceDN/>
        <w:bidi w:val="0"/>
        <w:adjustRightInd/>
        <w:snapToGrid/>
        <w:spacing w:line="400" w:lineRule="exact"/>
        <w:ind w:left="0" w:leftChars="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580A63FF">
      <w:pPr>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kern w:val="2"/>
          <w:sz w:val="21"/>
          <w:szCs w:val="21"/>
          <w:highlight w:val="none"/>
          <w:lang w:val="en-US" w:eastAsia="zh-CN" w:bidi="ar-SA"/>
        </w:rPr>
        <w:t>4</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eastAsia="宋体" w:cs="宋体"/>
          <w:b w:val="0"/>
          <w:bCs/>
          <w:color w:val="auto"/>
          <w:sz w:val="21"/>
          <w:szCs w:val="21"/>
          <w:highlight w:val="none"/>
        </w:rPr>
        <w:t>法定代表人身份证明</w:t>
      </w:r>
      <w:r>
        <w:rPr>
          <w:rFonts w:hint="eastAsia" w:ascii="宋体" w:hAnsi="宋体" w:eastAsia="宋体" w:cs="宋体"/>
          <w:b w:val="0"/>
          <w:bCs/>
          <w:color w:val="auto"/>
          <w:sz w:val="21"/>
          <w:szCs w:val="21"/>
          <w:highlight w:val="none"/>
          <w:lang w:val="en-US" w:eastAsia="zh-CN"/>
        </w:rPr>
        <w:t>格式；</w:t>
      </w:r>
    </w:p>
    <w:p w14:paraId="1C8AEB98">
      <w:pPr>
        <w:keepNext w:val="0"/>
        <w:keepLines w:val="0"/>
        <w:pageBreakBefore w:val="0"/>
        <w:widowControl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bCs/>
          <w:color w:val="auto"/>
          <w:sz w:val="21"/>
          <w:szCs w:val="21"/>
          <w:highlight w:val="none"/>
        </w:rPr>
      </w:pPr>
    </w:p>
    <w:p w14:paraId="34D923EC">
      <w:pPr>
        <w:keepNext w:val="0"/>
        <w:keepLines w:val="0"/>
        <w:pageBreakBefore w:val="0"/>
        <w:widowControl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法定代表人身份证明</w:t>
      </w:r>
    </w:p>
    <w:p w14:paraId="404A83B0">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 标 人：</w:t>
      </w:r>
      <w:r>
        <w:rPr>
          <w:rFonts w:hint="eastAsia" w:ascii="宋体" w:hAnsi="宋体" w:eastAsia="宋体" w:cs="宋体"/>
          <w:color w:val="auto"/>
          <w:sz w:val="21"/>
          <w:szCs w:val="21"/>
          <w:highlight w:val="none"/>
          <w:u w:val="single"/>
        </w:rPr>
        <w:t xml:space="preserve">                                                        </w:t>
      </w:r>
    </w:p>
    <w:p w14:paraId="250E1264">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4F1A30D3">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      别：</w:t>
      </w:r>
      <w:r>
        <w:rPr>
          <w:rFonts w:hint="eastAsia" w:ascii="宋体" w:hAnsi="宋体" w:eastAsia="宋体" w:cs="宋体"/>
          <w:color w:val="auto"/>
          <w:sz w:val="21"/>
          <w:szCs w:val="21"/>
          <w:highlight w:val="none"/>
          <w:u w:val="single"/>
        </w:rPr>
        <w:t xml:space="preserve">                </w:t>
      </w:r>
    </w:p>
    <w:p w14:paraId="64C62052">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年    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p>
    <w:p w14:paraId="04E0594A">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14:paraId="04F349A7">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（投标人名称）              </w:t>
      </w:r>
      <w:r>
        <w:rPr>
          <w:rFonts w:hint="eastAsia" w:ascii="宋体" w:hAnsi="宋体" w:eastAsia="宋体" w:cs="宋体"/>
          <w:color w:val="auto"/>
          <w:sz w:val="21"/>
          <w:szCs w:val="21"/>
          <w:highlight w:val="none"/>
        </w:rPr>
        <w:t>的法定代表人。</w:t>
      </w:r>
    </w:p>
    <w:p w14:paraId="10B04336">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31D272E3">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p w14:paraId="294AC918">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p w14:paraId="3C087C69">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附件：法定代表人有效身份证正反面复印件</w:t>
      </w:r>
    </w:p>
    <w:p w14:paraId="4C5379CF">
      <w:pPr>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p w14:paraId="378E3495">
      <w:pPr>
        <w:keepNext w:val="0"/>
        <w:keepLines w:val="0"/>
        <w:pageBreakBefore w:val="0"/>
        <w:widowControl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投标人名称（电子签章）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1F2B960E">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E6A3C13">
      <w:pPr>
        <w:keepNext w:val="0"/>
        <w:keepLines w:val="0"/>
        <w:pageBreakBefore w:val="0"/>
        <w:widowControl w:val="0"/>
        <w:kinsoku/>
        <w:wordWrap/>
        <w:overflowPunct/>
        <w:topLinePunct w:val="0"/>
        <w:autoSpaceDE/>
        <w:autoSpaceDN/>
        <w:bidi w:val="0"/>
        <w:adjustRightInd/>
        <w:snapToGrid w:val="0"/>
        <w:spacing w:line="400" w:lineRule="exact"/>
        <w:ind w:right="0"/>
        <w:jc w:val="lef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注：自然人投标的无需提供</w:t>
      </w:r>
      <w:r>
        <w:rPr>
          <w:rFonts w:hint="eastAsia" w:ascii="宋体" w:hAnsi="宋体" w:eastAsia="宋体" w:cs="宋体"/>
          <w:color w:val="auto"/>
          <w:sz w:val="21"/>
          <w:szCs w:val="21"/>
          <w:highlight w:val="none"/>
          <w:lang w:eastAsia="zh-CN"/>
        </w:rPr>
        <w:t>。</w:t>
      </w:r>
    </w:p>
    <w:p w14:paraId="27FB2B4B">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授权委托书格式</w:t>
      </w:r>
    </w:p>
    <w:p w14:paraId="12359D95">
      <w:pPr>
        <w:keepNext w:val="0"/>
        <w:keepLines w:val="0"/>
        <w:pageBreakBefore w:val="0"/>
        <w:widowControl w:val="0"/>
        <w:kinsoku/>
        <w:wordWrap/>
        <w:overflowPunct/>
        <w:topLinePunct w:val="0"/>
        <w:autoSpaceDE/>
        <w:autoSpaceDN/>
        <w:bidi w:val="0"/>
        <w:adjustRightInd/>
        <w:spacing w:line="400" w:lineRule="exact"/>
        <w:ind w:left="0" w:leftChars="0" w:right="0"/>
        <w:contextualSpacing/>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授权委托书</w:t>
      </w:r>
    </w:p>
    <w:p w14:paraId="05C61E9C">
      <w:pPr>
        <w:keepNext w:val="0"/>
        <w:keepLines w:val="0"/>
        <w:pageBreakBefore w:val="0"/>
        <w:widowControl w:val="0"/>
        <w:kinsoku/>
        <w:wordWrap/>
        <w:overflowPunct/>
        <w:topLinePunct w:val="0"/>
        <w:autoSpaceDE/>
        <w:autoSpaceDN/>
        <w:bidi w:val="0"/>
        <w:adjustRightInd/>
        <w:spacing w:line="400" w:lineRule="exact"/>
        <w:ind w:left="0" w:leftChars="0" w:right="0"/>
        <w:contextualSpacing/>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（如有委托时）</w:t>
      </w:r>
    </w:p>
    <w:p w14:paraId="2D3E6C89">
      <w:pPr>
        <w:keepNext w:val="0"/>
        <w:keepLines w:val="0"/>
        <w:pageBreakBefore w:val="0"/>
        <w:widowControl w:val="0"/>
        <w:kinsoku/>
        <w:wordWrap/>
        <w:overflowPunct/>
        <w:topLinePunct w:val="0"/>
        <w:autoSpaceDE/>
        <w:autoSpaceDN/>
        <w:bidi w:val="0"/>
        <w:adjustRightInd/>
        <w:spacing w:line="400" w:lineRule="exact"/>
        <w:ind w:left="0" w:leftChars="0" w:right="0"/>
        <w:contextualSpacing/>
        <w:jc w:val="center"/>
        <w:textAlignment w:val="auto"/>
        <w:rPr>
          <w:rFonts w:hint="eastAsia" w:ascii="宋体" w:hAnsi="宋体" w:eastAsia="宋体" w:cs="宋体"/>
          <w:b/>
          <w:color w:val="auto"/>
          <w:sz w:val="21"/>
          <w:szCs w:val="21"/>
          <w:highlight w:val="none"/>
        </w:rPr>
      </w:pPr>
    </w:p>
    <w:p w14:paraId="39F030F9">
      <w:pPr>
        <w:keepNext w:val="0"/>
        <w:keepLines w:val="0"/>
        <w:pageBreakBefore w:val="0"/>
        <w:widowControl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致：</w:t>
      </w:r>
      <w:r>
        <w:rPr>
          <w:rFonts w:hint="eastAsia" w:ascii="宋体" w:hAnsi="宋体" w:eastAsia="宋体" w:cs="宋体"/>
          <w:color w:val="auto"/>
          <w:sz w:val="21"/>
          <w:szCs w:val="21"/>
          <w:highlight w:val="none"/>
          <w:u w:val="single"/>
        </w:rPr>
        <w:t>采购人名称</w:t>
      </w:r>
      <w:r>
        <w:rPr>
          <w:rFonts w:hint="eastAsia" w:ascii="宋体" w:hAnsi="宋体" w:eastAsia="宋体" w:cs="宋体"/>
          <w:color w:val="auto"/>
          <w:sz w:val="21"/>
          <w:szCs w:val="21"/>
          <w:highlight w:val="none"/>
        </w:rPr>
        <w:t>：</w:t>
      </w:r>
    </w:p>
    <w:p w14:paraId="49FEF454">
      <w:pPr>
        <w:keepNext w:val="0"/>
        <w:keepLines w:val="0"/>
        <w:pageBreakBefore w:val="0"/>
        <w:widowControl w:val="0"/>
        <w:kinsoku/>
        <w:wordWrap/>
        <w:overflowPunct/>
        <w:topLinePunct w:val="0"/>
        <w:autoSpaceDE/>
        <w:autoSpaceDN/>
        <w:bidi w:val="0"/>
        <w:adjustRightInd/>
        <w:spacing w:line="400" w:lineRule="exact"/>
        <w:ind w:left="0" w:leftChars="0" w:right="0" w:firstLine="495" w:firstLineChars="236"/>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（投标人名称）的法定代表人，现授权委托</w:t>
      </w:r>
      <w:r>
        <w:rPr>
          <w:rFonts w:hint="eastAsia" w:ascii="宋体" w:hAnsi="宋体" w:eastAsia="宋体" w:cs="宋体"/>
          <w:color w:val="auto"/>
          <w:sz w:val="21"/>
          <w:szCs w:val="21"/>
          <w:highlight w:val="none"/>
          <w:u w:val="single"/>
        </w:rPr>
        <w:t xml:space="preserve">       （姓名）</w:t>
      </w:r>
      <w:r>
        <w:rPr>
          <w:rFonts w:hint="eastAsia" w:ascii="宋体" w:hAnsi="宋体" w:eastAsia="宋体" w:cs="宋体"/>
          <w:color w:val="auto"/>
          <w:sz w:val="21"/>
          <w:szCs w:val="21"/>
          <w:highlight w:val="none"/>
        </w:rPr>
        <w:t>以我方的名义参加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项目的投标活动，并代表我方全权办理针对上述项目的所有采购程序和环节的具体事务和签署相关文件。</w:t>
      </w:r>
    </w:p>
    <w:p w14:paraId="551E234B">
      <w:pPr>
        <w:keepNext w:val="0"/>
        <w:keepLines w:val="0"/>
        <w:pageBreakBefore w:val="0"/>
        <w:widowControl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我方对委托代理人的签字事项负全部责任。</w:t>
      </w:r>
    </w:p>
    <w:p w14:paraId="59234844">
      <w:pPr>
        <w:keepNext w:val="0"/>
        <w:keepLines w:val="0"/>
        <w:pageBreakBefore w:val="0"/>
        <w:widowControl w:val="0"/>
        <w:kinsoku/>
        <w:wordWrap/>
        <w:overflowPunct/>
        <w:topLinePunct w:val="0"/>
        <w:autoSpaceDE/>
        <w:autoSpaceDN/>
        <w:bidi w:val="0"/>
        <w:adjustRightInd/>
        <w:spacing w:line="400" w:lineRule="exact"/>
        <w:ind w:left="0" w:leftChars="0" w:right="0" w:firstLine="48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本授权书自签署之日起生效，在撤销授权的书面通知以前，本授权书一直有效。委托代理人在授权书有效期内签署的所有文件不因授权的撤销而失效。</w:t>
      </w:r>
    </w:p>
    <w:p w14:paraId="675E4DA3">
      <w:pPr>
        <w:keepNext w:val="0"/>
        <w:keepLines w:val="0"/>
        <w:pageBreakBefore w:val="0"/>
        <w:widowControl w:val="0"/>
        <w:kinsoku/>
        <w:wordWrap/>
        <w:overflowPunct/>
        <w:topLinePunct w:val="0"/>
        <w:autoSpaceDE/>
        <w:autoSpaceDN/>
        <w:bidi w:val="0"/>
        <w:adjustRightInd/>
        <w:spacing w:line="400" w:lineRule="exact"/>
        <w:ind w:left="0" w:leftChars="0" w:right="0" w:firstLine="48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委托代理人无转委托权，特此委托。</w:t>
      </w:r>
    </w:p>
    <w:p w14:paraId="54B00D7A">
      <w:pPr>
        <w:keepNext w:val="0"/>
        <w:keepLines w:val="0"/>
        <w:pageBreakBefore w:val="0"/>
        <w:widowControl w:val="0"/>
        <w:kinsoku/>
        <w:wordWrap/>
        <w:overflowPunct/>
        <w:topLinePunct w:val="0"/>
        <w:autoSpaceDE/>
        <w:autoSpaceDN/>
        <w:bidi w:val="0"/>
        <w:adjustRightInd/>
        <w:spacing w:line="400" w:lineRule="exact"/>
        <w:ind w:left="0" w:leftChars="0" w:right="0" w:firstLine="48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附：法定代表人身份证明及委托代理人有效身份证正反面复印件</w:t>
      </w:r>
    </w:p>
    <w:p w14:paraId="49BF8417">
      <w:pPr>
        <w:keepNext w:val="0"/>
        <w:keepLines w:val="0"/>
        <w:pageBreakBefore w:val="0"/>
        <w:widowControl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p>
    <w:p w14:paraId="12B1E858">
      <w:pPr>
        <w:keepNext w:val="0"/>
        <w:keepLines w:val="0"/>
        <w:pageBreakBefore w:val="0"/>
        <w:widowControl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rPr>
        <w:t>（签字或者电子签名）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6D4059F7">
      <w:pPr>
        <w:keepNext w:val="0"/>
        <w:keepLines w:val="0"/>
        <w:pageBreakBefore w:val="0"/>
        <w:widowControl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rPr>
        <w:t>（签字或者电子签名）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p>
    <w:p w14:paraId="184CA4F6">
      <w:pPr>
        <w:keepNext w:val="0"/>
        <w:keepLines w:val="0"/>
        <w:pageBreakBefore w:val="0"/>
        <w:widowControl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委托代理人身份证号码：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2451981">
      <w:pPr>
        <w:keepNext w:val="0"/>
        <w:keepLines w:val="0"/>
        <w:pageBreakBefore w:val="0"/>
        <w:widowControl w:val="0"/>
        <w:kinsoku/>
        <w:wordWrap/>
        <w:overflowPunct/>
        <w:topLinePunct w:val="0"/>
        <w:autoSpaceDE/>
        <w:autoSpaceDN/>
        <w:bidi w:val="0"/>
        <w:adjustRightInd/>
        <w:spacing w:line="400" w:lineRule="exact"/>
        <w:ind w:left="0" w:leftChars="0" w:right="0"/>
        <w:contextualSpacing/>
        <w:jc w:val="center"/>
        <w:textAlignment w:val="auto"/>
        <w:rPr>
          <w:rFonts w:hint="eastAsia" w:ascii="宋体" w:hAnsi="宋体" w:eastAsia="宋体" w:cs="宋体"/>
          <w:color w:val="auto"/>
          <w:sz w:val="21"/>
          <w:szCs w:val="21"/>
          <w:highlight w:val="none"/>
        </w:rPr>
      </w:pPr>
    </w:p>
    <w:p w14:paraId="44F03B29">
      <w:pPr>
        <w:keepNext w:val="0"/>
        <w:keepLines w:val="0"/>
        <w:pageBreakBefore w:val="0"/>
        <w:widowControl w:val="0"/>
        <w:kinsoku/>
        <w:wordWrap/>
        <w:overflowPunct/>
        <w:topLinePunct w:val="0"/>
        <w:autoSpaceDE/>
        <w:autoSpaceDN/>
        <w:bidi w:val="0"/>
        <w:adjustRightInd/>
        <w:spacing w:line="400" w:lineRule="exact"/>
        <w:ind w:left="0" w:leftChars="0" w:right="0"/>
        <w:contextualSpacing/>
        <w:jc w:val="center"/>
        <w:textAlignment w:val="auto"/>
        <w:rPr>
          <w:rFonts w:hint="eastAsia" w:ascii="宋体" w:hAnsi="宋体" w:eastAsia="宋体" w:cs="宋体"/>
          <w:color w:val="auto"/>
          <w:sz w:val="21"/>
          <w:szCs w:val="21"/>
          <w:highlight w:val="none"/>
        </w:rPr>
      </w:pPr>
    </w:p>
    <w:p w14:paraId="02EC21D7">
      <w:pPr>
        <w:keepNext w:val="0"/>
        <w:keepLines w:val="0"/>
        <w:pageBreakBefore w:val="0"/>
        <w:widowControl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bookmarkStart w:id="678" w:name="_Hlk65851555"/>
      <w:bookmarkStart w:id="679" w:name="_Hlk65851620"/>
    </w:p>
    <w:p w14:paraId="5F7C9803">
      <w:pPr>
        <w:keepNext w:val="0"/>
        <w:keepLines w:val="0"/>
        <w:pageBreakBefore w:val="0"/>
        <w:widowControl w:val="0"/>
        <w:kinsoku/>
        <w:wordWrap/>
        <w:overflowPunct/>
        <w:topLinePunct w:val="0"/>
        <w:autoSpaceDE/>
        <w:autoSpaceDN/>
        <w:bidi w:val="0"/>
        <w:adjustRightInd/>
        <w:spacing w:line="400" w:lineRule="exact"/>
        <w:ind w:left="0" w:leftChars="0" w:right="0" w:firstLine="420" w:firstLineChars="200"/>
        <w:contextualSpacing/>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法定代表人必须在授权委托书上签字或者盖章或者电子签名，</w:t>
      </w:r>
      <w:bookmarkEnd w:id="678"/>
      <w:r>
        <w:rPr>
          <w:rFonts w:hint="eastAsia" w:ascii="宋体" w:hAnsi="宋体" w:eastAsia="宋体" w:cs="宋体"/>
          <w:color w:val="auto"/>
          <w:sz w:val="21"/>
          <w:szCs w:val="21"/>
          <w:highlight w:val="none"/>
        </w:rPr>
        <w:t>委托代理人必须在授权委托书上签字或者电子签名，</w:t>
      </w:r>
      <w:r>
        <w:rPr>
          <w:rFonts w:hint="eastAsia" w:ascii="宋体" w:hAnsi="宋体" w:eastAsia="宋体" w:cs="宋体"/>
          <w:b/>
          <w:bCs/>
          <w:color w:val="auto"/>
          <w:sz w:val="21"/>
          <w:szCs w:val="21"/>
          <w:highlight w:val="none"/>
        </w:rPr>
        <w:t>否则按无效投标处理</w:t>
      </w:r>
      <w:bookmarkEnd w:id="679"/>
      <w:r>
        <w:rPr>
          <w:rFonts w:hint="eastAsia" w:ascii="宋体" w:hAnsi="宋体" w:eastAsia="宋体" w:cs="宋体"/>
          <w:color w:val="auto"/>
          <w:sz w:val="21"/>
          <w:szCs w:val="21"/>
          <w:highlight w:val="none"/>
          <w:lang w:eastAsia="zh-CN"/>
        </w:rPr>
        <w:t>。</w:t>
      </w:r>
    </w:p>
    <w:p w14:paraId="33710E89">
      <w:pPr>
        <w:keepNext w:val="0"/>
        <w:keepLines w:val="0"/>
        <w:pageBreakBefore w:val="0"/>
        <w:widowControl w:val="0"/>
        <w:kinsoku/>
        <w:wordWrap/>
        <w:overflowPunct/>
        <w:topLinePunct w:val="0"/>
        <w:autoSpaceDE/>
        <w:autoSpaceDN/>
        <w:bidi w:val="0"/>
        <w:adjustRightInd/>
        <w:spacing w:line="400" w:lineRule="exact"/>
        <w:ind w:left="0" w:leftChars="0"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法人、其他组织投标时“我方”是指“我单位”，自然人投标时“我方”是指“本人”。</w:t>
      </w:r>
    </w:p>
    <w:p w14:paraId="191F2711">
      <w:pPr>
        <w:keepNext w:val="0"/>
        <w:keepLines w:val="0"/>
        <w:pageBreakBefore w:val="0"/>
        <w:widowControl w:val="0"/>
        <w:kinsoku/>
        <w:wordWrap/>
        <w:overflowPunct/>
        <w:topLinePunct w:val="0"/>
        <w:autoSpaceDE/>
        <w:autoSpaceDN/>
        <w:bidi w:val="0"/>
        <w:adjustRightInd/>
        <w:spacing w:line="400" w:lineRule="exact"/>
        <w:ind w:left="0" w:leftChars="0" w:right="0"/>
        <w:contextualSpacing/>
        <w:jc w:val="center"/>
        <w:textAlignment w:val="auto"/>
        <w:rPr>
          <w:rFonts w:hint="eastAsia" w:ascii="宋体" w:hAnsi="宋体" w:eastAsia="宋体" w:cs="宋体"/>
          <w:color w:val="auto"/>
          <w:sz w:val="21"/>
          <w:szCs w:val="21"/>
          <w:highlight w:val="none"/>
        </w:rPr>
      </w:pPr>
    </w:p>
    <w:p w14:paraId="28B799BD">
      <w:pPr>
        <w:keepNext w:val="0"/>
        <w:keepLines w:val="0"/>
        <w:pageBreakBefore w:val="0"/>
        <w:widowControl w:val="0"/>
        <w:kinsoku/>
        <w:wordWrap/>
        <w:overflowPunct/>
        <w:topLinePunct w:val="0"/>
        <w:autoSpaceDE/>
        <w:autoSpaceDN/>
        <w:bidi w:val="0"/>
        <w:adjustRightInd/>
        <w:spacing w:line="400" w:lineRule="exact"/>
        <w:ind w:left="0" w:leftChars="0" w:right="0"/>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投标人名称（电子签章）：</w:t>
      </w:r>
      <w:r>
        <w:rPr>
          <w:rFonts w:hint="eastAsia" w:ascii="宋体" w:hAnsi="宋体" w:eastAsia="宋体" w:cs="宋体"/>
          <w:color w:val="auto"/>
          <w:sz w:val="21"/>
          <w:szCs w:val="21"/>
          <w:highlight w:val="none"/>
          <w:u w:val="single"/>
        </w:rPr>
        <w:t xml:space="preserve">              </w:t>
      </w:r>
    </w:p>
    <w:p w14:paraId="5E9A2378">
      <w:pPr>
        <w:keepNext w:val="0"/>
        <w:keepLines w:val="0"/>
        <w:pageBreakBefore w:val="0"/>
        <w:widowControl w:val="0"/>
        <w:kinsoku/>
        <w:wordWrap/>
        <w:overflowPunct/>
        <w:topLinePunct w:val="0"/>
        <w:autoSpaceDE/>
        <w:autoSpaceDN/>
        <w:bidi w:val="0"/>
        <w:adjustRightInd/>
        <w:spacing w:line="400" w:lineRule="exact"/>
        <w:ind w:left="0" w:leftChars="0" w:right="0" w:firstLine="5250" w:firstLineChars="25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04552BDB">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p>
    <w:p w14:paraId="0EC3121E">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3FF99628">
      <w:pPr>
        <w:keepNext w:val="0"/>
        <w:keepLines w:val="0"/>
        <w:pageBreakBefore w:val="0"/>
        <w:numPr>
          <w:ilvl w:val="0"/>
          <w:numId w:val="0"/>
        </w:numPr>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kern w:val="2"/>
          <w:sz w:val="21"/>
          <w:szCs w:val="21"/>
          <w:highlight w:val="none"/>
          <w:lang w:val="en-US" w:eastAsia="zh-CN" w:bidi="ar-SA"/>
        </w:rPr>
        <w:t>6</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eastAsia="宋体" w:cs="宋体"/>
          <w:b w:val="0"/>
          <w:bCs/>
          <w:color w:val="auto"/>
          <w:sz w:val="21"/>
          <w:szCs w:val="21"/>
          <w:highlight w:val="none"/>
        </w:rPr>
        <w:t>商务要求偏离表格式</w:t>
      </w:r>
    </w:p>
    <w:p w14:paraId="5847C231">
      <w:pPr>
        <w:pStyle w:val="31"/>
        <w:keepNext w:val="0"/>
        <w:keepLines w:val="0"/>
        <w:pageBreakBefore w:val="0"/>
        <w:numPr>
          <w:ilvl w:val="0"/>
          <w:numId w:val="0"/>
        </w:numPr>
        <w:tabs>
          <w:tab w:val="clear" w:pos="4153"/>
          <w:tab w:val="clear" w:pos="8306"/>
        </w:tabs>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p w14:paraId="62CB5F97">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商务要求偏离表</w:t>
      </w:r>
    </w:p>
    <w:p w14:paraId="4EBE09C3">
      <w:pPr>
        <w:pStyle w:val="25"/>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所投分标：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分标</w:t>
      </w:r>
    </w:p>
    <w:tbl>
      <w:tblPr>
        <w:tblStyle w:val="48"/>
        <w:tblpPr w:leftFromText="180" w:rightFromText="180" w:vertAnchor="text" w:horzAnchor="margin" w:tblpXSpec="center" w:tblpY="94"/>
        <w:tblW w:w="8978"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3770"/>
        <w:gridCol w:w="3063"/>
        <w:gridCol w:w="1455"/>
      </w:tblGrid>
      <w:tr w14:paraId="2FF4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0" w:type="dxa"/>
            <w:tcBorders>
              <w:top w:val="single" w:color="auto" w:sz="4" w:space="0"/>
              <w:left w:val="single" w:color="auto" w:sz="4" w:space="0"/>
              <w:bottom w:val="single" w:color="auto" w:sz="4" w:space="0"/>
              <w:right w:val="single" w:color="auto" w:sz="4" w:space="0"/>
            </w:tcBorders>
            <w:vAlign w:val="center"/>
          </w:tcPr>
          <w:p w14:paraId="03A8A471">
            <w:pPr>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3770" w:type="dxa"/>
            <w:tcBorders>
              <w:top w:val="single" w:color="auto" w:sz="4" w:space="0"/>
              <w:left w:val="single" w:color="auto" w:sz="4" w:space="0"/>
              <w:bottom w:val="single" w:color="auto" w:sz="4" w:space="0"/>
              <w:right w:val="single" w:color="auto" w:sz="4" w:space="0"/>
            </w:tcBorders>
            <w:vAlign w:val="center"/>
          </w:tcPr>
          <w:p w14:paraId="3CC9EE47">
            <w:pPr>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招标文件的商务需求</w:t>
            </w:r>
          </w:p>
        </w:tc>
        <w:tc>
          <w:tcPr>
            <w:tcW w:w="3063" w:type="dxa"/>
            <w:tcBorders>
              <w:top w:val="single" w:color="auto" w:sz="4" w:space="0"/>
              <w:left w:val="single" w:color="auto" w:sz="4" w:space="0"/>
              <w:bottom w:val="single" w:color="auto" w:sz="4" w:space="0"/>
              <w:right w:val="single" w:color="auto" w:sz="4" w:space="0"/>
            </w:tcBorders>
            <w:vAlign w:val="center"/>
          </w:tcPr>
          <w:p w14:paraId="389F2E1A">
            <w:pPr>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投标文件承诺的商务条款</w:t>
            </w:r>
          </w:p>
        </w:tc>
        <w:tc>
          <w:tcPr>
            <w:tcW w:w="1455" w:type="dxa"/>
            <w:tcBorders>
              <w:top w:val="single" w:color="auto" w:sz="4" w:space="0"/>
              <w:left w:val="single" w:color="auto" w:sz="4" w:space="0"/>
              <w:bottom w:val="single" w:color="auto" w:sz="4" w:space="0"/>
              <w:right w:val="single" w:color="auto" w:sz="4" w:space="0"/>
            </w:tcBorders>
            <w:vAlign w:val="center"/>
          </w:tcPr>
          <w:p w14:paraId="70C68D17">
            <w:pPr>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偏离说明</w:t>
            </w:r>
          </w:p>
        </w:tc>
      </w:tr>
      <w:tr w14:paraId="026E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0" w:type="dxa"/>
            <w:tcBorders>
              <w:top w:val="single" w:color="auto" w:sz="4" w:space="0"/>
              <w:left w:val="single" w:color="auto" w:sz="4" w:space="0"/>
              <w:bottom w:val="single" w:color="auto" w:sz="4" w:space="0"/>
              <w:right w:val="single" w:color="auto" w:sz="4" w:space="0"/>
            </w:tcBorders>
          </w:tcPr>
          <w:p w14:paraId="57D71B16">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3770" w:type="dxa"/>
            <w:tcBorders>
              <w:top w:val="single" w:color="auto" w:sz="4" w:space="0"/>
              <w:left w:val="single" w:color="auto" w:sz="4" w:space="0"/>
              <w:bottom w:val="single" w:color="auto" w:sz="4" w:space="0"/>
              <w:right w:val="single" w:color="auto" w:sz="4" w:space="0"/>
            </w:tcBorders>
          </w:tcPr>
          <w:p w14:paraId="45EE1D10">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56816306">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53E2CD0F">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29EE45AA">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063" w:type="dxa"/>
            <w:tcBorders>
              <w:top w:val="single" w:color="auto" w:sz="4" w:space="0"/>
              <w:left w:val="single" w:color="auto" w:sz="4" w:space="0"/>
              <w:bottom w:val="single" w:color="auto" w:sz="4" w:space="0"/>
              <w:right w:val="single" w:color="auto" w:sz="4" w:space="0"/>
            </w:tcBorders>
          </w:tcPr>
          <w:p w14:paraId="1BEDFC52">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7CBA6D1F">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0C02098C">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64187C86">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455" w:type="dxa"/>
            <w:tcBorders>
              <w:top w:val="single" w:color="auto" w:sz="4" w:space="0"/>
              <w:left w:val="single" w:color="auto" w:sz="4" w:space="0"/>
              <w:bottom w:val="single" w:color="auto" w:sz="4" w:space="0"/>
              <w:right w:val="single" w:color="auto" w:sz="4" w:space="0"/>
            </w:tcBorders>
          </w:tcPr>
          <w:p w14:paraId="053CDFB7">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tc>
      </w:tr>
      <w:tr w14:paraId="0689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0" w:type="dxa"/>
            <w:tcBorders>
              <w:top w:val="single" w:color="auto" w:sz="4" w:space="0"/>
              <w:left w:val="single" w:color="auto" w:sz="4" w:space="0"/>
              <w:bottom w:val="single" w:color="auto" w:sz="4" w:space="0"/>
              <w:right w:val="single" w:color="auto" w:sz="4" w:space="0"/>
            </w:tcBorders>
          </w:tcPr>
          <w:p w14:paraId="0CD2EEEC">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3770" w:type="dxa"/>
            <w:tcBorders>
              <w:top w:val="single" w:color="auto" w:sz="4" w:space="0"/>
              <w:left w:val="single" w:color="auto" w:sz="4" w:space="0"/>
              <w:bottom w:val="single" w:color="auto" w:sz="4" w:space="0"/>
              <w:right w:val="single" w:color="auto" w:sz="4" w:space="0"/>
            </w:tcBorders>
          </w:tcPr>
          <w:p w14:paraId="4F661D6F">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27F20F79">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1DE51DFD">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6EE5ADD8">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063" w:type="dxa"/>
            <w:tcBorders>
              <w:top w:val="single" w:color="auto" w:sz="4" w:space="0"/>
              <w:left w:val="single" w:color="auto" w:sz="4" w:space="0"/>
              <w:bottom w:val="single" w:color="auto" w:sz="4" w:space="0"/>
              <w:right w:val="single" w:color="auto" w:sz="4" w:space="0"/>
            </w:tcBorders>
          </w:tcPr>
          <w:p w14:paraId="585FA668">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5582727E">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3354FDDE">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1C37F3D5">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455" w:type="dxa"/>
            <w:tcBorders>
              <w:top w:val="single" w:color="auto" w:sz="4" w:space="0"/>
              <w:left w:val="single" w:color="auto" w:sz="4" w:space="0"/>
              <w:bottom w:val="single" w:color="auto" w:sz="4" w:space="0"/>
              <w:right w:val="single" w:color="auto" w:sz="4" w:space="0"/>
            </w:tcBorders>
          </w:tcPr>
          <w:p w14:paraId="7F7A41EA">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tc>
      </w:tr>
      <w:tr w14:paraId="46B2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0" w:type="dxa"/>
            <w:tcBorders>
              <w:top w:val="single" w:color="auto" w:sz="4" w:space="0"/>
              <w:left w:val="single" w:color="auto" w:sz="4" w:space="0"/>
              <w:bottom w:val="single" w:color="auto" w:sz="4" w:space="0"/>
              <w:right w:val="single" w:color="auto" w:sz="4" w:space="0"/>
            </w:tcBorders>
          </w:tcPr>
          <w:p w14:paraId="22BE12D2">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c>
          <w:tcPr>
            <w:tcW w:w="3770" w:type="dxa"/>
            <w:tcBorders>
              <w:top w:val="single" w:color="auto" w:sz="4" w:space="0"/>
              <w:left w:val="single" w:color="auto" w:sz="4" w:space="0"/>
              <w:bottom w:val="single" w:color="auto" w:sz="4" w:space="0"/>
              <w:right w:val="single" w:color="auto" w:sz="4" w:space="0"/>
            </w:tcBorders>
          </w:tcPr>
          <w:p w14:paraId="1617E15A">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78952ECC">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044DBE56">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3EB3A5C8">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063" w:type="dxa"/>
            <w:tcBorders>
              <w:top w:val="single" w:color="auto" w:sz="4" w:space="0"/>
              <w:left w:val="single" w:color="auto" w:sz="4" w:space="0"/>
              <w:bottom w:val="single" w:color="auto" w:sz="4" w:space="0"/>
              <w:right w:val="single" w:color="auto" w:sz="4" w:space="0"/>
            </w:tcBorders>
          </w:tcPr>
          <w:p w14:paraId="30A0868C">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656F4CC8">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3E37F822">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69320154">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455" w:type="dxa"/>
            <w:tcBorders>
              <w:top w:val="single" w:color="auto" w:sz="4" w:space="0"/>
              <w:left w:val="single" w:color="auto" w:sz="4" w:space="0"/>
              <w:bottom w:val="single" w:color="auto" w:sz="4" w:space="0"/>
              <w:right w:val="single" w:color="auto" w:sz="4" w:space="0"/>
            </w:tcBorders>
          </w:tcPr>
          <w:p w14:paraId="1AF2FAA1">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tc>
      </w:tr>
    </w:tbl>
    <w:p w14:paraId="353A8732">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u w:val="single"/>
        </w:rPr>
      </w:pPr>
    </w:p>
    <w:p w14:paraId="5EDDE1E1">
      <w:pPr>
        <w:keepNext w:val="0"/>
        <w:keepLines w:val="0"/>
        <w:pageBreakBefore w:val="0"/>
        <w:widowControl w:val="0"/>
        <w:kinsoku/>
        <w:wordWrap/>
        <w:overflowPunct/>
        <w:topLinePunct w:val="0"/>
        <w:autoSpaceDE/>
        <w:autoSpaceDN/>
        <w:bidi w:val="0"/>
        <w:adjustRightInd/>
        <w:snapToGrid w:val="0"/>
        <w:spacing w:line="400" w:lineRule="exact"/>
        <w:ind w:left="0" w:leftChars="0" w:right="0"/>
        <w:textAlignment w:val="auto"/>
        <w:rPr>
          <w:rFonts w:hint="eastAsia" w:ascii="宋体" w:hAnsi="宋体" w:eastAsia="宋体" w:cs="宋体"/>
          <w:b/>
          <w:color w:val="auto"/>
          <w:sz w:val="21"/>
          <w:szCs w:val="21"/>
          <w:highlight w:val="none"/>
        </w:rPr>
      </w:pPr>
    </w:p>
    <w:p w14:paraId="6F0E8AD5">
      <w:pPr>
        <w:pStyle w:val="17"/>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注：</w:t>
      </w:r>
    </w:p>
    <w:p w14:paraId="2A83A3AC">
      <w:pPr>
        <w:pStyle w:val="19"/>
        <w:keepNext w:val="0"/>
        <w:keepLines w:val="0"/>
        <w:pageBreakBefore w:val="0"/>
        <w:widowControl w:val="0"/>
        <w:kinsoku/>
        <w:wordWrap/>
        <w:overflowPunct/>
        <w:topLinePunct w:val="0"/>
        <w:autoSpaceDE/>
        <w:autoSpaceDN/>
        <w:bidi w:val="0"/>
        <w:adjustRightInd/>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应对照招标文件“第二章 采购需求”中的商务要求逐条作明确的投标响应，并作出偏离说明。</w:t>
      </w:r>
    </w:p>
    <w:p w14:paraId="4A938966">
      <w:pPr>
        <w:pStyle w:val="17"/>
        <w:keepNext w:val="0"/>
        <w:keepLines w:val="0"/>
        <w:pageBreakBefore w:val="0"/>
        <w:widowControl w:val="0"/>
        <w:kinsoku/>
        <w:wordWrap/>
        <w:overflowPunct/>
        <w:topLinePunct w:val="0"/>
        <w:autoSpaceDE/>
        <w:autoSpaceDN/>
        <w:bidi w:val="0"/>
        <w:adjustRightInd/>
        <w:spacing w:line="400" w:lineRule="exact"/>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投标人应根据自身的承诺，对照招标文件要求在“偏离说明”中注明“</w:t>
      </w:r>
      <w:r>
        <w:rPr>
          <w:rFonts w:hint="eastAsia" w:ascii="宋体" w:hAnsi="宋体" w:eastAsia="宋体" w:cs="宋体"/>
          <w:color w:val="auto"/>
          <w:sz w:val="21"/>
          <w:szCs w:val="21"/>
          <w:highlight w:val="none"/>
        </w:rPr>
        <w:t>正偏离</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sz w:val="21"/>
          <w:szCs w:val="21"/>
          <w:highlight w:val="none"/>
        </w:rPr>
        <w:t>负偏离</w:t>
      </w:r>
      <w:r>
        <w:rPr>
          <w:rFonts w:hint="eastAsia" w:ascii="宋体" w:hAnsi="宋体" w:eastAsia="宋体" w:cs="宋体"/>
          <w:b w:val="0"/>
          <w:bCs w:val="0"/>
          <w:color w:val="auto"/>
          <w:sz w:val="21"/>
          <w:szCs w:val="21"/>
          <w:highlight w:val="none"/>
        </w:rPr>
        <w:t>”或者“</w:t>
      </w:r>
      <w:r>
        <w:rPr>
          <w:rFonts w:hint="eastAsia" w:ascii="宋体" w:hAnsi="宋体" w:eastAsia="宋体" w:cs="宋体"/>
          <w:color w:val="auto"/>
          <w:sz w:val="21"/>
          <w:szCs w:val="21"/>
          <w:highlight w:val="none"/>
        </w:rPr>
        <w:t>无偏离</w:t>
      </w:r>
      <w:r>
        <w:rPr>
          <w:rFonts w:hint="eastAsia" w:ascii="宋体" w:hAnsi="宋体" w:eastAsia="宋体" w:cs="宋体"/>
          <w:b w:val="0"/>
          <w:bCs w:val="0"/>
          <w:color w:val="auto"/>
          <w:sz w:val="21"/>
          <w:szCs w:val="21"/>
          <w:highlight w:val="none"/>
        </w:rPr>
        <w:t>”。既不属于“</w:t>
      </w:r>
      <w:r>
        <w:rPr>
          <w:rFonts w:hint="eastAsia" w:ascii="宋体" w:hAnsi="宋体" w:eastAsia="宋体" w:cs="宋体"/>
          <w:color w:val="auto"/>
          <w:sz w:val="21"/>
          <w:szCs w:val="21"/>
          <w:highlight w:val="none"/>
        </w:rPr>
        <w:t>正偏离</w:t>
      </w:r>
      <w:r>
        <w:rPr>
          <w:rFonts w:hint="eastAsia" w:ascii="宋体" w:hAnsi="宋体" w:eastAsia="宋体" w:cs="宋体"/>
          <w:b w:val="0"/>
          <w:bCs w:val="0"/>
          <w:color w:val="auto"/>
          <w:sz w:val="21"/>
          <w:szCs w:val="21"/>
          <w:highlight w:val="none"/>
        </w:rPr>
        <w:t>”也不属于“</w:t>
      </w:r>
      <w:r>
        <w:rPr>
          <w:rFonts w:hint="eastAsia" w:ascii="宋体" w:hAnsi="宋体" w:eastAsia="宋体" w:cs="宋体"/>
          <w:color w:val="auto"/>
          <w:sz w:val="21"/>
          <w:szCs w:val="21"/>
          <w:highlight w:val="none"/>
        </w:rPr>
        <w:t>负偏离</w:t>
      </w:r>
      <w:r>
        <w:rPr>
          <w:rFonts w:hint="eastAsia" w:ascii="宋体" w:hAnsi="宋体" w:eastAsia="宋体" w:cs="宋体"/>
          <w:b w:val="0"/>
          <w:bCs w:val="0"/>
          <w:color w:val="auto"/>
          <w:sz w:val="21"/>
          <w:szCs w:val="21"/>
          <w:highlight w:val="none"/>
        </w:rPr>
        <w:t>”即为“</w:t>
      </w:r>
      <w:r>
        <w:rPr>
          <w:rFonts w:hint="eastAsia" w:ascii="宋体" w:hAnsi="宋体" w:eastAsia="宋体" w:cs="宋体"/>
          <w:color w:val="auto"/>
          <w:sz w:val="21"/>
          <w:szCs w:val="21"/>
          <w:highlight w:val="none"/>
        </w:rPr>
        <w:t>无偏离</w:t>
      </w:r>
      <w:r>
        <w:rPr>
          <w:rFonts w:hint="eastAsia" w:ascii="宋体" w:hAnsi="宋体" w:eastAsia="宋体" w:cs="宋体"/>
          <w:b w:val="0"/>
          <w:bCs w:val="0"/>
          <w:color w:val="auto"/>
          <w:sz w:val="21"/>
          <w:szCs w:val="21"/>
          <w:highlight w:val="none"/>
        </w:rPr>
        <w:t>”。</w:t>
      </w:r>
    </w:p>
    <w:p w14:paraId="4A75EB24">
      <w:pPr>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拟投多个</w:t>
      </w:r>
      <w:r>
        <w:rPr>
          <w:rFonts w:hint="eastAsia" w:ascii="宋体" w:hAnsi="宋体" w:eastAsia="宋体" w:cs="宋体"/>
          <w:color w:val="auto"/>
          <w:sz w:val="21"/>
          <w:szCs w:val="21"/>
          <w:highlight w:val="none"/>
        </w:rPr>
        <w:t>分标，按分标分别提供商务要求偏离表，</w:t>
      </w:r>
      <w:r>
        <w:rPr>
          <w:rFonts w:hint="eastAsia" w:ascii="宋体" w:hAnsi="宋体" w:eastAsia="宋体" w:cs="宋体"/>
          <w:b/>
          <w:color w:val="auto"/>
          <w:sz w:val="21"/>
          <w:szCs w:val="21"/>
          <w:highlight w:val="none"/>
        </w:rPr>
        <w:t>否则投标无效。</w:t>
      </w:r>
    </w:p>
    <w:p w14:paraId="63A8B84E">
      <w:pPr>
        <w:keepNext w:val="0"/>
        <w:keepLines w:val="0"/>
        <w:pageBreakBefore w:val="0"/>
        <w:kinsoku/>
        <w:wordWrap/>
        <w:overflowPunct/>
        <w:topLinePunct w:val="0"/>
        <w:autoSpaceDE/>
        <w:autoSpaceDN/>
        <w:bidi w:val="0"/>
        <w:adjustRightInd/>
        <w:snapToGrid w:val="0"/>
        <w:spacing w:line="400" w:lineRule="exact"/>
        <w:ind w:left="0" w:leftChars="0" w:right="0" w:firstLine="3375" w:firstLineChars="1350"/>
        <w:jc w:val="left"/>
        <w:textAlignment w:val="auto"/>
        <w:rPr>
          <w:rFonts w:hint="eastAsia" w:ascii="宋体" w:hAnsi="宋体" w:eastAsia="宋体" w:cs="宋体"/>
          <w:color w:val="auto"/>
          <w:spacing w:val="20"/>
          <w:sz w:val="21"/>
          <w:szCs w:val="21"/>
          <w:highlight w:val="none"/>
        </w:rPr>
      </w:pPr>
    </w:p>
    <w:p w14:paraId="2B1E9164">
      <w:pPr>
        <w:keepNext w:val="0"/>
        <w:keepLines w:val="0"/>
        <w:pageBreakBefore w:val="0"/>
        <w:kinsoku/>
        <w:wordWrap/>
        <w:overflowPunct/>
        <w:topLinePunct w:val="0"/>
        <w:autoSpaceDE/>
        <w:autoSpaceDN/>
        <w:bidi w:val="0"/>
        <w:adjustRightInd/>
        <w:snapToGrid w:val="0"/>
        <w:spacing w:line="400" w:lineRule="exact"/>
        <w:ind w:left="0" w:leftChars="0" w:right="0" w:firstLine="3375" w:firstLineChars="1350"/>
        <w:jc w:val="left"/>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投标人名称（电子签章）：</w:t>
      </w:r>
      <w:r>
        <w:rPr>
          <w:rFonts w:hint="eastAsia" w:ascii="宋体" w:hAnsi="宋体" w:eastAsia="宋体" w:cs="宋体"/>
          <w:color w:val="auto"/>
          <w:spacing w:val="20"/>
          <w:sz w:val="21"/>
          <w:szCs w:val="21"/>
          <w:highlight w:val="none"/>
          <w:u w:val="single"/>
        </w:rPr>
        <w:t xml:space="preserve">       </w:t>
      </w:r>
    </w:p>
    <w:p w14:paraId="136C6AD1">
      <w:pPr>
        <w:keepNext w:val="0"/>
        <w:keepLines w:val="0"/>
        <w:pageBreakBefore w:val="0"/>
        <w:kinsoku/>
        <w:wordWrap/>
        <w:overflowPunct/>
        <w:topLinePunct w:val="0"/>
        <w:autoSpaceDE/>
        <w:autoSpaceDN/>
        <w:bidi w:val="0"/>
        <w:adjustRightInd/>
        <w:spacing w:line="400" w:lineRule="exact"/>
        <w:ind w:left="0" w:leftChars="0" w:right="0" w:firstLine="5250" w:firstLineChars="25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245D23E7">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p w14:paraId="7C7C27B6">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br w:type="page"/>
      </w:r>
    </w:p>
    <w:p w14:paraId="77BA0972">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kern w:val="2"/>
          <w:sz w:val="21"/>
          <w:szCs w:val="21"/>
          <w:highlight w:val="none"/>
          <w:lang w:val="en-US" w:eastAsia="zh-CN" w:bidi="ar-SA"/>
        </w:rPr>
        <w:t>7</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eastAsia="宋体" w:cs="宋体"/>
          <w:b w:val="0"/>
          <w:bCs/>
          <w:color w:val="auto"/>
          <w:sz w:val="21"/>
          <w:szCs w:val="21"/>
          <w:highlight w:val="none"/>
        </w:rPr>
        <w:t>投标人业绩证明材料</w:t>
      </w:r>
    </w:p>
    <w:p w14:paraId="5E34389D">
      <w:pPr>
        <w:pStyle w:val="31"/>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p w14:paraId="2E2D5812">
      <w:pPr>
        <w:pStyle w:val="35"/>
        <w:keepNext w:val="0"/>
        <w:keepLines w:val="0"/>
        <w:pageBreakBefore w:val="0"/>
        <w:widowControl w:val="0"/>
        <w:kinsoku/>
        <w:wordWrap/>
        <w:overflowPunct/>
        <w:topLinePunct w:val="0"/>
        <w:autoSpaceDE/>
        <w:autoSpaceDN/>
        <w:bidi w:val="0"/>
        <w:adjustRightInd/>
        <w:snapToGrid w:val="0"/>
        <w:spacing w:line="400" w:lineRule="exact"/>
        <w:ind w:left="422" w:leftChars="0" w:right="0" w:hanging="48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投标人业绩情况一览表</w:t>
      </w:r>
    </w:p>
    <w:p w14:paraId="546DBDF7">
      <w:pPr>
        <w:pStyle w:val="25"/>
        <w:keepNext w:val="0"/>
        <w:keepLines w:val="0"/>
        <w:pageBreakBefore w:val="0"/>
        <w:widowControl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所投分标：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分标</w:t>
      </w:r>
    </w:p>
    <w:tbl>
      <w:tblPr>
        <w:tblStyle w:val="48"/>
        <w:tblW w:w="85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29"/>
        <w:gridCol w:w="1768"/>
        <w:gridCol w:w="1768"/>
        <w:gridCol w:w="2851"/>
      </w:tblGrid>
      <w:tr w14:paraId="38096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2129" w:type="dxa"/>
            <w:vMerge w:val="restart"/>
            <w:tcBorders>
              <w:top w:val="single" w:color="auto" w:sz="4" w:space="0"/>
              <w:left w:val="single" w:color="auto" w:sz="4" w:space="0"/>
              <w:bottom w:val="single" w:color="auto" w:sz="4" w:space="0"/>
              <w:right w:val="single" w:color="auto" w:sz="4" w:space="0"/>
            </w:tcBorders>
            <w:vAlign w:val="center"/>
          </w:tcPr>
          <w:p w14:paraId="0FA77CBF">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w:t>
            </w:r>
          </w:p>
        </w:tc>
        <w:tc>
          <w:tcPr>
            <w:tcW w:w="1768" w:type="dxa"/>
            <w:vMerge w:val="restart"/>
            <w:tcBorders>
              <w:top w:val="single" w:color="auto" w:sz="4" w:space="0"/>
              <w:left w:val="single" w:color="auto" w:sz="4" w:space="0"/>
              <w:bottom w:val="single" w:color="auto" w:sz="4" w:space="0"/>
              <w:right w:val="single" w:color="auto" w:sz="4" w:space="0"/>
            </w:tcBorders>
            <w:vAlign w:val="center"/>
          </w:tcPr>
          <w:p w14:paraId="5F4B2C22">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768" w:type="dxa"/>
            <w:vMerge w:val="restart"/>
            <w:tcBorders>
              <w:top w:val="single" w:color="auto" w:sz="4" w:space="0"/>
              <w:left w:val="single" w:color="auto" w:sz="4" w:space="0"/>
              <w:bottom w:val="single" w:color="auto" w:sz="4" w:space="0"/>
              <w:right w:val="single" w:color="auto" w:sz="4" w:space="0"/>
            </w:tcBorders>
            <w:vAlign w:val="center"/>
          </w:tcPr>
          <w:p w14:paraId="68DBBEAB">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w:t>
            </w:r>
          </w:p>
          <w:p w14:paraId="7717B8CD">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2851" w:type="dxa"/>
            <w:vMerge w:val="restart"/>
            <w:tcBorders>
              <w:top w:val="single" w:color="auto" w:sz="4" w:space="0"/>
              <w:left w:val="single" w:color="auto" w:sz="4" w:space="0"/>
              <w:bottom w:val="single" w:color="auto" w:sz="4" w:space="0"/>
              <w:right w:val="single" w:color="auto" w:sz="4" w:space="0"/>
            </w:tcBorders>
            <w:vAlign w:val="center"/>
          </w:tcPr>
          <w:p w14:paraId="6D40E1FB">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采购人联系人及</w:t>
            </w:r>
          </w:p>
          <w:p w14:paraId="53386E20">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r>
      <w:tr w14:paraId="4CEE1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2129" w:type="dxa"/>
            <w:vMerge w:val="continue"/>
            <w:tcBorders>
              <w:top w:val="single" w:color="auto" w:sz="4" w:space="0"/>
              <w:left w:val="single" w:color="auto" w:sz="4" w:space="0"/>
              <w:bottom w:val="single" w:color="auto" w:sz="4" w:space="0"/>
              <w:right w:val="single" w:color="auto" w:sz="4" w:space="0"/>
            </w:tcBorders>
            <w:vAlign w:val="center"/>
          </w:tcPr>
          <w:p w14:paraId="09B27BE9">
            <w:pPr>
              <w:keepNext w:val="0"/>
              <w:keepLines w:val="0"/>
              <w:pageBreakBefore w:val="0"/>
              <w:widowControl w:val="0"/>
              <w:kinsoku/>
              <w:wordWrap/>
              <w:overflowPunct/>
              <w:topLinePunct w:val="0"/>
              <w:autoSpaceDE/>
              <w:autoSpaceDN/>
              <w:bidi w:val="0"/>
              <w:adjustRightInd/>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vMerge w:val="continue"/>
            <w:tcBorders>
              <w:top w:val="single" w:color="auto" w:sz="4" w:space="0"/>
              <w:left w:val="single" w:color="auto" w:sz="4" w:space="0"/>
              <w:bottom w:val="single" w:color="auto" w:sz="4" w:space="0"/>
              <w:right w:val="single" w:color="auto" w:sz="4" w:space="0"/>
            </w:tcBorders>
            <w:vAlign w:val="center"/>
          </w:tcPr>
          <w:p w14:paraId="07E23388">
            <w:pPr>
              <w:keepNext w:val="0"/>
              <w:keepLines w:val="0"/>
              <w:pageBreakBefore w:val="0"/>
              <w:widowControl w:val="0"/>
              <w:kinsoku/>
              <w:wordWrap/>
              <w:overflowPunct/>
              <w:topLinePunct w:val="0"/>
              <w:autoSpaceDE/>
              <w:autoSpaceDN/>
              <w:bidi w:val="0"/>
              <w:adjustRightInd/>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vMerge w:val="continue"/>
            <w:tcBorders>
              <w:top w:val="single" w:color="auto" w:sz="4" w:space="0"/>
              <w:left w:val="single" w:color="auto" w:sz="4" w:space="0"/>
              <w:bottom w:val="single" w:color="auto" w:sz="4" w:space="0"/>
              <w:right w:val="single" w:color="auto" w:sz="4" w:space="0"/>
            </w:tcBorders>
            <w:vAlign w:val="center"/>
          </w:tcPr>
          <w:p w14:paraId="4627CA92">
            <w:pPr>
              <w:keepNext w:val="0"/>
              <w:keepLines w:val="0"/>
              <w:pageBreakBefore w:val="0"/>
              <w:widowControl w:val="0"/>
              <w:kinsoku/>
              <w:wordWrap/>
              <w:overflowPunct/>
              <w:topLinePunct w:val="0"/>
              <w:autoSpaceDE/>
              <w:autoSpaceDN/>
              <w:bidi w:val="0"/>
              <w:adjustRightInd/>
              <w:spacing w:line="400" w:lineRule="exact"/>
              <w:ind w:left="0" w:leftChars="0" w:right="0"/>
              <w:jc w:val="left"/>
              <w:textAlignment w:val="auto"/>
              <w:rPr>
                <w:rFonts w:hint="eastAsia" w:ascii="宋体" w:hAnsi="宋体" w:eastAsia="宋体" w:cs="宋体"/>
                <w:color w:val="auto"/>
                <w:sz w:val="21"/>
                <w:szCs w:val="21"/>
                <w:highlight w:val="none"/>
              </w:rPr>
            </w:pPr>
          </w:p>
        </w:tc>
        <w:tc>
          <w:tcPr>
            <w:tcW w:w="2851" w:type="dxa"/>
            <w:vMerge w:val="continue"/>
            <w:tcBorders>
              <w:top w:val="single" w:color="auto" w:sz="4" w:space="0"/>
              <w:left w:val="single" w:color="auto" w:sz="4" w:space="0"/>
              <w:bottom w:val="single" w:color="auto" w:sz="4" w:space="0"/>
              <w:right w:val="single" w:color="auto" w:sz="4" w:space="0"/>
            </w:tcBorders>
            <w:vAlign w:val="center"/>
          </w:tcPr>
          <w:p w14:paraId="1A64AAC4">
            <w:pPr>
              <w:keepNext w:val="0"/>
              <w:keepLines w:val="0"/>
              <w:pageBreakBefore w:val="0"/>
              <w:widowControl w:val="0"/>
              <w:kinsoku/>
              <w:wordWrap/>
              <w:overflowPunct/>
              <w:topLinePunct w:val="0"/>
              <w:autoSpaceDE/>
              <w:autoSpaceDN/>
              <w:bidi w:val="0"/>
              <w:adjustRightInd/>
              <w:spacing w:line="400" w:lineRule="exact"/>
              <w:ind w:left="0" w:leftChars="0" w:right="0"/>
              <w:jc w:val="left"/>
              <w:textAlignment w:val="auto"/>
              <w:rPr>
                <w:rFonts w:hint="eastAsia" w:ascii="宋体" w:hAnsi="宋体" w:eastAsia="宋体" w:cs="宋体"/>
                <w:color w:val="auto"/>
                <w:sz w:val="21"/>
                <w:szCs w:val="21"/>
                <w:highlight w:val="none"/>
              </w:rPr>
            </w:pPr>
          </w:p>
        </w:tc>
      </w:tr>
      <w:tr w14:paraId="387D75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2129" w:type="dxa"/>
            <w:tcBorders>
              <w:top w:val="single" w:color="auto" w:sz="4" w:space="0"/>
              <w:left w:val="single" w:color="auto" w:sz="4" w:space="0"/>
              <w:bottom w:val="single" w:color="auto" w:sz="4" w:space="0"/>
              <w:right w:val="single" w:color="auto" w:sz="4" w:space="0"/>
            </w:tcBorders>
          </w:tcPr>
          <w:p w14:paraId="3E42ECD6">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4301DAA4">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4844EAB6">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2851" w:type="dxa"/>
            <w:tcBorders>
              <w:top w:val="single" w:color="auto" w:sz="4" w:space="0"/>
              <w:left w:val="single" w:color="auto" w:sz="4" w:space="0"/>
              <w:bottom w:val="single" w:color="auto" w:sz="4" w:space="0"/>
              <w:right w:val="single" w:color="auto" w:sz="4" w:space="0"/>
            </w:tcBorders>
          </w:tcPr>
          <w:p w14:paraId="6017C085">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r>
      <w:tr w14:paraId="33CB1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29" w:type="dxa"/>
            <w:tcBorders>
              <w:top w:val="single" w:color="auto" w:sz="4" w:space="0"/>
              <w:left w:val="single" w:color="auto" w:sz="4" w:space="0"/>
              <w:bottom w:val="single" w:color="auto" w:sz="4" w:space="0"/>
              <w:right w:val="single" w:color="auto" w:sz="4" w:space="0"/>
            </w:tcBorders>
          </w:tcPr>
          <w:p w14:paraId="1A6D8D44">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25649E29">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3B90C558">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2851" w:type="dxa"/>
            <w:tcBorders>
              <w:top w:val="single" w:color="auto" w:sz="4" w:space="0"/>
              <w:left w:val="single" w:color="auto" w:sz="4" w:space="0"/>
              <w:bottom w:val="single" w:color="auto" w:sz="4" w:space="0"/>
              <w:right w:val="single" w:color="auto" w:sz="4" w:space="0"/>
            </w:tcBorders>
          </w:tcPr>
          <w:p w14:paraId="77FF1B13">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r>
      <w:tr w14:paraId="184E5B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2129" w:type="dxa"/>
            <w:tcBorders>
              <w:top w:val="single" w:color="auto" w:sz="4" w:space="0"/>
              <w:left w:val="single" w:color="auto" w:sz="4" w:space="0"/>
              <w:bottom w:val="single" w:color="auto" w:sz="4" w:space="0"/>
              <w:right w:val="single" w:color="auto" w:sz="4" w:space="0"/>
            </w:tcBorders>
          </w:tcPr>
          <w:p w14:paraId="587937CF">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4A6B61CC">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4543F386">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2851" w:type="dxa"/>
            <w:tcBorders>
              <w:top w:val="single" w:color="auto" w:sz="4" w:space="0"/>
              <w:left w:val="single" w:color="auto" w:sz="4" w:space="0"/>
              <w:bottom w:val="single" w:color="auto" w:sz="4" w:space="0"/>
              <w:right w:val="single" w:color="auto" w:sz="4" w:space="0"/>
            </w:tcBorders>
          </w:tcPr>
          <w:p w14:paraId="45CC18ED">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r>
      <w:tr w14:paraId="201DF3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29" w:type="dxa"/>
            <w:tcBorders>
              <w:top w:val="single" w:color="auto" w:sz="4" w:space="0"/>
              <w:left w:val="single" w:color="auto" w:sz="4" w:space="0"/>
              <w:bottom w:val="single" w:color="auto" w:sz="4" w:space="0"/>
              <w:right w:val="single" w:color="auto" w:sz="4" w:space="0"/>
            </w:tcBorders>
          </w:tcPr>
          <w:p w14:paraId="60D401B1">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27050792">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2C70809B">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2851" w:type="dxa"/>
            <w:tcBorders>
              <w:top w:val="single" w:color="auto" w:sz="4" w:space="0"/>
              <w:left w:val="single" w:color="auto" w:sz="4" w:space="0"/>
              <w:bottom w:val="single" w:color="auto" w:sz="4" w:space="0"/>
              <w:right w:val="single" w:color="auto" w:sz="4" w:space="0"/>
            </w:tcBorders>
          </w:tcPr>
          <w:p w14:paraId="5FC171C4">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r>
      <w:tr w14:paraId="3759D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29" w:type="dxa"/>
            <w:tcBorders>
              <w:top w:val="single" w:color="auto" w:sz="4" w:space="0"/>
              <w:left w:val="single" w:color="auto" w:sz="4" w:space="0"/>
              <w:bottom w:val="single" w:color="auto" w:sz="4" w:space="0"/>
              <w:right w:val="single" w:color="auto" w:sz="4" w:space="0"/>
            </w:tcBorders>
          </w:tcPr>
          <w:p w14:paraId="04B66E87">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0D72BA36">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19A598C6">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c>
          <w:tcPr>
            <w:tcW w:w="2851" w:type="dxa"/>
            <w:tcBorders>
              <w:top w:val="single" w:color="auto" w:sz="4" w:space="0"/>
              <w:left w:val="single" w:color="auto" w:sz="4" w:space="0"/>
              <w:bottom w:val="single" w:color="auto" w:sz="4" w:space="0"/>
              <w:right w:val="single" w:color="auto" w:sz="4" w:space="0"/>
            </w:tcBorders>
          </w:tcPr>
          <w:p w14:paraId="38B8F19A">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tc>
      </w:tr>
    </w:tbl>
    <w:p w14:paraId="5D1E1967">
      <w:pPr>
        <w:keepNext w:val="0"/>
        <w:keepLines w:val="0"/>
        <w:pageBreakBefore w:val="0"/>
        <w:widowControl w:val="0"/>
        <w:kinsoku/>
        <w:wordWrap/>
        <w:overflowPunct/>
        <w:topLinePunct w:val="0"/>
        <w:autoSpaceDE/>
        <w:autoSpaceDN/>
        <w:bidi w:val="0"/>
        <w:adjustRightInd/>
        <w:spacing w:line="400" w:lineRule="exact"/>
        <w:ind w:left="0" w:leftChars="0" w:right="0"/>
        <w:contextualSpacing/>
        <w:jc w:val="left"/>
        <w:textAlignment w:val="auto"/>
        <w:rPr>
          <w:rFonts w:hint="eastAsia" w:ascii="宋体" w:hAnsi="宋体" w:eastAsia="宋体" w:cs="宋体"/>
          <w:color w:val="auto"/>
          <w:sz w:val="21"/>
          <w:szCs w:val="21"/>
          <w:highlight w:val="none"/>
        </w:rPr>
      </w:pPr>
    </w:p>
    <w:p w14:paraId="5C3B0CCA">
      <w:pPr>
        <w:keepNext w:val="0"/>
        <w:keepLines w:val="0"/>
        <w:pageBreakBefore w:val="0"/>
        <w:widowControl w:val="0"/>
        <w:kinsoku/>
        <w:wordWrap/>
        <w:overflowPunct/>
        <w:topLinePunct w:val="0"/>
        <w:autoSpaceDE/>
        <w:autoSpaceDN/>
        <w:bidi w:val="0"/>
        <w:adjustRightInd/>
        <w:snapToGrid w:val="0"/>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75EB3F69">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拟投多个</w:t>
      </w:r>
      <w:r>
        <w:rPr>
          <w:rFonts w:hint="eastAsia" w:ascii="宋体" w:hAnsi="宋体" w:eastAsia="宋体" w:cs="宋体"/>
          <w:color w:val="auto"/>
          <w:sz w:val="21"/>
          <w:szCs w:val="21"/>
          <w:highlight w:val="none"/>
        </w:rPr>
        <w:t>分标，</w:t>
      </w:r>
      <w:r>
        <w:rPr>
          <w:rFonts w:hint="eastAsia" w:ascii="宋体" w:hAnsi="宋体" w:eastAsia="宋体" w:cs="宋体"/>
          <w:b w:val="0"/>
          <w:bCs w:val="0"/>
          <w:color w:val="auto"/>
          <w:sz w:val="21"/>
          <w:szCs w:val="21"/>
          <w:highlight w:val="none"/>
        </w:rPr>
        <w:t>按分标分别提供投标人业绩情况一览表。</w:t>
      </w:r>
    </w:p>
    <w:p w14:paraId="48025885">
      <w:pPr>
        <w:pStyle w:val="14"/>
        <w:keepNext w:val="0"/>
        <w:keepLines w:val="0"/>
        <w:pageBreakBefore w:val="0"/>
        <w:widowControl w:val="0"/>
        <w:kinsoku/>
        <w:wordWrap/>
        <w:overflowPunct/>
        <w:topLinePunct w:val="0"/>
        <w:autoSpaceDE/>
        <w:autoSpaceDN/>
        <w:bidi w:val="0"/>
        <w:adjustRightInd/>
        <w:spacing w:before="0" w:after="0" w:line="400" w:lineRule="exact"/>
        <w:ind w:left="0" w:leftChars="0" w:righ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投标人根据评标标准具体要求附业绩证明材料。</w:t>
      </w:r>
    </w:p>
    <w:p w14:paraId="711C7121">
      <w:pPr>
        <w:keepNext w:val="0"/>
        <w:keepLines w:val="0"/>
        <w:pageBreakBefore w:val="0"/>
        <w:widowControl w:val="0"/>
        <w:kinsoku/>
        <w:wordWrap/>
        <w:overflowPunct/>
        <w:topLinePunct w:val="0"/>
        <w:autoSpaceDE/>
        <w:autoSpaceDN/>
        <w:bidi w:val="0"/>
        <w:adjustRightInd/>
        <w:spacing w:line="400" w:lineRule="exact"/>
        <w:ind w:left="0" w:leftChars="0" w:right="0" w:firstLine="2520" w:firstLineChars="1200"/>
        <w:contextualSpacing/>
        <w:jc w:val="left"/>
        <w:textAlignment w:val="auto"/>
        <w:rPr>
          <w:rFonts w:hint="eastAsia" w:ascii="宋体" w:hAnsi="宋体" w:eastAsia="宋体" w:cs="宋体"/>
          <w:color w:val="auto"/>
          <w:sz w:val="21"/>
          <w:szCs w:val="21"/>
          <w:highlight w:val="none"/>
        </w:rPr>
      </w:pPr>
    </w:p>
    <w:p w14:paraId="56A6465F">
      <w:pPr>
        <w:keepNext w:val="0"/>
        <w:keepLines w:val="0"/>
        <w:pageBreakBefore w:val="0"/>
        <w:widowControl w:val="0"/>
        <w:kinsoku/>
        <w:wordWrap/>
        <w:overflowPunct/>
        <w:topLinePunct w:val="0"/>
        <w:autoSpaceDE/>
        <w:autoSpaceDN/>
        <w:bidi w:val="0"/>
        <w:adjustRightInd/>
        <w:spacing w:line="400" w:lineRule="exact"/>
        <w:ind w:left="0" w:leftChars="0" w:right="0" w:firstLine="2520" w:firstLineChars="1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投标人名称（电子签章）：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EE12FE0">
      <w:pPr>
        <w:keepNext w:val="0"/>
        <w:keepLines w:val="0"/>
        <w:pageBreakBefore w:val="0"/>
        <w:widowControl w:val="0"/>
        <w:kinsoku/>
        <w:wordWrap/>
        <w:overflowPunct/>
        <w:topLinePunct w:val="0"/>
        <w:autoSpaceDE/>
        <w:autoSpaceDN/>
        <w:bidi w:val="0"/>
        <w:adjustRightInd/>
        <w:spacing w:line="400" w:lineRule="exact"/>
        <w:ind w:left="0" w:leftChars="0" w:right="0" w:firstLine="5250" w:firstLineChars="2500"/>
        <w:contextualSpacing/>
        <w:jc w:val="left"/>
        <w:textAlignment w:val="auto"/>
        <w:rPr>
          <w:rFonts w:hint="eastAsia" w:ascii="宋体" w:hAnsi="宋体" w:eastAsia="宋体" w:cs="宋体"/>
          <w:color w:val="auto"/>
          <w:sz w:val="21"/>
          <w:szCs w:val="21"/>
          <w:highlight w:val="none"/>
        </w:rPr>
        <w:sectPr>
          <w:footerReference r:id="rId12" w:type="default"/>
          <w:pgSz w:w="11906" w:h="16838"/>
          <w:pgMar w:top="1440" w:right="1803" w:bottom="1440" w:left="1803" w:header="851" w:footer="992" w:gutter="0"/>
          <w:pgNumType w:fmt="decimal"/>
          <w:cols w:space="0" w:num="1"/>
          <w:rtlGutter w:val="0"/>
          <w:docGrid w:linePitch="312" w:charSpace="0"/>
        </w:sectPr>
      </w:pPr>
      <w:r>
        <w:rPr>
          <w:rFonts w:hint="eastAsia" w:ascii="宋体" w:hAnsi="宋体" w:eastAsia="宋体" w:cs="宋体"/>
          <w:color w:val="auto"/>
          <w:sz w:val="21"/>
          <w:szCs w:val="21"/>
          <w:highlight w:val="none"/>
        </w:rPr>
        <w:t xml:space="preserve">年    月    </w:t>
      </w:r>
    </w:p>
    <w:p w14:paraId="44738E42">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技术要求偏离表格式</w:t>
      </w:r>
    </w:p>
    <w:p w14:paraId="5F927DD8">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技术要求偏离表</w:t>
      </w:r>
    </w:p>
    <w:p w14:paraId="1FB33DD0">
      <w:pPr>
        <w:pStyle w:val="25"/>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所投分标：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分标</w:t>
      </w:r>
    </w:p>
    <w:tbl>
      <w:tblPr>
        <w:tblStyle w:val="48"/>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210"/>
        <w:gridCol w:w="815"/>
        <w:gridCol w:w="1377"/>
        <w:gridCol w:w="1261"/>
        <w:gridCol w:w="969"/>
        <w:gridCol w:w="1597"/>
        <w:gridCol w:w="1225"/>
      </w:tblGrid>
      <w:tr w14:paraId="048C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426" w:type="dxa"/>
            <w:vMerge w:val="restart"/>
            <w:tcBorders>
              <w:top w:val="single" w:color="auto" w:sz="4" w:space="0"/>
              <w:left w:val="single" w:color="auto" w:sz="4" w:space="0"/>
              <w:bottom w:val="single" w:color="auto" w:sz="4" w:space="0"/>
              <w:right w:val="single" w:color="auto" w:sz="4" w:space="0"/>
            </w:tcBorders>
            <w:vAlign w:val="center"/>
          </w:tcPr>
          <w:p w14:paraId="6312D606">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3402" w:type="dxa"/>
            <w:gridSpan w:val="3"/>
            <w:tcBorders>
              <w:top w:val="single" w:color="auto" w:sz="4" w:space="0"/>
              <w:left w:val="single" w:color="auto" w:sz="4" w:space="0"/>
              <w:bottom w:val="single" w:color="auto" w:sz="4" w:space="0"/>
              <w:right w:val="single" w:color="auto" w:sz="4" w:space="0"/>
            </w:tcBorders>
            <w:vAlign w:val="center"/>
          </w:tcPr>
          <w:p w14:paraId="3F7C7048">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招标文件技术参数需求</w:t>
            </w:r>
          </w:p>
        </w:tc>
        <w:tc>
          <w:tcPr>
            <w:tcW w:w="3827" w:type="dxa"/>
            <w:gridSpan w:val="3"/>
            <w:tcBorders>
              <w:top w:val="single" w:color="auto" w:sz="4" w:space="0"/>
              <w:left w:val="single" w:color="auto" w:sz="4" w:space="0"/>
              <w:bottom w:val="single" w:color="auto" w:sz="4" w:space="0"/>
              <w:right w:val="single" w:color="auto" w:sz="4" w:space="0"/>
            </w:tcBorders>
            <w:vAlign w:val="center"/>
          </w:tcPr>
          <w:p w14:paraId="1063266E">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投标文件技术参数承诺</w:t>
            </w:r>
          </w:p>
        </w:tc>
        <w:tc>
          <w:tcPr>
            <w:tcW w:w="1225" w:type="dxa"/>
            <w:tcBorders>
              <w:top w:val="single" w:color="auto" w:sz="4" w:space="0"/>
              <w:left w:val="single" w:color="auto" w:sz="4" w:space="0"/>
              <w:bottom w:val="single" w:color="auto" w:sz="4" w:space="0"/>
              <w:right w:val="single" w:color="auto" w:sz="4" w:space="0"/>
            </w:tcBorders>
            <w:vAlign w:val="center"/>
          </w:tcPr>
          <w:p w14:paraId="1C3DD3BF">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偏离说明</w:t>
            </w:r>
          </w:p>
        </w:tc>
      </w:tr>
      <w:tr w14:paraId="1548E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14:paraId="52943BE9">
            <w:pPr>
              <w:keepNext w:val="0"/>
              <w:keepLines w:val="0"/>
              <w:pageBreakBefore w:val="0"/>
              <w:widowControl/>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c>
          <w:tcPr>
            <w:tcW w:w="1210" w:type="dxa"/>
            <w:tcBorders>
              <w:top w:val="single" w:color="auto" w:sz="4" w:space="0"/>
              <w:left w:val="single" w:color="auto" w:sz="4" w:space="0"/>
              <w:bottom w:val="single" w:color="auto" w:sz="4" w:space="0"/>
              <w:right w:val="single" w:color="auto" w:sz="4" w:space="0"/>
            </w:tcBorders>
            <w:vAlign w:val="center"/>
          </w:tcPr>
          <w:p w14:paraId="49F9972F">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货物名称</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标的名称</w:t>
            </w:r>
            <w:r>
              <w:rPr>
                <w:rFonts w:hint="eastAsia" w:ascii="宋体" w:hAnsi="宋体" w:eastAsia="宋体" w:cs="宋体"/>
                <w:b w:val="0"/>
                <w:bCs w:val="0"/>
                <w:color w:val="auto"/>
                <w:sz w:val="21"/>
                <w:szCs w:val="21"/>
                <w:highlight w:val="none"/>
                <w:lang w:eastAsia="zh-CN"/>
              </w:rPr>
              <w:t>）</w:t>
            </w:r>
          </w:p>
        </w:tc>
        <w:tc>
          <w:tcPr>
            <w:tcW w:w="815" w:type="dxa"/>
            <w:tcBorders>
              <w:top w:val="single" w:color="auto" w:sz="4" w:space="0"/>
              <w:left w:val="single" w:color="auto" w:sz="4" w:space="0"/>
              <w:bottom w:val="single" w:color="auto" w:sz="4" w:space="0"/>
              <w:right w:val="single" w:color="auto" w:sz="4" w:space="0"/>
            </w:tcBorders>
            <w:vAlign w:val="center"/>
          </w:tcPr>
          <w:p w14:paraId="755221D9">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数量</w:t>
            </w:r>
          </w:p>
        </w:tc>
        <w:tc>
          <w:tcPr>
            <w:tcW w:w="1377" w:type="dxa"/>
            <w:tcBorders>
              <w:top w:val="single" w:color="auto" w:sz="4" w:space="0"/>
              <w:left w:val="single" w:color="auto" w:sz="4" w:space="0"/>
              <w:bottom w:val="single" w:color="auto" w:sz="4" w:space="0"/>
              <w:right w:val="single" w:color="auto" w:sz="4" w:space="0"/>
            </w:tcBorders>
            <w:vAlign w:val="center"/>
          </w:tcPr>
          <w:p w14:paraId="7063DC9D">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货物参数要求</w:t>
            </w:r>
          </w:p>
        </w:tc>
        <w:tc>
          <w:tcPr>
            <w:tcW w:w="1261" w:type="dxa"/>
            <w:tcBorders>
              <w:top w:val="single" w:color="auto" w:sz="4" w:space="0"/>
              <w:left w:val="single" w:color="auto" w:sz="4" w:space="0"/>
              <w:bottom w:val="single" w:color="auto" w:sz="4" w:space="0"/>
              <w:right w:val="single" w:color="auto" w:sz="4" w:space="0"/>
            </w:tcBorders>
            <w:vAlign w:val="center"/>
          </w:tcPr>
          <w:p w14:paraId="6BA86B4B">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货物</w:t>
            </w:r>
            <w:r>
              <w:rPr>
                <w:rFonts w:hint="eastAsia" w:ascii="宋体" w:hAnsi="宋体" w:eastAsia="宋体" w:cs="宋体"/>
                <w:b w:val="0"/>
                <w:bCs w:val="0"/>
                <w:color w:val="auto"/>
                <w:sz w:val="21"/>
                <w:szCs w:val="21"/>
                <w:highlight w:val="none"/>
                <w:lang w:val="en-US" w:eastAsia="zh-CN"/>
              </w:rPr>
              <w:t>名称</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标的名称</w:t>
            </w:r>
            <w:r>
              <w:rPr>
                <w:rFonts w:hint="eastAsia" w:ascii="宋体" w:hAnsi="宋体" w:eastAsia="宋体" w:cs="宋体"/>
                <w:b w:val="0"/>
                <w:bCs w:val="0"/>
                <w:color w:val="auto"/>
                <w:sz w:val="21"/>
                <w:szCs w:val="21"/>
                <w:highlight w:val="none"/>
                <w:lang w:eastAsia="zh-CN"/>
              </w:rPr>
              <w:t>）</w:t>
            </w:r>
          </w:p>
        </w:tc>
        <w:tc>
          <w:tcPr>
            <w:tcW w:w="969" w:type="dxa"/>
            <w:tcBorders>
              <w:top w:val="single" w:color="auto" w:sz="4" w:space="0"/>
              <w:left w:val="single" w:color="auto" w:sz="4" w:space="0"/>
              <w:bottom w:val="single" w:color="auto" w:sz="4" w:space="0"/>
              <w:right w:val="single" w:color="auto" w:sz="4" w:space="0"/>
            </w:tcBorders>
            <w:vAlign w:val="center"/>
          </w:tcPr>
          <w:p w14:paraId="6BA20B9A">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数量</w:t>
            </w:r>
          </w:p>
        </w:tc>
        <w:tc>
          <w:tcPr>
            <w:tcW w:w="1597" w:type="dxa"/>
            <w:tcBorders>
              <w:top w:val="single" w:color="auto" w:sz="4" w:space="0"/>
              <w:left w:val="single" w:color="auto" w:sz="4" w:space="0"/>
              <w:bottom w:val="single" w:color="auto" w:sz="4" w:space="0"/>
              <w:right w:val="single" w:color="auto" w:sz="4" w:space="0"/>
            </w:tcBorders>
            <w:vAlign w:val="center"/>
          </w:tcPr>
          <w:p w14:paraId="18552C40">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货物参数</w:t>
            </w:r>
          </w:p>
        </w:tc>
        <w:tc>
          <w:tcPr>
            <w:tcW w:w="1225" w:type="dxa"/>
            <w:tcBorders>
              <w:top w:val="single" w:color="auto" w:sz="4" w:space="0"/>
              <w:left w:val="single" w:color="auto" w:sz="4" w:space="0"/>
              <w:bottom w:val="single" w:color="auto" w:sz="4" w:space="0"/>
              <w:right w:val="single" w:color="auto" w:sz="4" w:space="0"/>
            </w:tcBorders>
            <w:vAlign w:val="center"/>
          </w:tcPr>
          <w:p w14:paraId="30E064DE">
            <w:pPr>
              <w:keepNext w:val="0"/>
              <w:keepLines w:val="0"/>
              <w:pageBreakBefore w:val="0"/>
              <w:widowControl/>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r>
      <w:tr w14:paraId="3EA9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2274F5FB">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10" w:type="dxa"/>
            <w:tcBorders>
              <w:top w:val="single" w:color="auto" w:sz="4" w:space="0"/>
              <w:left w:val="single" w:color="auto" w:sz="4" w:space="0"/>
              <w:bottom w:val="single" w:color="auto" w:sz="4" w:space="0"/>
              <w:right w:val="single" w:color="auto" w:sz="4" w:space="0"/>
            </w:tcBorders>
            <w:vAlign w:val="center"/>
          </w:tcPr>
          <w:p w14:paraId="46E91352">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15" w:type="dxa"/>
            <w:tcBorders>
              <w:top w:val="single" w:color="auto" w:sz="4" w:space="0"/>
              <w:left w:val="single" w:color="auto" w:sz="4" w:space="0"/>
              <w:bottom w:val="single" w:color="auto" w:sz="4" w:space="0"/>
              <w:right w:val="single" w:color="auto" w:sz="4" w:space="0"/>
            </w:tcBorders>
            <w:vAlign w:val="center"/>
          </w:tcPr>
          <w:p w14:paraId="412D0330">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77" w:type="dxa"/>
            <w:tcBorders>
              <w:top w:val="single" w:color="auto" w:sz="4" w:space="0"/>
              <w:left w:val="single" w:color="auto" w:sz="4" w:space="0"/>
              <w:bottom w:val="single" w:color="auto" w:sz="4" w:space="0"/>
              <w:right w:val="single" w:color="auto" w:sz="4" w:space="0"/>
            </w:tcBorders>
            <w:vAlign w:val="center"/>
          </w:tcPr>
          <w:p w14:paraId="58092147">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3B57D40B">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1DE54363">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37B56451">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1" w:type="dxa"/>
            <w:tcBorders>
              <w:top w:val="single" w:color="auto" w:sz="4" w:space="0"/>
              <w:left w:val="single" w:color="auto" w:sz="4" w:space="0"/>
              <w:bottom w:val="single" w:color="auto" w:sz="4" w:space="0"/>
              <w:right w:val="single" w:color="auto" w:sz="4" w:space="0"/>
            </w:tcBorders>
            <w:vAlign w:val="center"/>
          </w:tcPr>
          <w:p w14:paraId="24C174A8">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69" w:type="dxa"/>
            <w:tcBorders>
              <w:top w:val="single" w:color="auto" w:sz="4" w:space="0"/>
              <w:left w:val="single" w:color="auto" w:sz="4" w:space="0"/>
              <w:bottom w:val="single" w:color="auto" w:sz="4" w:space="0"/>
              <w:right w:val="single" w:color="auto" w:sz="4" w:space="0"/>
            </w:tcBorders>
            <w:vAlign w:val="center"/>
          </w:tcPr>
          <w:p w14:paraId="40F67B9D">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97" w:type="dxa"/>
            <w:tcBorders>
              <w:top w:val="single" w:color="auto" w:sz="4" w:space="0"/>
              <w:left w:val="single" w:color="auto" w:sz="4" w:space="0"/>
              <w:bottom w:val="single" w:color="auto" w:sz="4" w:space="0"/>
              <w:right w:val="single" w:color="auto" w:sz="4" w:space="0"/>
            </w:tcBorders>
            <w:vAlign w:val="center"/>
          </w:tcPr>
          <w:p w14:paraId="7FD15369">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5F4C71EB">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4BF64633">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7326AA63">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25" w:type="dxa"/>
            <w:tcBorders>
              <w:top w:val="single" w:color="auto" w:sz="4" w:space="0"/>
              <w:left w:val="single" w:color="auto" w:sz="4" w:space="0"/>
              <w:bottom w:val="single" w:color="auto" w:sz="4" w:space="0"/>
              <w:right w:val="single" w:color="auto" w:sz="4" w:space="0"/>
            </w:tcBorders>
            <w:vAlign w:val="center"/>
          </w:tcPr>
          <w:p w14:paraId="704843F4">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r>
      <w:tr w14:paraId="1959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5AB3566E">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10" w:type="dxa"/>
            <w:tcBorders>
              <w:top w:val="single" w:color="auto" w:sz="4" w:space="0"/>
              <w:left w:val="single" w:color="auto" w:sz="4" w:space="0"/>
              <w:bottom w:val="single" w:color="auto" w:sz="4" w:space="0"/>
              <w:right w:val="single" w:color="auto" w:sz="4" w:space="0"/>
            </w:tcBorders>
            <w:vAlign w:val="center"/>
          </w:tcPr>
          <w:p w14:paraId="22CD3B62">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15" w:type="dxa"/>
            <w:tcBorders>
              <w:top w:val="single" w:color="auto" w:sz="4" w:space="0"/>
              <w:left w:val="single" w:color="auto" w:sz="4" w:space="0"/>
              <w:bottom w:val="single" w:color="auto" w:sz="4" w:space="0"/>
              <w:right w:val="single" w:color="auto" w:sz="4" w:space="0"/>
            </w:tcBorders>
            <w:vAlign w:val="center"/>
          </w:tcPr>
          <w:p w14:paraId="6A9BFDE3">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77" w:type="dxa"/>
            <w:tcBorders>
              <w:top w:val="single" w:color="auto" w:sz="4" w:space="0"/>
              <w:left w:val="single" w:color="auto" w:sz="4" w:space="0"/>
              <w:bottom w:val="single" w:color="auto" w:sz="4" w:space="0"/>
              <w:right w:val="single" w:color="auto" w:sz="4" w:space="0"/>
            </w:tcBorders>
            <w:vAlign w:val="center"/>
          </w:tcPr>
          <w:p w14:paraId="153565AD">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6AEBBE0B">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0D8F9883">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7384239F">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1" w:type="dxa"/>
            <w:tcBorders>
              <w:top w:val="single" w:color="auto" w:sz="4" w:space="0"/>
              <w:left w:val="single" w:color="auto" w:sz="4" w:space="0"/>
              <w:bottom w:val="single" w:color="auto" w:sz="4" w:space="0"/>
              <w:right w:val="single" w:color="auto" w:sz="4" w:space="0"/>
            </w:tcBorders>
            <w:vAlign w:val="center"/>
          </w:tcPr>
          <w:p w14:paraId="0924A312">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69" w:type="dxa"/>
            <w:tcBorders>
              <w:top w:val="single" w:color="auto" w:sz="4" w:space="0"/>
              <w:left w:val="single" w:color="auto" w:sz="4" w:space="0"/>
              <w:bottom w:val="single" w:color="auto" w:sz="4" w:space="0"/>
              <w:right w:val="single" w:color="auto" w:sz="4" w:space="0"/>
            </w:tcBorders>
            <w:vAlign w:val="center"/>
          </w:tcPr>
          <w:p w14:paraId="283C0BCA">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97" w:type="dxa"/>
            <w:tcBorders>
              <w:top w:val="single" w:color="auto" w:sz="4" w:space="0"/>
              <w:left w:val="single" w:color="auto" w:sz="4" w:space="0"/>
              <w:bottom w:val="single" w:color="auto" w:sz="4" w:space="0"/>
              <w:right w:val="single" w:color="auto" w:sz="4" w:space="0"/>
            </w:tcBorders>
            <w:vAlign w:val="center"/>
          </w:tcPr>
          <w:p w14:paraId="41C0B6D8">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p w14:paraId="1974A8A7">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w:t>
            </w:r>
          </w:p>
          <w:p w14:paraId="46AF1445">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w:t>
            </w:r>
          </w:p>
          <w:p w14:paraId="077CC21A">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25" w:type="dxa"/>
            <w:tcBorders>
              <w:top w:val="single" w:color="auto" w:sz="4" w:space="0"/>
              <w:left w:val="single" w:color="auto" w:sz="4" w:space="0"/>
              <w:bottom w:val="single" w:color="auto" w:sz="4" w:space="0"/>
              <w:right w:val="single" w:color="auto" w:sz="4" w:space="0"/>
            </w:tcBorders>
            <w:vAlign w:val="center"/>
          </w:tcPr>
          <w:p w14:paraId="17A1B2A0">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r>
      <w:tr w14:paraId="676A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00AEA880">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10" w:type="dxa"/>
            <w:tcBorders>
              <w:top w:val="single" w:color="auto" w:sz="4" w:space="0"/>
              <w:left w:val="single" w:color="auto" w:sz="4" w:space="0"/>
              <w:bottom w:val="single" w:color="auto" w:sz="4" w:space="0"/>
              <w:right w:val="single" w:color="auto" w:sz="4" w:space="0"/>
            </w:tcBorders>
            <w:vAlign w:val="center"/>
          </w:tcPr>
          <w:p w14:paraId="693480AB">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c>
          <w:tcPr>
            <w:tcW w:w="815" w:type="dxa"/>
            <w:tcBorders>
              <w:top w:val="single" w:color="auto" w:sz="4" w:space="0"/>
              <w:left w:val="single" w:color="auto" w:sz="4" w:space="0"/>
              <w:bottom w:val="single" w:color="auto" w:sz="4" w:space="0"/>
              <w:right w:val="single" w:color="auto" w:sz="4" w:space="0"/>
            </w:tcBorders>
            <w:vAlign w:val="center"/>
          </w:tcPr>
          <w:p w14:paraId="1B761874">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c>
          <w:tcPr>
            <w:tcW w:w="1377" w:type="dxa"/>
            <w:tcBorders>
              <w:top w:val="single" w:color="auto" w:sz="4" w:space="0"/>
              <w:left w:val="single" w:color="auto" w:sz="4" w:space="0"/>
              <w:bottom w:val="single" w:color="auto" w:sz="4" w:space="0"/>
              <w:right w:val="single" w:color="auto" w:sz="4" w:space="0"/>
            </w:tcBorders>
            <w:vAlign w:val="center"/>
          </w:tcPr>
          <w:p w14:paraId="25E718FF">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46F9BA5A">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c>
          <w:tcPr>
            <w:tcW w:w="969" w:type="dxa"/>
            <w:tcBorders>
              <w:top w:val="single" w:color="auto" w:sz="4" w:space="0"/>
              <w:left w:val="single" w:color="auto" w:sz="4" w:space="0"/>
              <w:bottom w:val="single" w:color="auto" w:sz="4" w:space="0"/>
              <w:right w:val="single" w:color="auto" w:sz="4" w:space="0"/>
            </w:tcBorders>
            <w:vAlign w:val="center"/>
          </w:tcPr>
          <w:p w14:paraId="134BFD27">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c>
          <w:tcPr>
            <w:tcW w:w="1597" w:type="dxa"/>
            <w:tcBorders>
              <w:top w:val="single" w:color="auto" w:sz="4" w:space="0"/>
              <w:left w:val="single" w:color="auto" w:sz="4" w:space="0"/>
              <w:bottom w:val="single" w:color="auto" w:sz="4" w:space="0"/>
              <w:right w:val="single" w:color="auto" w:sz="4" w:space="0"/>
            </w:tcBorders>
            <w:vAlign w:val="center"/>
          </w:tcPr>
          <w:p w14:paraId="4F71D184">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373F4351">
            <w:pPr>
              <w:keepNext w:val="0"/>
              <w:keepLines w:val="0"/>
              <w:pageBreakBefore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1"/>
                <w:szCs w:val="21"/>
                <w:highlight w:val="none"/>
              </w:rPr>
            </w:pPr>
          </w:p>
        </w:tc>
      </w:tr>
    </w:tbl>
    <w:p w14:paraId="11D4391A">
      <w:pPr>
        <w:pStyle w:val="17"/>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2A956C25">
      <w:pPr>
        <w:keepNext w:val="0"/>
        <w:keepLines w:val="0"/>
        <w:pageBreakBefore w:val="0"/>
        <w:kinsoku/>
        <w:wordWrap/>
        <w:overflowPunct/>
        <w:topLinePunct w:val="0"/>
        <w:autoSpaceDE/>
        <w:autoSpaceDN/>
        <w:bidi w:val="0"/>
        <w:adjustRightInd/>
        <w:snapToGrid/>
        <w:spacing w:beforeAutospacing="0" w:afterAutospacing="0" w:line="40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说明：应对照招标文件“第二章 采购需求”中的“技术要求”逐条作明确的投标响应，并作出偏离说明。</w:t>
      </w:r>
      <w:r>
        <w:rPr>
          <w:rFonts w:hint="eastAsia" w:ascii="宋体" w:hAnsi="宋体" w:eastAsia="宋体" w:cs="宋体"/>
          <w:color w:val="auto"/>
          <w:sz w:val="21"/>
          <w:szCs w:val="21"/>
          <w:highlight w:val="none"/>
          <w:shd w:val="clear" w:color="auto" w:fill="FFFFFF"/>
          <w:lang w:bidi="ar"/>
        </w:rPr>
        <w:t>偏离认定说明详见</w:t>
      </w:r>
      <w:r>
        <w:rPr>
          <w:rFonts w:hint="eastAsia" w:ascii="宋体" w:hAnsi="宋体" w:eastAsia="宋体" w:cs="宋体"/>
          <w:color w:val="auto"/>
          <w:sz w:val="21"/>
          <w:szCs w:val="21"/>
          <w:highlight w:val="none"/>
          <w:shd w:val="clear" w:color="auto" w:fill="FFFFFF"/>
          <w:lang w:val="en-US" w:eastAsia="zh-CN" w:bidi="ar"/>
        </w:rPr>
        <w:t>招标文件</w:t>
      </w:r>
      <w:r>
        <w:rPr>
          <w:rFonts w:hint="eastAsia" w:ascii="宋体" w:hAnsi="宋体" w:eastAsia="宋体" w:cs="宋体"/>
          <w:color w:val="auto"/>
          <w:sz w:val="21"/>
          <w:szCs w:val="21"/>
          <w:highlight w:val="none"/>
          <w:shd w:val="clear" w:color="auto" w:fill="FFFFFF"/>
          <w:lang w:eastAsia="zh-CN" w:bidi="ar"/>
        </w:rPr>
        <w:t>“</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 xml:space="preserve">章 </w:t>
      </w:r>
      <w:r>
        <w:rPr>
          <w:rFonts w:hint="eastAsia" w:ascii="宋体" w:hAnsi="宋体" w:eastAsia="宋体" w:cs="宋体"/>
          <w:color w:val="auto"/>
          <w:sz w:val="21"/>
          <w:szCs w:val="21"/>
          <w:highlight w:val="none"/>
          <w:lang w:val="en-US" w:eastAsia="zh-CN"/>
        </w:rPr>
        <w:t>评标办法及评标标准</w:t>
      </w:r>
      <w:r>
        <w:rPr>
          <w:rFonts w:hint="eastAsia" w:ascii="宋体" w:hAnsi="宋体" w:eastAsia="宋体" w:cs="宋体"/>
          <w:color w:val="auto"/>
          <w:sz w:val="21"/>
          <w:szCs w:val="21"/>
          <w:highlight w:val="none"/>
          <w:shd w:val="clear" w:color="auto" w:fill="FFFFFF"/>
          <w:lang w:eastAsia="zh-CN" w:bidi="ar"/>
        </w:rPr>
        <w:t>”</w:t>
      </w:r>
      <w:r>
        <w:rPr>
          <w:rFonts w:hint="eastAsia" w:ascii="宋体" w:hAnsi="宋体" w:eastAsia="宋体" w:cs="宋体"/>
          <w:color w:val="auto"/>
          <w:sz w:val="21"/>
          <w:szCs w:val="21"/>
          <w:highlight w:val="none"/>
          <w:shd w:val="clear" w:color="auto" w:fill="FFFFFF"/>
          <w:lang w:bidi="ar"/>
        </w:rPr>
        <w:t>。</w:t>
      </w:r>
    </w:p>
    <w:p w14:paraId="04BFBEE6">
      <w:pPr>
        <w:pStyle w:val="17"/>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投标人根据投标货物的性能指标，对照招标文件技术要求，在“偏离说明”中注明“</w:t>
      </w:r>
      <w:r>
        <w:rPr>
          <w:rFonts w:hint="eastAsia" w:ascii="宋体" w:hAnsi="宋体" w:eastAsia="宋体" w:cs="宋体"/>
          <w:color w:val="auto"/>
          <w:sz w:val="21"/>
          <w:szCs w:val="21"/>
          <w:highlight w:val="none"/>
        </w:rPr>
        <w:t>正偏离</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sz w:val="21"/>
          <w:szCs w:val="21"/>
          <w:highlight w:val="none"/>
        </w:rPr>
        <w:t>负偏离</w:t>
      </w:r>
      <w:r>
        <w:rPr>
          <w:rFonts w:hint="eastAsia" w:ascii="宋体" w:hAnsi="宋体" w:eastAsia="宋体" w:cs="宋体"/>
          <w:b w:val="0"/>
          <w:bCs w:val="0"/>
          <w:color w:val="auto"/>
          <w:sz w:val="21"/>
          <w:szCs w:val="21"/>
          <w:highlight w:val="none"/>
        </w:rPr>
        <w:t>”或者“</w:t>
      </w:r>
      <w:r>
        <w:rPr>
          <w:rFonts w:hint="eastAsia" w:ascii="宋体" w:hAnsi="宋体" w:eastAsia="宋体" w:cs="宋体"/>
          <w:color w:val="auto"/>
          <w:sz w:val="21"/>
          <w:szCs w:val="21"/>
          <w:highlight w:val="none"/>
        </w:rPr>
        <w:t>无偏离</w:t>
      </w:r>
      <w:r>
        <w:rPr>
          <w:rFonts w:hint="eastAsia" w:ascii="宋体" w:hAnsi="宋体" w:eastAsia="宋体" w:cs="宋体"/>
          <w:b w:val="0"/>
          <w:bCs w:val="0"/>
          <w:color w:val="auto"/>
          <w:sz w:val="21"/>
          <w:szCs w:val="21"/>
          <w:highlight w:val="none"/>
        </w:rPr>
        <w:t>”。既不属于“</w:t>
      </w:r>
      <w:r>
        <w:rPr>
          <w:rFonts w:hint="eastAsia" w:ascii="宋体" w:hAnsi="宋体" w:eastAsia="宋体" w:cs="宋体"/>
          <w:color w:val="auto"/>
          <w:sz w:val="21"/>
          <w:szCs w:val="21"/>
          <w:highlight w:val="none"/>
        </w:rPr>
        <w:t>正偏离</w:t>
      </w:r>
      <w:r>
        <w:rPr>
          <w:rFonts w:hint="eastAsia" w:ascii="宋体" w:hAnsi="宋体" w:eastAsia="宋体" w:cs="宋体"/>
          <w:b w:val="0"/>
          <w:bCs w:val="0"/>
          <w:color w:val="auto"/>
          <w:sz w:val="21"/>
          <w:szCs w:val="21"/>
          <w:highlight w:val="none"/>
        </w:rPr>
        <w:t>”也不属于“</w:t>
      </w:r>
      <w:r>
        <w:rPr>
          <w:rFonts w:hint="eastAsia" w:ascii="宋体" w:hAnsi="宋体" w:eastAsia="宋体" w:cs="宋体"/>
          <w:color w:val="auto"/>
          <w:sz w:val="21"/>
          <w:szCs w:val="21"/>
          <w:highlight w:val="none"/>
        </w:rPr>
        <w:t>负偏离</w:t>
      </w:r>
      <w:r>
        <w:rPr>
          <w:rFonts w:hint="eastAsia" w:ascii="宋体" w:hAnsi="宋体" w:eastAsia="宋体" w:cs="宋体"/>
          <w:b w:val="0"/>
          <w:bCs w:val="0"/>
          <w:color w:val="auto"/>
          <w:sz w:val="21"/>
          <w:szCs w:val="21"/>
          <w:highlight w:val="none"/>
        </w:rPr>
        <w:t>”即为“</w:t>
      </w:r>
      <w:r>
        <w:rPr>
          <w:rFonts w:hint="eastAsia" w:ascii="宋体" w:hAnsi="宋体" w:eastAsia="宋体" w:cs="宋体"/>
          <w:color w:val="auto"/>
          <w:sz w:val="21"/>
          <w:szCs w:val="21"/>
          <w:highlight w:val="none"/>
        </w:rPr>
        <w:t>无偏离</w:t>
      </w:r>
      <w:r>
        <w:rPr>
          <w:rFonts w:hint="eastAsia" w:ascii="宋体" w:hAnsi="宋体" w:eastAsia="宋体" w:cs="宋体"/>
          <w:b w:val="0"/>
          <w:bCs w:val="0"/>
          <w:color w:val="auto"/>
          <w:sz w:val="21"/>
          <w:szCs w:val="21"/>
          <w:highlight w:val="none"/>
        </w:rPr>
        <w:t>”。</w:t>
      </w:r>
      <w:r>
        <w:rPr>
          <w:rFonts w:hint="eastAsia" w:ascii="宋体" w:hAnsi="宋体" w:eastAsia="宋体" w:cs="宋体"/>
          <w:b/>
          <w:bCs/>
          <w:color w:val="auto"/>
          <w:sz w:val="21"/>
          <w:szCs w:val="21"/>
          <w:highlight w:val="none"/>
          <w:lang w:val="en-US" w:eastAsia="zh-CN"/>
        </w:rPr>
        <w:t>如技术要求指标注明需提供产品技术参数证明材料的，应注明相应证明材料在投标文件中的页码，否则评标委员会有权不接受。</w:t>
      </w:r>
    </w:p>
    <w:p w14:paraId="0E0ADE78">
      <w:pPr>
        <w:pStyle w:val="19"/>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rPr>
        <w:t>投标人认为其投标响应有正偏离的，请在技术要求偏离表中列明，</w:t>
      </w:r>
      <w:r>
        <w:rPr>
          <w:rFonts w:hint="eastAsia" w:ascii="宋体" w:hAnsi="宋体" w:eastAsia="宋体" w:cs="宋体"/>
          <w:color w:val="auto"/>
          <w:kern w:val="2"/>
          <w:sz w:val="21"/>
          <w:szCs w:val="21"/>
          <w:highlight w:val="none"/>
          <w:lang w:val="en-US" w:eastAsia="zh-CN" w:bidi="ar"/>
        </w:rPr>
        <w:t>凡采购需求中有明确提供相关佐证材料的，须在投标文件中附上，否则不予认可。</w:t>
      </w:r>
    </w:p>
    <w:p w14:paraId="1326CB57">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 w:val="0"/>
          <w:bCs w:val="0"/>
          <w:color w:val="auto"/>
          <w:spacing w:val="20"/>
          <w:sz w:val="21"/>
          <w:szCs w:val="21"/>
          <w:highlight w:val="none"/>
          <w:u w:val="singl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如技术要求偏离表中的投标响应与佐证材料不一致的，</w:t>
      </w:r>
      <w:r>
        <w:rPr>
          <w:rFonts w:hint="eastAsia" w:ascii="宋体" w:hAnsi="宋体" w:eastAsia="宋体" w:cs="宋体"/>
          <w:b w:val="0"/>
          <w:bCs w:val="0"/>
          <w:color w:val="auto"/>
          <w:sz w:val="21"/>
          <w:szCs w:val="21"/>
          <w:highlight w:val="none"/>
          <w:lang w:val="en-US" w:eastAsia="zh-CN"/>
        </w:rPr>
        <w:t>以</w:t>
      </w:r>
      <w:r>
        <w:rPr>
          <w:rFonts w:hint="eastAsia" w:ascii="宋体" w:hAnsi="宋体" w:eastAsia="宋体" w:cs="宋体"/>
          <w:b w:val="0"/>
          <w:bCs w:val="0"/>
          <w:color w:val="auto"/>
          <w:sz w:val="21"/>
          <w:szCs w:val="21"/>
          <w:highlight w:val="none"/>
        </w:rPr>
        <w:t>佐证材料</w:t>
      </w:r>
      <w:r>
        <w:rPr>
          <w:rFonts w:hint="eastAsia" w:ascii="宋体" w:hAnsi="宋体" w:eastAsia="宋体" w:cs="宋体"/>
          <w:b w:val="0"/>
          <w:bCs w:val="0"/>
          <w:color w:val="auto"/>
          <w:sz w:val="21"/>
          <w:szCs w:val="21"/>
          <w:highlight w:val="none"/>
          <w:lang w:val="en-US" w:eastAsia="zh-CN"/>
        </w:rPr>
        <w:t>为准。</w:t>
      </w:r>
    </w:p>
    <w:p w14:paraId="36D1B38A">
      <w:pPr>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拟投多个</w:t>
      </w:r>
      <w:r>
        <w:rPr>
          <w:rFonts w:hint="eastAsia" w:ascii="宋体" w:hAnsi="宋体" w:eastAsia="宋体" w:cs="宋体"/>
          <w:color w:val="auto"/>
          <w:sz w:val="21"/>
          <w:szCs w:val="21"/>
          <w:highlight w:val="none"/>
        </w:rPr>
        <w:t>分标，按分标分别提供</w:t>
      </w:r>
      <w:r>
        <w:rPr>
          <w:rFonts w:hint="eastAsia" w:ascii="宋体" w:hAnsi="宋体" w:eastAsia="宋体" w:cs="宋体"/>
          <w:color w:val="auto"/>
          <w:sz w:val="21"/>
          <w:szCs w:val="21"/>
          <w:highlight w:val="none"/>
          <w:lang w:val="en-US" w:eastAsia="zh-CN"/>
        </w:rPr>
        <w:t>技术要求偏离表</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否则投标无效。</w:t>
      </w:r>
    </w:p>
    <w:p w14:paraId="37CA58E4">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pacing w:val="20"/>
          <w:sz w:val="21"/>
          <w:szCs w:val="21"/>
          <w:highlight w:val="none"/>
        </w:rPr>
      </w:pPr>
    </w:p>
    <w:p w14:paraId="43026287">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投标人名称（电子签章）：</w:t>
      </w:r>
      <w:r>
        <w:rPr>
          <w:rFonts w:hint="eastAsia" w:ascii="宋体" w:hAnsi="宋体" w:eastAsia="宋体" w:cs="宋体"/>
          <w:color w:val="auto"/>
          <w:spacing w:val="20"/>
          <w:sz w:val="21"/>
          <w:szCs w:val="21"/>
          <w:highlight w:val="none"/>
          <w:u w:val="single"/>
        </w:rPr>
        <w:t xml:space="preserve">            </w:t>
      </w:r>
    </w:p>
    <w:p w14:paraId="6B7842F2">
      <w:pPr>
        <w:keepNext w:val="0"/>
        <w:keepLines w:val="0"/>
        <w:pageBreakBefore w:val="0"/>
        <w:kinsoku/>
        <w:wordWrap/>
        <w:overflowPunct/>
        <w:topLinePunct w:val="0"/>
        <w:autoSpaceDE/>
        <w:autoSpaceDN/>
        <w:bidi w:val="0"/>
        <w:adjustRightInd/>
        <w:spacing w:line="400" w:lineRule="exact"/>
        <w:ind w:left="0" w:leftChars="0" w:right="0" w:firstLine="5250" w:firstLineChars="25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195D1160">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br w:type="page"/>
      </w:r>
      <w:r>
        <w:rPr>
          <w:rFonts w:hint="eastAsia" w:ascii="宋体" w:hAnsi="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设备配置清单</w:t>
      </w:r>
      <w:r>
        <w:rPr>
          <w:rFonts w:hint="eastAsia" w:ascii="宋体" w:hAnsi="宋体" w:eastAsia="宋体" w:cs="宋体"/>
          <w:b w:val="0"/>
          <w:bCs/>
          <w:color w:val="auto"/>
          <w:sz w:val="21"/>
          <w:szCs w:val="21"/>
          <w:highlight w:val="none"/>
        </w:rPr>
        <w:t>格式</w:t>
      </w:r>
    </w:p>
    <w:p w14:paraId="371D5605">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color w:val="auto"/>
          <w:sz w:val="21"/>
          <w:szCs w:val="21"/>
          <w:highlight w:val="none"/>
        </w:rPr>
      </w:pPr>
    </w:p>
    <w:p w14:paraId="018A49B7">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设备</w:t>
      </w:r>
      <w:r>
        <w:rPr>
          <w:rFonts w:hint="eastAsia" w:ascii="宋体" w:hAnsi="宋体" w:eastAsia="宋体" w:cs="宋体"/>
          <w:b/>
          <w:color w:val="auto"/>
          <w:sz w:val="21"/>
          <w:szCs w:val="21"/>
          <w:highlight w:val="none"/>
        </w:rPr>
        <w:t>配置清单</w:t>
      </w:r>
    </w:p>
    <w:p w14:paraId="1186D5E0">
      <w:pPr>
        <w:pStyle w:val="25"/>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所投分标：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分标</w:t>
      </w:r>
    </w:p>
    <w:tbl>
      <w:tblPr>
        <w:tblStyle w:val="48"/>
        <w:tblW w:w="90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2440"/>
        <w:gridCol w:w="2434"/>
        <w:gridCol w:w="1787"/>
        <w:gridCol w:w="1175"/>
        <w:gridCol w:w="709"/>
      </w:tblGrid>
      <w:tr w14:paraId="2E6A67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3944E14E">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项号</w:t>
            </w:r>
          </w:p>
        </w:tc>
        <w:tc>
          <w:tcPr>
            <w:tcW w:w="2440" w:type="dxa"/>
            <w:tcBorders>
              <w:top w:val="single" w:color="auto" w:sz="4" w:space="0"/>
              <w:left w:val="single" w:color="auto" w:sz="4" w:space="0"/>
              <w:bottom w:val="single" w:color="auto" w:sz="4" w:space="0"/>
              <w:right w:val="single" w:color="auto" w:sz="4" w:space="0"/>
            </w:tcBorders>
            <w:vAlign w:val="center"/>
          </w:tcPr>
          <w:p w14:paraId="7672AB01">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货物或产品</w:t>
            </w:r>
          </w:p>
          <w:p w14:paraId="434EFE5D">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2434" w:type="dxa"/>
            <w:tcBorders>
              <w:top w:val="single" w:color="auto" w:sz="4" w:space="0"/>
              <w:left w:val="single" w:color="auto" w:sz="4" w:space="0"/>
              <w:bottom w:val="single" w:color="auto" w:sz="4" w:space="0"/>
              <w:right w:val="single" w:color="auto" w:sz="4" w:space="0"/>
            </w:tcBorders>
            <w:vAlign w:val="center"/>
          </w:tcPr>
          <w:p w14:paraId="5F467EE0">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性能及指标</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或规格型号要求）</w:t>
            </w:r>
          </w:p>
        </w:tc>
        <w:tc>
          <w:tcPr>
            <w:tcW w:w="1787" w:type="dxa"/>
            <w:tcBorders>
              <w:top w:val="single" w:color="auto" w:sz="4" w:space="0"/>
              <w:left w:val="single" w:color="auto" w:sz="4" w:space="0"/>
              <w:bottom w:val="single" w:color="auto" w:sz="4" w:space="0"/>
              <w:right w:val="single" w:color="auto" w:sz="4" w:space="0"/>
            </w:tcBorders>
            <w:vAlign w:val="center"/>
          </w:tcPr>
          <w:p w14:paraId="06580BB4">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单位及数量</w:t>
            </w:r>
          </w:p>
        </w:tc>
        <w:tc>
          <w:tcPr>
            <w:tcW w:w="1175" w:type="dxa"/>
            <w:tcBorders>
              <w:top w:val="single" w:color="auto" w:sz="4" w:space="0"/>
              <w:left w:val="single" w:color="auto" w:sz="4" w:space="0"/>
              <w:bottom w:val="single" w:color="auto" w:sz="4" w:space="0"/>
              <w:right w:val="single" w:color="auto" w:sz="4" w:space="0"/>
            </w:tcBorders>
            <w:vAlign w:val="center"/>
          </w:tcPr>
          <w:p w14:paraId="3E61658E">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品牌或制造商</w:t>
            </w:r>
          </w:p>
        </w:tc>
        <w:tc>
          <w:tcPr>
            <w:tcW w:w="709" w:type="dxa"/>
            <w:tcBorders>
              <w:top w:val="single" w:color="auto" w:sz="4" w:space="0"/>
              <w:left w:val="single" w:color="auto" w:sz="4" w:space="0"/>
              <w:bottom w:val="single" w:color="auto" w:sz="4" w:space="0"/>
              <w:right w:val="single" w:color="auto" w:sz="4" w:space="0"/>
            </w:tcBorders>
            <w:vAlign w:val="center"/>
          </w:tcPr>
          <w:p w14:paraId="6C3C9960">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6C9DB5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16B9BFE9">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lang w:val="en-US" w:eastAsia="zh-CN"/>
              </w:rPr>
            </w:pPr>
          </w:p>
        </w:tc>
        <w:tc>
          <w:tcPr>
            <w:tcW w:w="2440" w:type="dxa"/>
            <w:tcBorders>
              <w:top w:val="single" w:color="auto" w:sz="4" w:space="0"/>
              <w:left w:val="single" w:color="auto" w:sz="4" w:space="0"/>
              <w:bottom w:val="single" w:color="auto" w:sz="4" w:space="0"/>
              <w:right w:val="single" w:color="auto" w:sz="4" w:space="0"/>
            </w:tcBorders>
            <w:vAlign w:val="center"/>
          </w:tcPr>
          <w:p w14:paraId="31CE9998">
            <w:pPr>
              <w:keepNext w:val="0"/>
              <w:keepLines w:val="0"/>
              <w:pageBreakBefore w:val="0"/>
              <w:kinsoku/>
              <w:wordWrap/>
              <w:overflowPunct/>
              <w:topLinePunct w:val="0"/>
              <w:autoSpaceDE/>
              <w:autoSpaceDN/>
              <w:bidi w:val="0"/>
              <w:adjustRightInd/>
              <w:snapToGrid w:val="0"/>
              <w:spacing w:line="400" w:lineRule="exact"/>
              <w:ind w:left="0" w:leftChars="0" w:right="0"/>
              <w:textAlignment w:val="auto"/>
              <w:rPr>
                <w:rFonts w:hint="eastAsia" w:ascii="宋体" w:hAnsi="宋体" w:eastAsia="宋体" w:cs="宋体"/>
                <w:color w:val="auto"/>
                <w:kern w:val="2"/>
                <w:sz w:val="21"/>
                <w:szCs w:val="21"/>
                <w:highlight w:val="none"/>
              </w:rPr>
            </w:pPr>
          </w:p>
        </w:tc>
        <w:tc>
          <w:tcPr>
            <w:tcW w:w="2434" w:type="dxa"/>
            <w:tcBorders>
              <w:top w:val="single" w:color="auto" w:sz="4" w:space="0"/>
              <w:left w:val="single" w:color="auto" w:sz="4" w:space="0"/>
              <w:bottom w:val="single" w:color="auto" w:sz="4" w:space="0"/>
              <w:right w:val="single" w:color="auto" w:sz="4" w:space="0"/>
            </w:tcBorders>
            <w:vAlign w:val="center"/>
          </w:tcPr>
          <w:p w14:paraId="2577DC2E">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87" w:type="dxa"/>
            <w:tcBorders>
              <w:top w:val="single" w:color="auto" w:sz="4" w:space="0"/>
              <w:left w:val="single" w:color="auto" w:sz="4" w:space="0"/>
              <w:bottom w:val="single" w:color="auto" w:sz="4" w:space="0"/>
              <w:right w:val="single" w:color="auto" w:sz="4" w:space="0"/>
            </w:tcBorders>
            <w:vAlign w:val="center"/>
          </w:tcPr>
          <w:p w14:paraId="420B872D">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175" w:type="dxa"/>
            <w:tcBorders>
              <w:top w:val="single" w:color="auto" w:sz="4" w:space="0"/>
              <w:left w:val="single" w:color="auto" w:sz="4" w:space="0"/>
              <w:bottom w:val="single" w:color="auto" w:sz="4" w:space="0"/>
              <w:right w:val="single" w:color="auto" w:sz="4" w:space="0"/>
            </w:tcBorders>
            <w:vAlign w:val="center"/>
          </w:tcPr>
          <w:p w14:paraId="6E5AB6FB">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33956DE">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r>
      <w:tr w14:paraId="70DA01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3CF25E11">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lang w:val="en-US" w:eastAsia="zh-CN"/>
              </w:rPr>
            </w:pPr>
          </w:p>
        </w:tc>
        <w:tc>
          <w:tcPr>
            <w:tcW w:w="2440" w:type="dxa"/>
            <w:tcBorders>
              <w:top w:val="single" w:color="auto" w:sz="4" w:space="0"/>
              <w:left w:val="single" w:color="auto" w:sz="4" w:space="0"/>
              <w:bottom w:val="single" w:color="auto" w:sz="4" w:space="0"/>
              <w:right w:val="single" w:color="auto" w:sz="4" w:space="0"/>
            </w:tcBorders>
            <w:vAlign w:val="center"/>
          </w:tcPr>
          <w:p w14:paraId="700C883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2434" w:type="dxa"/>
            <w:tcBorders>
              <w:top w:val="single" w:color="auto" w:sz="4" w:space="0"/>
              <w:left w:val="single" w:color="auto" w:sz="4" w:space="0"/>
              <w:bottom w:val="single" w:color="auto" w:sz="4" w:space="0"/>
              <w:right w:val="single" w:color="auto" w:sz="4" w:space="0"/>
            </w:tcBorders>
            <w:vAlign w:val="center"/>
          </w:tcPr>
          <w:p w14:paraId="412FD7E1">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14:paraId="18434102">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175" w:type="dxa"/>
            <w:tcBorders>
              <w:top w:val="single" w:color="auto" w:sz="4" w:space="0"/>
              <w:left w:val="single" w:color="auto" w:sz="4" w:space="0"/>
              <w:bottom w:val="single" w:color="auto" w:sz="4" w:space="0"/>
              <w:right w:val="single" w:color="auto" w:sz="4" w:space="0"/>
            </w:tcBorders>
            <w:vAlign w:val="center"/>
          </w:tcPr>
          <w:p w14:paraId="44D5AAE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2A3FBC2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r>
      <w:tr w14:paraId="3AC16C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06B66D5C">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2440" w:type="dxa"/>
            <w:tcBorders>
              <w:top w:val="single" w:color="auto" w:sz="4" w:space="0"/>
              <w:left w:val="single" w:color="auto" w:sz="4" w:space="0"/>
              <w:bottom w:val="single" w:color="auto" w:sz="4" w:space="0"/>
              <w:right w:val="single" w:color="auto" w:sz="4" w:space="0"/>
            </w:tcBorders>
            <w:vAlign w:val="center"/>
          </w:tcPr>
          <w:p w14:paraId="2929AD34">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2434" w:type="dxa"/>
            <w:tcBorders>
              <w:top w:val="single" w:color="auto" w:sz="4" w:space="0"/>
              <w:left w:val="single" w:color="auto" w:sz="4" w:space="0"/>
              <w:bottom w:val="single" w:color="auto" w:sz="4" w:space="0"/>
              <w:right w:val="single" w:color="auto" w:sz="4" w:space="0"/>
            </w:tcBorders>
            <w:vAlign w:val="center"/>
          </w:tcPr>
          <w:p w14:paraId="66D78133">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14:paraId="7BC2DEF0">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175" w:type="dxa"/>
            <w:tcBorders>
              <w:top w:val="single" w:color="auto" w:sz="4" w:space="0"/>
              <w:left w:val="single" w:color="auto" w:sz="4" w:space="0"/>
              <w:bottom w:val="single" w:color="auto" w:sz="4" w:space="0"/>
              <w:right w:val="single" w:color="auto" w:sz="4" w:space="0"/>
            </w:tcBorders>
            <w:vAlign w:val="center"/>
          </w:tcPr>
          <w:p w14:paraId="1C87A54B">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0F5F9189">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r>
    </w:tbl>
    <w:p w14:paraId="19993674">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p>
    <w:p w14:paraId="14A1E27B">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DE95796">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firstLine="420" w:firstLineChars="200"/>
        <w:contextualSpacing/>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如实填写品牌</w:t>
      </w:r>
      <w:r>
        <w:rPr>
          <w:rFonts w:hint="eastAsia" w:ascii="宋体" w:hAnsi="宋体" w:eastAsia="宋体" w:cs="宋体"/>
          <w:color w:val="auto"/>
          <w:sz w:val="21"/>
          <w:szCs w:val="21"/>
          <w:highlight w:val="none"/>
          <w:lang w:val="en-US" w:eastAsia="zh-CN"/>
        </w:rPr>
        <w:t>或制造商</w:t>
      </w:r>
      <w:r>
        <w:rPr>
          <w:rFonts w:hint="eastAsia" w:ascii="宋体" w:hAnsi="宋体" w:eastAsia="宋体" w:cs="宋体"/>
          <w:color w:val="auto"/>
          <w:sz w:val="21"/>
          <w:szCs w:val="21"/>
          <w:highlight w:val="none"/>
        </w:rPr>
        <w:t>、规格型号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单位及数量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没有则填无</w:t>
      </w:r>
      <w:r>
        <w:rPr>
          <w:rFonts w:hint="eastAsia" w:ascii="宋体" w:hAnsi="宋体" w:eastAsia="宋体" w:cs="宋体"/>
          <w:color w:val="auto"/>
          <w:sz w:val="21"/>
          <w:szCs w:val="21"/>
          <w:highlight w:val="none"/>
          <w:lang w:val="en-US" w:eastAsia="zh-CN"/>
        </w:rPr>
        <w:t>。</w:t>
      </w:r>
    </w:p>
    <w:p w14:paraId="2755A3D0">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拟投多个</w:t>
      </w:r>
      <w:r>
        <w:rPr>
          <w:rFonts w:hint="eastAsia" w:ascii="宋体" w:hAnsi="宋体" w:eastAsia="宋体" w:cs="宋体"/>
          <w:color w:val="auto"/>
          <w:sz w:val="21"/>
          <w:szCs w:val="21"/>
          <w:highlight w:val="none"/>
        </w:rPr>
        <w:t>分标，按分标分别提供设备性能配置清单。</w:t>
      </w:r>
    </w:p>
    <w:p w14:paraId="25E7A643">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pacing w:val="20"/>
          <w:sz w:val="21"/>
          <w:szCs w:val="21"/>
          <w:highlight w:val="none"/>
        </w:rPr>
      </w:pPr>
    </w:p>
    <w:p w14:paraId="67C420FF">
      <w:pPr>
        <w:keepNext w:val="0"/>
        <w:keepLines w:val="0"/>
        <w:pageBreakBefore w:val="0"/>
        <w:kinsoku/>
        <w:wordWrap/>
        <w:overflowPunct/>
        <w:topLinePunct w:val="0"/>
        <w:autoSpaceDE/>
        <w:autoSpaceDN/>
        <w:bidi w:val="0"/>
        <w:adjustRightInd/>
        <w:spacing w:line="400" w:lineRule="exact"/>
        <w:ind w:left="0" w:leftChars="0" w:right="0" w:firstLine="3000" w:firstLineChars="1200"/>
        <w:contextualSpacing/>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投标人名称（电子签章）：</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pacing w:val="20"/>
          <w:sz w:val="21"/>
          <w:szCs w:val="21"/>
          <w:highlight w:val="none"/>
          <w:u w:val="single"/>
          <w:lang w:val="en-US" w:eastAsia="zh-CN"/>
        </w:rPr>
        <w:t xml:space="preserve"> </w:t>
      </w:r>
    </w:p>
    <w:p w14:paraId="51983BDF">
      <w:pPr>
        <w:keepNext w:val="0"/>
        <w:keepLines w:val="0"/>
        <w:pageBreakBefore w:val="0"/>
        <w:kinsoku/>
        <w:wordWrap/>
        <w:overflowPunct/>
        <w:topLinePunct w:val="0"/>
        <w:autoSpaceDE/>
        <w:autoSpaceDN/>
        <w:bidi w:val="0"/>
        <w:adjustRightInd/>
        <w:spacing w:line="400" w:lineRule="exact"/>
        <w:ind w:left="0" w:leftChars="0" w:right="0" w:firstLine="5250" w:firstLineChars="25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7322B6B5">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color w:val="auto"/>
          <w:sz w:val="21"/>
          <w:szCs w:val="21"/>
          <w:highlight w:val="none"/>
        </w:rPr>
      </w:pPr>
    </w:p>
    <w:p w14:paraId="781436B5">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color w:val="auto"/>
          <w:sz w:val="21"/>
          <w:szCs w:val="21"/>
          <w:highlight w:val="none"/>
          <w:lang w:val="en-US" w:eastAsia="zh-CN"/>
        </w:rPr>
      </w:pPr>
    </w:p>
    <w:p w14:paraId="75C71BD8">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br w:type="page"/>
      </w:r>
    </w:p>
    <w:p w14:paraId="555C79C3">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lang w:val="en-US" w:eastAsia="zh-CN"/>
        </w:rPr>
        <w:t>.质量保证期过后的优惠条件：供应商承诺给予采购人的各种优惠条件，包括货物或产品的售后服务、备品备件、专用耗材等方面的优惠条件。</w:t>
      </w:r>
    </w:p>
    <w:p w14:paraId="25484EE8">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常用的、容易损坏的备品备件及易损件的优惠价格清单</w:t>
      </w:r>
    </w:p>
    <w:tbl>
      <w:tblPr>
        <w:tblStyle w:val="48"/>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6433C7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469B547">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124" w:type="dxa"/>
            <w:tcBorders>
              <w:top w:val="single" w:color="auto" w:sz="4" w:space="0"/>
              <w:left w:val="single" w:color="auto" w:sz="4" w:space="0"/>
              <w:bottom w:val="single" w:color="auto" w:sz="4" w:space="0"/>
              <w:right w:val="single" w:color="auto" w:sz="4" w:space="0"/>
            </w:tcBorders>
            <w:vAlign w:val="center"/>
          </w:tcPr>
          <w:p w14:paraId="380BBD10">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备品备件、专用耗材名称</w:t>
            </w:r>
          </w:p>
        </w:tc>
        <w:tc>
          <w:tcPr>
            <w:tcW w:w="2276" w:type="dxa"/>
            <w:tcBorders>
              <w:top w:val="single" w:color="auto" w:sz="4" w:space="0"/>
              <w:left w:val="single" w:color="auto" w:sz="4" w:space="0"/>
              <w:bottom w:val="single" w:color="auto" w:sz="4" w:space="0"/>
              <w:right w:val="single" w:color="auto" w:sz="4" w:space="0"/>
            </w:tcBorders>
            <w:vAlign w:val="center"/>
          </w:tcPr>
          <w:p w14:paraId="664BB956">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适用于何种投标货物（产品）名称及规格型号</w:t>
            </w:r>
          </w:p>
        </w:tc>
        <w:tc>
          <w:tcPr>
            <w:tcW w:w="1639" w:type="dxa"/>
            <w:tcBorders>
              <w:top w:val="single" w:color="auto" w:sz="4" w:space="0"/>
              <w:left w:val="single" w:color="auto" w:sz="4" w:space="0"/>
              <w:bottom w:val="single" w:color="auto" w:sz="4" w:space="0"/>
              <w:right w:val="single" w:color="auto" w:sz="4" w:space="0"/>
            </w:tcBorders>
            <w:vAlign w:val="center"/>
          </w:tcPr>
          <w:p w14:paraId="38EA1628">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优惠内容</w:t>
            </w:r>
          </w:p>
        </w:tc>
        <w:tc>
          <w:tcPr>
            <w:tcW w:w="10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298FB59">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优惠单价</w:t>
            </w:r>
          </w:p>
        </w:tc>
      </w:tr>
      <w:tr w14:paraId="303EF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A5A5A18">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124" w:type="dxa"/>
            <w:tcBorders>
              <w:top w:val="single" w:color="auto" w:sz="4" w:space="0"/>
              <w:left w:val="single" w:color="auto" w:sz="4" w:space="0"/>
              <w:bottom w:val="single" w:color="auto" w:sz="4" w:space="0"/>
              <w:right w:val="single" w:color="auto" w:sz="4" w:space="0"/>
            </w:tcBorders>
            <w:vAlign w:val="center"/>
          </w:tcPr>
          <w:p w14:paraId="61661545">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2276" w:type="dxa"/>
            <w:tcBorders>
              <w:top w:val="single" w:color="auto" w:sz="4" w:space="0"/>
              <w:left w:val="single" w:color="auto" w:sz="4" w:space="0"/>
              <w:bottom w:val="single" w:color="auto" w:sz="4" w:space="0"/>
              <w:right w:val="single" w:color="auto" w:sz="4" w:space="0"/>
            </w:tcBorders>
            <w:vAlign w:val="center"/>
          </w:tcPr>
          <w:p w14:paraId="1BFA916B">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639" w:type="dxa"/>
            <w:tcBorders>
              <w:top w:val="single" w:color="auto" w:sz="4" w:space="0"/>
              <w:left w:val="single" w:color="auto" w:sz="4" w:space="0"/>
              <w:bottom w:val="single" w:color="auto" w:sz="4" w:space="0"/>
              <w:right w:val="single" w:color="auto" w:sz="4" w:space="0"/>
            </w:tcBorders>
          </w:tcPr>
          <w:p w14:paraId="0D264D7F">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132EB55">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r>
      <w:tr w14:paraId="353295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60BECE1">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124" w:type="dxa"/>
            <w:tcBorders>
              <w:top w:val="single" w:color="auto" w:sz="4" w:space="0"/>
              <w:left w:val="single" w:color="auto" w:sz="4" w:space="0"/>
              <w:bottom w:val="single" w:color="auto" w:sz="4" w:space="0"/>
              <w:right w:val="single" w:color="auto" w:sz="4" w:space="0"/>
            </w:tcBorders>
            <w:vAlign w:val="center"/>
          </w:tcPr>
          <w:p w14:paraId="43CCC8C6">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2276" w:type="dxa"/>
            <w:tcBorders>
              <w:top w:val="single" w:color="auto" w:sz="4" w:space="0"/>
              <w:left w:val="single" w:color="auto" w:sz="4" w:space="0"/>
              <w:bottom w:val="single" w:color="auto" w:sz="4" w:space="0"/>
              <w:right w:val="single" w:color="auto" w:sz="4" w:space="0"/>
            </w:tcBorders>
            <w:vAlign w:val="center"/>
          </w:tcPr>
          <w:p w14:paraId="72541F12">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639" w:type="dxa"/>
            <w:tcBorders>
              <w:top w:val="single" w:color="auto" w:sz="4" w:space="0"/>
              <w:left w:val="single" w:color="auto" w:sz="4" w:space="0"/>
              <w:bottom w:val="single" w:color="auto" w:sz="4" w:space="0"/>
              <w:right w:val="single" w:color="auto" w:sz="4" w:space="0"/>
            </w:tcBorders>
          </w:tcPr>
          <w:p w14:paraId="2476CDE4">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EDCB95F">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r>
      <w:tr w14:paraId="45488D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D3537A8">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124" w:type="dxa"/>
            <w:tcBorders>
              <w:top w:val="single" w:color="auto" w:sz="4" w:space="0"/>
              <w:left w:val="single" w:color="auto" w:sz="4" w:space="0"/>
              <w:bottom w:val="single" w:color="auto" w:sz="4" w:space="0"/>
              <w:right w:val="single" w:color="auto" w:sz="4" w:space="0"/>
            </w:tcBorders>
            <w:vAlign w:val="center"/>
          </w:tcPr>
          <w:p w14:paraId="13807F0F">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2276" w:type="dxa"/>
            <w:tcBorders>
              <w:top w:val="single" w:color="auto" w:sz="4" w:space="0"/>
              <w:left w:val="single" w:color="auto" w:sz="4" w:space="0"/>
              <w:bottom w:val="single" w:color="auto" w:sz="4" w:space="0"/>
              <w:right w:val="single" w:color="auto" w:sz="4" w:space="0"/>
            </w:tcBorders>
            <w:vAlign w:val="center"/>
          </w:tcPr>
          <w:p w14:paraId="5EBA5A0E">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639" w:type="dxa"/>
            <w:tcBorders>
              <w:top w:val="single" w:color="auto" w:sz="4" w:space="0"/>
              <w:left w:val="single" w:color="auto" w:sz="4" w:space="0"/>
              <w:bottom w:val="single" w:color="auto" w:sz="4" w:space="0"/>
              <w:right w:val="single" w:color="auto" w:sz="4" w:space="0"/>
            </w:tcBorders>
          </w:tcPr>
          <w:p w14:paraId="6A32ACB8">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717023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r>
    </w:tbl>
    <w:p w14:paraId="4B6FD907">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p>
    <w:p w14:paraId="65BD93CF">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p>
    <w:p w14:paraId="02EBF81E">
      <w:pPr>
        <w:keepNext w:val="0"/>
        <w:keepLines w:val="0"/>
        <w:pageBreakBefore w:val="0"/>
        <w:kinsoku/>
        <w:wordWrap/>
        <w:overflowPunct/>
        <w:topLinePunct w:val="0"/>
        <w:autoSpaceDE/>
        <w:autoSpaceDN/>
        <w:bidi w:val="0"/>
        <w:adjustRightInd/>
        <w:spacing w:line="400" w:lineRule="exact"/>
        <w:ind w:left="0" w:leftChars="0" w:right="0" w:firstLine="2250" w:firstLineChars="900"/>
        <w:contextualSpacing/>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投标人名称（电子签章）：</w:t>
      </w:r>
      <w:r>
        <w:rPr>
          <w:rFonts w:hint="eastAsia" w:ascii="宋体" w:hAnsi="宋体" w:eastAsia="宋体" w:cs="宋体"/>
          <w:color w:val="auto"/>
          <w:spacing w:val="20"/>
          <w:sz w:val="21"/>
          <w:szCs w:val="21"/>
          <w:highlight w:val="none"/>
          <w:u w:val="single"/>
        </w:rPr>
        <w:t xml:space="preserve">            </w:t>
      </w:r>
    </w:p>
    <w:p w14:paraId="07FAECB9">
      <w:pPr>
        <w:keepNext w:val="0"/>
        <w:keepLines w:val="0"/>
        <w:pageBreakBefore w:val="0"/>
        <w:kinsoku/>
        <w:wordWrap/>
        <w:overflowPunct/>
        <w:topLinePunct w:val="0"/>
        <w:autoSpaceDE/>
        <w:autoSpaceDN/>
        <w:bidi w:val="0"/>
        <w:adjustRightInd/>
        <w:spacing w:line="400" w:lineRule="exact"/>
        <w:ind w:left="0" w:leftChars="0" w:right="0" w:firstLine="5250" w:firstLineChars="25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1608A5A1">
      <w:pPr>
        <w:pStyle w:val="31"/>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p w14:paraId="25D2A787">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496FA0A7">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11</w:t>
      </w:r>
      <w:r>
        <w:rPr>
          <w:rFonts w:hint="eastAsia" w:ascii="宋体" w:hAnsi="宋体" w:eastAsia="宋体" w:cs="宋体"/>
          <w:b w:val="0"/>
          <w:bCs/>
          <w:color w:val="auto"/>
          <w:sz w:val="21"/>
          <w:szCs w:val="21"/>
          <w:highlight w:val="none"/>
          <w:lang w:val="en-US" w:eastAsia="zh-CN"/>
        </w:rPr>
        <w:t>.符合政府采购政策加分条件证明材料</w:t>
      </w:r>
    </w:p>
    <w:p w14:paraId="055744B6">
      <w:pPr>
        <w:keepNext w:val="0"/>
        <w:keepLines w:val="0"/>
        <w:pageBreakBefore w:val="0"/>
        <w:widowControl w:val="0"/>
        <w:kinsoku/>
        <w:wordWrap/>
        <w:overflowPunct/>
        <w:topLinePunct w:val="0"/>
        <w:autoSpaceDE/>
        <w:autoSpaceDN/>
        <w:bidi w:val="0"/>
        <w:adjustRightInd/>
        <w:snapToGrid w:val="0"/>
        <w:spacing w:line="400" w:lineRule="exact"/>
        <w:ind w:left="0" w:leftChars="0" w:right="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投标产品中如有列入节能产品政府采购品目清单及环境标志产品政府采购品目清单的货物，应按下表提供清单</w:t>
      </w:r>
      <w:r>
        <w:rPr>
          <w:rFonts w:hint="eastAsia" w:ascii="宋体" w:hAnsi="宋体" w:cs="宋体"/>
          <w:color w:val="auto"/>
          <w:sz w:val="21"/>
          <w:szCs w:val="21"/>
          <w:highlight w:val="none"/>
          <w:lang w:val="en-US" w:eastAsia="zh-CN"/>
        </w:rPr>
        <w:t>并附有效的认证证书复印件</w:t>
      </w:r>
      <w:r>
        <w:rPr>
          <w:rFonts w:hint="eastAsia" w:ascii="宋体" w:hAnsi="宋体" w:eastAsia="宋体" w:cs="宋体"/>
          <w:color w:val="auto"/>
          <w:sz w:val="21"/>
          <w:szCs w:val="21"/>
          <w:highlight w:val="none"/>
          <w:lang w:val="en-US" w:eastAsia="zh-CN"/>
        </w:rPr>
        <w:t>。</w:t>
      </w:r>
    </w:p>
    <w:p w14:paraId="03CB7AF0">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outlineLvl w:val="9"/>
        <w:rPr>
          <w:rFonts w:hint="eastAsia" w:ascii="宋体" w:hAnsi="宋体" w:eastAsia="宋体" w:cs="宋体"/>
          <w:b/>
          <w:bCs/>
          <w:color w:val="auto"/>
          <w:sz w:val="21"/>
          <w:szCs w:val="21"/>
          <w:highlight w:val="none"/>
        </w:rPr>
      </w:pPr>
      <w:bookmarkStart w:id="680" w:name="_Toc23217"/>
      <w:bookmarkStart w:id="681" w:name="_Toc3737"/>
      <w:r>
        <w:rPr>
          <w:rFonts w:hint="eastAsia" w:ascii="宋体" w:hAnsi="宋体" w:eastAsia="宋体" w:cs="宋体"/>
          <w:b/>
          <w:bCs/>
          <w:color w:val="auto"/>
          <w:sz w:val="21"/>
          <w:szCs w:val="21"/>
          <w:highlight w:val="none"/>
        </w:rPr>
        <w:t>节能产品及环境标志产品清单</w:t>
      </w:r>
      <w:bookmarkEnd w:id="680"/>
      <w:bookmarkEnd w:id="681"/>
    </w:p>
    <w:tbl>
      <w:tblPr>
        <w:tblStyle w:val="48"/>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0C7D94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tcMar>
              <w:top w:w="0" w:type="dxa"/>
              <w:left w:w="57" w:type="dxa"/>
              <w:bottom w:w="0" w:type="dxa"/>
              <w:right w:w="57" w:type="dxa"/>
            </w:tcMar>
            <w:vAlign w:val="center"/>
          </w:tcPr>
          <w:p w14:paraId="021D9C8C">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34"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41C38341">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类别</w:t>
            </w:r>
          </w:p>
        </w:tc>
        <w:tc>
          <w:tcPr>
            <w:tcW w:w="897" w:type="dxa"/>
            <w:tcBorders>
              <w:top w:val="single" w:color="auto" w:sz="12" w:space="0"/>
              <w:left w:val="single" w:color="auto" w:sz="4" w:space="0"/>
              <w:bottom w:val="single" w:color="auto" w:sz="8" w:space="0"/>
              <w:right w:val="single" w:color="auto" w:sz="8" w:space="0"/>
            </w:tcBorders>
            <w:vAlign w:val="center"/>
          </w:tcPr>
          <w:p w14:paraId="4AC3D778">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w:t>
            </w:r>
          </w:p>
        </w:tc>
        <w:tc>
          <w:tcPr>
            <w:tcW w:w="1088"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645741D6">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1409" w:type="dxa"/>
            <w:tcBorders>
              <w:top w:val="single" w:color="auto" w:sz="12" w:space="0"/>
              <w:left w:val="single" w:color="auto" w:sz="4" w:space="0"/>
              <w:bottom w:val="single" w:color="auto" w:sz="8" w:space="0"/>
              <w:right w:val="single" w:color="auto" w:sz="8" w:space="0"/>
            </w:tcBorders>
            <w:vAlign w:val="center"/>
          </w:tcPr>
          <w:p w14:paraId="018750B3">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1851"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43DA1B37">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生产者（制造商）</w:t>
            </w:r>
          </w:p>
        </w:tc>
        <w:tc>
          <w:tcPr>
            <w:tcW w:w="1412"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490A648E">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证书编号及证书到期日期</w:t>
            </w:r>
          </w:p>
        </w:tc>
        <w:tc>
          <w:tcPr>
            <w:tcW w:w="770" w:type="dxa"/>
            <w:tcBorders>
              <w:top w:val="single" w:color="auto" w:sz="12" w:space="0"/>
              <w:left w:val="nil"/>
              <w:bottom w:val="single" w:color="auto" w:sz="8" w:space="0"/>
              <w:right w:val="single" w:color="auto" w:sz="12" w:space="0"/>
            </w:tcBorders>
            <w:tcMar>
              <w:top w:w="0" w:type="dxa"/>
              <w:left w:w="57" w:type="dxa"/>
              <w:bottom w:w="0" w:type="dxa"/>
              <w:right w:w="57" w:type="dxa"/>
            </w:tcMar>
            <w:vAlign w:val="center"/>
          </w:tcPr>
          <w:p w14:paraId="063186CB">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2D4F00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57F6E81B">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02EED1E4">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897" w:type="dxa"/>
            <w:tcBorders>
              <w:top w:val="nil"/>
              <w:left w:val="single" w:color="auto" w:sz="4" w:space="0"/>
              <w:bottom w:val="single" w:color="auto" w:sz="8" w:space="0"/>
              <w:right w:val="single" w:color="auto" w:sz="8" w:space="0"/>
            </w:tcBorders>
            <w:vAlign w:val="center"/>
          </w:tcPr>
          <w:p w14:paraId="48ACF2E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2FE22C65">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409" w:type="dxa"/>
            <w:tcBorders>
              <w:top w:val="nil"/>
              <w:left w:val="single" w:color="auto" w:sz="4" w:space="0"/>
              <w:bottom w:val="single" w:color="auto" w:sz="8" w:space="0"/>
              <w:right w:val="single" w:color="auto" w:sz="8" w:space="0"/>
            </w:tcBorders>
            <w:vAlign w:val="center"/>
          </w:tcPr>
          <w:p w14:paraId="5D053A0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620A7C5C">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1AE1A7F1">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1EC848E1">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r>
      <w:tr w14:paraId="5E0C8D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56B88BCC">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66833FC0">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897" w:type="dxa"/>
            <w:tcBorders>
              <w:top w:val="nil"/>
              <w:left w:val="single" w:color="auto" w:sz="4" w:space="0"/>
              <w:bottom w:val="single" w:color="auto" w:sz="8" w:space="0"/>
              <w:right w:val="single" w:color="auto" w:sz="8" w:space="0"/>
            </w:tcBorders>
            <w:vAlign w:val="center"/>
          </w:tcPr>
          <w:p w14:paraId="456499B3">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4568433F">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409" w:type="dxa"/>
            <w:tcBorders>
              <w:top w:val="nil"/>
              <w:left w:val="single" w:color="auto" w:sz="4" w:space="0"/>
              <w:bottom w:val="single" w:color="auto" w:sz="8" w:space="0"/>
              <w:right w:val="single" w:color="auto" w:sz="8" w:space="0"/>
            </w:tcBorders>
            <w:vAlign w:val="center"/>
          </w:tcPr>
          <w:p w14:paraId="5BE1FE2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6A64608C">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43A3539B">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0A3277E2">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r>
      <w:tr w14:paraId="0BCBA9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2139E9D6">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0C95093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897" w:type="dxa"/>
            <w:tcBorders>
              <w:top w:val="nil"/>
              <w:left w:val="single" w:color="auto" w:sz="4" w:space="0"/>
              <w:bottom w:val="single" w:color="auto" w:sz="8" w:space="0"/>
              <w:right w:val="single" w:color="auto" w:sz="8" w:space="0"/>
            </w:tcBorders>
            <w:vAlign w:val="center"/>
          </w:tcPr>
          <w:p w14:paraId="7EABDF7E">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57FC8CB3">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409" w:type="dxa"/>
            <w:tcBorders>
              <w:top w:val="nil"/>
              <w:left w:val="single" w:color="auto" w:sz="4" w:space="0"/>
              <w:bottom w:val="single" w:color="auto" w:sz="8" w:space="0"/>
              <w:right w:val="single" w:color="auto" w:sz="8" w:space="0"/>
            </w:tcBorders>
            <w:vAlign w:val="center"/>
          </w:tcPr>
          <w:p w14:paraId="3A471387">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495B5478">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0D4F5ECA">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148FBE34">
            <w:pPr>
              <w:keepNext w:val="0"/>
              <w:keepLines w:val="0"/>
              <w:pageBreakBefore w:val="0"/>
              <w:kinsoku/>
              <w:wordWrap/>
              <w:overflowPunct/>
              <w:topLinePunct w:val="0"/>
              <w:autoSpaceDE/>
              <w:autoSpaceDN/>
              <w:bidi w:val="0"/>
              <w:adjustRightInd/>
              <w:snapToGrid w:val="0"/>
              <w:spacing w:line="400" w:lineRule="exact"/>
              <w:ind w:left="0" w:leftChars="0" w:right="0"/>
              <w:jc w:val="center"/>
              <w:textAlignment w:val="auto"/>
              <w:rPr>
                <w:rFonts w:hint="eastAsia" w:ascii="宋体" w:hAnsi="宋体" w:eastAsia="宋体" w:cs="宋体"/>
                <w:color w:val="auto"/>
                <w:sz w:val="21"/>
                <w:szCs w:val="21"/>
                <w:highlight w:val="none"/>
              </w:rPr>
            </w:pPr>
          </w:p>
        </w:tc>
      </w:tr>
    </w:tbl>
    <w:p w14:paraId="3E4EC1D8">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rPr>
          <w:rFonts w:hint="eastAsia" w:ascii="宋体" w:hAnsi="宋体" w:eastAsia="宋体" w:cs="宋体"/>
          <w:color w:val="auto"/>
          <w:sz w:val="21"/>
          <w:szCs w:val="21"/>
          <w:highlight w:val="none"/>
        </w:rPr>
      </w:pPr>
    </w:p>
    <w:p w14:paraId="5F6E996B">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注：类别填写节能或环境标志，品目填写编号及产品名称。</w:t>
      </w:r>
    </w:p>
    <w:p w14:paraId="0EE626AF">
      <w:pPr>
        <w:keepNext w:val="0"/>
        <w:keepLines w:val="0"/>
        <w:pageBreakBefore w:val="0"/>
        <w:kinsoku/>
        <w:wordWrap/>
        <w:overflowPunct/>
        <w:topLinePunct w:val="0"/>
        <w:autoSpaceDE/>
        <w:autoSpaceDN/>
        <w:bidi w:val="0"/>
        <w:adjustRightInd/>
        <w:spacing w:line="400" w:lineRule="exact"/>
        <w:ind w:left="0" w:leftChars="0" w:right="0" w:firstLine="2250" w:firstLineChars="900"/>
        <w:contextualSpacing/>
        <w:textAlignment w:val="auto"/>
        <w:rPr>
          <w:rFonts w:hint="eastAsia" w:ascii="宋体" w:hAnsi="宋体" w:eastAsia="宋体" w:cs="宋体"/>
          <w:color w:val="auto"/>
          <w:spacing w:val="20"/>
          <w:sz w:val="21"/>
          <w:szCs w:val="21"/>
          <w:highlight w:val="none"/>
        </w:rPr>
      </w:pPr>
    </w:p>
    <w:p w14:paraId="50F49342">
      <w:pPr>
        <w:keepNext w:val="0"/>
        <w:keepLines w:val="0"/>
        <w:pageBreakBefore w:val="0"/>
        <w:kinsoku/>
        <w:wordWrap/>
        <w:overflowPunct/>
        <w:topLinePunct w:val="0"/>
        <w:autoSpaceDE/>
        <w:autoSpaceDN/>
        <w:bidi w:val="0"/>
        <w:adjustRightInd/>
        <w:spacing w:line="400" w:lineRule="exact"/>
        <w:ind w:left="0" w:leftChars="0" w:right="0" w:firstLine="2250" w:firstLineChars="900"/>
        <w:contextualSpacing/>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投标人名称（电子签章）：</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pacing w:val="20"/>
          <w:sz w:val="21"/>
          <w:szCs w:val="21"/>
          <w:highlight w:val="none"/>
          <w:u w:val="single"/>
          <w:lang w:val="en-US" w:eastAsia="zh-CN"/>
        </w:rPr>
        <w:t xml:space="preserve">  </w:t>
      </w:r>
      <w:r>
        <w:rPr>
          <w:rFonts w:hint="eastAsia" w:ascii="宋体" w:hAnsi="宋体" w:eastAsia="宋体" w:cs="宋体"/>
          <w:color w:val="auto"/>
          <w:spacing w:val="20"/>
          <w:sz w:val="21"/>
          <w:szCs w:val="21"/>
          <w:highlight w:val="none"/>
          <w:u w:val="single"/>
        </w:rPr>
        <w:t xml:space="preserve">   </w:t>
      </w:r>
    </w:p>
    <w:p w14:paraId="4561E451">
      <w:pPr>
        <w:keepNext w:val="0"/>
        <w:keepLines w:val="0"/>
        <w:pageBreakBefore w:val="0"/>
        <w:kinsoku/>
        <w:wordWrap/>
        <w:overflowPunct/>
        <w:topLinePunct w:val="0"/>
        <w:autoSpaceDE/>
        <w:autoSpaceDN/>
        <w:bidi w:val="0"/>
        <w:adjustRightInd/>
        <w:snapToGrid w:val="0"/>
        <w:spacing w:line="400" w:lineRule="exact"/>
        <w:ind w:left="0" w:leftChars="0" w:right="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19ABAC5D">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58113260">
      <w:pPr>
        <w:keepNext w:val="0"/>
        <w:keepLines w:val="0"/>
        <w:pageBreakBefore w:val="0"/>
        <w:kinsoku/>
        <w:wordWrap/>
        <w:overflowPunct/>
        <w:topLinePunct w:val="0"/>
        <w:autoSpaceDE/>
        <w:autoSpaceDN/>
        <w:bidi w:val="0"/>
        <w:adjustRightInd/>
        <w:spacing w:line="400" w:lineRule="exact"/>
        <w:ind w:left="0" w:leftChars="0" w:right="0"/>
        <w:contextualSpacing/>
        <w:jc w:val="left"/>
        <w:textAlignment w:val="auto"/>
        <w:outlineLvl w:val="1"/>
        <w:rPr>
          <w:rFonts w:hint="eastAsia" w:ascii="宋体" w:hAnsi="宋体" w:eastAsia="宋体" w:cs="宋体"/>
          <w:b/>
          <w:color w:val="auto"/>
          <w:sz w:val="21"/>
          <w:szCs w:val="21"/>
          <w:highlight w:val="none"/>
        </w:rPr>
      </w:pPr>
      <w:bookmarkStart w:id="682" w:name="_Toc28362"/>
      <w:bookmarkStart w:id="683" w:name="_Toc4916"/>
      <w:bookmarkStart w:id="684" w:name="_Toc25833"/>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、其他文书、文件格式</w:t>
      </w:r>
      <w:bookmarkEnd w:id="682"/>
      <w:bookmarkEnd w:id="683"/>
      <w:bookmarkEnd w:id="684"/>
    </w:p>
    <w:p w14:paraId="0036C846">
      <w:pPr>
        <w:keepNext w:val="0"/>
        <w:keepLines w:val="0"/>
        <w:pageBreakBefore w:val="0"/>
        <w:numPr>
          <w:ilvl w:val="0"/>
          <w:numId w:val="0"/>
        </w:numPr>
        <w:kinsoku/>
        <w:wordWrap/>
        <w:overflowPunct/>
        <w:topLinePunct w:val="0"/>
        <w:autoSpaceDE/>
        <w:autoSpaceDN/>
        <w:bidi w:val="0"/>
        <w:adjustRightInd/>
        <w:snapToGrid w:val="0"/>
        <w:spacing w:line="400" w:lineRule="exact"/>
        <w:ind w:left="0" w:leftChars="0" w:right="0"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1.</w:t>
      </w:r>
      <w:r>
        <w:rPr>
          <w:rFonts w:hint="eastAsia" w:ascii="宋体" w:hAnsi="宋体" w:eastAsia="宋体" w:cs="宋体"/>
          <w:b/>
          <w:color w:val="auto"/>
          <w:sz w:val="21"/>
          <w:szCs w:val="21"/>
          <w:highlight w:val="none"/>
        </w:rPr>
        <w:t>中小企业声明函格式</w:t>
      </w:r>
    </w:p>
    <w:p w14:paraId="2769D55D">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color w:val="auto"/>
          <w:sz w:val="21"/>
          <w:szCs w:val="21"/>
          <w:highlight w:val="none"/>
        </w:rPr>
      </w:pPr>
    </w:p>
    <w:p w14:paraId="020F33F4">
      <w:pPr>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中小企业声明函（货物）</w:t>
      </w:r>
    </w:p>
    <w:p w14:paraId="3DE566F1">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bCs/>
          <w:color w:val="auto"/>
          <w:sz w:val="21"/>
          <w:szCs w:val="21"/>
          <w:highlight w:val="none"/>
        </w:rPr>
      </w:pPr>
    </w:p>
    <w:p w14:paraId="1D2E0698">
      <w:pPr>
        <w:pStyle w:val="18"/>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本公司（联合体）郑重声明，根据《政府采购促进中小企业发展管理办法》（财库</w:t>
      </w:r>
      <w:r>
        <w:rPr>
          <w:rFonts w:hint="eastAsia" w:ascii="宋体" w:hAnsi="宋体" w:eastAsia="宋体" w:cs="宋体"/>
          <w:bCs/>
          <w:color w:val="auto"/>
          <w:sz w:val="21"/>
          <w:szCs w:val="21"/>
          <w:highlight w:val="none"/>
        </w:rPr>
        <w:t>〔</w:t>
      </w:r>
      <w:r>
        <w:rPr>
          <w:rFonts w:hint="eastAsia" w:ascii="宋体" w:hAnsi="宋体" w:eastAsia="宋体" w:cs="宋体"/>
          <w:color w:val="auto"/>
          <w:kern w:val="24"/>
          <w:sz w:val="21"/>
          <w:szCs w:val="21"/>
          <w:highlight w:val="none"/>
        </w:rPr>
        <w:t>2020</w:t>
      </w:r>
      <w:r>
        <w:rPr>
          <w:rFonts w:hint="eastAsia" w:ascii="宋体" w:hAnsi="宋体" w:eastAsia="宋体" w:cs="宋体"/>
          <w:bCs/>
          <w:color w:val="auto"/>
          <w:sz w:val="21"/>
          <w:szCs w:val="21"/>
          <w:highlight w:val="none"/>
        </w:rPr>
        <w:t>〕</w:t>
      </w:r>
      <w:r>
        <w:rPr>
          <w:rFonts w:hint="eastAsia" w:ascii="宋体" w:hAnsi="宋体" w:eastAsia="宋体" w:cs="宋体"/>
          <w:color w:val="auto"/>
          <w:kern w:val="24"/>
          <w:sz w:val="21"/>
          <w:szCs w:val="21"/>
          <w:highlight w:val="none"/>
        </w:rPr>
        <w:t>46号）的规定，本公司（联合体）参加</w:t>
      </w:r>
      <w:r>
        <w:rPr>
          <w:rFonts w:hint="eastAsia" w:ascii="宋体" w:hAnsi="宋体" w:eastAsia="宋体" w:cs="宋体"/>
          <w:color w:val="auto"/>
          <w:kern w:val="24"/>
          <w:sz w:val="21"/>
          <w:szCs w:val="21"/>
          <w:highlight w:val="none"/>
          <w:u w:val="single"/>
        </w:rPr>
        <w:t>（单位名称）</w:t>
      </w:r>
      <w:r>
        <w:rPr>
          <w:rFonts w:hint="eastAsia" w:ascii="宋体" w:hAnsi="宋体" w:eastAsia="宋体" w:cs="宋体"/>
          <w:color w:val="auto"/>
          <w:kern w:val="24"/>
          <w:sz w:val="21"/>
          <w:szCs w:val="21"/>
          <w:highlight w:val="none"/>
        </w:rPr>
        <w:t>的</w:t>
      </w:r>
      <w:r>
        <w:rPr>
          <w:rFonts w:hint="eastAsia" w:ascii="宋体" w:hAnsi="宋体" w:eastAsia="宋体" w:cs="宋体"/>
          <w:color w:val="auto"/>
          <w:kern w:val="24"/>
          <w:sz w:val="21"/>
          <w:szCs w:val="21"/>
          <w:highlight w:val="none"/>
          <w:u w:val="single"/>
        </w:rPr>
        <w:t>（项目名称）</w:t>
      </w:r>
      <w:r>
        <w:rPr>
          <w:rFonts w:hint="eastAsia" w:ascii="宋体" w:hAnsi="宋体" w:eastAsia="宋体" w:cs="宋体"/>
          <w:color w:val="auto"/>
          <w:kern w:val="24"/>
          <w:sz w:val="21"/>
          <w:szCs w:val="21"/>
          <w:highlight w:val="none"/>
        </w:rPr>
        <w:t>采购活动，提供的货物全部由符合政策要求的中小企业制造。相关企业（含联合体中的中小企业、签订分包意向协议的中小企业）的具体情况如下：</w:t>
      </w:r>
    </w:p>
    <w:p w14:paraId="58EE1C87">
      <w:pPr>
        <w:keepNext w:val="0"/>
        <w:keepLines w:val="0"/>
        <w:pageBreakBefore w:val="0"/>
        <w:widowControl w:val="0"/>
        <w:tabs>
          <w:tab w:val="left" w:pos="1384"/>
          <w:tab w:val="left" w:pos="4562"/>
          <w:tab w:val="left" w:pos="6803"/>
        </w:tabs>
        <w:kinsoku/>
        <w:wordWrap/>
        <w:overflowPunct/>
        <w:topLinePunct w:val="0"/>
        <w:autoSpaceDE/>
        <w:autoSpaceDN/>
        <w:bidi w:val="0"/>
        <w:adjustRightInd/>
        <w:snapToGrid/>
        <w:spacing w:line="400" w:lineRule="exact"/>
        <w:ind w:left="0" w:leftChars="0" w:right="0" w:firstLine="655"/>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1.</w:t>
      </w:r>
      <w:r>
        <w:rPr>
          <w:rFonts w:hint="eastAsia" w:ascii="宋体" w:hAnsi="宋体" w:eastAsia="宋体" w:cs="宋体"/>
          <w:color w:val="auto"/>
          <w:kern w:val="24"/>
          <w:sz w:val="21"/>
          <w:szCs w:val="21"/>
          <w:highlight w:val="none"/>
          <w:u w:val="single"/>
        </w:rPr>
        <w:t>（标的名称）</w:t>
      </w:r>
      <w:r>
        <w:rPr>
          <w:rFonts w:hint="eastAsia" w:ascii="宋体" w:hAnsi="宋体" w:eastAsia="宋体" w:cs="宋体"/>
          <w:color w:val="auto"/>
          <w:kern w:val="24"/>
          <w:sz w:val="21"/>
          <w:szCs w:val="21"/>
          <w:highlight w:val="none"/>
        </w:rPr>
        <w:t>，属于</w:t>
      </w:r>
      <w:r>
        <w:rPr>
          <w:rFonts w:hint="eastAsia" w:ascii="宋体" w:hAnsi="宋体" w:eastAsia="宋体" w:cs="宋体"/>
          <w:color w:val="auto"/>
          <w:kern w:val="24"/>
          <w:sz w:val="21"/>
          <w:szCs w:val="21"/>
          <w:highlight w:val="none"/>
          <w:u w:val="single"/>
        </w:rPr>
        <w:t>（采购文件中明确的所属行业）</w:t>
      </w:r>
      <w:r>
        <w:rPr>
          <w:rFonts w:hint="eastAsia" w:ascii="宋体" w:hAnsi="宋体" w:eastAsia="宋体" w:cs="宋体"/>
          <w:color w:val="auto"/>
          <w:kern w:val="24"/>
          <w:sz w:val="21"/>
          <w:szCs w:val="21"/>
          <w:highlight w:val="none"/>
        </w:rPr>
        <w:t>行业；制造商为</w:t>
      </w:r>
      <w:r>
        <w:rPr>
          <w:rFonts w:hint="eastAsia" w:ascii="宋体" w:hAnsi="宋体" w:eastAsia="宋体" w:cs="宋体"/>
          <w:color w:val="auto"/>
          <w:kern w:val="24"/>
          <w:sz w:val="21"/>
          <w:szCs w:val="21"/>
          <w:highlight w:val="none"/>
          <w:u w:val="single"/>
        </w:rPr>
        <w:t>（企业名称）</w:t>
      </w:r>
      <w:r>
        <w:rPr>
          <w:rFonts w:hint="eastAsia" w:ascii="宋体" w:hAnsi="宋体" w:eastAsia="宋体" w:cs="宋体"/>
          <w:color w:val="auto"/>
          <w:kern w:val="24"/>
          <w:sz w:val="21"/>
          <w:szCs w:val="21"/>
          <w:highlight w:val="none"/>
        </w:rPr>
        <w:t>，从业人员</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人，营业收入为</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万元，资产总额为</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万元，属于</w:t>
      </w:r>
      <w:r>
        <w:rPr>
          <w:rFonts w:hint="eastAsia" w:ascii="宋体" w:hAnsi="宋体" w:eastAsia="宋体" w:cs="宋体"/>
          <w:color w:val="auto"/>
          <w:kern w:val="24"/>
          <w:sz w:val="21"/>
          <w:szCs w:val="21"/>
          <w:highlight w:val="none"/>
          <w:u w:val="single"/>
        </w:rPr>
        <w:t>（中型企业、小型企业、微型企业）</w:t>
      </w:r>
      <w:r>
        <w:rPr>
          <w:rFonts w:hint="eastAsia" w:ascii="宋体" w:hAnsi="宋体" w:eastAsia="宋体" w:cs="宋体"/>
          <w:color w:val="auto"/>
          <w:kern w:val="24"/>
          <w:sz w:val="21"/>
          <w:szCs w:val="21"/>
          <w:highlight w:val="none"/>
        </w:rPr>
        <w:t>；</w:t>
      </w:r>
    </w:p>
    <w:p w14:paraId="52AB0F90">
      <w:pPr>
        <w:keepNext w:val="0"/>
        <w:keepLines w:val="0"/>
        <w:pageBreakBefore w:val="0"/>
        <w:widowControl w:val="0"/>
        <w:tabs>
          <w:tab w:val="left" w:pos="1065"/>
          <w:tab w:val="left" w:pos="6477"/>
        </w:tabs>
        <w:kinsoku/>
        <w:wordWrap/>
        <w:overflowPunct/>
        <w:topLinePunct w:val="0"/>
        <w:autoSpaceDE/>
        <w:autoSpaceDN/>
        <w:bidi w:val="0"/>
        <w:adjustRightInd/>
        <w:snapToGrid/>
        <w:spacing w:line="400" w:lineRule="exact"/>
        <w:ind w:left="0" w:leftChars="0" w:right="0" w:firstLine="655"/>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2.</w:t>
      </w:r>
      <w:r>
        <w:rPr>
          <w:rFonts w:hint="eastAsia" w:ascii="宋体" w:hAnsi="宋体" w:eastAsia="宋体" w:cs="宋体"/>
          <w:color w:val="auto"/>
          <w:kern w:val="24"/>
          <w:sz w:val="21"/>
          <w:szCs w:val="21"/>
          <w:highlight w:val="none"/>
          <w:u w:val="single"/>
        </w:rPr>
        <w:t>（标的名称）</w:t>
      </w:r>
      <w:r>
        <w:rPr>
          <w:rFonts w:hint="eastAsia" w:ascii="宋体" w:hAnsi="宋体" w:eastAsia="宋体" w:cs="宋体"/>
          <w:color w:val="auto"/>
          <w:kern w:val="24"/>
          <w:sz w:val="21"/>
          <w:szCs w:val="21"/>
          <w:highlight w:val="none"/>
        </w:rPr>
        <w:t>，属于</w:t>
      </w:r>
      <w:r>
        <w:rPr>
          <w:rFonts w:hint="eastAsia" w:ascii="宋体" w:hAnsi="宋体" w:eastAsia="宋体" w:cs="宋体"/>
          <w:color w:val="auto"/>
          <w:kern w:val="24"/>
          <w:sz w:val="21"/>
          <w:szCs w:val="21"/>
          <w:highlight w:val="none"/>
          <w:u w:val="single"/>
        </w:rPr>
        <w:t>（采购文件中明确的所属行业）</w:t>
      </w:r>
      <w:r>
        <w:rPr>
          <w:rFonts w:hint="eastAsia" w:ascii="宋体" w:hAnsi="宋体" w:eastAsia="宋体" w:cs="宋体"/>
          <w:color w:val="auto"/>
          <w:kern w:val="24"/>
          <w:sz w:val="21"/>
          <w:szCs w:val="21"/>
          <w:highlight w:val="none"/>
        </w:rPr>
        <w:t>行业；制造商为</w:t>
      </w:r>
      <w:r>
        <w:rPr>
          <w:rFonts w:hint="eastAsia" w:ascii="宋体" w:hAnsi="宋体" w:eastAsia="宋体" w:cs="宋体"/>
          <w:color w:val="auto"/>
          <w:kern w:val="24"/>
          <w:sz w:val="21"/>
          <w:szCs w:val="21"/>
          <w:highlight w:val="none"/>
          <w:u w:val="single"/>
        </w:rPr>
        <w:t>（企业名称）</w:t>
      </w:r>
      <w:r>
        <w:rPr>
          <w:rFonts w:hint="eastAsia" w:ascii="宋体" w:hAnsi="宋体" w:eastAsia="宋体" w:cs="宋体"/>
          <w:color w:val="auto"/>
          <w:kern w:val="24"/>
          <w:sz w:val="21"/>
          <w:szCs w:val="21"/>
          <w:highlight w:val="none"/>
        </w:rPr>
        <w:t>，从业人员</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人，营业收入为</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万元，资产总额为</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万元，属于</w:t>
      </w:r>
      <w:r>
        <w:rPr>
          <w:rFonts w:hint="eastAsia" w:ascii="宋体" w:hAnsi="宋体" w:eastAsia="宋体" w:cs="宋体"/>
          <w:color w:val="auto"/>
          <w:kern w:val="24"/>
          <w:sz w:val="21"/>
          <w:szCs w:val="21"/>
          <w:highlight w:val="none"/>
          <w:u w:val="single"/>
        </w:rPr>
        <w:t>（中型企业、小型企业、微型企业）</w:t>
      </w:r>
      <w:r>
        <w:rPr>
          <w:rFonts w:hint="eastAsia" w:ascii="宋体" w:hAnsi="宋体" w:eastAsia="宋体" w:cs="宋体"/>
          <w:color w:val="auto"/>
          <w:kern w:val="24"/>
          <w:sz w:val="21"/>
          <w:szCs w:val="21"/>
          <w:highlight w:val="none"/>
        </w:rPr>
        <w:t>；</w:t>
      </w:r>
    </w:p>
    <w:p w14:paraId="18E5A40E">
      <w:pPr>
        <w:pStyle w:val="18"/>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 xml:space="preserve">…… </w:t>
      </w:r>
    </w:p>
    <w:p w14:paraId="746C62B7">
      <w:pPr>
        <w:pStyle w:val="18"/>
        <w:keepNext w:val="0"/>
        <w:keepLines w:val="0"/>
        <w:pageBreakBefore w:val="0"/>
        <w:widowControl w:val="0"/>
        <w:kinsoku/>
        <w:wordWrap/>
        <w:overflowPunct/>
        <w:topLinePunct w:val="0"/>
        <w:autoSpaceDE/>
        <w:autoSpaceDN/>
        <w:bidi w:val="0"/>
        <w:adjustRightInd/>
        <w:snapToGrid/>
        <w:spacing w:line="400" w:lineRule="exact"/>
        <w:ind w:left="0" w:leftChars="0" w:right="0" w:firstLine="396" w:firstLineChars="189"/>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以上企业，不属于大企业的分支机构，不存在控股股东为大企业的情形，也不存在与大企业的负责人为同一人的情形。</w:t>
      </w:r>
    </w:p>
    <w:p w14:paraId="668E4E04">
      <w:pPr>
        <w:pStyle w:val="18"/>
        <w:keepNext w:val="0"/>
        <w:keepLines w:val="0"/>
        <w:pageBreakBefore w:val="0"/>
        <w:widowControl w:val="0"/>
        <w:kinsoku/>
        <w:wordWrap/>
        <w:overflowPunct/>
        <w:topLinePunct w:val="0"/>
        <w:autoSpaceDE/>
        <w:autoSpaceDN/>
        <w:bidi w:val="0"/>
        <w:adjustRightInd/>
        <w:snapToGrid/>
        <w:spacing w:line="400" w:lineRule="exact"/>
        <w:ind w:left="0" w:leftChars="0" w:right="0" w:firstLine="567"/>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本企业对上述声明内容的真实性负责。如有虚假，将依法承担相应责任。</w:t>
      </w:r>
    </w:p>
    <w:p w14:paraId="068B5D5E">
      <w:pPr>
        <w:pStyle w:val="18"/>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kern w:val="24"/>
          <w:sz w:val="21"/>
          <w:szCs w:val="21"/>
          <w:highlight w:val="none"/>
        </w:rPr>
      </w:pPr>
    </w:p>
    <w:p w14:paraId="0D399C75">
      <w:pPr>
        <w:pStyle w:val="18"/>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 xml:space="preserve">企业名称（章）： </w:t>
      </w:r>
    </w:p>
    <w:p w14:paraId="66D94E85">
      <w:pPr>
        <w:pStyle w:val="18"/>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日 期：</w:t>
      </w:r>
    </w:p>
    <w:p w14:paraId="581C51AD">
      <w:pPr>
        <w:pStyle w:val="18"/>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kern w:val="24"/>
          <w:sz w:val="21"/>
          <w:szCs w:val="21"/>
          <w:highlight w:val="none"/>
        </w:rPr>
      </w:pPr>
    </w:p>
    <w:p w14:paraId="13EF67C4">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注：</w:t>
      </w:r>
    </w:p>
    <w:p w14:paraId="16147905">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rPr>
        <w:t>（1）中小企业声明函</w:t>
      </w:r>
      <w:r>
        <w:rPr>
          <w:rFonts w:hint="eastAsia" w:ascii="宋体" w:hAnsi="宋体" w:eastAsia="宋体" w:cs="宋体"/>
          <w:bCs/>
          <w:color w:val="auto"/>
          <w:sz w:val="21"/>
          <w:szCs w:val="21"/>
          <w:highlight w:val="none"/>
          <w:lang w:val="en-US" w:eastAsia="zh-CN"/>
        </w:rPr>
        <w:t>中的“</w:t>
      </w:r>
      <w:r>
        <w:rPr>
          <w:rFonts w:hint="eastAsia" w:ascii="宋体" w:hAnsi="宋体" w:eastAsia="宋体" w:cs="宋体"/>
          <w:bCs/>
          <w:color w:val="auto"/>
          <w:sz w:val="21"/>
          <w:szCs w:val="21"/>
          <w:highlight w:val="none"/>
        </w:rPr>
        <w:t>标的名称</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rPr>
        <w:t>所属行业</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lang w:val="en-US" w:eastAsia="zh-CN"/>
        </w:rPr>
        <w:t>按招标文件第二章采购需求“采购标的对应的中小企业划分标准所属行业”对应的内容填报。如单个分包内含多个不同货物的，应分别填写制造商情况。</w:t>
      </w:r>
    </w:p>
    <w:p w14:paraId="2304EA21">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（2）如供应商为联合体或分包的，声明函中“项目名称”应填写联合体中小微企业承担的具体内容或者小微企业具体分包内容。</w:t>
      </w:r>
    </w:p>
    <w:p w14:paraId="1AE044CA">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（3）从业人员、营业收入、资产总额填报上一年度数据，无上一年度数据的新成立企业参照国务院批准的中小企业划分标准，根据企业自身情况如实判断。</w:t>
      </w:r>
    </w:p>
    <w:p w14:paraId="2B6BB3F6">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（4）根据工业和信息化部对“从业人员”定义的答复，</w:t>
      </w:r>
      <w:r>
        <w:rPr>
          <w:rFonts w:hint="eastAsia" w:ascii="宋体" w:hAnsi="宋体" w:cs="宋体"/>
          <w:bCs/>
          <w:color w:val="auto"/>
          <w:sz w:val="21"/>
          <w:szCs w:val="21"/>
          <w:highlight w:val="none"/>
          <w:lang w:eastAsia="zh-CN"/>
        </w:rPr>
        <w:t>《中华人民共和国民法典》</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eastAsia="zh-CN"/>
        </w:rPr>
        <w:t>中华人民共和国公司法</w:t>
      </w:r>
      <w:r>
        <w:rPr>
          <w:rFonts w:hint="eastAsia" w:ascii="宋体" w:hAnsi="宋体" w:eastAsia="宋体" w:cs="宋体"/>
          <w:bCs/>
          <w:color w:val="auto"/>
          <w:sz w:val="21"/>
          <w:szCs w:val="21"/>
          <w:highlight w:val="none"/>
        </w:rPr>
        <w:t>》等法律规定，分公司不具有法人资格，其民事责任由总公司承担。企业划型时，应将分公司的从业人员、营业收入、资产总额等指标数据纳入合并计算。</w:t>
      </w:r>
    </w:p>
    <w:p w14:paraId="33E15CB8">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（5）根据</w:t>
      </w:r>
      <w:r>
        <w:rPr>
          <w:rFonts w:hint="eastAsia" w:ascii="宋体" w:hAnsi="宋体" w:cs="宋体"/>
          <w:bCs/>
          <w:color w:val="auto"/>
          <w:sz w:val="21"/>
          <w:szCs w:val="21"/>
          <w:highlight w:val="none"/>
          <w:lang w:eastAsia="zh-CN"/>
        </w:rPr>
        <w:t>国家统计局</w:t>
      </w:r>
      <w:r>
        <w:rPr>
          <w:rFonts w:hint="eastAsia" w:ascii="宋体" w:hAnsi="宋体" w:eastAsia="宋体" w:cs="宋体"/>
          <w:bCs/>
          <w:color w:val="auto"/>
          <w:sz w:val="21"/>
          <w:szCs w:val="21"/>
          <w:highlight w:val="none"/>
        </w:rPr>
        <w:t>《劳动工资统计报表制度》，从业人员数是指本单位工作，并取得工资</w:t>
      </w:r>
      <w:r>
        <w:rPr>
          <w:rFonts w:hint="eastAsia" w:ascii="宋体" w:hAnsi="宋体" w:cs="宋体"/>
          <w:bCs/>
          <w:color w:val="auto"/>
          <w:sz w:val="21"/>
          <w:szCs w:val="21"/>
          <w:highlight w:val="none"/>
          <w:lang w:val="en-US" w:eastAsia="zh-CN"/>
        </w:rPr>
        <w:t>或</w:t>
      </w:r>
      <w:r>
        <w:rPr>
          <w:rFonts w:hint="eastAsia" w:ascii="宋体" w:hAnsi="宋体" w:eastAsia="宋体" w:cs="宋体"/>
          <w:bCs/>
          <w:color w:val="auto"/>
          <w:sz w:val="21"/>
          <w:szCs w:val="21"/>
          <w:highlight w:val="none"/>
        </w:rPr>
        <w:t>其他形式劳动报酬的人员数，是在岗职工、劳务派遣人员及其他从业人员之和。</w:t>
      </w:r>
    </w:p>
    <w:p w14:paraId="6F80A079">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（6）本声明函由供应商填写，供应商应按中小企业划分标准《关于印发中小企业划型标准规定的通知》（工信部联企业〔2011〕300号</w:t>
      </w:r>
      <w:r>
        <w:rPr>
          <w:rFonts w:hint="eastAsia" w:ascii="宋体" w:hAnsi="宋体" w:eastAsia="宋体" w:cs="宋体"/>
          <w:color w:val="auto"/>
          <w:sz w:val="21"/>
          <w:szCs w:val="21"/>
          <w:highlight w:val="none"/>
        </w:rPr>
        <w:t>以及《金融业企业划型标准规定》（银发〔2015〕309号）</w:t>
      </w:r>
      <w:r>
        <w:rPr>
          <w:rFonts w:hint="eastAsia" w:ascii="宋体" w:hAnsi="宋体" w:eastAsia="宋体" w:cs="宋体"/>
          <w:bCs/>
          <w:color w:val="auto"/>
          <w:sz w:val="21"/>
          <w:szCs w:val="21"/>
          <w:highlight w:val="none"/>
        </w:rPr>
        <w:t>）判断是否为中小企业。</w:t>
      </w:r>
    </w:p>
    <w:p w14:paraId="3A7063BF">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（7）供应商对《中小企业声明函》的真实性负责，如有虚假则需承担不利后果。依法享受中小企业优惠政策的，采购人或采购代理机构在公告成交结果时，同时公告其《中小企业声明函》，接受社会监督。</w:t>
      </w:r>
    </w:p>
    <w:p w14:paraId="4E954BA5">
      <w:pPr>
        <w:pStyle w:val="18"/>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jc w:val="both"/>
        <w:textAlignment w:val="auto"/>
        <w:rPr>
          <w:rFonts w:hint="eastAsia" w:ascii="宋体" w:hAnsi="宋体" w:eastAsia="宋体" w:cs="宋体"/>
          <w:color w:val="auto"/>
          <w:kern w:val="24"/>
          <w:sz w:val="21"/>
          <w:szCs w:val="21"/>
          <w:highlight w:val="none"/>
        </w:rPr>
      </w:pPr>
      <w:r>
        <w:rPr>
          <w:rFonts w:hint="eastAsia" w:ascii="宋体" w:hAnsi="宋体" w:eastAsia="宋体" w:cs="宋体"/>
          <w:bCs/>
          <w:color w:val="auto"/>
          <w:sz w:val="21"/>
          <w:szCs w:val="21"/>
          <w:highlight w:val="none"/>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3E19A853">
      <w:pPr>
        <w:keepNext w:val="0"/>
        <w:keepLines w:val="0"/>
        <w:pageBreakBefore w:val="0"/>
        <w:kinsoku/>
        <w:wordWrap/>
        <w:overflowPunct/>
        <w:topLinePunct w:val="0"/>
        <w:autoSpaceDE/>
        <w:autoSpaceDN/>
        <w:bidi w:val="0"/>
        <w:adjustRightInd/>
        <w:spacing w:line="400" w:lineRule="exact"/>
        <w:ind w:left="0" w:leftChars="0" w:right="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6D580750">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.残疾人福利性单位声明函格式</w:t>
      </w:r>
    </w:p>
    <w:p w14:paraId="1D687105">
      <w:pPr>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b/>
          <w:color w:val="auto"/>
          <w:spacing w:val="6"/>
          <w:sz w:val="21"/>
          <w:szCs w:val="21"/>
          <w:highlight w:val="none"/>
        </w:rPr>
      </w:pPr>
    </w:p>
    <w:p w14:paraId="35BFCF43">
      <w:pPr>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残疾人福利性单位声明函</w:t>
      </w:r>
    </w:p>
    <w:p w14:paraId="2E460AE3">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bCs/>
          <w:color w:val="auto"/>
          <w:spacing w:val="6"/>
          <w:sz w:val="21"/>
          <w:szCs w:val="21"/>
          <w:highlight w:val="none"/>
        </w:rPr>
      </w:pPr>
    </w:p>
    <w:p w14:paraId="6BD07523">
      <w:pPr>
        <w:keepNext w:val="0"/>
        <w:keepLines w:val="0"/>
        <w:pageBreakBefore w:val="0"/>
        <w:kinsoku/>
        <w:wordWrap/>
        <w:overflowPunct/>
        <w:topLinePunct w:val="0"/>
        <w:autoSpaceDE/>
        <w:autoSpaceDN/>
        <w:bidi w:val="0"/>
        <w:adjustRightInd/>
        <w:spacing w:line="400" w:lineRule="exact"/>
        <w:ind w:left="0" w:leftChars="0" w:right="0" w:firstLine="444" w:firstLineChars="200"/>
        <w:contextualSpacing/>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本单位郑重声明，根据《财政部 民政部 中国残疾人联合会关于促进残疾人就业政府采购政策的通知》（财库</w:t>
      </w:r>
      <w:r>
        <w:rPr>
          <w:rFonts w:hint="eastAsia" w:ascii="宋体" w:hAnsi="宋体" w:eastAsia="宋体" w:cs="宋体"/>
          <w:color w:val="auto"/>
          <w:sz w:val="21"/>
          <w:szCs w:val="21"/>
          <w:highlight w:val="none"/>
        </w:rPr>
        <w:t>〔2017〕141</w:t>
      </w:r>
      <w:r>
        <w:rPr>
          <w:rFonts w:hint="eastAsia" w:ascii="宋体" w:hAnsi="宋体" w:eastAsia="宋体" w:cs="宋体"/>
          <w:color w:val="auto"/>
          <w:spacing w:val="6"/>
          <w:sz w:val="21"/>
          <w:szCs w:val="21"/>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eastAsia="宋体" w:cs="宋体"/>
          <w:color w:val="auto"/>
          <w:spacing w:val="-6"/>
          <w:sz w:val="21"/>
          <w:szCs w:val="21"/>
          <w:highlight w:val="none"/>
        </w:rPr>
        <w:t>疾人福利性单位制造的货物（不包括使用非残疾人福利性单位注册商标的货物）。</w:t>
      </w:r>
    </w:p>
    <w:p w14:paraId="73C9F36E">
      <w:pPr>
        <w:keepNext w:val="0"/>
        <w:keepLines w:val="0"/>
        <w:pageBreakBefore w:val="0"/>
        <w:kinsoku/>
        <w:wordWrap/>
        <w:overflowPunct/>
        <w:topLinePunct w:val="0"/>
        <w:autoSpaceDE/>
        <w:autoSpaceDN/>
        <w:bidi w:val="0"/>
        <w:adjustRightInd/>
        <w:spacing w:line="400" w:lineRule="exact"/>
        <w:ind w:left="0" w:leftChars="0" w:right="0" w:firstLine="444" w:firstLineChars="200"/>
        <w:contextualSpacing/>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本单位对上述声明的真实性负责。如有虚假，将依法承担相应责任。</w:t>
      </w:r>
    </w:p>
    <w:p w14:paraId="5A2F5AB5">
      <w:pPr>
        <w:keepNext w:val="0"/>
        <w:keepLines w:val="0"/>
        <w:pageBreakBefore w:val="0"/>
        <w:kinsoku/>
        <w:wordWrap/>
        <w:overflowPunct/>
        <w:topLinePunct w:val="0"/>
        <w:autoSpaceDE/>
        <w:autoSpaceDN/>
        <w:bidi w:val="0"/>
        <w:adjustRightInd/>
        <w:spacing w:line="400" w:lineRule="exact"/>
        <w:ind w:left="0" w:leftChars="0" w:right="0" w:firstLine="444" w:firstLineChars="200"/>
        <w:contextualSpacing/>
        <w:textAlignment w:val="auto"/>
        <w:rPr>
          <w:rFonts w:hint="eastAsia" w:ascii="宋体" w:hAnsi="宋体" w:eastAsia="宋体" w:cs="宋体"/>
          <w:color w:val="auto"/>
          <w:spacing w:val="6"/>
          <w:sz w:val="21"/>
          <w:szCs w:val="21"/>
          <w:highlight w:val="none"/>
        </w:rPr>
      </w:pPr>
    </w:p>
    <w:p w14:paraId="13EBF8CF">
      <w:pPr>
        <w:keepNext w:val="0"/>
        <w:keepLines w:val="0"/>
        <w:pageBreakBefore w:val="0"/>
        <w:kinsoku/>
        <w:wordWrap/>
        <w:overflowPunct/>
        <w:topLinePunct w:val="0"/>
        <w:autoSpaceDE/>
        <w:autoSpaceDN/>
        <w:bidi w:val="0"/>
        <w:adjustRightInd/>
        <w:spacing w:line="400" w:lineRule="exact"/>
        <w:ind w:left="0" w:leftChars="0" w:right="0" w:firstLine="444" w:firstLineChars="200"/>
        <w:contextualSpacing/>
        <w:textAlignment w:val="auto"/>
        <w:rPr>
          <w:rFonts w:hint="eastAsia" w:ascii="宋体" w:hAnsi="宋体" w:eastAsia="宋体" w:cs="宋体"/>
          <w:color w:val="auto"/>
          <w:spacing w:val="6"/>
          <w:sz w:val="21"/>
          <w:szCs w:val="21"/>
          <w:highlight w:val="none"/>
        </w:rPr>
      </w:pPr>
    </w:p>
    <w:p w14:paraId="4D077CE8">
      <w:pPr>
        <w:keepNext w:val="0"/>
        <w:keepLines w:val="0"/>
        <w:pageBreakBefore w:val="0"/>
        <w:tabs>
          <w:tab w:val="left" w:pos="4860"/>
        </w:tabs>
        <w:kinsoku/>
        <w:wordWrap/>
        <w:overflowPunct/>
        <w:topLinePunct w:val="0"/>
        <w:autoSpaceDE/>
        <w:autoSpaceDN/>
        <w:bidi w:val="0"/>
        <w:adjustRightInd/>
        <w:spacing w:line="400" w:lineRule="exact"/>
        <w:ind w:left="0" w:leftChars="0" w:right="0" w:firstLine="444" w:firstLineChars="200"/>
        <w:contextualSpacing/>
        <w:jc w:val="center"/>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单位名称（电子签章）：</w:t>
      </w:r>
    </w:p>
    <w:p w14:paraId="60F3F372">
      <w:pPr>
        <w:keepNext w:val="0"/>
        <w:keepLines w:val="0"/>
        <w:pageBreakBefore w:val="0"/>
        <w:tabs>
          <w:tab w:val="left" w:pos="4860"/>
        </w:tabs>
        <w:kinsoku/>
        <w:wordWrap/>
        <w:overflowPunct/>
        <w:topLinePunct w:val="0"/>
        <w:autoSpaceDE/>
        <w:autoSpaceDN/>
        <w:bidi w:val="0"/>
        <w:adjustRightInd/>
        <w:spacing w:line="400" w:lineRule="exact"/>
        <w:ind w:left="0" w:leftChars="0" w:right="0" w:firstLine="444" w:firstLineChars="200"/>
        <w:contextualSpacing/>
        <w:jc w:val="center"/>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日  期：</w:t>
      </w:r>
    </w:p>
    <w:p w14:paraId="66C17145">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p>
    <w:p w14:paraId="0112FE43">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p>
    <w:p w14:paraId="2BCAAEDB">
      <w:pPr>
        <w:keepNext w:val="0"/>
        <w:keepLines w:val="0"/>
        <w:pageBreakBefore w:val="0"/>
        <w:kinsoku/>
        <w:wordWrap/>
        <w:overflowPunct/>
        <w:topLinePunct w:val="0"/>
        <w:autoSpaceDE/>
        <w:autoSpaceDN/>
        <w:bidi w:val="0"/>
        <w:adjustRightInd/>
        <w:spacing w:line="400" w:lineRule="exact"/>
        <w:ind w:left="0" w:leftChars="0" w:right="0"/>
        <w:contextualSpacing/>
        <w:textAlignment w:val="auto"/>
        <w:rPr>
          <w:rFonts w:hint="eastAsia" w:ascii="宋体" w:hAnsi="宋体" w:eastAsia="宋体" w:cs="宋体"/>
          <w:color w:val="auto"/>
          <w:sz w:val="21"/>
          <w:szCs w:val="21"/>
          <w:highlight w:val="none"/>
        </w:rPr>
      </w:pPr>
    </w:p>
    <w:p w14:paraId="7B6AFCE8">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3AB8430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7A955AB5">
      <w:pPr>
        <w:keepNext w:val="0"/>
        <w:keepLines w:val="0"/>
        <w:pageBreakBefore w:val="0"/>
        <w:kinsoku/>
        <w:wordWrap/>
        <w:overflowPunct/>
        <w:topLinePunct w:val="0"/>
        <w:autoSpaceDE/>
        <w:autoSpaceDN/>
        <w:bidi w:val="0"/>
        <w:adjustRightInd/>
        <w:snapToGrid w:val="0"/>
        <w:spacing w:line="400" w:lineRule="exact"/>
        <w:ind w:left="0" w:leftChars="0" w:right="0"/>
        <w:jc w:val="left"/>
        <w:textAlignment w:val="auto"/>
        <w:rPr>
          <w:rFonts w:ascii="Times New Roman" w:hAnsi="Times New Roman" w:eastAsia="微软雅黑"/>
          <w:b/>
          <w:bCs/>
          <w:color w:val="auto"/>
          <w:kern w:val="0"/>
          <w:sz w:val="24"/>
          <w:szCs w:val="24"/>
          <w:highlight w:val="none"/>
        </w:rPr>
      </w:pPr>
      <w:r>
        <w:rPr>
          <w:rFonts w:hint="eastAsia" w:ascii="宋体" w:hAnsi="宋体" w:eastAsia="宋体" w:cs="宋体"/>
          <w:b/>
          <w:color w:val="auto"/>
          <w:sz w:val="21"/>
          <w:szCs w:val="21"/>
          <w:highlight w:val="none"/>
          <w:lang w:val="en-US" w:eastAsia="zh-CN"/>
        </w:rPr>
        <w:t>3.关于符合本国产品标准的声明函（格式）</w:t>
      </w:r>
    </w:p>
    <w:p w14:paraId="2ED5F2DB">
      <w:pPr>
        <w:widowControl/>
        <w:shd w:val="clear" w:color="auto" w:fill="FFFFFF"/>
        <w:spacing w:line="360" w:lineRule="atLeast"/>
        <w:jc w:val="center"/>
        <w:textAlignment w:val="baseline"/>
        <w:rPr>
          <w:rFonts w:ascii="Times New Roman" w:hAnsi="Times New Roman" w:eastAsia="微软雅黑"/>
          <w:b/>
          <w:bCs/>
          <w:color w:val="auto"/>
          <w:kern w:val="0"/>
          <w:sz w:val="24"/>
          <w:szCs w:val="24"/>
          <w:highlight w:val="none"/>
        </w:rPr>
      </w:pPr>
    </w:p>
    <w:p w14:paraId="5EF6ADD3">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2" w:firstLineChars="200"/>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关于符合本国产品标准的声明函</w:t>
      </w:r>
    </w:p>
    <w:p w14:paraId="79BC307F">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6B7706F5">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1.(产品名称1)</w:t>
      </w:r>
      <w:r>
        <w:rPr>
          <w:rFonts w:hint="eastAsia" w:ascii="宋体" w:hAnsi="宋体" w:eastAsia="宋体" w:cs="宋体"/>
          <w:color w:val="auto"/>
          <w:kern w:val="0"/>
          <w:sz w:val="21"/>
          <w:szCs w:val="21"/>
          <w:highlight w:val="none"/>
          <w:vertAlign w:val="superscript"/>
        </w:rPr>
        <w:t>1</w:t>
      </w:r>
      <w:r>
        <w:rPr>
          <w:rFonts w:hint="eastAsia" w:ascii="宋体" w:hAnsi="宋体" w:eastAsia="宋体" w:cs="宋体"/>
          <w:color w:val="auto"/>
          <w:kern w:val="0"/>
          <w:sz w:val="21"/>
          <w:szCs w:val="21"/>
          <w:highlight w:val="none"/>
        </w:rPr>
        <w:t>，生产厂为(厂名)</w:t>
      </w:r>
      <w:r>
        <w:rPr>
          <w:rFonts w:hint="eastAsia" w:ascii="宋体" w:hAnsi="宋体" w:eastAsia="宋体" w:cs="宋体"/>
          <w:color w:val="auto"/>
          <w:kern w:val="0"/>
          <w:sz w:val="21"/>
          <w:szCs w:val="21"/>
          <w:highlight w:val="none"/>
          <w:vertAlign w:val="superscript"/>
        </w:rPr>
        <w:t>2</w:t>
      </w:r>
      <w:r>
        <w:rPr>
          <w:rFonts w:hint="eastAsia" w:ascii="宋体" w:hAnsi="宋体" w:eastAsia="宋体" w:cs="宋体"/>
          <w:color w:val="auto"/>
          <w:kern w:val="0"/>
          <w:sz w:val="21"/>
          <w:szCs w:val="21"/>
          <w:highlight w:val="none"/>
        </w:rPr>
        <w:t>，厂址为(生产厂址)。(产品名称1)的中国境内生产的组件成本占比≥(规定比例)</w:t>
      </w:r>
      <w:r>
        <w:rPr>
          <w:rFonts w:hint="eastAsia" w:ascii="宋体" w:hAnsi="宋体" w:eastAsia="宋体" w:cs="宋体"/>
          <w:color w:val="auto"/>
          <w:kern w:val="0"/>
          <w:sz w:val="21"/>
          <w:szCs w:val="21"/>
          <w:highlight w:val="none"/>
          <w:vertAlign w:val="superscript"/>
        </w:rPr>
        <w:t>3</w:t>
      </w:r>
      <w:r>
        <w:rPr>
          <w:rFonts w:hint="eastAsia" w:ascii="宋体" w:hAnsi="宋体" w:eastAsia="宋体" w:cs="宋体"/>
          <w:color w:val="auto"/>
          <w:kern w:val="0"/>
          <w:sz w:val="21"/>
          <w:szCs w:val="21"/>
          <w:highlight w:val="none"/>
        </w:rPr>
        <w:t>。(产品名称1)的(关键组件)</w:t>
      </w:r>
      <w:r>
        <w:rPr>
          <w:rFonts w:hint="eastAsia" w:ascii="宋体" w:hAnsi="宋体" w:eastAsia="宋体" w:cs="宋体"/>
          <w:color w:val="auto"/>
          <w:kern w:val="0"/>
          <w:sz w:val="21"/>
          <w:szCs w:val="21"/>
          <w:highlight w:val="none"/>
          <w:vertAlign w:val="superscript"/>
        </w:rPr>
        <w:t>4</w:t>
      </w:r>
      <w:r>
        <w:rPr>
          <w:rFonts w:hint="eastAsia" w:ascii="宋体" w:hAnsi="宋体" w:eastAsia="宋体" w:cs="宋体"/>
          <w:color w:val="auto"/>
          <w:kern w:val="0"/>
          <w:sz w:val="21"/>
          <w:szCs w:val="21"/>
          <w:highlight w:val="none"/>
        </w:rPr>
        <w:t>在中国境内生产。(产品名称1)的(关键工序)</w:t>
      </w:r>
      <w:r>
        <w:rPr>
          <w:rFonts w:hint="eastAsia" w:ascii="宋体" w:hAnsi="宋体" w:eastAsia="宋体" w:cs="宋体"/>
          <w:color w:val="auto"/>
          <w:kern w:val="0"/>
          <w:sz w:val="21"/>
          <w:szCs w:val="21"/>
          <w:highlight w:val="none"/>
          <w:vertAlign w:val="superscript"/>
        </w:rPr>
        <w:t>5</w:t>
      </w:r>
      <w:r>
        <w:rPr>
          <w:rFonts w:hint="eastAsia" w:ascii="宋体" w:hAnsi="宋体" w:eastAsia="宋体" w:cs="宋体"/>
          <w:color w:val="auto"/>
          <w:kern w:val="0"/>
          <w:sz w:val="21"/>
          <w:szCs w:val="21"/>
          <w:highlight w:val="none"/>
        </w:rPr>
        <w:t>在中国境内完成。</w:t>
      </w:r>
    </w:p>
    <w:p w14:paraId="1BB65768">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2.(产品名称2)，生产厂为(厂名)，厂址为(生产厂址)。(产品名称2)的中国境内生产的组件成本占比≥(规定比例)。(产品名称2)的(关键组件)在中国境内生产。(产品名称2)的(关键工序)在中国境内完成。</w:t>
      </w:r>
    </w:p>
    <w:p w14:paraId="1B88A1FA">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p w14:paraId="3AA33A84">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本公司(单位)对上述声明内容的真实性负责。如有虚假，愿承担相应法律责任。</w:t>
      </w:r>
    </w:p>
    <w:p w14:paraId="21DF3338">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color w:val="auto"/>
          <w:kern w:val="0"/>
          <w:sz w:val="21"/>
          <w:szCs w:val="21"/>
          <w:highlight w:val="none"/>
        </w:rPr>
      </w:pPr>
    </w:p>
    <w:p w14:paraId="3B8C9FC0">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righ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公司(单位)名称(盖章)：        </w:t>
      </w:r>
    </w:p>
    <w:p w14:paraId="0235570F">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righ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日期：　     年　  月　  日         </w:t>
      </w:r>
    </w:p>
    <w:p w14:paraId="606E60E4">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color w:val="auto"/>
          <w:kern w:val="0"/>
          <w:sz w:val="21"/>
          <w:szCs w:val="21"/>
          <w:highlight w:val="none"/>
        </w:rPr>
      </w:pPr>
    </w:p>
    <w:p w14:paraId="0E4BCF6A">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1.产品如有型号，请在“产品名称”栏一并填写。</w:t>
      </w:r>
    </w:p>
    <w:p w14:paraId="7383A00D">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2.生产厂名与厂址应与生产厂营业执照载明的相关信息保持一致。</w:t>
      </w:r>
    </w:p>
    <w:p w14:paraId="15382220">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3.该产品的中国境内生产的组件成本占比相关要求实施前，“规定比例”栏可不填，下同。</w:t>
      </w:r>
    </w:p>
    <w:p w14:paraId="5B0574CA">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4.该产品的关键组件要求实施前，“关键组件”栏可不填，下同。</w:t>
      </w:r>
    </w:p>
    <w:p w14:paraId="10F59F38">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jc w:val="left"/>
        <w:textAlignment w:val="baseline"/>
        <w:rPr>
          <w:rFonts w:hint="eastAsia" w:ascii="微软雅黑" w:hAnsi="微软雅黑" w:eastAsia="微软雅黑" w:cs="宋体"/>
          <w:color w:val="auto"/>
          <w:kern w:val="0"/>
          <w:sz w:val="30"/>
          <w:szCs w:val="30"/>
          <w:highlight w:val="none"/>
        </w:rPr>
      </w:pPr>
      <w:r>
        <w:rPr>
          <w:rFonts w:hint="eastAsia" w:ascii="宋体" w:hAnsi="宋体" w:eastAsia="宋体" w:cs="宋体"/>
          <w:color w:val="auto"/>
          <w:kern w:val="0"/>
          <w:sz w:val="21"/>
          <w:szCs w:val="21"/>
          <w:highlight w:val="none"/>
        </w:rPr>
        <w:t>5.该产品的关键工序要求实施前，“关键工序”栏可不填，下同。</w:t>
      </w:r>
    </w:p>
    <w:p w14:paraId="59F7603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332F7C0D">
      <w:pPr>
        <w:keepNext w:val="0"/>
        <w:keepLines w:val="0"/>
        <w:pageBreakBefore w:val="0"/>
        <w:widowControl w:val="0"/>
        <w:kinsoku/>
        <w:wordWrap/>
        <w:overflowPunct/>
        <w:topLinePunct w:val="0"/>
        <w:autoSpaceDE/>
        <w:autoSpaceDN/>
        <w:bidi w:val="0"/>
        <w:adjustRightInd/>
        <w:snapToGrid/>
        <w:spacing w:line="400" w:lineRule="exact"/>
        <w:ind w:left="0" w:right="0" w:firstLine="5"/>
        <w:jc w:val="both"/>
        <w:textAlignment w:val="auto"/>
        <w:rPr>
          <w:rFonts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val="en-US" w:eastAsia="zh-CN"/>
        </w:rPr>
        <w:t>4.</w:t>
      </w:r>
      <w:r>
        <w:rPr>
          <w:rFonts w:ascii="宋体" w:hAnsi="宋体" w:eastAsia="宋体" w:cs="宋体"/>
          <w:color w:val="auto"/>
          <w:spacing w:val="2"/>
          <w:sz w:val="21"/>
          <w:szCs w:val="21"/>
          <w:highlight w:val="none"/>
        </w:rPr>
        <w:t>关于符合本国产品标准的成本占比承诺函（单一产品采购不填写此函，多产品采购项目或采购包如投标人</w:t>
      </w:r>
      <w:r>
        <w:rPr>
          <w:rFonts w:ascii="宋体" w:hAnsi="宋体" w:eastAsia="宋体" w:cs="宋体"/>
          <w:b/>
          <w:bCs/>
          <w:color w:val="auto"/>
          <w:spacing w:val="2"/>
          <w:sz w:val="21"/>
          <w:szCs w:val="21"/>
          <w:highlight w:val="none"/>
        </w:rPr>
        <w:t>所有产品均为</w:t>
      </w:r>
      <w:r>
        <w:rPr>
          <w:rFonts w:ascii="宋体" w:hAnsi="宋体" w:eastAsia="宋体" w:cs="宋体"/>
          <w:color w:val="auto"/>
          <w:spacing w:val="2"/>
          <w:sz w:val="21"/>
          <w:szCs w:val="21"/>
          <w:highlight w:val="none"/>
        </w:rPr>
        <w:t>本国产品且填写《关于符合本国产品标准的声明函》可不填写此函。格式内容</w:t>
      </w:r>
      <w:r>
        <w:rPr>
          <w:rFonts w:ascii="宋体" w:hAnsi="宋体" w:eastAsia="宋体" w:cs="宋体"/>
          <w:color w:val="auto"/>
          <w:spacing w:val="-3"/>
          <w:sz w:val="21"/>
          <w:szCs w:val="21"/>
          <w:highlight w:val="none"/>
        </w:rPr>
        <w:t>仅供参考）</w:t>
      </w:r>
    </w:p>
    <w:p w14:paraId="7B7AF21B">
      <w:pPr>
        <w:pStyle w:val="18"/>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color w:val="auto"/>
          <w:sz w:val="21"/>
          <w:szCs w:val="21"/>
          <w:highlight w:val="none"/>
        </w:rPr>
      </w:pPr>
    </w:p>
    <w:p w14:paraId="46DCFEC8">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关于符合本国产品标准的成本占比承诺函</w:t>
      </w:r>
    </w:p>
    <w:p w14:paraId="00B93F1D">
      <w:pPr>
        <w:pStyle w:val="18"/>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color w:val="auto"/>
          <w:sz w:val="21"/>
          <w:szCs w:val="21"/>
          <w:highlight w:val="none"/>
        </w:rPr>
      </w:pPr>
    </w:p>
    <w:p w14:paraId="184C0EEB">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致：[采购人/采购代理机构名称]</w:t>
      </w:r>
    </w:p>
    <w:p w14:paraId="7B54225B">
      <w:pPr>
        <w:pStyle w:val="18"/>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color w:val="auto"/>
          <w:sz w:val="21"/>
          <w:szCs w:val="21"/>
          <w:highlight w:val="none"/>
        </w:rPr>
      </w:pPr>
    </w:p>
    <w:p w14:paraId="0C9D94EF">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本单位就参与[项目名称、编号]项目，郑重承诺如下：</w:t>
      </w:r>
    </w:p>
    <w:p w14:paraId="7F812A0B">
      <w:pPr>
        <w:pStyle w:val="18"/>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color w:val="auto"/>
          <w:sz w:val="21"/>
          <w:szCs w:val="21"/>
          <w:highlight w:val="none"/>
        </w:rPr>
      </w:pPr>
    </w:p>
    <w:p w14:paraId="084C3E94">
      <w:pPr>
        <w:keepNext w:val="0"/>
        <w:keepLines w:val="0"/>
        <w:pageBreakBefore w:val="0"/>
        <w:widowControl w:val="0"/>
        <w:kinsoku/>
        <w:wordWrap/>
        <w:overflowPunct/>
        <w:topLinePunct w:val="0"/>
        <w:autoSpaceDE/>
        <w:autoSpaceDN/>
        <w:bidi w:val="0"/>
        <w:adjustRightInd/>
        <w:snapToGrid/>
        <w:spacing w:line="400" w:lineRule="exact"/>
        <w:ind w:left="0" w:right="0" w:firstLine="420"/>
        <w:jc w:val="both"/>
        <w:textAlignment w:val="auto"/>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本单位为该项目（或采购包）提供的符合本国产品标准的产品成本之和，占所提供全部产品成本之和的比例达到80%以上。本公司（单位）对上述承诺内容的真实性负责。如有虚假，愿承担相应法</w:t>
      </w:r>
      <w:r>
        <w:rPr>
          <w:rFonts w:ascii="宋体" w:hAnsi="宋体" w:eastAsia="宋体" w:cs="宋体"/>
          <w:color w:val="auto"/>
          <w:spacing w:val="-2"/>
          <w:sz w:val="21"/>
          <w:szCs w:val="21"/>
          <w:highlight w:val="none"/>
        </w:rPr>
        <w:t>律责任。</w:t>
      </w:r>
    </w:p>
    <w:p w14:paraId="64C3BA62">
      <w:pPr>
        <w:pStyle w:val="18"/>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color w:val="auto"/>
          <w:sz w:val="21"/>
          <w:szCs w:val="21"/>
          <w:highlight w:val="none"/>
        </w:rPr>
      </w:pPr>
    </w:p>
    <w:p w14:paraId="5011C74B">
      <w:pPr>
        <w:pStyle w:val="18"/>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color w:val="auto"/>
          <w:sz w:val="21"/>
          <w:szCs w:val="21"/>
          <w:highlight w:val="none"/>
        </w:rPr>
      </w:pPr>
    </w:p>
    <w:p w14:paraId="625B6706">
      <w:pPr>
        <w:pStyle w:val="18"/>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color w:val="auto"/>
          <w:sz w:val="21"/>
          <w:szCs w:val="21"/>
          <w:highlight w:val="none"/>
        </w:rPr>
      </w:pPr>
    </w:p>
    <w:p w14:paraId="4AF36052">
      <w:pPr>
        <w:pStyle w:val="18"/>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color w:val="auto"/>
          <w:sz w:val="21"/>
          <w:szCs w:val="21"/>
          <w:highlight w:val="none"/>
        </w:rPr>
      </w:pPr>
    </w:p>
    <w:p w14:paraId="2D94B9B9">
      <w:pPr>
        <w:pStyle w:val="18"/>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color w:val="auto"/>
          <w:sz w:val="21"/>
          <w:szCs w:val="21"/>
          <w:highlight w:val="none"/>
        </w:rPr>
      </w:pPr>
    </w:p>
    <w:p w14:paraId="26068C40">
      <w:pPr>
        <w:pStyle w:val="18"/>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color w:val="auto"/>
          <w:sz w:val="21"/>
          <w:szCs w:val="21"/>
          <w:highlight w:val="none"/>
        </w:rPr>
      </w:pPr>
    </w:p>
    <w:p w14:paraId="0F97F80E">
      <w:pPr>
        <w:pStyle w:val="18"/>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color w:val="auto"/>
          <w:sz w:val="21"/>
          <w:szCs w:val="21"/>
          <w:highlight w:val="none"/>
        </w:rPr>
      </w:pPr>
    </w:p>
    <w:p w14:paraId="2BC5332C">
      <w:pPr>
        <w:keepNext w:val="0"/>
        <w:keepLines w:val="0"/>
        <w:pageBreakBefore w:val="0"/>
        <w:widowControl w:val="0"/>
        <w:kinsoku/>
        <w:wordWrap/>
        <w:overflowPunct/>
        <w:topLinePunct w:val="0"/>
        <w:autoSpaceDE/>
        <w:autoSpaceDN/>
        <w:bidi w:val="0"/>
        <w:adjustRightInd/>
        <w:snapToGrid/>
        <w:spacing w:line="400" w:lineRule="exact"/>
        <w:ind w:left="0" w:right="0"/>
        <w:jc w:val="right"/>
        <w:textAlignment w:val="auto"/>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投标人名称（盖章</w:t>
      </w:r>
      <w:r>
        <w:rPr>
          <w:rFonts w:ascii="宋体" w:hAnsi="宋体" w:eastAsia="宋体" w:cs="宋体"/>
          <w:color w:val="auto"/>
          <w:spacing w:val="3"/>
          <w:sz w:val="21"/>
          <w:szCs w:val="21"/>
          <w:highlight w:val="none"/>
        </w:rPr>
        <w:t>）：</w:t>
      </w:r>
    </w:p>
    <w:p w14:paraId="67C71C0F">
      <w:pPr>
        <w:keepNext w:val="0"/>
        <w:keepLines w:val="0"/>
        <w:pageBreakBefore w:val="0"/>
        <w:widowControl w:val="0"/>
        <w:kinsoku/>
        <w:wordWrap/>
        <w:overflowPunct/>
        <w:topLinePunct w:val="0"/>
        <w:autoSpaceDE/>
        <w:autoSpaceDN/>
        <w:bidi w:val="0"/>
        <w:adjustRightInd/>
        <w:snapToGrid/>
        <w:spacing w:line="400" w:lineRule="exact"/>
        <w:ind w:left="0" w:right="0"/>
        <w:jc w:val="right"/>
        <w:textAlignment w:val="auto"/>
        <w:rPr>
          <w:rFonts w:ascii="宋体" w:hAnsi="宋体" w:eastAsia="宋体" w:cs="宋体"/>
          <w:color w:val="auto"/>
          <w:sz w:val="21"/>
          <w:szCs w:val="21"/>
          <w:highlight w:val="none"/>
        </w:rPr>
      </w:pPr>
      <w:r>
        <w:rPr>
          <w:rFonts w:ascii="宋体" w:hAnsi="宋体" w:eastAsia="宋体" w:cs="宋体"/>
          <w:color w:val="auto"/>
          <w:spacing w:val="-18"/>
          <w:sz w:val="21"/>
          <w:szCs w:val="21"/>
          <w:highlight w:val="none"/>
        </w:rPr>
        <w:t>日期：</w:t>
      </w:r>
      <w:r>
        <w:rPr>
          <w:rFonts w:ascii="宋体" w:hAnsi="宋体" w:eastAsia="宋体" w:cs="宋体"/>
          <w:color w:val="auto"/>
          <w:spacing w:val="1"/>
          <w:sz w:val="21"/>
          <w:szCs w:val="21"/>
          <w:highlight w:val="none"/>
        </w:rPr>
        <w:t xml:space="preserve">       </w:t>
      </w:r>
      <w:r>
        <w:rPr>
          <w:rFonts w:ascii="宋体" w:hAnsi="宋体" w:eastAsia="宋体" w:cs="宋体"/>
          <w:color w:val="auto"/>
          <w:spacing w:val="-18"/>
          <w:sz w:val="21"/>
          <w:szCs w:val="21"/>
          <w:highlight w:val="none"/>
        </w:rPr>
        <w:t>年</w:t>
      </w:r>
      <w:r>
        <w:rPr>
          <w:rFonts w:ascii="宋体" w:hAnsi="宋体" w:eastAsia="宋体" w:cs="宋体"/>
          <w:color w:val="auto"/>
          <w:spacing w:val="3"/>
          <w:sz w:val="21"/>
          <w:szCs w:val="21"/>
          <w:highlight w:val="none"/>
        </w:rPr>
        <w:t xml:space="preserve">    </w:t>
      </w:r>
      <w:r>
        <w:rPr>
          <w:rFonts w:ascii="宋体" w:hAnsi="宋体" w:eastAsia="宋体" w:cs="宋体"/>
          <w:color w:val="auto"/>
          <w:spacing w:val="-18"/>
          <w:sz w:val="21"/>
          <w:szCs w:val="21"/>
          <w:highlight w:val="none"/>
        </w:rPr>
        <w:t>月</w:t>
      </w:r>
      <w:r>
        <w:rPr>
          <w:rFonts w:ascii="宋体" w:hAnsi="宋体" w:eastAsia="宋体" w:cs="宋体"/>
          <w:color w:val="auto"/>
          <w:spacing w:val="11"/>
          <w:sz w:val="21"/>
          <w:szCs w:val="21"/>
          <w:highlight w:val="none"/>
        </w:rPr>
        <w:t xml:space="preserve">    </w:t>
      </w:r>
      <w:r>
        <w:rPr>
          <w:rFonts w:ascii="宋体" w:hAnsi="宋体" w:eastAsia="宋体" w:cs="宋体"/>
          <w:color w:val="auto"/>
          <w:spacing w:val="-18"/>
          <w:sz w:val="21"/>
          <w:szCs w:val="21"/>
          <w:highlight w:val="none"/>
        </w:rPr>
        <w:t>日</w:t>
      </w:r>
    </w:p>
    <w:p w14:paraId="37E8DA24">
      <w:pPr>
        <w:keepNext w:val="0"/>
        <w:keepLines w:val="0"/>
        <w:pageBreakBefore w:val="0"/>
        <w:kinsoku/>
        <w:wordWrap/>
        <w:overflowPunct/>
        <w:topLinePunct w:val="0"/>
        <w:autoSpaceDE/>
        <w:autoSpaceDN/>
        <w:bidi w:val="0"/>
        <w:adjustRightInd/>
        <w:spacing w:line="400" w:lineRule="exact"/>
        <w:ind w:left="0" w:leftChars="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.质疑函格式</w:t>
      </w:r>
    </w:p>
    <w:p w14:paraId="039A3635">
      <w:pPr>
        <w:keepNext w:val="0"/>
        <w:keepLines w:val="0"/>
        <w:pageBreakBefore w:val="0"/>
        <w:kinsoku/>
        <w:wordWrap/>
        <w:overflowPunct/>
        <w:topLinePunct w:val="0"/>
        <w:autoSpaceDE/>
        <w:autoSpaceDN/>
        <w:bidi w:val="0"/>
        <w:adjustRightInd/>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质疑函</w:t>
      </w:r>
    </w:p>
    <w:p w14:paraId="36C294B7">
      <w:pPr>
        <w:pStyle w:val="25"/>
        <w:keepNext w:val="0"/>
        <w:keepLines w:val="0"/>
        <w:pageBreakBefore w:val="0"/>
        <w:kinsoku/>
        <w:wordWrap/>
        <w:overflowPunct/>
        <w:topLinePunct w:val="0"/>
        <w:autoSpaceDE/>
        <w:autoSpaceDN/>
        <w:bidi w:val="0"/>
        <w:adjustRightInd/>
        <w:snapToGrid w:val="0"/>
        <w:spacing w:line="400" w:lineRule="exact"/>
        <w:ind w:left="0" w:leftChars="0" w:right="0" w:firstLine="422" w:firstLineChars="200"/>
        <w:textAlignment w:val="auto"/>
        <w:outlineLvl w:val="9"/>
        <w:rPr>
          <w:rFonts w:hint="eastAsia" w:ascii="宋体" w:hAnsi="宋体" w:eastAsia="宋体" w:cs="宋体"/>
          <w:b/>
          <w:bCs/>
          <w:color w:val="auto"/>
          <w:sz w:val="21"/>
          <w:szCs w:val="21"/>
          <w:highlight w:val="none"/>
        </w:rPr>
      </w:pPr>
      <w:bookmarkStart w:id="685" w:name="_Toc27186"/>
      <w:bookmarkStart w:id="686" w:name="_Toc11553"/>
      <w:r>
        <w:rPr>
          <w:rFonts w:hint="eastAsia" w:ascii="宋体" w:hAnsi="宋体" w:eastAsia="宋体" w:cs="宋体"/>
          <w:b/>
          <w:bCs/>
          <w:color w:val="auto"/>
          <w:sz w:val="21"/>
          <w:szCs w:val="21"/>
          <w:highlight w:val="none"/>
        </w:rPr>
        <w:t>一、质疑供应商基本信息：</w:t>
      </w:r>
      <w:bookmarkEnd w:id="685"/>
      <w:bookmarkEnd w:id="686"/>
    </w:p>
    <w:p w14:paraId="1FDC7A76">
      <w:pPr>
        <w:pStyle w:val="25"/>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质疑供应商：</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3C00DEF7">
      <w:pPr>
        <w:pStyle w:val="25"/>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p>
    <w:p w14:paraId="3338A11C">
      <w:pPr>
        <w:pStyle w:val="25"/>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0AAF77BC">
      <w:pPr>
        <w:pStyle w:val="25"/>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授权代表：</w:t>
      </w:r>
      <w:r>
        <w:rPr>
          <w:rFonts w:hint="eastAsia" w:ascii="宋体" w:hAnsi="宋体" w:eastAsia="宋体" w:cs="宋体"/>
          <w:bCs/>
          <w:color w:val="auto"/>
          <w:sz w:val="21"/>
          <w:szCs w:val="21"/>
          <w:highlight w:val="none"/>
          <w:u w:val="single"/>
        </w:rPr>
        <w:t xml:space="preserve">                      </w:t>
      </w:r>
    </w:p>
    <w:p w14:paraId="11DC2D9F">
      <w:pPr>
        <w:pStyle w:val="25"/>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1B33FD22">
      <w:pPr>
        <w:pStyle w:val="25"/>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7C8A77D6">
      <w:pPr>
        <w:pStyle w:val="25"/>
        <w:keepNext w:val="0"/>
        <w:keepLines w:val="0"/>
        <w:pageBreakBefore w:val="0"/>
        <w:kinsoku/>
        <w:wordWrap/>
        <w:overflowPunct/>
        <w:topLinePunct w:val="0"/>
        <w:autoSpaceDE/>
        <w:autoSpaceDN/>
        <w:bidi w:val="0"/>
        <w:adjustRightInd/>
        <w:snapToGrid w:val="0"/>
        <w:spacing w:line="400" w:lineRule="exact"/>
        <w:ind w:left="0" w:leftChars="0" w:right="0" w:firstLine="422" w:firstLineChars="200"/>
        <w:textAlignment w:val="auto"/>
        <w:outlineLvl w:val="9"/>
        <w:rPr>
          <w:rFonts w:hint="eastAsia" w:ascii="宋体" w:hAnsi="宋体" w:eastAsia="宋体" w:cs="宋体"/>
          <w:b/>
          <w:bCs/>
          <w:color w:val="auto"/>
          <w:sz w:val="21"/>
          <w:szCs w:val="21"/>
          <w:highlight w:val="none"/>
        </w:rPr>
      </w:pPr>
      <w:bookmarkStart w:id="687" w:name="_Toc32652"/>
      <w:bookmarkStart w:id="688" w:name="_Toc24461"/>
      <w:r>
        <w:rPr>
          <w:rFonts w:hint="eastAsia" w:ascii="宋体" w:hAnsi="宋体" w:eastAsia="宋体" w:cs="宋体"/>
          <w:b/>
          <w:bCs/>
          <w:color w:val="auto"/>
          <w:sz w:val="21"/>
          <w:szCs w:val="21"/>
          <w:highlight w:val="none"/>
        </w:rPr>
        <w:t>二、质疑项目基本情况：</w:t>
      </w:r>
      <w:bookmarkEnd w:id="687"/>
      <w:bookmarkEnd w:id="688"/>
    </w:p>
    <w:p w14:paraId="031C9EE3">
      <w:pPr>
        <w:pStyle w:val="25"/>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质疑</w:t>
      </w:r>
      <w:r>
        <w:rPr>
          <w:rFonts w:hint="eastAsia" w:ascii="宋体" w:hAnsi="宋体" w:eastAsia="宋体" w:cs="宋体"/>
          <w:color w:val="auto"/>
          <w:sz w:val="21"/>
          <w:szCs w:val="21"/>
          <w:highlight w:val="none"/>
        </w:rPr>
        <w:t>项目的名称：</w:t>
      </w:r>
      <w:r>
        <w:rPr>
          <w:rFonts w:hint="eastAsia" w:ascii="宋体" w:hAnsi="宋体" w:eastAsia="宋体" w:cs="宋体"/>
          <w:bCs/>
          <w:color w:val="auto"/>
          <w:sz w:val="21"/>
          <w:szCs w:val="21"/>
          <w:highlight w:val="none"/>
          <w:u w:val="single"/>
        </w:rPr>
        <w:t xml:space="preserve">                                     </w:t>
      </w:r>
    </w:p>
    <w:p w14:paraId="362356DB">
      <w:pPr>
        <w:pStyle w:val="25"/>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质疑</w:t>
      </w:r>
      <w:r>
        <w:rPr>
          <w:rFonts w:hint="eastAsia" w:ascii="宋体" w:hAnsi="宋体" w:eastAsia="宋体" w:cs="宋体"/>
          <w:color w:val="auto"/>
          <w:sz w:val="21"/>
          <w:szCs w:val="21"/>
          <w:highlight w:val="none"/>
        </w:rPr>
        <w:t>项目的编号：</w:t>
      </w:r>
      <w:r>
        <w:rPr>
          <w:rFonts w:hint="eastAsia" w:ascii="宋体" w:hAnsi="宋体" w:eastAsia="宋体" w:cs="宋体"/>
          <w:bCs/>
          <w:color w:val="auto"/>
          <w:sz w:val="21"/>
          <w:szCs w:val="21"/>
          <w:highlight w:val="none"/>
          <w:u w:val="single"/>
        </w:rPr>
        <w:t xml:space="preserve">                                     </w:t>
      </w:r>
    </w:p>
    <w:p w14:paraId="2F61D897">
      <w:pPr>
        <w:pStyle w:val="25"/>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w:t>
      </w:r>
      <w:r>
        <w:rPr>
          <w:rFonts w:hint="eastAsia" w:ascii="宋体" w:hAnsi="宋体" w:eastAsia="宋体" w:cs="宋体"/>
          <w:bCs/>
          <w:color w:val="auto"/>
          <w:sz w:val="21"/>
          <w:szCs w:val="21"/>
          <w:highlight w:val="none"/>
          <w:u w:val="single"/>
        </w:rPr>
        <w:t xml:space="preserve">                                         </w:t>
      </w:r>
    </w:p>
    <w:p w14:paraId="6B14A44C">
      <w:pPr>
        <w:pStyle w:val="25"/>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w:t>
      </w:r>
    </w:p>
    <w:p w14:paraId="18F98807">
      <w:pPr>
        <w:pStyle w:val="25"/>
        <w:keepNext w:val="0"/>
        <w:keepLines w:val="0"/>
        <w:pageBreakBefore w:val="0"/>
        <w:kinsoku/>
        <w:wordWrap/>
        <w:overflowPunct/>
        <w:topLinePunct w:val="0"/>
        <w:autoSpaceDE/>
        <w:autoSpaceDN/>
        <w:bidi w:val="0"/>
        <w:adjustRightInd/>
        <w:spacing w:line="400" w:lineRule="exact"/>
        <w:ind w:left="0" w:leftChars="0" w:right="0" w:firstLine="308" w:firstLineChars="14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   招标文件获取日期：</w:t>
      </w:r>
      <w:r>
        <w:rPr>
          <w:rFonts w:hint="eastAsia" w:ascii="宋体" w:hAnsi="宋体" w:eastAsia="宋体" w:cs="宋体"/>
          <w:bCs/>
          <w:color w:val="auto"/>
          <w:sz w:val="21"/>
          <w:szCs w:val="21"/>
          <w:highlight w:val="none"/>
          <w:u w:val="single"/>
        </w:rPr>
        <w:t xml:space="preserve">                                   </w:t>
      </w:r>
    </w:p>
    <w:p w14:paraId="5C20E981">
      <w:pPr>
        <w:pStyle w:val="25"/>
        <w:keepNext w:val="0"/>
        <w:keepLines w:val="0"/>
        <w:pageBreakBefore w:val="0"/>
        <w:kinsoku/>
        <w:wordWrap/>
        <w:overflowPunct/>
        <w:topLinePunct w:val="0"/>
        <w:autoSpaceDE/>
        <w:autoSpaceDN/>
        <w:bidi w:val="0"/>
        <w:adjustRightInd/>
        <w:spacing w:line="400" w:lineRule="exact"/>
        <w:ind w:left="0" w:leftChars="0" w:right="0" w:firstLine="308" w:firstLineChars="14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□采购过程   </w:t>
      </w:r>
    </w:p>
    <w:p w14:paraId="081C8E39">
      <w:pPr>
        <w:pStyle w:val="25"/>
        <w:keepNext w:val="0"/>
        <w:keepLines w:val="0"/>
        <w:pageBreakBefore w:val="0"/>
        <w:kinsoku/>
        <w:wordWrap/>
        <w:overflowPunct/>
        <w:topLinePunct w:val="0"/>
        <w:autoSpaceDE/>
        <w:autoSpaceDN/>
        <w:bidi w:val="0"/>
        <w:adjustRightInd/>
        <w:spacing w:line="400" w:lineRule="exact"/>
        <w:ind w:left="0" w:leftChars="0" w:right="0" w:firstLine="308" w:firstLineChars="147"/>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 xml:space="preserve">□中标结果   </w:t>
      </w:r>
    </w:p>
    <w:p w14:paraId="20265E5E">
      <w:pPr>
        <w:pStyle w:val="25"/>
        <w:keepNext w:val="0"/>
        <w:keepLines w:val="0"/>
        <w:pageBreakBefore w:val="0"/>
        <w:kinsoku/>
        <w:wordWrap/>
        <w:overflowPunct/>
        <w:topLinePunct w:val="0"/>
        <w:autoSpaceDE/>
        <w:autoSpaceDN/>
        <w:bidi w:val="0"/>
        <w:adjustRightInd/>
        <w:spacing w:line="400" w:lineRule="exact"/>
        <w:ind w:left="0" w:leftChars="0" w:right="0" w:firstLine="413" w:firstLineChars="196"/>
        <w:textAlignment w:val="auto"/>
        <w:outlineLvl w:val="9"/>
        <w:rPr>
          <w:rFonts w:hint="eastAsia" w:ascii="宋体" w:hAnsi="宋体" w:eastAsia="宋体" w:cs="宋体"/>
          <w:b/>
          <w:color w:val="auto"/>
          <w:sz w:val="21"/>
          <w:szCs w:val="21"/>
          <w:highlight w:val="none"/>
        </w:rPr>
      </w:pPr>
      <w:bookmarkStart w:id="689" w:name="_Toc23734"/>
      <w:bookmarkStart w:id="690" w:name="_Toc8547"/>
      <w:r>
        <w:rPr>
          <w:rFonts w:hint="eastAsia" w:ascii="宋体" w:hAnsi="宋体" w:eastAsia="宋体" w:cs="宋体"/>
          <w:b/>
          <w:color w:val="auto"/>
          <w:sz w:val="21"/>
          <w:szCs w:val="21"/>
          <w:highlight w:val="none"/>
        </w:rPr>
        <w:t>三、质疑事项具体内容</w:t>
      </w:r>
      <w:bookmarkEnd w:id="689"/>
      <w:bookmarkEnd w:id="690"/>
    </w:p>
    <w:p w14:paraId="22BE8858">
      <w:pPr>
        <w:pStyle w:val="25"/>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质疑事项1：</w:t>
      </w:r>
      <w:r>
        <w:rPr>
          <w:rFonts w:hint="eastAsia" w:ascii="宋体" w:hAnsi="宋体" w:eastAsia="宋体" w:cs="宋体"/>
          <w:bCs/>
          <w:color w:val="auto"/>
          <w:sz w:val="21"/>
          <w:szCs w:val="21"/>
          <w:highlight w:val="none"/>
          <w:u w:val="single"/>
        </w:rPr>
        <w:t xml:space="preserve">                                                      </w:t>
      </w:r>
    </w:p>
    <w:p w14:paraId="32BB9856">
      <w:pPr>
        <w:pStyle w:val="25"/>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bCs/>
          <w:color w:val="auto"/>
          <w:sz w:val="21"/>
          <w:szCs w:val="21"/>
          <w:highlight w:val="none"/>
          <w:u w:val="single"/>
        </w:rPr>
        <w:t xml:space="preserve">                                                       </w:t>
      </w:r>
    </w:p>
    <w:p w14:paraId="1EB085CB">
      <w:pPr>
        <w:pStyle w:val="25"/>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single"/>
        </w:rPr>
        <w:t xml:space="preserve">                                                        </w:t>
      </w:r>
    </w:p>
    <w:p w14:paraId="1B81043B">
      <w:pPr>
        <w:pStyle w:val="25"/>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质疑事项2</w:t>
      </w:r>
    </w:p>
    <w:p w14:paraId="1CF487EC">
      <w:pPr>
        <w:pStyle w:val="25"/>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3630D091">
      <w:pPr>
        <w:pStyle w:val="25"/>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bookmarkStart w:id="691" w:name="_Toc17287"/>
      <w:bookmarkStart w:id="692" w:name="_Toc23741"/>
      <w:r>
        <w:rPr>
          <w:rFonts w:hint="eastAsia" w:ascii="宋体" w:hAnsi="宋体" w:eastAsia="宋体" w:cs="宋体"/>
          <w:color w:val="auto"/>
          <w:sz w:val="21"/>
          <w:szCs w:val="21"/>
          <w:highlight w:val="none"/>
        </w:rPr>
        <w:t>四、与质疑事项相关的质疑请求：</w:t>
      </w:r>
      <w:bookmarkEnd w:id="691"/>
      <w:bookmarkEnd w:id="692"/>
    </w:p>
    <w:p w14:paraId="7F2A15A6">
      <w:pPr>
        <w:pStyle w:val="25"/>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bCs/>
          <w:color w:val="auto"/>
          <w:sz w:val="21"/>
          <w:szCs w:val="21"/>
          <w:highlight w:val="none"/>
          <w:u w:val="single"/>
        </w:rPr>
        <w:t xml:space="preserve">                                                            </w:t>
      </w:r>
    </w:p>
    <w:p w14:paraId="58391E37">
      <w:pPr>
        <w:pStyle w:val="25"/>
        <w:keepNext w:val="0"/>
        <w:keepLines w:val="0"/>
        <w:pageBreakBefore w:val="0"/>
        <w:kinsoku/>
        <w:wordWrap/>
        <w:overflowPunct/>
        <w:topLinePunct w:val="0"/>
        <w:autoSpaceDE/>
        <w:autoSpaceDN/>
        <w:bidi w:val="0"/>
        <w:adjustRightInd/>
        <w:spacing w:line="400" w:lineRule="exact"/>
        <w:ind w:left="0" w:leftChars="0" w:right="0" w:firstLine="308" w:firstLineChars="147"/>
        <w:textAlignment w:val="auto"/>
        <w:outlineLvl w:val="9"/>
        <w:rPr>
          <w:rFonts w:hint="eastAsia" w:ascii="宋体" w:hAnsi="宋体" w:eastAsia="宋体" w:cs="宋体"/>
          <w:color w:val="auto"/>
          <w:sz w:val="21"/>
          <w:szCs w:val="21"/>
          <w:highlight w:val="none"/>
        </w:rPr>
      </w:pPr>
    </w:p>
    <w:p w14:paraId="39185F0E">
      <w:pPr>
        <w:pStyle w:val="25"/>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                                       公章：</w:t>
      </w:r>
    </w:p>
    <w:p w14:paraId="0706C4D3">
      <w:pPr>
        <w:pStyle w:val="25"/>
        <w:keepNext w:val="0"/>
        <w:keepLines w:val="0"/>
        <w:pageBreakBefore w:val="0"/>
        <w:kinsoku/>
        <w:wordWrap/>
        <w:overflowPunct/>
        <w:topLinePunct w:val="0"/>
        <w:autoSpaceDE/>
        <w:autoSpaceDN/>
        <w:bidi w:val="0"/>
        <w:adjustRightInd/>
        <w:spacing w:line="400" w:lineRule="exact"/>
        <w:ind w:left="0" w:leftChars="0" w:right="0" w:firstLine="308" w:firstLineChars="147"/>
        <w:textAlignment w:val="auto"/>
        <w:outlineLvl w:val="9"/>
        <w:rPr>
          <w:rFonts w:hint="eastAsia" w:ascii="宋体" w:hAnsi="宋体" w:eastAsia="宋体" w:cs="宋体"/>
          <w:color w:val="auto"/>
          <w:sz w:val="21"/>
          <w:szCs w:val="21"/>
          <w:highlight w:val="none"/>
        </w:rPr>
      </w:pPr>
    </w:p>
    <w:p w14:paraId="5A5D39D4">
      <w:pPr>
        <w:pStyle w:val="25"/>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64679A59">
      <w:pPr>
        <w:pStyle w:val="25"/>
        <w:keepNext w:val="0"/>
        <w:keepLines w:val="0"/>
        <w:pageBreakBefore w:val="0"/>
        <w:kinsoku/>
        <w:wordWrap/>
        <w:overflowPunct/>
        <w:topLinePunct w:val="0"/>
        <w:autoSpaceDE/>
        <w:autoSpaceDN/>
        <w:bidi w:val="0"/>
        <w:adjustRightInd/>
        <w:snapToGrid w:val="0"/>
        <w:spacing w:line="400" w:lineRule="exact"/>
        <w:ind w:left="0" w:leftChars="0" w:right="0"/>
        <w:textAlignment w:val="auto"/>
        <w:outlineLvl w:val="9"/>
        <w:rPr>
          <w:rFonts w:hint="eastAsia" w:ascii="宋体" w:hAnsi="宋体" w:eastAsia="宋体" w:cs="宋体"/>
          <w:b/>
          <w:color w:val="auto"/>
          <w:sz w:val="21"/>
          <w:szCs w:val="21"/>
          <w:highlight w:val="none"/>
        </w:rPr>
      </w:pPr>
    </w:p>
    <w:p w14:paraId="6AD6475F">
      <w:pPr>
        <w:pStyle w:val="25"/>
        <w:keepNext w:val="0"/>
        <w:keepLines w:val="0"/>
        <w:pageBreakBefore w:val="0"/>
        <w:kinsoku/>
        <w:wordWrap/>
        <w:overflowPunct/>
        <w:topLinePunct w:val="0"/>
        <w:autoSpaceDE/>
        <w:autoSpaceDN/>
        <w:bidi w:val="0"/>
        <w:adjustRightInd/>
        <w:snapToGrid w:val="0"/>
        <w:spacing w:line="400" w:lineRule="exact"/>
        <w:ind w:left="0" w:leftChars="0" w:right="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4A4BD0BA">
      <w:pPr>
        <w:pStyle w:val="25"/>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1.供应商提出质疑时，应提交质疑函和必要的证明材料</w:t>
      </w:r>
      <w:r>
        <w:rPr>
          <w:rFonts w:hint="eastAsia" w:ascii="宋体" w:hAnsi="宋体" w:eastAsia="宋体" w:cs="宋体"/>
          <w:b/>
          <w:bCs/>
          <w:color w:val="auto"/>
          <w:sz w:val="21"/>
          <w:szCs w:val="21"/>
          <w:highlight w:val="none"/>
        </w:rPr>
        <w:t>。</w:t>
      </w:r>
    </w:p>
    <w:p w14:paraId="46EB8714">
      <w:pPr>
        <w:pStyle w:val="25"/>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827DAD2">
      <w:pPr>
        <w:pStyle w:val="25"/>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3.质疑函的质疑事项应具体、明确，并有必要的事实依据和法律依据。</w:t>
      </w:r>
    </w:p>
    <w:p w14:paraId="7A129F45">
      <w:pPr>
        <w:pStyle w:val="25"/>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4.质疑函的质疑请求应与质疑事项相关。</w:t>
      </w:r>
    </w:p>
    <w:p w14:paraId="517E161D">
      <w:pPr>
        <w:pStyle w:val="25"/>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5.质疑供应商为法人或者其他组织的，质疑函应由法定代表人、主要负责人，或者其授权代表签字或者盖章，并加盖公章。</w:t>
      </w:r>
    </w:p>
    <w:p w14:paraId="5875DF0C">
      <w:pPr>
        <w:pStyle w:val="25"/>
        <w:keepNext w:val="0"/>
        <w:keepLines w:val="0"/>
        <w:pageBreakBefore w:val="0"/>
        <w:kinsoku/>
        <w:wordWrap/>
        <w:overflowPunct/>
        <w:topLinePunct w:val="0"/>
        <w:autoSpaceDE/>
        <w:autoSpaceDN/>
        <w:bidi w:val="0"/>
        <w:adjustRightInd/>
        <w:snapToGrid w:val="0"/>
        <w:spacing w:line="400" w:lineRule="exact"/>
        <w:ind w:left="0" w:leftChars="0" w:right="0"/>
        <w:textAlignment w:val="auto"/>
        <w:outlineLvl w:val="9"/>
        <w:rPr>
          <w:rFonts w:hint="eastAsia" w:ascii="宋体" w:hAnsi="宋体" w:eastAsia="宋体" w:cs="宋体"/>
          <w:b/>
          <w:color w:val="auto"/>
          <w:sz w:val="21"/>
          <w:szCs w:val="21"/>
          <w:highlight w:val="none"/>
        </w:rPr>
      </w:pPr>
    </w:p>
    <w:p w14:paraId="0C6FDC8D">
      <w:pPr>
        <w:keepNext w:val="0"/>
        <w:keepLines w:val="0"/>
        <w:pageBreakBefore w:val="0"/>
        <w:kinsoku/>
        <w:wordWrap/>
        <w:overflowPunct/>
        <w:topLinePunct w:val="0"/>
        <w:autoSpaceDE/>
        <w:autoSpaceDN/>
        <w:bidi w:val="0"/>
        <w:adjustRightInd/>
        <w:spacing w:line="400" w:lineRule="exact"/>
        <w:ind w:left="0" w:leftChars="0" w:right="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cs="宋体"/>
          <w:b/>
          <w:color w:val="auto"/>
          <w:sz w:val="21"/>
          <w:szCs w:val="21"/>
          <w:highlight w:val="none"/>
          <w:lang w:val="en-US" w:eastAsia="zh-CN"/>
        </w:rPr>
        <w:t>6</w:t>
      </w:r>
      <w:r>
        <w:rPr>
          <w:rFonts w:hint="eastAsia" w:ascii="宋体" w:hAnsi="宋体" w:eastAsia="宋体" w:cs="宋体"/>
          <w:b/>
          <w:color w:val="auto"/>
          <w:sz w:val="21"/>
          <w:szCs w:val="21"/>
          <w:highlight w:val="none"/>
        </w:rPr>
        <w:t>.投诉书格式</w:t>
      </w:r>
    </w:p>
    <w:p w14:paraId="21ECD736">
      <w:pPr>
        <w:keepNext w:val="0"/>
        <w:keepLines w:val="0"/>
        <w:pageBreakBefore w:val="0"/>
        <w:kinsoku/>
        <w:wordWrap/>
        <w:overflowPunct/>
        <w:topLinePunct w:val="0"/>
        <w:autoSpaceDE/>
        <w:autoSpaceDN/>
        <w:bidi w:val="0"/>
        <w:adjustRightInd/>
        <w:spacing w:line="400" w:lineRule="exact"/>
        <w:ind w:left="0" w:leftChars="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w:t>
      </w:r>
    </w:p>
    <w:p w14:paraId="46602A77">
      <w:pPr>
        <w:pStyle w:val="25"/>
        <w:keepNext w:val="0"/>
        <w:keepLines w:val="0"/>
        <w:pageBreakBefore w:val="0"/>
        <w:kinsoku/>
        <w:wordWrap/>
        <w:overflowPunct/>
        <w:topLinePunct w:val="0"/>
        <w:autoSpaceDE/>
        <w:autoSpaceDN/>
        <w:bidi w:val="0"/>
        <w:adjustRightInd/>
        <w:snapToGrid w:val="0"/>
        <w:spacing w:line="400" w:lineRule="exact"/>
        <w:ind w:left="0" w:leftChars="0" w:right="0" w:firstLine="422" w:firstLineChars="200"/>
        <w:textAlignment w:val="auto"/>
        <w:outlineLvl w:val="9"/>
        <w:rPr>
          <w:rFonts w:hint="eastAsia" w:ascii="宋体" w:hAnsi="宋体" w:eastAsia="宋体" w:cs="宋体"/>
          <w:b/>
          <w:bCs/>
          <w:color w:val="auto"/>
          <w:sz w:val="21"/>
          <w:szCs w:val="21"/>
          <w:highlight w:val="none"/>
        </w:rPr>
      </w:pPr>
    </w:p>
    <w:p w14:paraId="6C6BB1FB">
      <w:pPr>
        <w:pStyle w:val="25"/>
        <w:keepNext w:val="0"/>
        <w:keepLines w:val="0"/>
        <w:pageBreakBefore w:val="0"/>
        <w:kinsoku/>
        <w:wordWrap/>
        <w:overflowPunct/>
        <w:topLinePunct w:val="0"/>
        <w:autoSpaceDE/>
        <w:autoSpaceDN/>
        <w:bidi w:val="0"/>
        <w:adjustRightInd/>
        <w:snapToGrid w:val="0"/>
        <w:spacing w:line="400" w:lineRule="exact"/>
        <w:ind w:left="0" w:leftChars="0" w:right="0" w:firstLine="422" w:firstLineChars="200"/>
        <w:textAlignment w:val="auto"/>
        <w:outlineLvl w:val="9"/>
        <w:rPr>
          <w:rFonts w:hint="eastAsia" w:ascii="宋体" w:hAnsi="宋体" w:eastAsia="宋体" w:cs="宋体"/>
          <w:b/>
          <w:bCs/>
          <w:color w:val="auto"/>
          <w:sz w:val="21"/>
          <w:szCs w:val="21"/>
          <w:highlight w:val="none"/>
        </w:rPr>
      </w:pPr>
      <w:bookmarkStart w:id="693" w:name="_Toc3412"/>
      <w:bookmarkStart w:id="694" w:name="_Toc2194"/>
      <w:r>
        <w:rPr>
          <w:rFonts w:hint="eastAsia" w:ascii="宋体" w:hAnsi="宋体" w:eastAsia="宋体" w:cs="宋体"/>
          <w:b/>
          <w:bCs/>
          <w:color w:val="auto"/>
          <w:sz w:val="21"/>
          <w:szCs w:val="21"/>
          <w:highlight w:val="none"/>
        </w:rPr>
        <w:t>一、投诉相关主体基本情况：</w:t>
      </w:r>
      <w:bookmarkEnd w:id="693"/>
      <w:bookmarkEnd w:id="694"/>
    </w:p>
    <w:p w14:paraId="3EC3BA86">
      <w:pPr>
        <w:pStyle w:val="25"/>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投标人：</w:t>
      </w:r>
      <w:r>
        <w:rPr>
          <w:rFonts w:hint="eastAsia" w:ascii="宋体" w:hAnsi="宋体" w:eastAsia="宋体" w:cs="宋体"/>
          <w:bCs/>
          <w:color w:val="auto"/>
          <w:sz w:val="21"/>
          <w:szCs w:val="21"/>
          <w:highlight w:val="none"/>
          <w:u w:val="single"/>
        </w:rPr>
        <w:t xml:space="preserve">                                                         </w:t>
      </w:r>
    </w:p>
    <w:p w14:paraId="323BD825">
      <w:pPr>
        <w:pStyle w:val="25"/>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p>
    <w:p w14:paraId="5ABF4014">
      <w:pPr>
        <w:pStyle w:val="25"/>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法定代表人/主要负责人：</w:t>
      </w:r>
      <w:r>
        <w:rPr>
          <w:rFonts w:hint="eastAsia" w:ascii="宋体" w:hAnsi="宋体" w:eastAsia="宋体" w:cs="宋体"/>
          <w:bCs/>
          <w:color w:val="auto"/>
          <w:sz w:val="21"/>
          <w:szCs w:val="21"/>
          <w:highlight w:val="none"/>
          <w:u w:val="single"/>
        </w:rPr>
        <w:t xml:space="preserve">                                          </w:t>
      </w:r>
    </w:p>
    <w:p w14:paraId="781935A8">
      <w:pPr>
        <w:pStyle w:val="25"/>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694B46EC">
      <w:pPr>
        <w:pStyle w:val="25"/>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授权代表：</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5754DC6A">
      <w:pPr>
        <w:pStyle w:val="25"/>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p>
    <w:p w14:paraId="36FBE83F">
      <w:pPr>
        <w:pStyle w:val="25"/>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2198E9FF">
      <w:pPr>
        <w:pStyle w:val="25"/>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被投诉人1：</w:t>
      </w:r>
    </w:p>
    <w:p w14:paraId="75889C88">
      <w:pPr>
        <w:pStyle w:val="25"/>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p>
    <w:p w14:paraId="038F8E7F">
      <w:pPr>
        <w:pStyle w:val="25"/>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64F42416">
      <w:pPr>
        <w:pStyle w:val="25"/>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4838624F">
      <w:pPr>
        <w:pStyle w:val="25"/>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被投诉人2：</w:t>
      </w:r>
    </w:p>
    <w:p w14:paraId="678D7BCF">
      <w:pPr>
        <w:pStyle w:val="25"/>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相关供应商：</w:t>
      </w:r>
      <w:r>
        <w:rPr>
          <w:rFonts w:hint="eastAsia" w:ascii="宋体" w:hAnsi="宋体" w:eastAsia="宋体" w:cs="宋体"/>
          <w:bCs/>
          <w:color w:val="auto"/>
          <w:sz w:val="21"/>
          <w:szCs w:val="21"/>
          <w:highlight w:val="none"/>
          <w:u w:val="single"/>
        </w:rPr>
        <w:t xml:space="preserve">                                                     </w:t>
      </w:r>
    </w:p>
    <w:p w14:paraId="4DF56D43">
      <w:pPr>
        <w:pStyle w:val="25"/>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p>
    <w:p w14:paraId="39A858C9">
      <w:pPr>
        <w:pStyle w:val="25"/>
        <w:keepNext w:val="0"/>
        <w:keepLines w:val="0"/>
        <w:pageBreakBefore w:val="0"/>
        <w:kinsoku/>
        <w:wordWrap/>
        <w:overflowPunct/>
        <w:topLinePunct w:val="0"/>
        <w:autoSpaceDE/>
        <w:autoSpaceDN/>
        <w:bidi w:val="0"/>
        <w:adjustRightInd/>
        <w:snapToGrid w:val="0"/>
        <w:spacing w:line="400" w:lineRule="exact"/>
        <w:ind w:left="0" w:leftChars="0" w:right="0" w:firstLine="420" w:firstLineChars="20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19885A0E">
      <w:pPr>
        <w:pStyle w:val="25"/>
        <w:keepNext w:val="0"/>
        <w:keepLines w:val="0"/>
        <w:pageBreakBefore w:val="0"/>
        <w:kinsoku/>
        <w:wordWrap/>
        <w:overflowPunct/>
        <w:topLinePunct w:val="0"/>
        <w:autoSpaceDE/>
        <w:autoSpaceDN/>
        <w:bidi w:val="0"/>
        <w:adjustRightInd/>
        <w:snapToGrid w:val="0"/>
        <w:spacing w:line="400" w:lineRule="exact"/>
        <w:ind w:left="0" w:leftChars="0" w:right="0" w:firstLine="422" w:firstLineChars="200"/>
        <w:textAlignment w:val="auto"/>
        <w:outlineLvl w:val="9"/>
        <w:rPr>
          <w:rFonts w:hint="eastAsia" w:ascii="宋体" w:hAnsi="宋体" w:eastAsia="宋体" w:cs="宋体"/>
          <w:b/>
          <w:bCs/>
          <w:color w:val="auto"/>
          <w:sz w:val="21"/>
          <w:szCs w:val="21"/>
          <w:highlight w:val="none"/>
        </w:rPr>
      </w:pPr>
      <w:bookmarkStart w:id="695" w:name="_Toc2565"/>
      <w:bookmarkStart w:id="696" w:name="_Toc2485"/>
      <w:r>
        <w:rPr>
          <w:rFonts w:hint="eastAsia" w:ascii="宋体" w:hAnsi="宋体" w:eastAsia="宋体" w:cs="宋体"/>
          <w:b/>
          <w:bCs/>
          <w:color w:val="auto"/>
          <w:sz w:val="21"/>
          <w:szCs w:val="21"/>
          <w:highlight w:val="none"/>
        </w:rPr>
        <w:t>二、投诉项目基本情况：</w:t>
      </w:r>
      <w:bookmarkEnd w:id="695"/>
      <w:bookmarkEnd w:id="696"/>
    </w:p>
    <w:p w14:paraId="0F3A045E">
      <w:pPr>
        <w:pStyle w:val="25"/>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w:t>
      </w:r>
      <w:r>
        <w:rPr>
          <w:rFonts w:hint="eastAsia" w:ascii="宋体" w:hAnsi="宋体" w:eastAsia="宋体" w:cs="宋体"/>
          <w:color w:val="auto"/>
          <w:sz w:val="21"/>
          <w:szCs w:val="21"/>
          <w:highlight w:val="none"/>
        </w:rPr>
        <w:t>项目的名称：</w:t>
      </w:r>
      <w:r>
        <w:rPr>
          <w:rFonts w:hint="eastAsia" w:ascii="宋体" w:hAnsi="宋体" w:eastAsia="宋体" w:cs="宋体"/>
          <w:bCs/>
          <w:color w:val="auto"/>
          <w:sz w:val="21"/>
          <w:szCs w:val="21"/>
          <w:highlight w:val="none"/>
          <w:u w:val="single"/>
        </w:rPr>
        <w:t xml:space="preserve">                                                 </w:t>
      </w:r>
    </w:p>
    <w:p w14:paraId="6EC64F27">
      <w:pPr>
        <w:pStyle w:val="25"/>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w:t>
      </w:r>
      <w:r>
        <w:rPr>
          <w:rFonts w:hint="eastAsia" w:ascii="宋体" w:hAnsi="宋体" w:eastAsia="宋体" w:cs="宋体"/>
          <w:color w:val="auto"/>
          <w:sz w:val="21"/>
          <w:szCs w:val="21"/>
          <w:highlight w:val="none"/>
        </w:rPr>
        <w:t>项目的编号：</w:t>
      </w:r>
      <w:r>
        <w:rPr>
          <w:rFonts w:hint="eastAsia" w:ascii="宋体" w:hAnsi="宋体" w:eastAsia="宋体" w:cs="宋体"/>
          <w:bCs/>
          <w:color w:val="auto"/>
          <w:sz w:val="21"/>
          <w:szCs w:val="21"/>
          <w:highlight w:val="none"/>
          <w:u w:val="single"/>
        </w:rPr>
        <w:t xml:space="preserve">                                          </w:t>
      </w:r>
    </w:p>
    <w:p w14:paraId="7AFDDC28">
      <w:pPr>
        <w:pStyle w:val="25"/>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采购人名称：</w:t>
      </w:r>
      <w:r>
        <w:rPr>
          <w:rFonts w:hint="eastAsia" w:ascii="宋体" w:hAnsi="宋体" w:eastAsia="宋体" w:cs="宋体"/>
          <w:bCs/>
          <w:color w:val="auto"/>
          <w:sz w:val="21"/>
          <w:szCs w:val="21"/>
          <w:highlight w:val="none"/>
          <w:u w:val="single"/>
        </w:rPr>
        <w:t xml:space="preserve">                                                     </w:t>
      </w:r>
    </w:p>
    <w:p w14:paraId="35B02B70">
      <w:pPr>
        <w:pStyle w:val="25"/>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代理机构名称：</w:t>
      </w:r>
      <w:r>
        <w:rPr>
          <w:rFonts w:hint="eastAsia" w:ascii="宋体" w:hAnsi="宋体" w:eastAsia="宋体" w:cs="宋体"/>
          <w:bCs/>
          <w:color w:val="auto"/>
          <w:sz w:val="21"/>
          <w:szCs w:val="21"/>
          <w:highlight w:val="none"/>
          <w:u w:val="single"/>
        </w:rPr>
        <w:t xml:space="preserve">                                                   </w:t>
      </w:r>
    </w:p>
    <w:p w14:paraId="53A51ADA">
      <w:pPr>
        <w:pStyle w:val="25"/>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招标文件公告：</w:t>
      </w:r>
      <w:r>
        <w:rPr>
          <w:rFonts w:hint="eastAsia" w:ascii="宋体" w:hAnsi="宋体" w:eastAsia="宋体" w:cs="宋体"/>
          <w:bCs/>
          <w:color w:val="auto"/>
          <w:sz w:val="21"/>
          <w:szCs w:val="21"/>
          <w:highlight w:val="none"/>
          <w:u w:val="single"/>
        </w:rPr>
        <w:t>是/否</w:t>
      </w:r>
      <w:r>
        <w:rPr>
          <w:rFonts w:hint="eastAsia" w:ascii="宋体" w:hAnsi="宋体" w:eastAsia="宋体" w:cs="宋体"/>
          <w:bCs/>
          <w:color w:val="auto"/>
          <w:sz w:val="21"/>
          <w:szCs w:val="21"/>
          <w:highlight w:val="none"/>
        </w:rPr>
        <w:t>公告期限：</w:t>
      </w:r>
      <w:r>
        <w:rPr>
          <w:rFonts w:hint="eastAsia" w:ascii="宋体" w:hAnsi="宋体" w:eastAsia="宋体" w:cs="宋体"/>
          <w:bCs/>
          <w:color w:val="auto"/>
          <w:sz w:val="21"/>
          <w:szCs w:val="21"/>
          <w:highlight w:val="none"/>
          <w:u w:val="single"/>
        </w:rPr>
        <w:t xml:space="preserve">                                    </w:t>
      </w:r>
    </w:p>
    <w:p w14:paraId="0D6E4906">
      <w:pPr>
        <w:pStyle w:val="25"/>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采购结果公告：</w:t>
      </w:r>
      <w:r>
        <w:rPr>
          <w:rFonts w:hint="eastAsia" w:ascii="宋体" w:hAnsi="宋体" w:eastAsia="宋体" w:cs="宋体"/>
          <w:bCs/>
          <w:color w:val="auto"/>
          <w:sz w:val="21"/>
          <w:szCs w:val="21"/>
          <w:highlight w:val="none"/>
          <w:u w:val="single"/>
        </w:rPr>
        <w:t>是/否</w:t>
      </w:r>
      <w:r>
        <w:rPr>
          <w:rFonts w:hint="eastAsia" w:ascii="宋体" w:hAnsi="宋体" w:eastAsia="宋体" w:cs="宋体"/>
          <w:bCs/>
          <w:color w:val="auto"/>
          <w:sz w:val="21"/>
          <w:szCs w:val="21"/>
          <w:highlight w:val="none"/>
        </w:rPr>
        <w:t>公告期限：</w:t>
      </w:r>
      <w:r>
        <w:rPr>
          <w:rFonts w:hint="eastAsia" w:ascii="宋体" w:hAnsi="宋体" w:eastAsia="宋体" w:cs="宋体"/>
          <w:bCs/>
          <w:color w:val="auto"/>
          <w:sz w:val="21"/>
          <w:szCs w:val="21"/>
          <w:highlight w:val="none"/>
          <w:u w:val="single"/>
        </w:rPr>
        <w:t xml:space="preserve">                                    </w:t>
      </w:r>
    </w:p>
    <w:p w14:paraId="2371B7F4">
      <w:pPr>
        <w:pStyle w:val="25"/>
        <w:keepNext w:val="0"/>
        <w:keepLines w:val="0"/>
        <w:pageBreakBefore w:val="0"/>
        <w:kinsoku/>
        <w:wordWrap/>
        <w:overflowPunct/>
        <w:topLinePunct w:val="0"/>
        <w:autoSpaceDE/>
        <w:autoSpaceDN/>
        <w:bidi w:val="0"/>
        <w:adjustRightInd/>
        <w:spacing w:line="400" w:lineRule="exact"/>
        <w:ind w:left="0" w:leftChars="0" w:right="0" w:firstLine="413" w:firstLineChars="196"/>
        <w:textAlignment w:val="auto"/>
        <w:outlineLvl w:val="9"/>
        <w:rPr>
          <w:rFonts w:hint="eastAsia" w:ascii="宋体" w:hAnsi="宋体" w:eastAsia="宋体" w:cs="宋体"/>
          <w:b/>
          <w:color w:val="auto"/>
          <w:sz w:val="21"/>
          <w:szCs w:val="21"/>
          <w:highlight w:val="none"/>
        </w:rPr>
      </w:pPr>
      <w:bookmarkStart w:id="697" w:name="_Toc2024"/>
      <w:bookmarkStart w:id="698" w:name="_Toc7370"/>
      <w:r>
        <w:rPr>
          <w:rFonts w:hint="eastAsia" w:ascii="宋体" w:hAnsi="宋体" w:eastAsia="宋体" w:cs="宋体"/>
          <w:b/>
          <w:color w:val="auto"/>
          <w:sz w:val="21"/>
          <w:szCs w:val="21"/>
          <w:highlight w:val="none"/>
        </w:rPr>
        <w:t>三、质疑基本情况</w:t>
      </w:r>
      <w:bookmarkEnd w:id="697"/>
      <w:bookmarkEnd w:id="698"/>
    </w:p>
    <w:p w14:paraId="4DD150D9">
      <w:pPr>
        <w:pStyle w:val="25"/>
        <w:keepNext w:val="0"/>
        <w:keepLines w:val="0"/>
        <w:pageBreakBefore w:val="0"/>
        <w:kinsoku/>
        <w:wordWrap/>
        <w:overflowPunct/>
        <w:topLinePunct w:val="0"/>
        <w:autoSpaceDE/>
        <w:autoSpaceDN/>
        <w:bidi w:val="0"/>
        <w:adjustRightInd/>
        <w:spacing w:line="400" w:lineRule="exact"/>
        <w:ind w:left="0" w:leftChars="0" w:right="0" w:firstLine="241"/>
        <w:textAlignment w:val="auto"/>
        <w:outlineLvl w:val="9"/>
        <w:rPr>
          <w:rFonts w:hint="eastAsia" w:ascii="宋体" w:hAnsi="宋体" w:eastAsia="宋体" w:cs="宋体"/>
          <w:bCs/>
          <w:color w:val="auto"/>
          <w:sz w:val="21"/>
          <w:szCs w:val="21"/>
          <w:highlight w:val="none"/>
          <w:u w:val="single"/>
          <w:lang w:eastAsia="zh-CN"/>
        </w:rPr>
      </w:pPr>
      <w:r>
        <w:rPr>
          <w:rFonts w:hint="eastAsia" w:ascii="宋体" w:hAnsi="宋体" w:eastAsia="宋体" w:cs="宋体"/>
          <w:color w:val="auto"/>
          <w:sz w:val="21"/>
          <w:szCs w:val="21"/>
          <w:highlight w:val="none"/>
        </w:rPr>
        <w:t>投诉人于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提出质疑，质疑事项为：</w:t>
      </w:r>
      <w:r>
        <w:rPr>
          <w:rFonts w:hint="eastAsia" w:ascii="宋体" w:hAnsi="宋体" w:eastAsia="宋体" w:cs="宋体"/>
          <w:bCs/>
          <w:color w:val="auto"/>
          <w:sz w:val="21"/>
          <w:szCs w:val="21"/>
          <w:highlight w:val="none"/>
          <w:u w:val="single"/>
        </w:rPr>
        <w:t xml:space="preserve">                                                    </w:t>
      </w:r>
    </w:p>
    <w:p w14:paraId="2C588809">
      <w:pPr>
        <w:pStyle w:val="25"/>
        <w:keepNext w:val="0"/>
        <w:keepLines w:val="0"/>
        <w:pageBreakBefore w:val="0"/>
        <w:kinsoku/>
        <w:wordWrap/>
        <w:overflowPunct/>
        <w:topLinePunct w:val="0"/>
        <w:autoSpaceDE/>
        <w:autoSpaceDN/>
        <w:bidi w:val="0"/>
        <w:adjustRightInd/>
        <w:spacing w:line="400" w:lineRule="exact"/>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u w:val="single"/>
        </w:rPr>
        <w:t>采购人/代理机构</w:t>
      </w:r>
      <w:r>
        <w:rPr>
          <w:rFonts w:hint="eastAsia" w:ascii="宋体" w:hAnsi="宋体" w:eastAsia="宋体" w:cs="宋体"/>
          <w:bCs/>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bCs/>
          <w:color w:val="auto"/>
          <w:sz w:val="21"/>
          <w:szCs w:val="21"/>
          <w:highlight w:val="none"/>
        </w:rPr>
        <w:t>就质疑事项作出了答复/没有在法定期限内作出答复。</w:t>
      </w:r>
    </w:p>
    <w:p w14:paraId="143FA700">
      <w:pPr>
        <w:pStyle w:val="25"/>
        <w:keepNext w:val="0"/>
        <w:keepLines w:val="0"/>
        <w:pageBreakBefore w:val="0"/>
        <w:kinsoku/>
        <w:wordWrap/>
        <w:overflowPunct/>
        <w:topLinePunct w:val="0"/>
        <w:autoSpaceDE/>
        <w:autoSpaceDN/>
        <w:bidi w:val="0"/>
        <w:adjustRightInd/>
        <w:spacing w:line="400" w:lineRule="exact"/>
        <w:ind w:left="0" w:leftChars="0" w:right="0" w:firstLine="413" w:firstLineChars="196"/>
        <w:textAlignment w:val="auto"/>
        <w:outlineLvl w:val="9"/>
        <w:rPr>
          <w:rFonts w:hint="eastAsia" w:ascii="宋体" w:hAnsi="宋体" w:eastAsia="宋体" w:cs="宋体"/>
          <w:b/>
          <w:color w:val="auto"/>
          <w:sz w:val="21"/>
          <w:szCs w:val="21"/>
          <w:highlight w:val="none"/>
        </w:rPr>
      </w:pPr>
      <w:bookmarkStart w:id="699" w:name="_Toc28985"/>
      <w:bookmarkStart w:id="700" w:name="_Toc27984"/>
      <w:r>
        <w:rPr>
          <w:rFonts w:hint="eastAsia" w:ascii="宋体" w:hAnsi="宋体" w:eastAsia="宋体" w:cs="宋体"/>
          <w:b/>
          <w:color w:val="auto"/>
          <w:sz w:val="21"/>
          <w:szCs w:val="21"/>
          <w:highlight w:val="none"/>
        </w:rPr>
        <w:t>四、投诉事项具体内容</w:t>
      </w:r>
      <w:bookmarkEnd w:id="699"/>
      <w:bookmarkEnd w:id="700"/>
    </w:p>
    <w:p w14:paraId="55FC9153">
      <w:pPr>
        <w:pStyle w:val="25"/>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投诉事项1：</w:t>
      </w:r>
      <w:r>
        <w:rPr>
          <w:rFonts w:hint="eastAsia" w:ascii="宋体" w:hAnsi="宋体" w:eastAsia="宋体" w:cs="宋体"/>
          <w:bCs/>
          <w:color w:val="auto"/>
          <w:sz w:val="21"/>
          <w:szCs w:val="21"/>
          <w:highlight w:val="none"/>
          <w:u w:val="single"/>
        </w:rPr>
        <w:t xml:space="preserve">                                                     </w:t>
      </w:r>
    </w:p>
    <w:p w14:paraId="4877DBED">
      <w:pPr>
        <w:pStyle w:val="25"/>
        <w:keepNext w:val="0"/>
        <w:keepLines w:val="0"/>
        <w:pageBreakBefore w:val="0"/>
        <w:kinsoku/>
        <w:wordWrap/>
        <w:overflowPunct/>
        <w:topLinePunct w:val="0"/>
        <w:autoSpaceDE/>
        <w:autoSpaceDN/>
        <w:bidi w:val="0"/>
        <w:adjustRightInd/>
        <w:spacing w:line="400" w:lineRule="exact"/>
        <w:ind w:left="0" w:leftChars="0" w:right="0"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事实依据：</w:t>
      </w: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653F35C4">
      <w:pPr>
        <w:pStyle w:val="25"/>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u w:val="single"/>
        </w:rPr>
        <w:t xml:space="preserve">                                                                 </w:t>
      </w:r>
    </w:p>
    <w:p w14:paraId="311B891B">
      <w:pPr>
        <w:pStyle w:val="25"/>
        <w:keepNext w:val="0"/>
        <w:keepLines w:val="0"/>
        <w:pageBreakBefore w:val="0"/>
        <w:kinsoku/>
        <w:wordWrap/>
        <w:overflowPunct/>
        <w:topLinePunct w:val="0"/>
        <w:autoSpaceDE/>
        <w:autoSpaceDN/>
        <w:bidi w:val="0"/>
        <w:adjustRightInd/>
        <w:spacing w:line="400" w:lineRule="exact"/>
        <w:ind w:left="0" w:leftChars="0" w:right="0"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法律依据：</w:t>
      </w: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50614EAB">
      <w:pPr>
        <w:pStyle w:val="25"/>
        <w:keepNext w:val="0"/>
        <w:keepLines w:val="0"/>
        <w:pageBreakBefore w:val="0"/>
        <w:kinsoku/>
        <w:wordWrap/>
        <w:overflowPunct/>
        <w:topLinePunct w:val="0"/>
        <w:autoSpaceDE/>
        <w:autoSpaceDN/>
        <w:bidi w:val="0"/>
        <w:adjustRightInd/>
        <w:spacing w:line="400" w:lineRule="exact"/>
        <w:ind w:left="0" w:leftChars="0" w:right="0" w:firstLine="308" w:firstLineChars="147"/>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3DAF95CA">
      <w:pPr>
        <w:pStyle w:val="25"/>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投诉事项2  </w:t>
      </w:r>
      <w:r>
        <w:rPr>
          <w:rFonts w:hint="eastAsia" w:ascii="宋体" w:hAnsi="宋体" w:eastAsia="宋体" w:cs="宋体"/>
          <w:bCs/>
          <w:color w:val="auto"/>
          <w:sz w:val="21"/>
          <w:szCs w:val="21"/>
          <w:highlight w:val="none"/>
        </w:rPr>
        <w:t xml:space="preserve">   </w:t>
      </w:r>
    </w:p>
    <w:p w14:paraId="3D60840A">
      <w:pPr>
        <w:pStyle w:val="25"/>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p w14:paraId="29E05722">
      <w:pPr>
        <w:pStyle w:val="25"/>
        <w:keepNext w:val="0"/>
        <w:keepLines w:val="0"/>
        <w:pageBreakBefore w:val="0"/>
        <w:kinsoku/>
        <w:wordWrap/>
        <w:overflowPunct/>
        <w:topLinePunct w:val="0"/>
        <w:autoSpaceDE/>
        <w:autoSpaceDN/>
        <w:bidi w:val="0"/>
        <w:adjustRightInd/>
        <w:spacing w:line="400" w:lineRule="exact"/>
        <w:ind w:left="0" w:leftChars="0" w:right="0" w:firstLine="413" w:firstLineChars="196"/>
        <w:textAlignment w:val="auto"/>
        <w:outlineLvl w:val="9"/>
        <w:rPr>
          <w:rFonts w:hint="eastAsia" w:ascii="宋体" w:hAnsi="宋体" w:eastAsia="宋体" w:cs="宋体"/>
          <w:b/>
          <w:color w:val="auto"/>
          <w:sz w:val="21"/>
          <w:szCs w:val="21"/>
          <w:highlight w:val="none"/>
        </w:rPr>
      </w:pPr>
      <w:bookmarkStart w:id="701" w:name="_Toc4019"/>
      <w:bookmarkStart w:id="702" w:name="_Toc13995"/>
      <w:r>
        <w:rPr>
          <w:rFonts w:hint="eastAsia" w:ascii="宋体" w:hAnsi="宋体" w:eastAsia="宋体" w:cs="宋体"/>
          <w:b/>
          <w:color w:val="auto"/>
          <w:sz w:val="21"/>
          <w:szCs w:val="21"/>
          <w:highlight w:val="none"/>
        </w:rPr>
        <w:t>五、与投诉事项相关的投诉请求：</w:t>
      </w:r>
      <w:bookmarkEnd w:id="701"/>
      <w:bookmarkEnd w:id="702"/>
    </w:p>
    <w:p w14:paraId="308DC78B">
      <w:pPr>
        <w:pStyle w:val="25"/>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bCs/>
          <w:color w:val="auto"/>
          <w:sz w:val="21"/>
          <w:szCs w:val="21"/>
          <w:highlight w:val="none"/>
          <w:u w:val="single"/>
        </w:rPr>
        <w:t xml:space="preserve">                                                           </w:t>
      </w:r>
    </w:p>
    <w:p w14:paraId="21E7A074">
      <w:pPr>
        <w:pStyle w:val="25"/>
        <w:keepNext w:val="0"/>
        <w:keepLines w:val="0"/>
        <w:pageBreakBefore w:val="0"/>
        <w:kinsoku/>
        <w:wordWrap/>
        <w:overflowPunct/>
        <w:topLinePunct w:val="0"/>
        <w:autoSpaceDE/>
        <w:autoSpaceDN/>
        <w:bidi w:val="0"/>
        <w:adjustRightInd/>
        <w:spacing w:line="400" w:lineRule="exact"/>
        <w:ind w:left="0" w:leftChars="0" w:right="0" w:firstLine="308" w:firstLineChars="147"/>
        <w:textAlignment w:val="auto"/>
        <w:outlineLvl w:val="9"/>
        <w:rPr>
          <w:rFonts w:hint="eastAsia" w:ascii="宋体" w:hAnsi="宋体" w:eastAsia="宋体" w:cs="宋体"/>
          <w:color w:val="auto"/>
          <w:sz w:val="21"/>
          <w:szCs w:val="21"/>
          <w:highlight w:val="none"/>
        </w:rPr>
      </w:pPr>
    </w:p>
    <w:p w14:paraId="293CD395">
      <w:pPr>
        <w:pStyle w:val="25"/>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                                       公章：</w:t>
      </w:r>
    </w:p>
    <w:p w14:paraId="0E67B6D0">
      <w:pPr>
        <w:pStyle w:val="25"/>
        <w:keepNext w:val="0"/>
        <w:keepLines w:val="0"/>
        <w:pageBreakBefore w:val="0"/>
        <w:kinsoku/>
        <w:wordWrap/>
        <w:overflowPunct/>
        <w:topLinePunct w:val="0"/>
        <w:autoSpaceDE/>
        <w:autoSpaceDN/>
        <w:bidi w:val="0"/>
        <w:adjustRightInd/>
        <w:spacing w:line="400" w:lineRule="exact"/>
        <w:ind w:left="0" w:leftChars="0" w:right="0" w:firstLine="308" w:firstLineChars="147"/>
        <w:textAlignment w:val="auto"/>
        <w:outlineLvl w:val="9"/>
        <w:rPr>
          <w:rFonts w:hint="eastAsia" w:ascii="宋体" w:hAnsi="宋体" w:eastAsia="宋体" w:cs="宋体"/>
          <w:color w:val="auto"/>
          <w:sz w:val="21"/>
          <w:szCs w:val="21"/>
          <w:highlight w:val="none"/>
        </w:rPr>
      </w:pPr>
    </w:p>
    <w:p w14:paraId="06CBADB2">
      <w:pPr>
        <w:pStyle w:val="25"/>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5AECAAFC">
      <w:pPr>
        <w:pStyle w:val="25"/>
        <w:keepNext w:val="0"/>
        <w:keepLines w:val="0"/>
        <w:pageBreakBefore w:val="0"/>
        <w:kinsoku/>
        <w:wordWrap/>
        <w:overflowPunct/>
        <w:topLinePunct w:val="0"/>
        <w:autoSpaceDE/>
        <w:autoSpaceDN/>
        <w:bidi w:val="0"/>
        <w:adjustRightInd/>
        <w:spacing w:line="400" w:lineRule="exact"/>
        <w:ind w:left="0" w:leftChars="0" w:right="0" w:firstLine="413" w:firstLineChars="197"/>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                                                                  </w:t>
      </w:r>
    </w:p>
    <w:p w14:paraId="095770BD">
      <w:pPr>
        <w:pStyle w:val="25"/>
        <w:keepNext w:val="0"/>
        <w:keepLines w:val="0"/>
        <w:pageBreakBefore w:val="0"/>
        <w:kinsoku/>
        <w:wordWrap/>
        <w:overflowPunct/>
        <w:topLinePunct w:val="0"/>
        <w:autoSpaceDE/>
        <w:autoSpaceDN/>
        <w:bidi w:val="0"/>
        <w:adjustRightInd/>
        <w:snapToGrid w:val="0"/>
        <w:spacing w:line="400" w:lineRule="exact"/>
        <w:ind w:left="0" w:leftChars="0" w:right="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0B258681">
      <w:pPr>
        <w:pStyle w:val="25"/>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1"/>
          <w:szCs w:val="21"/>
          <w:highlight w:val="none"/>
        </w:rPr>
        <w:t>。</w:t>
      </w:r>
    </w:p>
    <w:p w14:paraId="71137C9F">
      <w:pPr>
        <w:pStyle w:val="25"/>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2CE3FBF">
      <w:pPr>
        <w:pStyle w:val="25"/>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3.投诉书应简要列明质疑事项，质疑函、质疑答复等作为附件材料提供。</w:t>
      </w:r>
    </w:p>
    <w:p w14:paraId="357EBBE6">
      <w:pPr>
        <w:pStyle w:val="25"/>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4.投诉书的投诉事项应具体、明确，并有必要的事实依据和法律依据。</w:t>
      </w:r>
    </w:p>
    <w:p w14:paraId="035F1584">
      <w:pPr>
        <w:pStyle w:val="25"/>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5.投诉书的投诉请求应与投诉事项相关。</w:t>
      </w:r>
    </w:p>
    <w:p w14:paraId="3AAE81C6">
      <w:pPr>
        <w:pStyle w:val="25"/>
        <w:keepNext w:val="0"/>
        <w:keepLines w:val="0"/>
        <w:pageBreakBefore w:val="0"/>
        <w:kinsoku/>
        <w:wordWrap/>
        <w:overflowPunct/>
        <w:topLinePunct w:val="0"/>
        <w:autoSpaceDE/>
        <w:autoSpaceDN/>
        <w:bidi w:val="0"/>
        <w:adjustRightInd/>
        <w:spacing w:line="400" w:lineRule="exact"/>
        <w:ind w:left="0" w:leftChars="0" w:right="0" w:firstLine="310" w:firstLineChars="147"/>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6.投诉人为法人或者其他组织的，投诉书应由法定代表人、主要负责人，或者其授权代表签字或者盖章，并加盖公章。</w:t>
      </w:r>
    </w:p>
    <w:sectPr>
      <w:footerReference r:id="rId16" w:type="first"/>
      <w:headerReference r:id="rId13" w:type="default"/>
      <w:footerReference r:id="rId14" w:type="default"/>
      <w:footerReference r:id="rId15" w:type="even"/>
      <w:pgSz w:w="11906" w:h="16838"/>
      <w:pgMar w:top="1440" w:right="1803" w:bottom="1440" w:left="1803" w:header="851"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E7E75">
    <w:pPr>
      <w:pStyle w:val="3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37CFD6">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B37CFD6">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2B34D">
    <w:pPr>
      <w:pStyle w:val="31"/>
      <w:jc w:val="center"/>
    </w:pPr>
    <w:r>
      <w:fldChar w:fldCharType="begin"/>
    </w:r>
    <w:r>
      <w:instrText xml:space="preserve">PAGE   \* MERGEFORMAT</w:instrText>
    </w:r>
    <w:r>
      <w:fldChar w:fldCharType="separate"/>
    </w:r>
    <w:r>
      <w:rPr>
        <w:lang w:val="zh-CN"/>
      </w:rPr>
      <w:t>1</w:t>
    </w:r>
    <w:r>
      <w:rPr>
        <w:lang w:val="zh-CN"/>
      </w:rPr>
      <w:fldChar w:fldCharType="end"/>
    </w:r>
  </w:p>
  <w:p w14:paraId="4A206639">
    <w:pPr>
      <w:pStyle w:val="31"/>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5E524">
    <w:pPr>
      <w:spacing w:line="220" w:lineRule="auto"/>
      <w:ind w:left="41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C52E7C">
                          <w:pPr>
                            <w:pStyle w:val="3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7C52E7C">
                    <w:pPr>
                      <w:pStyle w:val="3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04451">
    <w:pPr>
      <w:spacing w:line="174" w:lineRule="auto"/>
      <w:ind w:left="41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DE8E6">
                          <w:pPr>
                            <w:pStyle w:val="31"/>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D1DE8E6">
                    <w:pPr>
                      <w:pStyle w:val="31"/>
                    </w:pPr>
                    <w:r>
                      <w:fldChar w:fldCharType="begin"/>
                    </w:r>
                    <w:r>
                      <w:instrText xml:space="preserve"> PAGE  \* MERGEFORMAT </w:instrText>
                    </w:r>
                    <w:r>
                      <w:fldChar w:fldCharType="separate"/>
                    </w:r>
                    <w:r>
                      <w:t>82</w:t>
                    </w:r>
                    <w:r>
                      <w:fldChar w:fldCharType="end"/>
                    </w:r>
                  </w:p>
                </w:txbxContent>
              </v:textbox>
            </v:shape>
          </w:pict>
        </mc:Fallback>
      </mc:AlternateContent>
    </w:r>
    <w:r>
      <w:rPr>
        <w:rFonts w:ascii="Times New Roman" w:hAnsi="Times New Roman" w:eastAsia="Times New Roman" w:cs="Times New Roman"/>
        <w:spacing w:val="-2"/>
        <w:sz w:val="18"/>
        <w:szCs w:val="18"/>
      </w:rPr>
      <w:t>34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342CC">
    <w:pPr>
      <w:spacing w:line="220" w:lineRule="auto"/>
      <w:ind w:left="462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D01894">
                          <w:pPr>
                            <w:pStyle w:val="31"/>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DD01894">
                    <w:pPr>
                      <w:pStyle w:val="31"/>
                    </w:pPr>
                    <w:r>
                      <w:fldChar w:fldCharType="begin"/>
                    </w:r>
                    <w:r>
                      <w:instrText xml:space="preserve"> PAGE  \* MERGEFORMAT </w:instrText>
                    </w:r>
                    <w:r>
                      <w:fldChar w:fldCharType="separate"/>
                    </w:r>
                    <w:r>
                      <w:t>85</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5A60A">
                          <w:pPr>
                            <w:pStyle w:val="31"/>
                            <w:rPr>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65A60A">
                    <w:pPr>
                      <w:pStyle w:val="31"/>
                      <w:rPr>
                        <w:sz w:val="21"/>
                        <w:szCs w:val="21"/>
                      </w:rPr>
                    </w:pPr>
                  </w:p>
                </w:txbxContent>
              </v:textbox>
            </v:shape>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6F869">
    <w:pPr>
      <w:pStyle w:val="3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184FD8">
                          <w:pPr>
                            <w:pStyle w:val="31"/>
                          </w:pPr>
                          <w:r>
                            <w:fldChar w:fldCharType="begin"/>
                          </w:r>
                          <w:r>
                            <w:instrText xml:space="preserve"> PAGE  \* MERGEFORMAT </w:instrText>
                          </w:r>
                          <w:r>
                            <w:fldChar w:fldCharType="separate"/>
                          </w:r>
                          <w:r>
                            <w:t>196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3184FD8">
                    <w:pPr>
                      <w:pStyle w:val="31"/>
                    </w:pPr>
                    <w:r>
                      <w:fldChar w:fldCharType="begin"/>
                    </w:r>
                    <w:r>
                      <w:instrText xml:space="preserve"> PAGE  \* MERGEFORMAT </w:instrText>
                    </w:r>
                    <w:r>
                      <w:fldChar w:fldCharType="separate"/>
                    </w:r>
                    <w:r>
                      <w:t>196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139D7">
    <w:pPr>
      <w:pStyle w:val="3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AC269B">
                          <w:pPr>
                            <w:pStyle w:val="31"/>
                          </w:pPr>
                          <w:r>
                            <w:fldChar w:fldCharType="begin"/>
                          </w:r>
                          <w:r>
                            <w:instrText xml:space="preserve"> PAGE  \* MERGEFORMAT </w:instrText>
                          </w:r>
                          <w:r>
                            <w:fldChar w:fldCharType="separate"/>
                          </w:r>
                          <w:r>
                            <w:t>215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3AC269B">
                    <w:pPr>
                      <w:pStyle w:val="31"/>
                    </w:pPr>
                    <w:r>
                      <w:fldChar w:fldCharType="begin"/>
                    </w:r>
                    <w:r>
                      <w:instrText xml:space="preserve"> PAGE  \* MERGEFORMAT </w:instrText>
                    </w:r>
                    <w:r>
                      <w:fldChar w:fldCharType="separate"/>
                    </w:r>
                    <w:r>
                      <w:t>215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13C6A">
    <w:pPr>
      <w:pStyle w:val="31"/>
      <w:framePr w:wrap="around" w:vAnchor="text" w:hAnchor="margin" w:xAlign="center" w:y="1"/>
      <w:rPr>
        <w:rStyle w:val="53"/>
      </w:rPr>
    </w:pPr>
    <w:r>
      <w:fldChar w:fldCharType="begin"/>
    </w:r>
    <w:r>
      <w:rPr>
        <w:rStyle w:val="53"/>
      </w:rPr>
      <w:instrText xml:space="preserve">PAGE  </w:instrText>
    </w:r>
    <w:r>
      <w:fldChar w:fldCharType="end"/>
    </w:r>
  </w:p>
  <w:p w14:paraId="1175745D">
    <w:pPr>
      <w:pStyle w:val="3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6ABD1">
    <w:pPr>
      <w:pStyle w:val="31"/>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5A699">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C7D06">
    <w:pPr>
      <w:pStyle w:val="18"/>
      <w:pBdr>
        <w:bottom w:val="none" w:color="auto" w:sz="0" w:space="0"/>
      </w:pBdr>
      <w:spacing w:line="46"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BB3A1">
    <w:pPr>
      <w:pStyle w:val="18"/>
      <w:spacing w:line="46"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9E803">
    <w:pPr>
      <w:spacing w:before="27" w:line="219" w:lineRule="auto"/>
      <w:ind w:left="35"/>
      <w:rPr>
        <w:rFonts w:ascii="宋体" w:hAnsi="宋体" w:eastAsia="宋体" w:cs="宋体"/>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17D41">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E616E6"/>
    <w:multiLevelType w:val="singleLevel"/>
    <w:tmpl w:val="D6E616E6"/>
    <w:lvl w:ilvl="0" w:tentative="0">
      <w:start w:val="1"/>
      <w:numFmt w:val="decimal"/>
      <w:suff w:val="nothing"/>
      <w:lvlText w:val="（%1）"/>
      <w:lvlJc w:val="left"/>
    </w:lvl>
  </w:abstractNum>
  <w:abstractNum w:abstractNumId="1">
    <w:nsid w:val="5FABD14B"/>
    <w:multiLevelType w:val="singleLevel"/>
    <w:tmpl w:val="5FABD14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5MGE5Zjc1ODk1ZWM0MWZlM2FkMTFlZWU2NjkzN2QifQ=="/>
    <w:docVar w:name="KSO_WPS_MARK_KEY" w:val="679b1800-d7a1-4fa0-9d74-876ba14534a9"/>
  </w:docVars>
  <w:rsids>
    <w:rsidRoot w:val="00F9008B"/>
    <w:rsid w:val="0000010C"/>
    <w:rsid w:val="000004FE"/>
    <w:rsid w:val="00000FE0"/>
    <w:rsid w:val="00001068"/>
    <w:rsid w:val="0000114A"/>
    <w:rsid w:val="00001731"/>
    <w:rsid w:val="00001C2D"/>
    <w:rsid w:val="00001C55"/>
    <w:rsid w:val="00001CA8"/>
    <w:rsid w:val="00001ECD"/>
    <w:rsid w:val="00001FAE"/>
    <w:rsid w:val="00002291"/>
    <w:rsid w:val="00002DBF"/>
    <w:rsid w:val="00002EC0"/>
    <w:rsid w:val="00003224"/>
    <w:rsid w:val="000033F5"/>
    <w:rsid w:val="0000358C"/>
    <w:rsid w:val="0000361D"/>
    <w:rsid w:val="00003BEF"/>
    <w:rsid w:val="00004130"/>
    <w:rsid w:val="0000431F"/>
    <w:rsid w:val="00004634"/>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2705"/>
    <w:rsid w:val="00013446"/>
    <w:rsid w:val="00013509"/>
    <w:rsid w:val="000135BC"/>
    <w:rsid w:val="000135DC"/>
    <w:rsid w:val="00013654"/>
    <w:rsid w:val="000136D6"/>
    <w:rsid w:val="00014085"/>
    <w:rsid w:val="00014267"/>
    <w:rsid w:val="00014D89"/>
    <w:rsid w:val="00014DD9"/>
    <w:rsid w:val="00014EE0"/>
    <w:rsid w:val="000151E4"/>
    <w:rsid w:val="00015577"/>
    <w:rsid w:val="000156E4"/>
    <w:rsid w:val="000159A7"/>
    <w:rsid w:val="00015FB8"/>
    <w:rsid w:val="0001609F"/>
    <w:rsid w:val="0001635B"/>
    <w:rsid w:val="00016549"/>
    <w:rsid w:val="00016814"/>
    <w:rsid w:val="00016BF7"/>
    <w:rsid w:val="0001720C"/>
    <w:rsid w:val="0001767E"/>
    <w:rsid w:val="0001776D"/>
    <w:rsid w:val="00017F31"/>
    <w:rsid w:val="00020607"/>
    <w:rsid w:val="0002103A"/>
    <w:rsid w:val="000217AA"/>
    <w:rsid w:val="000217E4"/>
    <w:rsid w:val="00021852"/>
    <w:rsid w:val="00021A12"/>
    <w:rsid w:val="000223BF"/>
    <w:rsid w:val="00022622"/>
    <w:rsid w:val="000226E5"/>
    <w:rsid w:val="00023363"/>
    <w:rsid w:val="000235F3"/>
    <w:rsid w:val="00023644"/>
    <w:rsid w:val="00023712"/>
    <w:rsid w:val="00024E3C"/>
    <w:rsid w:val="00024EB0"/>
    <w:rsid w:val="00025604"/>
    <w:rsid w:val="00025DAF"/>
    <w:rsid w:val="0002646A"/>
    <w:rsid w:val="0002651D"/>
    <w:rsid w:val="00026CFD"/>
    <w:rsid w:val="00027C8B"/>
    <w:rsid w:val="00027CD9"/>
    <w:rsid w:val="00030242"/>
    <w:rsid w:val="00030B06"/>
    <w:rsid w:val="0003183A"/>
    <w:rsid w:val="00031CDC"/>
    <w:rsid w:val="00032461"/>
    <w:rsid w:val="0003263B"/>
    <w:rsid w:val="0003282C"/>
    <w:rsid w:val="00032F6D"/>
    <w:rsid w:val="0003304A"/>
    <w:rsid w:val="0003310E"/>
    <w:rsid w:val="0003317E"/>
    <w:rsid w:val="00033413"/>
    <w:rsid w:val="000337F3"/>
    <w:rsid w:val="00033DDB"/>
    <w:rsid w:val="00034B24"/>
    <w:rsid w:val="00034C27"/>
    <w:rsid w:val="00034E2A"/>
    <w:rsid w:val="0003577F"/>
    <w:rsid w:val="00035B29"/>
    <w:rsid w:val="00036466"/>
    <w:rsid w:val="0003675E"/>
    <w:rsid w:val="00037F87"/>
    <w:rsid w:val="00037FA2"/>
    <w:rsid w:val="000400D0"/>
    <w:rsid w:val="00040343"/>
    <w:rsid w:val="000425AC"/>
    <w:rsid w:val="000427B8"/>
    <w:rsid w:val="00042F4A"/>
    <w:rsid w:val="00043AC8"/>
    <w:rsid w:val="00043BE5"/>
    <w:rsid w:val="00044003"/>
    <w:rsid w:val="00044527"/>
    <w:rsid w:val="000447E8"/>
    <w:rsid w:val="00044897"/>
    <w:rsid w:val="00044ACF"/>
    <w:rsid w:val="000454F4"/>
    <w:rsid w:val="00045D1E"/>
    <w:rsid w:val="00045E69"/>
    <w:rsid w:val="00045E97"/>
    <w:rsid w:val="00045EF4"/>
    <w:rsid w:val="00046547"/>
    <w:rsid w:val="000466D7"/>
    <w:rsid w:val="00046753"/>
    <w:rsid w:val="00047254"/>
    <w:rsid w:val="00047E41"/>
    <w:rsid w:val="0005022B"/>
    <w:rsid w:val="00050450"/>
    <w:rsid w:val="00050771"/>
    <w:rsid w:val="000509BA"/>
    <w:rsid w:val="000513F3"/>
    <w:rsid w:val="00052287"/>
    <w:rsid w:val="000522E0"/>
    <w:rsid w:val="000532F4"/>
    <w:rsid w:val="000535A9"/>
    <w:rsid w:val="000536AE"/>
    <w:rsid w:val="00054C2F"/>
    <w:rsid w:val="00054CD5"/>
    <w:rsid w:val="00054D03"/>
    <w:rsid w:val="000550AC"/>
    <w:rsid w:val="0005584D"/>
    <w:rsid w:val="00055CC3"/>
    <w:rsid w:val="00055CEE"/>
    <w:rsid w:val="00055FB7"/>
    <w:rsid w:val="000566FA"/>
    <w:rsid w:val="00056A2B"/>
    <w:rsid w:val="00056DA8"/>
    <w:rsid w:val="00056E37"/>
    <w:rsid w:val="00056EE2"/>
    <w:rsid w:val="00056FE2"/>
    <w:rsid w:val="000570FB"/>
    <w:rsid w:val="000575B8"/>
    <w:rsid w:val="00060131"/>
    <w:rsid w:val="0006026B"/>
    <w:rsid w:val="00060293"/>
    <w:rsid w:val="00061341"/>
    <w:rsid w:val="00061AA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315D"/>
    <w:rsid w:val="00073549"/>
    <w:rsid w:val="0007483E"/>
    <w:rsid w:val="000751DB"/>
    <w:rsid w:val="0007542D"/>
    <w:rsid w:val="0007578F"/>
    <w:rsid w:val="00075E43"/>
    <w:rsid w:val="00077706"/>
    <w:rsid w:val="00077878"/>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3BB"/>
    <w:rsid w:val="0008452D"/>
    <w:rsid w:val="0008467B"/>
    <w:rsid w:val="000850FA"/>
    <w:rsid w:val="00085758"/>
    <w:rsid w:val="000857A6"/>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C5A"/>
    <w:rsid w:val="00096C5D"/>
    <w:rsid w:val="00096F3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6CD"/>
    <w:rsid w:val="000A490E"/>
    <w:rsid w:val="000A529E"/>
    <w:rsid w:val="000A5B49"/>
    <w:rsid w:val="000A5FE5"/>
    <w:rsid w:val="000A6684"/>
    <w:rsid w:val="000A7194"/>
    <w:rsid w:val="000A7218"/>
    <w:rsid w:val="000A740A"/>
    <w:rsid w:val="000A7446"/>
    <w:rsid w:val="000A7E7F"/>
    <w:rsid w:val="000A7ECD"/>
    <w:rsid w:val="000B04DD"/>
    <w:rsid w:val="000B0F01"/>
    <w:rsid w:val="000B1346"/>
    <w:rsid w:val="000B1914"/>
    <w:rsid w:val="000B19DC"/>
    <w:rsid w:val="000B1B44"/>
    <w:rsid w:val="000B1CA2"/>
    <w:rsid w:val="000B202E"/>
    <w:rsid w:val="000B2293"/>
    <w:rsid w:val="000B24A4"/>
    <w:rsid w:val="000B255C"/>
    <w:rsid w:val="000B395E"/>
    <w:rsid w:val="000B39C3"/>
    <w:rsid w:val="000B3A00"/>
    <w:rsid w:val="000B4840"/>
    <w:rsid w:val="000B4D79"/>
    <w:rsid w:val="000B5627"/>
    <w:rsid w:val="000B5671"/>
    <w:rsid w:val="000B5D9B"/>
    <w:rsid w:val="000B6BF0"/>
    <w:rsid w:val="000B6CE8"/>
    <w:rsid w:val="000B7DAF"/>
    <w:rsid w:val="000C006F"/>
    <w:rsid w:val="000C071C"/>
    <w:rsid w:val="000C0931"/>
    <w:rsid w:val="000C0BB4"/>
    <w:rsid w:val="000C0BEE"/>
    <w:rsid w:val="000C11BE"/>
    <w:rsid w:val="000C1CB9"/>
    <w:rsid w:val="000C1D9A"/>
    <w:rsid w:val="000C2159"/>
    <w:rsid w:val="000C21BB"/>
    <w:rsid w:val="000C289B"/>
    <w:rsid w:val="000C2EB4"/>
    <w:rsid w:val="000C352F"/>
    <w:rsid w:val="000C3F01"/>
    <w:rsid w:val="000C410D"/>
    <w:rsid w:val="000C420D"/>
    <w:rsid w:val="000C4773"/>
    <w:rsid w:val="000C4944"/>
    <w:rsid w:val="000C4E24"/>
    <w:rsid w:val="000C5851"/>
    <w:rsid w:val="000C5C4A"/>
    <w:rsid w:val="000C5F01"/>
    <w:rsid w:val="000C63C4"/>
    <w:rsid w:val="000C66C1"/>
    <w:rsid w:val="000C6F0B"/>
    <w:rsid w:val="000C6F32"/>
    <w:rsid w:val="000C6FEF"/>
    <w:rsid w:val="000C7324"/>
    <w:rsid w:val="000C778C"/>
    <w:rsid w:val="000C7833"/>
    <w:rsid w:val="000C7E1B"/>
    <w:rsid w:val="000C7E73"/>
    <w:rsid w:val="000D001B"/>
    <w:rsid w:val="000D0A45"/>
    <w:rsid w:val="000D136E"/>
    <w:rsid w:val="000D14AC"/>
    <w:rsid w:val="000D15BA"/>
    <w:rsid w:val="000D15BE"/>
    <w:rsid w:val="000D252B"/>
    <w:rsid w:val="000D2BCC"/>
    <w:rsid w:val="000D2C9B"/>
    <w:rsid w:val="000D2CCB"/>
    <w:rsid w:val="000D35FD"/>
    <w:rsid w:val="000D3D2D"/>
    <w:rsid w:val="000D3D99"/>
    <w:rsid w:val="000D451B"/>
    <w:rsid w:val="000D4653"/>
    <w:rsid w:val="000D4696"/>
    <w:rsid w:val="000D4817"/>
    <w:rsid w:val="000D4D0C"/>
    <w:rsid w:val="000D4E79"/>
    <w:rsid w:val="000D4FB9"/>
    <w:rsid w:val="000D54B4"/>
    <w:rsid w:val="000D584B"/>
    <w:rsid w:val="000D5EE9"/>
    <w:rsid w:val="000D5F55"/>
    <w:rsid w:val="000D6372"/>
    <w:rsid w:val="000D6979"/>
    <w:rsid w:val="000D6CE7"/>
    <w:rsid w:val="000D6E38"/>
    <w:rsid w:val="000D6E63"/>
    <w:rsid w:val="000D711C"/>
    <w:rsid w:val="000D7B6E"/>
    <w:rsid w:val="000E0644"/>
    <w:rsid w:val="000E076D"/>
    <w:rsid w:val="000E087C"/>
    <w:rsid w:val="000E187C"/>
    <w:rsid w:val="000E1B28"/>
    <w:rsid w:val="000E1E8D"/>
    <w:rsid w:val="000E1EBC"/>
    <w:rsid w:val="000E2173"/>
    <w:rsid w:val="000E220B"/>
    <w:rsid w:val="000E2266"/>
    <w:rsid w:val="000E2A50"/>
    <w:rsid w:val="000E30F2"/>
    <w:rsid w:val="000E316B"/>
    <w:rsid w:val="000E372D"/>
    <w:rsid w:val="000E3D08"/>
    <w:rsid w:val="000E4728"/>
    <w:rsid w:val="000E4D1F"/>
    <w:rsid w:val="000E5658"/>
    <w:rsid w:val="000E5698"/>
    <w:rsid w:val="000E5723"/>
    <w:rsid w:val="000E581B"/>
    <w:rsid w:val="000E64B2"/>
    <w:rsid w:val="000E65D2"/>
    <w:rsid w:val="000E6919"/>
    <w:rsid w:val="000E6B1B"/>
    <w:rsid w:val="000E6F0C"/>
    <w:rsid w:val="000E732D"/>
    <w:rsid w:val="000F07ED"/>
    <w:rsid w:val="000F0CF2"/>
    <w:rsid w:val="000F1401"/>
    <w:rsid w:val="000F1A32"/>
    <w:rsid w:val="000F1CC2"/>
    <w:rsid w:val="000F1D15"/>
    <w:rsid w:val="000F270A"/>
    <w:rsid w:val="000F2FA3"/>
    <w:rsid w:val="000F34C8"/>
    <w:rsid w:val="000F38BC"/>
    <w:rsid w:val="000F3E2A"/>
    <w:rsid w:val="000F4D26"/>
    <w:rsid w:val="000F5639"/>
    <w:rsid w:val="000F58A4"/>
    <w:rsid w:val="000F5F99"/>
    <w:rsid w:val="000F6271"/>
    <w:rsid w:val="000F6833"/>
    <w:rsid w:val="000F6A24"/>
    <w:rsid w:val="000F7502"/>
    <w:rsid w:val="000F7616"/>
    <w:rsid w:val="000F7DE9"/>
    <w:rsid w:val="000F7F7A"/>
    <w:rsid w:val="001002F4"/>
    <w:rsid w:val="0010050C"/>
    <w:rsid w:val="001006CB"/>
    <w:rsid w:val="001011FC"/>
    <w:rsid w:val="0010165F"/>
    <w:rsid w:val="00101E7C"/>
    <w:rsid w:val="001023DC"/>
    <w:rsid w:val="00102572"/>
    <w:rsid w:val="00102946"/>
    <w:rsid w:val="00102FBF"/>
    <w:rsid w:val="0010333D"/>
    <w:rsid w:val="0010372A"/>
    <w:rsid w:val="00103F41"/>
    <w:rsid w:val="00104662"/>
    <w:rsid w:val="00104F34"/>
    <w:rsid w:val="0010519C"/>
    <w:rsid w:val="001053C5"/>
    <w:rsid w:val="001055AD"/>
    <w:rsid w:val="00105C14"/>
    <w:rsid w:val="001065A3"/>
    <w:rsid w:val="00106610"/>
    <w:rsid w:val="00106831"/>
    <w:rsid w:val="0010683E"/>
    <w:rsid w:val="0010691D"/>
    <w:rsid w:val="00106B33"/>
    <w:rsid w:val="00106E69"/>
    <w:rsid w:val="0011068D"/>
    <w:rsid w:val="00110AC5"/>
    <w:rsid w:val="00110F0B"/>
    <w:rsid w:val="0011108B"/>
    <w:rsid w:val="00111136"/>
    <w:rsid w:val="00111164"/>
    <w:rsid w:val="00111761"/>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B7D"/>
    <w:rsid w:val="00117EFC"/>
    <w:rsid w:val="001205A8"/>
    <w:rsid w:val="00121766"/>
    <w:rsid w:val="0012291C"/>
    <w:rsid w:val="00122A64"/>
    <w:rsid w:val="00123694"/>
    <w:rsid w:val="0012388A"/>
    <w:rsid w:val="0012388C"/>
    <w:rsid w:val="00123AFA"/>
    <w:rsid w:val="00123C8C"/>
    <w:rsid w:val="00123E8B"/>
    <w:rsid w:val="00124405"/>
    <w:rsid w:val="00124B43"/>
    <w:rsid w:val="00124DF8"/>
    <w:rsid w:val="001253EA"/>
    <w:rsid w:val="00125B99"/>
    <w:rsid w:val="00126160"/>
    <w:rsid w:val="001264EE"/>
    <w:rsid w:val="00126AEC"/>
    <w:rsid w:val="00126DB5"/>
    <w:rsid w:val="0012711C"/>
    <w:rsid w:val="00127178"/>
    <w:rsid w:val="00127F09"/>
    <w:rsid w:val="0013002A"/>
    <w:rsid w:val="0013085D"/>
    <w:rsid w:val="0013089C"/>
    <w:rsid w:val="00130A2D"/>
    <w:rsid w:val="00130F54"/>
    <w:rsid w:val="00131888"/>
    <w:rsid w:val="00131F17"/>
    <w:rsid w:val="0013212F"/>
    <w:rsid w:val="00132284"/>
    <w:rsid w:val="001323F9"/>
    <w:rsid w:val="0013251F"/>
    <w:rsid w:val="00132B8C"/>
    <w:rsid w:val="00133088"/>
    <w:rsid w:val="00133346"/>
    <w:rsid w:val="001335B1"/>
    <w:rsid w:val="00133B4E"/>
    <w:rsid w:val="0013410F"/>
    <w:rsid w:val="001346AF"/>
    <w:rsid w:val="00134990"/>
    <w:rsid w:val="001354D1"/>
    <w:rsid w:val="00135840"/>
    <w:rsid w:val="00135A0A"/>
    <w:rsid w:val="00135BB9"/>
    <w:rsid w:val="0013621D"/>
    <w:rsid w:val="00136354"/>
    <w:rsid w:val="00136674"/>
    <w:rsid w:val="00136B0E"/>
    <w:rsid w:val="00136C3B"/>
    <w:rsid w:val="001376AB"/>
    <w:rsid w:val="0013777C"/>
    <w:rsid w:val="00137D5F"/>
    <w:rsid w:val="00140082"/>
    <w:rsid w:val="001400C5"/>
    <w:rsid w:val="00140175"/>
    <w:rsid w:val="00140757"/>
    <w:rsid w:val="00140D07"/>
    <w:rsid w:val="00141A3A"/>
    <w:rsid w:val="00141FD4"/>
    <w:rsid w:val="001423FA"/>
    <w:rsid w:val="001427B5"/>
    <w:rsid w:val="001428CF"/>
    <w:rsid w:val="00142D0C"/>
    <w:rsid w:val="00142E3C"/>
    <w:rsid w:val="00143387"/>
    <w:rsid w:val="001439BA"/>
    <w:rsid w:val="00144013"/>
    <w:rsid w:val="001455C3"/>
    <w:rsid w:val="00145A17"/>
    <w:rsid w:val="00145BBE"/>
    <w:rsid w:val="001460B5"/>
    <w:rsid w:val="0014641F"/>
    <w:rsid w:val="001464A8"/>
    <w:rsid w:val="001467BB"/>
    <w:rsid w:val="00146CA8"/>
    <w:rsid w:val="00147884"/>
    <w:rsid w:val="00150827"/>
    <w:rsid w:val="00150B0D"/>
    <w:rsid w:val="00150E10"/>
    <w:rsid w:val="0015120D"/>
    <w:rsid w:val="00151A32"/>
    <w:rsid w:val="00151B2C"/>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592"/>
    <w:rsid w:val="00156A6C"/>
    <w:rsid w:val="00156B10"/>
    <w:rsid w:val="001576FE"/>
    <w:rsid w:val="00157823"/>
    <w:rsid w:val="0015790D"/>
    <w:rsid w:val="00157C5E"/>
    <w:rsid w:val="00157DD3"/>
    <w:rsid w:val="0016015A"/>
    <w:rsid w:val="0016020E"/>
    <w:rsid w:val="00160503"/>
    <w:rsid w:val="00160BF6"/>
    <w:rsid w:val="00160D7C"/>
    <w:rsid w:val="00160E30"/>
    <w:rsid w:val="0016106D"/>
    <w:rsid w:val="001612E1"/>
    <w:rsid w:val="001614DB"/>
    <w:rsid w:val="0016194E"/>
    <w:rsid w:val="001619DA"/>
    <w:rsid w:val="0016236C"/>
    <w:rsid w:val="00162625"/>
    <w:rsid w:val="001630A8"/>
    <w:rsid w:val="00163233"/>
    <w:rsid w:val="00163826"/>
    <w:rsid w:val="00163943"/>
    <w:rsid w:val="00163BA1"/>
    <w:rsid w:val="00163F22"/>
    <w:rsid w:val="0016417B"/>
    <w:rsid w:val="001643A6"/>
    <w:rsid w:val="0016470E"/>
    <w:rsid w:val="001649D3"/>
    <w:rsid w:val="00164C26"/>
    <w:rsid w:val="00164E0A"/>
    <w:rsid w:val="001652D7"/>
    <w:rsid w:val="00165A5F"/>
    <w:rsid w:val="00166223"/>
    <w:rsid w:val="0016793E"/>
    <w:rsid w:val="00167D4D"/>
    <w:rsid w:val="0017054C"/>
    <w:rsid w:val="00170635"/>
    <w:rsid w:val="0017070D"/>
    <w:rsid w:val="00170837"/>
    <w:rsid w:val="00171035"/>
    <w:rsid w:val="001713B7"/>
    <w:rsid w:val="00171ADB"/>
    <w:rsid w:val="00171E2C"/>
    <w:rsid w:val="00172029"/>
    <w:rsid w:val="001733A4"/>
    <w:rsid w:val="00173AB9"/>
    <w:rsid w:val="00173EED"/>
    <w:rsid w:val="00174368"/>
    <w:rsid w:val="001744EA"/>
    <w:rsid w:val="00174731"/>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178"/>
    <w:rsid w:val="0018119E"/>
    <w:rsid w:val="0018152C"/>
    <w:rsid w:val="00181DBA"/>
    <w:rsid w:val="00181EEF"/>
    <w:rsid w:val="00181F3E"/>
    <w:rsid w:val="00182FE0"/>
    <w:rsid w:val="00183911"/>
    <w:rsid w:val="00184418"/>
    <w:rsid w:val="001845FB"/>
    <w:rsid w:val="001857FB"/>
    <w:rsid w:val="00185DA6"/>
    <w:rsid w:val="00185F64"/>
    <w:rsid w:val="00186096"/>
    <w:rsid w:val="001862FE"/>
    <w:rsid w:val="001864AC"/>
    <w:rsid w:val="00186BF0"/>
    <w:rsid w:val="00187317"/>
    <w:rsid w:val="0018772E"/>
    <w:rsid w:val="00187A94"/>
    <w:rsid w:val="0019029E"/>
    <w:rsid w:val="00190804"/>
    <w:rsid w:val="0019088F"/>
    <w:rsid w:val="00190C51"/>
    <w:rsid w:val="00192F00"/>
    <w:rsid w:val="00193ACC"/>
    <w:rsid w:val="00193BFE"/>
    <w:rsid w:val="00194B5A"/>
    <w:rsid w:val="00195322"/>
    <w:rsid w:val="0019560E"/>
    <w:rsid w:val="001958E3"/>
    <w:rsid w:val="00195FFA"/>
    <w:rsid w:val="0019601B"/>
    <w:rsid w:val="00196048"/>
    <w:rsid w:val="00196A82"/>
    <w:rsid w:val="0019769B"/>
    <w:rsid w:val="001979F9"/>
    <w:rsid w:val="00197FFE"/>
    <w:rsid w:val="001A0CA7"/>
    <w:rsid w:val="001A0D25"/>
    <w:rsid w:val="001A0E14"/>
    <w:rsid w:val="001A1570"/>
    <w:rsid w:val="001A1917"/>
    <w:rsid w:val="001A1C64"/>
    <w:rsid w:val="001A1DFB"/>
    <w:rsid w:val="001A1E7F"/>
    <w:rsid w:val="001A2918"/>
    <w:rsid w:val="001A2D02"/>
    <w:rsid w:val="001A3076"/>
    <w:rsid w:val="001A3163"/>
    <w:rsid w:val="001A31A5"/>
    <w:rsid w:val="001A389C"/>
    <w:rsid w:val="001A3B75"/>
    <w:rsid w:val="001A42A3"/>
    <w:rsid w:val="001A46FB"/>
    <w:rsid w:val="001A4EC9"/>
    <w:rsid w:val="001A5944"/>
    <w:rsid w:val="001A5FB1"/>
    <w:rsid w:val="001A618F"/>
    <w:rsid w:val="001A698A"/>
    <w:rsid w:val="001A6CCC"/>
    <w:rsid w:val="001A6E3B"/>
    <w:rsid w:val="001A70C8"/>
    <w:rsid w:val="001A71C9"/>
    <w:rsid w:val="001A7360"/>
    <w:rsid w:val="001A7429"/>
    <w:rsid w:val="001A760C"/>
    <w:rsid w:val="001A76F0"/>
    <w:rsid w:val="001A7977"/>
    <w:rsid w:val="001A799B"/>
    <w:rsid w:val="001A7AC7"/>
    <w:rsid w:val="001A7C38"/>
    <w:rsid w:val="001B02F8"/>
    <w:rsid w:val="001B2104"/>
    <w:rsid w:val="001B2279"/>
    <w:rsid w:val="001B2729"/>
    <w:rsid w:val="001B2866"/>
    <w:rsid w:val="001B2881"/>
    <w:rsid w:val="001B2B73"/>
    <w:rsid w:val="001B3675"/>
    <w:rsid w:val="001B37C8"/>
    <w:rsid w:val="001B48BA"/>
    <w:rsid w:val="001B4B2C"/>
    <w:rsid w:val="001B4F10"/>
    <w:rsid w:val="001B5154"/>
    <w:rsid w:val="001B5AB6"/>
    <w:rsid w:val="001B6E30"/>
    <w:rsid w:val="001B7C83"/>
    <w:rsid w:val="001B7F9E"/>
    <w:rsid w:val="001C0206"/>
    <w:rsid w:val="001C0246"/>
    <w:rsid w:val="001C04D4"/>
    <w:rsid w:val="001C0B34"/>
    <w:rsid w:val="001C12A3"/>
    <w:rsid w:val="001C1419"/>
    <w:rsid w:val="001C15D8"/>
    <w:rsid w:val="001C17BB"/>
    <w:rsid w:val="001C187E"/>
    <w:rsid w:val="001C1A37"/>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B5C"/>
    <w:rsid w:val="001C7155"/>
    <w:rsid w:val="001C7E48"/>
    <w:rsid w:val="001D0190"/>
    <w:rsid w:val="001D039B"/>
    <w:rsid w:val="001D0849"/>
    <w:rsid w:val="001D1258"/>
    <w:rsid w:val="001D1AB8"/>
    <w:rsid w:val="001D26F5"/>
    <w:rsid w:val="001D286F"/>
    <w:rsid w:val="001D2C94"/>
    <w:rsid w:val="001D33D9"/>
    <w:rsid w:val="001D36F6"/>
    <w:rsid w:val="001D4303"/>
    <w:rsid w:val="001D45E5"/>
    <w:rsid w:val="001D461A"/>
    <w:rsid w:val="001D4A9D"/>
    <w:rsid w:val="001D4AAD"/>
    <w:rsid w:val="001D4E16"/>
    <w:rsid w:val="001D5AFA"/>
    <w:rsid w:val="001D652D"/>
    <w:rsid w:val="001D72D9"/>
    <w:rsid w:val="001D784A"/>
    <w:rsid w:val="001E04A4"/>
    <w:rsid w:val="001E07C5"/>
    <w:rsid w:val="001E0B45"/>
    <w:rsid w:val="001E176D"/>
    <w:rsid w:val="001E1BCE"/>
    <w:rsid w:val="001E1E05"/>
    <w:rsid w:val="001E2086"/>
    <w:rsid w:val="001E339F"/>
    <w:rsid w:val="001E3629"/>
    <w:rsid w:val="001E3E7D"/>
    <w:rsid w:val="001E40F0"/>
    <w:rsid w:val="001E4172"/>
    <w:rsid w:val="001E4D83"/>
    <w:rsid w:val="001E4F08"/>
    <w:rsid w:val="001E5490"/>
    <w:rsid w:val="001E5730"/>
    <w:rsid w:val="001E5E2E"/>
    <w:rsid w:val="001E6352"/>
    <w:rsid w:val="001E700A"/>
    <w:rsid w:val="001E70AD"/>
    <w:rsid w:val="001E7237"/>
    <w:rsid w:val="001E7AF6"/>
    <w:rsid w:val="001F01B8"/>
    <w:rsid w:val="001F0FC3"/>
    <w:rsid w:val="001F1188"/>
    <w:rsid w:val="001F1899"/>
    <w:rsid w:val="001F1B8D"/>
    <w:rsid w:val="001F1C50"/>
    <w:rsid w:val="001F274F"/>
    <w:rsid w:val="001F289C"/>
    <w:rsid w:val="001F2BF9"/>
    <w:rsid w:val="001F336D"/>
    <w:rsid w:val="001F3AF2"/>
    <w:rsid w:val="001F6008"/>
    <w:rsid w:val="001F604B"/>
    <w:rsid w:val="001F641B"/>
    <w:rsid w:val="001F6D4D"/>
    <w:rsid w:val="001F7CA7"/>
    <w:rsid w:val="0020125C"/>
    <w:rsid w:val="0020130D"/>
    <w:rsid w:val="00201916"/>
    <w:rsid w:val="00201D06"/>
    <w:rsid w:val="00201E9F"/>
    <w:rsid w:val="00202F25"/>
    <w:rsid w:val="00202FA3"/>
    <w:rsid w:val="002035B3"/>
    <w:rsid w:val="00203929"/>
    <w:rsid w:val="00203CD6"/>
    <w:rsid w:val="00203D01"/>
    <w:rsid w:val="00204460"/>
    <w:rsid w:val="002051EA"/>
    <w:rsid w:val="00205CBC"/>
    <w:rsid w:val="00206259"/>
    <w:rsid w:val="002074B7"/>
    <w:rsid w:val="0020758D"/>
    <w:rsid w:val="00207C7B"/>
    <w:rsid w:val="00211470"/>
    <w:rsid w:val="00211922"/>
    <w:rsid w:val="0021213A"/>
    <w:rsid w:val="0021265F"/>
    <w:rsid w:val="00213232"/>
    <w:rsid w:val="00213817"/>
    <w:rsid w:val="00214428"/>
    <w:rsid w:val="002145EB"/>
    <w:rsid w:val="00214F82"/>
    <w:rsid w:val="00214FE7"/>
    <w:rsid w:val="00215033"/>
    <w:rsid w:val="00215834"/>
    <w:rsid w:val="00215CC2"/>
    <w:rsid w:val="00215D95"/>
    <w:rsid w:val="00215ED8"/>
    <w:rsid w:val="00215FAF"/>
    <w:rsid w:val="00217700"/>
    <w:rsid w:val="002177E2"/>
    <w:rsid w:val="0021783B"/>
    <w:rsid w:val="00217B43"/>
    <w:rsid w:val="002205F3"/>
    <w:rsid w:val="0022085B"/>
    <w:rsid w:val="00220E53"/>
    <w:rsid w:val="0022176C"/>
    <w:rsid w:val="002220BB"/>
    <w:rsid w:val="002225D1"/>
    <w:rsid w:val="002227DC"/>
    <w:rsid w:val="002230FA"/>
    <w:rsid w:val="002232B9"/>
    <w:rsid w:val="0022375F"/>
    <w:rsid w:val="00223DF2"/>
    <w:rsid w:val="002249A2"/>
    <w:rsid w:val="00224C0C"/>
    <w:rsid w:val="002256C2"/>
    <w:rsid w:val="002256D0"/>
    <w:rsid w:val="00225C8E"/>
    <w:rsid w:val="00226428"/>
    <w:rsid w:val="002265A9"/>
    <w:rsid w:val="002266CB"/>
    <w:rsid w:val="00227052"/>
    <w:rsid w:val="002272D5"/>
    <w:rsid w:val="0022738E"/>
    <w:rsid w:val="00227906"/>
    <w:rsid w:val="00227934"/>
    <w:rsid w:val="00227E21"/>
    <w:rsid w:val="0023008A"/>
    <w:rsid w:val="002304A1"/>
    <w:rsid w:val="00231D05"/>
    <w:rsid w:val="0023241A"/>
    <w:rsid w:val="002336E2"/>
    <w:rsid w:val="00233AC2"/>
    <w:rsid w:val="00233BAF"/>
    <w:rsid w:val="00233F80"/>
    <w:rsid w:val="0023423A"/>
    <w:rsid w:val="00235420"/>
    <w:rsid w:val="00235700"/>
    <w:rsid w:val="0023788D"/>
    <w:rsid w:val="00240422"/>
    <w:rsid w:val="0024065B"/>
    <w:rsid w:val="002409A6"/>
    <w:rsid w:val="00240C63"/>
    <w:rsid w:val="00240D91"/>
    <w:rsid w:val="00240EA5"/>
    <w:rsid w:val="00241132"/>
    <w:rsid w:val="00241205"/>
    <w:rsid w:val="002418C5"/>
    <w:rsid w:val="0024261D"/>
    <w:rsid w:val="00242712"/>
    <w:rsid w:val="00242DFB"/>
    <w:rsid w:val="00243807"/>
    <w:rsid w:val="002440AC"/>
    <w:rsid w:val="00244365"/>
    <w:rsid w:val="0024459A"/>
    <w:rsid w:val="002446A3"/>
    <w:rsid w:val="00244771"/>
    <w:rsid w:val="00244903"/>
    <w:rsid w:val="00244AFB"/>
    <w:rsid w:val="002453DF"/>
    <w:rsid w:val="00245A81"/>
    <w:rsid w:val="00245D60"/>
    <w:rsid w:val="002462A5"/>
    <w:rsid w:val="00246530"/>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165"/>
    <w:rsid w:val="002531EA"/>
    <w:rsid w:val="002533F5"/>
    <w:rsid w:val="00253C60"/>
    <w:rsid w:val="00253F21"/>
    <w:rsid w:val="0025429D"/>
    <w:rsid w:val="002549E9"/>
    <w:rsid w:val="00254FF6"/>
    <w:rsid w:val="00255099"/>
    <w:rsid w:val="002555C6"/>
    <w:rsid w:val="0025597E"/>
    <w:rsid w:val="00255E14"/>
    <w:rsid w:val="00255E45"/>
    <w:rsid w:val="00255FF9"/>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3EC7"/>
    <w:rsid w:val="0026491B"/>
    <w:rsid w:val="00264A36"/>
    <w:rsid w:val="00264B06"/>
    <w:rsid w:val="00264C1B"/>
    <w:rsid w:val="002657FB"/>
    <w:rsid w:val="00265D10"/>
    <w:rsid w:val="00265E2E"/>
    <w:rsid w:val="002661AB"/>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36"/>
    <w:rsid w:val="00272E48"/>
    <w:rsid w:val="00272FBF"/>
    <w:rsid w:val="00273A10"/>
    <w:rsid w:val="00273A58"/>
    <w:rsid w:val="00274C6E"/>
    <w:rsid w:val="00274CAB"/>
    <w:rsid w:val="00274E8A"/>
    <w:rsid w:val="002755A8"/>
    <w:rsid w:val="00275E2D"/>
    <w:rsid w:val="00275FCE"/>
    <w:rsid w:val="002766B8"/>
    <w:rsid w:val="0027680F"/>
    <w:rsid w:val="002777C0"/>
    <w:rsid w:val="0028076D"/>
    <w:rsid w:val="00281006"/>
    <w:rsid w:val="002815B1"/>
    <w:rsid w:val="00281893"/>
    <w:rsid w:val="00281C1F"/>
    <w:rsid w:val="00281EEA"/>
    <w:rsid w:val="00281F88"/>
    <w:rsid w:val="0028240D"/>
    <w:rsid w:val="0028288D"/>
    <w:rsid w:val="002829B7"/>
    <w:rsid w:val="00282B82"/>
    <w:rsid w:val="00282C74"/>
    <w:rsid w:val="00282E5B"/>
    <w:rsid w:val="00283995"/>
    <w:rsid w:val="00283B11"/>
    <w:rsid w:val="002841A9"/>
    <w:rsid w:val="00284313"/>
    <w:rsid w:val="00284554"/>
    <w:rsid w:val="002848AD"/>
    <w:rsid w:val="00284DE4"/>
    <w:rsid w:val="00285154"/>
    <w:rsid w:val="00285BF2"/>
    <w:rsid w:val="00285C78"/>
    <w:rsid w:val="002863CE"/>
    <w:rsid w:val="00287E20"/>
    <w:rsid w:val="0029110F"/>
    <w:rsid w:val="00291492"/>
    <w:rsid w:val="00291527"/>
    <w:rsid w:val="002916B4"/>
    <w:rsid w:val="0029199A"/>
    <w:rsid w:val="00291BBE"/>
    <w:rsid w:val="00291FEB"/>
    <w:rsid w:val="00293146"/>
    <w:rsid w:val="0029361E"/>
    <w:rsid w:val="00293D68"/>
    <w:rsid w:val="0029408A"/>
    <w:rsid w:val="00294352"/>
    <w:rsid w:val="002944A0"/>
    <w:rsid w:val="002946E4"/>
    <w:rsid w:val="0029495C"/>
    <w:rsid w:val="002957D9"/>
    <w:rsid w:val="00295B52"/>
    <w:rsid w:val="00296024"/>
    <w:rsid w:val="00296293"/>
    <w:rsid w:val="002969C7"/>
    <w:rsid w:val="00296AF7"/>
    <w:rsid w:val="00297021"/>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E69"/>
    <w:rsid w:val="002A44F9"/>
    <w:rsid w:val="002A4946"/>
    <w:rsid w:val="002A49EF"/>
    <w:rsid w:val="002A4B8B"/>
    <w:rsid w:val="002A5107"/>
    <w:rsid w:val="002A535E"/>
    <w:rsid w:val="002A5DBD"/>
    <w:rsid w:val="002A6406"/>
    <w:rsid w:val="002A6432"/>
    <w:rsid w:val="002A6CF0"/>
    <w:rsid w:val="002A6FFC"/>
    <w:rsid w:val="002A7010"/>
    <w:rsid w:val="002A70BA"/>
    <w:rsid w:val="002A7A57"/>
    <w:rsid w:val="002A7BB2"/>
    <w:rsid w:val="002A7CC1"/>
    <w:rsid w:val="002A7DCB"/>
    <w:rsid w:val="002B0685"/>
    <w:rsid w:val="002B0B53"/>
    <w:rsid w:val="002B1617"/>
    <w:rsid w:val="002B1A90"/>
    <w:rsid w:val="002B1D11"/>
    <w:rsid w:val="002B273B"/>
    <w:rsid w:val="002B29AA"/>
    <w:rsid w:val="002B2A7E"/>
    <w:rsid w:val="002B2F1B"/>
    <w:rsid w:val="002B3332"/>
    <w:rsid w:val="002B34C7"/>
    <w:rsid w:val="002B3F25"/>
    <w:rsid w:val="002B4BC0"/>
    <w:rsid w:val="002B5AFB"/>
    <w:rsid w:val="002B5E9E"/>
    <w:rsid w:val="002B6320"/>
    <w:rsid w:val="002B66AC"/>
    <w:rsid w:val="002B6852"/>
    <w:rsid w:val="002B74EF"/>
    <w:rsid w:val="002B77E1"/>
    <w:rsid w:val="002C0656"/>
    <w:rsid w:val="002C0714"/>
    <w:rsid w:val="002C0A96"/>
    <w:rsid w:val="002C13C6"/>
    <w:rsid w:val="002C1BF4"/>
    <w:rsid w:val="002C1E0D"/>
    <w:rsid w:val="002C2266"/>
    <w:rsid w:val="002C2356"/>
    <w:rsid w:val="002C238F"/>
    <w:rsid w:val="002C276F"/>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E85"/>
    <w:rsid w:val="002D0FA7"/>
    <w:rsid w:val="002D1131"/>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8C7"/>
    <w:rsid w:val="002E2E74"/>
    <w:rsid w:val="002E32D2"/>
    <w:rsid w:val="002E361B"/>
    <w:rsid w:val="002E37AB"/>
    <w:rsid w:val="002E3A80"/>
    <w:rsid w:val="002E41C7"/>
    <w:rsid w:val="002E51DF"/>
    <w:rsid w:val="002E57B9"/>
    <w:rsid w:val="002E5D3D"/>
    <w:rsid w:val="002E6127"/>
    <w:rsid w:val="002E6885"/>
    <w:rsid w:val="002E72E4"/>
    <w:rsid w:val="002E739D"/>
    <w:rsid w:val="002F016F"/>
    <w:rsid w:val="002F0F36"/>
    <w:rsid w:val="002F1276"/>
    <w:rsid w:val="002F1986"/>
    <w:rsid w:val="002F1E5F"/>
    <w:rsid w:val="002F2A49"/>
    <w:rsid w:val="002F3550"/>
    <w:rsid w:val="002F3B63"/>
    <w:rsid w:val="002F3C56"/>
    <w:rsid w:val="002F4271"/>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D6A"/>
    <w:rsid w:val="00301E89"/>
    <w:rsid w:val="00302052"/>
    <w:rsid w:val="00302142"/>
    <w:rsid w:val="00302169"/>
    <w:rsid w:val="00302612"/>
    <w:rsid w:val="00303254"/>
    <w:rsid w:val="003044D9"/>
    <w:rsid w:val="00304D8A"/>
    <w:rsid w:val="00305216"/>
    <w:rsid w:val="0030555B"/>
    <w:rsid w:val="003061F5"/>
    <w:rsid w:val="00306A49"/>
    <w:rsid w:val="00306D27"/>
    <w:rsid w:val="0030739C"/>
    <w:rsid w:val="00310D51"/>
    <w:rsid w:val="00311B36"/>
    <w:rsid w:val="00311C92"/>
    <w:rsid w:val="00313321"/>
    <w:rsid w:val="003133AE"/>
    <w:rsid w:val="0031371B"/>
    <w:rsid w:val="00314156"/>
    <w:rsid w:val="00314CF8"/>
    <w:rsid w:val="0031535B"/>
    <w:rsid w:val="003154DD"/>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10AB"/>
    <w:rsid w:val="003314D2"/>
    <w:rsid w:val="00331712"/>
    <w:rsid w:val="00331A3F"/>
    <w:rsid w:val="00332191"/>
    <w:rsid w:val="00332720"/>
    <w:rsid w:val="0033289F"/>
    <w:rsid w:val="00332EED"/>
    <w:rsid w:val="003334A7"/>
    <w:rsid w:val="00333783"/>
    <w:rsid w:val="003337E8"/>
    <w:rsid w:val="00333A14"/>
    <w:rsid w:val="00333B2A"/>
    <w:rsid w:val="00333FD5"/>
    <w:rsid w:val="00334649"/>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51B"/>
    <w:rsid w:val="003555ED"/>
    <w:rsid w:val="00355911"/>
    <w:rsid w:val="00355BFC"/>
    <w:rsid w:val="0035636B"/>
    <w:rsid w:val="003564CC"/>
    <w:rsid w:val="00357424"/>
    <w:rsid w:val="00357BE9"/>
    <w:rsid w:val="003601A2"/>
    <w:rsid w:val="003607C7"/>
    <w:rsid w:val="00361789"/>
    <w:rsid w:val="0036196D"/>
    <w:rsid w:val="00361A59"/>
    <w:rsid w:val="00362136"/>
    <w:rsid w:val="003627BD"/>
    <w:rsid w:val="00362997"/>
    <w:rsid w:val="00362C59"/>
    <w:rsid w:val="00363040"/>
    <w:rsid w:val="003630B7"/>
    <w:rsid w:val="00363786"/>
    <w:rsid w:val="003638A4"/>
    <w:rsid w:val="003639BF"/>
    <w:rsid w:val="00363E41"/>
    <w:rsid w:val="00363FD2"/>
    <w:rsid w:val="00364653"/>
    <w:rsid w:val="00364ECA"/>
    <w:rsid w:val="00364FB4"/>
    <w:rsid w:val="0036572E"/>
    <w:rsid w:val="00366168"/>
    <w:rsid w:val="003663D9"/>
    <w:rsid w:val="003666BF"/>
    <w:rsid w:val="00366707"/>
    <w:rsid w:val="00366FA9"/>
    <w:rsid w:val="00367B19"/>
    <w:rsid w:val="00367E49"/>
    <w:rsid w:val="003700E6"/>
    <w:rsid w:val="0037017C"/>
    <w:rsid w:val="00370490"/>
    <w:rsid w:val="00371C86"/>
    <w:rsid w:val="0037236C"/>
    <w:rsid w:val="003729DE"/>
    <w:rsid w:val="00372EA2"/>
    <w:rsid w:val="003735D3"/>
    <w:rsid w:val="0037386D"/>
    <w:rsid w:val="00373956"/>
    <w:rsid w:val="00374153"/>
    <w:rsid w:val="00374671"/>
    <w:rsid w:val="003750E0"/>
    <w:rsid w:val="00375AF1"/>
    <w:rsid w:val="00375C2F"/>
    <w:rsid w:val="00375FC5"/>
    <w:rsid w:val="003769BA"/>
    <w:rsid w:val="00377871"/>
    <w:rsid w:val="003778B2"/>
    <w:rsid w:val="00377E58"/>
    <w:rsid w:val="003805E3"/>
    <w:rsid w:val="00380618"/>
    <w:rsid w:val="0038062E"/>
    <w:rsid w:val="003806D7"/>
    <w:rsid w:val="003807F7"/>
    <w:rsid w:val="00381610"/>
    <w:rsid w:val="00381C9E"/>
    <w:rsid w:val="00381CA8"/>
    <w:rsid w:val="00382106"/>
    <w:rsid w:val="00382657"/>
    <w:rsid w:val="00382708"/>
    <w:rsid w:val="00382B82"/>
    <w:rsid w:val="003844BF"/>
    <w:rsid w:val="003854D5"/>
    <w:rsid w:val="0038552A"/>
    <w:rsid w:val="003859EA"/>
    <w:rsid w:val="0038709E"/>
    <w:rsid w:val="00387D30"/>
    <w:rsid w:val="00391753"/>
    <w:rsid w:val="00391C7F"/>
    <w:rsid w:val="00392454"/>
    <w:rsid w:val="00392C85"/>
    <w:rsid w:val="00392FD8"/>
    <w:rsid w:val="00393D73"/>
    <w:rsid w:val="00393E11"/>
    <w:rsid w:val="00394475"/>
    <w:rsid w:val="0039517A"/>
    <w:rsid w:val="003954FE"/>
    <w:rsid w:val="00395B51"/>
    <w:rsid w:val="00396796"/>
    <w:rsid w:val="00396EC6"/>
    <w:rsid w:val="003970BA"/>
    <w:rsid w:val="0039746C"/>
    <w:rsid w:val="00397DC6"/>
    <w:rsid w:val="003A0E82"/>
    <w:rsid w:val="003A0FAC"/>
    <w:rsid w:val="003A184D"/>
    <w:rsid w:val="003A1FB7"/>
    <w:rsid w:val="003A2773"/>
    <w:rsid w:val="003A371E"/>
    <w:rsid w:val="003A3957"/>
    <w:rsid w:val="003A3E29"/>
    <w:rsid w:val="003A439B"/>
    <w:rsid w:val="003A462A"/>
    <w:rsid w:val="003A595F"/>
    <w:rsid w:val="003A5EEC"/>
    <w:rsid w:val="003A6B7A"/>
    <w:rsid w:val="003A6C33"/>
    <w:rsid w:val="003A748F"/>
    <w:rsid w:val="003A79AE"/>
    <w:rsid w:val="003A7CA3"/>
    <w:rsid w:val="003B00B6"/>
    <w:rsid w:val="003B01C4"/>
    <w:rsid w:val="003B0BB0"/>
    <w:rsid w:val="003B11EE"/>
    <w:rsid w:val="003B15F8"/>
    <w:rsid w:val="003B166F"/>
    <w:rsid w:val="003B1B60"/>
    <w:rsid w:val="003B1F99"/>
    <w:rsid w:val="003B207E"/>
    <w:rsid w:val="003B230B"/>
    <w:rsid w:val="003B23BC"/>
    <w:rsid w:val="003B28BA"/>
    <w:rsid w:val="003B28F6"/>
    <w:rsid w:val="003B29D1"/>
    <w:rsid w:val="003B2DB5"/>
    <w:rsid w:val="003B2F05"/>
    <w:rsid w:val="003B3966"/>
    <w:rsid w:val="003B39B7"/>
    <w:rsid w:val="003B4754"/>
    <w:rsid w:val="003B4EB0"/>
    <w:rsid w:val="003B5094"/>
    <w:rsid w:val="003B5F6A"/>
    <w:rsid w:val="003B6B7F"/>
    <w:rsid w:val="003B7820"/>
    <w:rsid w:val="003C01A4"/>
    <w:rsid w:val="003C0219"/>
    <w:rsid w:val="003C0941"/>
    <w:rsid w:val="003C0C12"/>
    <w:rsid w:val="003C0E6B"/>
    <w:rsid w:val="003C16EE"/>
    <w:rsid w:val="003C1C87"/>
    <w:rsid w:val="003C1D4D"/>
    <w:rsid w:val="003C2927"/>
    <w:rsid w:val="003C2C85"/>
    <w:rsid w:val="003C2F61"/>
    <w:rsid w:val="003C345E"/>
    <w:rsid w:val="003C4409"/>
    <w:rsid w:val="003C4997"/>
    <w:rsid w:val="003C4DA5"/>
    <w:rsid w:val="003C502A"/>
    <w:rsid w:val="003C5666"/>
    <w:rsid w:val="003C60CC"/>
    <w:rsid w:val="003C64F4"/>
    <w:rsid w:val="003C6D4E"/>
    <w:rsid w:val="003C724B"/>
    <w:rsid w:val="003C73DB"/>
    <w:rsid w:val="003D0185"/>
    <w:rsid w:val="003D02CB"/>
    <w:rsid w:val="003D0382"/>
    <w:rsid w:val="003D069C"/>
    <w:rsid w:val="003D18F6"/>
    <w:rsid w:val="003D191E"/>
    <w:rsid w:val="003D1A19"/>
    <w:rsid w:val="003D2027"/>
    <w:rsid w:val="003D22A5"/>
    <w:rsid w:val="003D23A4"/>
    <w:rsid w:val="003D27DD"/>
    <w:rsid w:val="003D3414"/>
    <w:rsid w:val="003D3426"/>
    <w:rsid w:val="003D3654"/>
    <w:rsid w:val="003D3721"/>
    <w:rsid w:val="003D413A"/>
    <w:rsid w:val="003D6722"/>
    <w:rsid w:val="003D7428"/>
    <w:rsid w:val="003D77F2"/>
    <w:rsid w:val="003D78CC"/>
    <w:rsid w:val="003D7D01"/>
    <w:rsid w:val="003D7ED8"/>
    <w:rsid w:val="003E0003"/>
    <w:rsid w:val="003E0099"/>
    <w:rsid w:val="003E08C7"/>
    <w:rsid w:val="003E122B"/>
    <w:rsid w:val="003E1427"/>
    <w:rsid w:val="003E1A72"/>
    <w:rsid w:val="003E27B8"/>
    <w:rsid w:val="003E2880"/>
    <w:rsid w:val="003E28FB"/>
    <w:rsid w:val="003E2A00"/>
    <w:rsid w:val="003E382C"/>
    <w:rsid w:val="003E3D00"/>
    <w:rsid w:val="003E4487"/>
    <w:rsid w:val="003E4531"/>
    <w:rsid w:val="003E4771"/>
    <w:rsid w:val="003E52E3"/>
    <w:rsid w:val="003E541C"/>
    <w:rsid w:val="003E54A8"/>
    <w:rsid w:val="003E5833"/>
    <w:rsid w:val="003E5DA8"/>
    <w:rsid w:val="003E7109"/>
    <w:rsid w:val="003E77DC"/>
    <w:rsid w:val="003E7BC1"/>
    <w:rsid w:val="003F0453"/>
    <w:rsid w:val="003F0C9F"/>
    <w:rsid w:val="003F144A"/>
    <w:rsid w:val="003F1B02"/>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3AD"/>
    <w:rsid w:val="00401BCA"/>
    <w:rsid w:val="00401E20"/>
    <w:rsid w:val="004021C0"/>
    <w:rsid w:val="004024F9"/>
    <w:rsid w:val="004028CE"/>
    <w:rsid w:val="0040313D"/>
    <w:rsid w:val="004043FA"/>
    <w:rsid w:val="00404970"/>
    <w:rsid w:val="00405181"/>
    <w:rsid w:val="0040567F"/>
    <w:rsid w:val="00405727"/>
    <w:rsid w:val="00405873"/>
    <w:rsid w:val="00405F09"/>
    <w:rsid w:val="004066F4"/>
    <w:rsid w:val="00406A32"/>
    <w:rsid w:val="0040760B"/>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773"/>
    <w:rsid w:val="00415CAE"/>
    <w:rsid w:val="00415EE7"/>
    <w:rsid w:val="00415FD6"/>
    <w:rsid w:val="004160FA"/>
    <w:rsid w:val="0041669E"/>
    <w:rsid w:val="00416ACA"/>
    <w:rsid w:val="00416C56"/>
    <w:rsid w:val="00417294"/>
    <w:rsid w:val="004176B8"/>
    <w:rsid w:val="00417B99"/>
    <w:rsid w:val="00417CE0"/>
    <w:rsid w:val="004209D5"/>
    <w:rsid w:val="00420FAF"/>
    <w:rsid w:val="00421184"/>
    <w:rsid w:val="004212C1"/>
    <w:rsid w:val="004214B7"/>
    <w:rsid w:val="00421510"/>
    <w:rsid w:val="00421892"/>
    <w:rsid w:val="00421FB5"/>
    <w:rsid w:val="004226ED"/>
    <w:rsid w:val="00422AF4"/>
    <w:rsid w:val="004235F4"/>
    <w:rsid w:val="004236C9"/>
    <w:rsid w:val="00423CF3"/>
    <w:rsid w:val="00423E18"/>
    <w:rsid w:val="004245E4"/>
    <w:rsid w:val="004249A2"/>
    <w:rsid w:val="00424B7C"/>
    <w:rsid w:val="0042500C"/>
    <w:rsid w:val="00425514"/>
    <w:rsid w:val="004256BD"/>
    <w:rsid w:val="00425863"/>
    <w:rsid w:val="00425D02"/>
    <w:rsid w:val="00425D12"/>
    <w:rsid w:val="00425EDC"/>
    <w:rsid w:val="00426C3E"/>
    <w:rsid w:val="00426CF3"/>
    <w:rsid w:val="004275CD"/>
    <w:rsid w:val="00427E74"/>
    <w:rsid w:val="00427FEB"/>
    <w:rsid w:val="00427FF2"/>
    <w:rsid w:val="004305C0"/>
    <w:rsid w:val="00430B20"/>
    <w:rsid w:val="00430B6C"/>
    <w:rsid w:val="0043227C"/>
    <w:rsid w:val="004330B1"/>
    <w:rsid w:val="004335C0"/>
    <w:rsid w:val="00433B34"/>
    <w:rsid w:val="00434176"/>
    <w:rsid w:val="00435121"/>
    <w:rsid w:val="00435715"/>
    <w:rsid w:val="0043571B"/>
    <w:rsid w:val="00435EE0"/>
    <w:rsid w:val="00435F29"/>
    <w:rsid w:val="0043610C"/>
    <w:rsid w:val="004366FF"/>
    <w:rsid w:val="00437D83"/>
    <w:rsid w:val="004401DD"/>
    <w:rsid w:val="00440344"/>
    <w:rsid w:val="00441264"/>
    <w:rsid w:val="00441B0F"/>
    <w:rsid w:val="00441F06"/>
    <w:rsid w:val="004425C6"/>
    <w:rsid w:val="00443D5D"/>
    <w:rsid w:val="00445CBA"/>
    <w:rsid w:val="004463CB"/>
    <w:rsid w:val="004466F7"/>
    <w:rsid w:val="00446858"/>
    <w:rsid w:val="00447304"/>
    <w:rsid w:val="004476C6"/>
    <w:rsid w:val="004476F6"/>
    <w:rsid w:val="00447CDD"/>
    <w:rsid w:val="00450127"/>
    <w:rsid w:val="0045075F"/>
    <w:rsid w:val="004516AD"/>
    <w:rsid w:val="00451E84"/>
    <w:rsid w:val="00451EA3"/>
    <w:rsid w:val="00451F01"/>
    <w:rsid w:val="00454660"/>
    <w:rsid w:val="004546A7"/>
    <w:rsid w:val="00454831"/>
    <w:rsid w:val="004548DF"/>
    <w:rsid w:val="00456CC0"/>
    <w:rsid w:val="00457933"/>
    <w:rsid w:val="00457C78"/>
    <w:rsid w:val="0046068D"/>
    <w:rsid w:val="00460735"/>
    <w:rsid w:val="00460AD5"/>
    <w:rsid w:val="00460EB8"/>
    <w:rsid w:val="00461090"/>
    <w:rsid w:val="00461991"/>
    <w:rsid w:val="00461ACB"/>
    <w:rsid w:val="00461C43"/>
    <w:rsid w:val="00462125"/>
    <w:rsid w:val="00462EBA"/>
    <w:rsid w:val="00463216"/>
    <w:rsid w:val="0046334D"/>
    <w:rsid w:val="00463911"/>
    <w:rsid w:val="00463C95"/>
    <w:rsid w:val="00463E1C"/>
    <w:rsid w:val="00464052"/>
    <w:rsid w:val="00465153"/>
    <w:rsid w:val="00465602"/>
    <w:rsid w:val="004656A4"/>
    <w:rsid w:val="00466A4A"/>
    <w:rsid w:val="00466AFD"/>
    <w:rsid w:val="00470696"/>
    <w:rsid w:val="004713A5"/>
    <w:rsid w:val="0047162F"/>
    <w:rsid w:val="00472177"/>
    <w:rsid w:val="00472234"/>
    <w:rsid w:val="004724C9"/>
    <w:rsid w:val="00472585"/>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423C"/>
    <w:rsid w:val="00484449"/>
    <w:rsid w:val="004852CE"/>
    <w:rsid w:val="0048540C"/>
    <w:rsid w:val="00485F92"/>
    <w:rsid w:val="004860BD"/>
    <w:rsid w:val="004866E1"/>
    <w:rsid w:val="00486C72"/>
    <w:rsid w:val="00487D3A"/>
    <w:rsid w:val="00490954"/>
    <w:rsid w:val="0049102F"/>
    <w:rsid w:val="0049277A"/>
    <w:rsid w:val="00492B38"/>
    <w:rsid w:val="00492FE4"/>
    <w:rsid w:val="00493035"/>
    <w:rsid w:val="0049330F"/>
    <w:rsid w:val="00493321"/>
    <w:rsid w:val="004936DE"/>
    <w:rsid w:val="004949B0"/>
    <w:rsid w:val="00494A50"/>
    <w:rsid w:val="0049544E"/>
    <w:rsid w:val="00495670"/>
    <w:rsid w:val="0049567B"/>
    <w:rsid w:val="0049586C"/>
    <w:rsid w:val="0049604B"/>
    <w:rsid w:val="00496666"/>
    <w:rsid w:val="00496AC9"/>
    <w:rsid w:val="004A040E"/>
    <w:rsid w:val="004A042D"/>
    <w:rsid w:val="004A11E0"/>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363"/>
    <w:rsid w:val="004A66E0"/>
    <w:rsid w:val="004A7AAE"/>
    <w:rsid w:val="004A7D49"/>
    <w:rsid w:val="004A7E52"/>
    <w:rsid w:val="004A7F21"/>
    <w:rsid w:val="004B08DB"/>
    <w:rsid w:val="004B1422"/>
    <w:rsid w:val="004B1DF2"/>
    <w:rsid w:val="004B24EB"/>
    <w:rsid w:val="004B29AC"/>
    <w:rsid w:val="004B29C2"/>
    <w:rsid w:val="004B3C8B"/>
    <w:rsid w:val="004B44A9"/>
    <w:rsid w:val="004B4509"/>
    <w:rsid w:val="004B452A"/>
    <w:rsid w:val="004B4871"/>
    <w:rsid w:val="004B4ADF"/>
    <w:rsid w:val="004B4C00"/>
    <w:rsid w:val="004B4E06"/>
    <w:rsid w:val="004B5493"/>
    <w:rsid w:val="004B5914"/>
    <w:rsid w:val="004B5F70"/>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3A7A"/>
    <w:rsid w:val="004C3ADD"/>
    <w:rsid w:val="004C428E"/>
    <w:rsid w:val="004C441A"/>
    <w:rsid w:val="004C4775"/>
    <w:rsid w:val="004C483D"/>
    <w:rsid w:val="004C48A9"/>
    <w:rsid w:val="004C49B3"/>
    <w:rsid w:val="004C4D05"/>
    <w:rsid w:val="004C4FF6"/>
    <w:rsid w:val="004C590B"/>
    <w:rsid w:val="004C6017"/>
    <w:rsid w:val="004C63C7"/>
    <w:rsid w:val="004C6D39"/>
    <w:rsid w:val="004C6D98"/>
    <w:rsid w:val="004C7217"/>
    <w:rsid w:val="004C7743"/>
    <w:rsid w:val="004C77A7"/>
    <w:rsid w:val="004D039E"/>
    <w:rsid w:val="004D04A3"/>
    <w:rsid w:val="004D0C9F"/>
    <w:rsid w:val="004D15FD"/>
    <w:rsid w:val="004D1A0A"/>
    <w:rsid w:val="004D2369"/>
    <w:rsid w:val="004D2485"/>
    <w:rsid w:val="004D249C"/>
    <w:rsid w:val="004D25D5"/>
    <w:rsid w:val="004D292A"/>
    <w:rsid w:val="004D3A57"/>
    <w:rsid w:val="004D47FF"/>
    <w:rsid w:val="004D4D35"/>
    <w:rsid w:val="004D518F"/>
    <w:rsid w:val="004D54D7"/>
    <w:rsid w:val="004D5BB7"/>
    <w:rsid w:val="004D6053"/>
    <w:rsid w:val="004D6899"/>
    <w:rsid w:val="004D6FA4"/>
    <w:rsid w:val="004D7C23"/>
    <w:rsid w:val="004E01C6"/>
    <w:rsid w:val="004E0212"/>
    <w:rsid w:val="004E0ADC"/>
    <w:rsid w:val="004E0FB1"/>
    <w:rsid w:val="004E1043"/>
    <w:rsid w:val="004E1DCA"/>
    <w:rsid w:val="004E21B4"/>
    <w:rsid w:val="004E252B"/>
    <w:rsid w:val="004E2861"/>
    <w:rsid w:val="004E2A85"/>
    <w:rsid w:val="004E3F72"/>
    <w:rsid w:val="004E4A78"/>
    <w:rsid w:val="004E551E"/>
    <w:rsid w:val="004E584D"/>
    <w:rsid w:val="004E58F6"/>
    <w:rsid w:val="004E5E37"/>
    <w:rsid w:val="004E5E4C"/>
    <w:rsid w:val="004E5F79"/>
    <w:rsid w:val="004E623E"/>
    <w:rsid w:val="004E6589"/>
    <w:rsid w:val="004E6CF9"/>
    <w:rsid w:val="004E7152"/>
    <w:rsid w:val="004E734E"/>
    <w:rsid w:val="004E7EC0"/>
    <w:rsid w:val="004E7F48"/>
    <w:rsid w:val="004F014E"/>
    <w:rsid w:val="004F023B"/>
    <w:rsid w:val="004F0BC6"/>
    <w:rsid w:val="004F1123"/>
    <w:rsid w:val="004F12D3"/>
    <w:rsid w:val="004F1715"/>
    <w:rsid w:val="004F17DA"/>
    <w:rsid w:val="004F355B"/>
    <w:rsid w:val="004F3620"/>
    <w:rsid w:val="004F3BD2"/>
    <w:rsid w:val="004F4372"/>
    <w:rsid w:val="004F43E0"/>
    <w:rsid w:val="004F45EB"/>
    <w:rsid w:val="004F5079"/>
    <w:rsid w:val="004F521B"/>
    <w:rsid w:val="004F52BB"/>
    <w:rsid w:val="004F5582"/>
    <w:rsid w:val="004F56B1"/>
    <w:rsid w:val="004F59B8"/>
    <w:rsid w:val="004F62A7"/>
    <w:rsid w:val="004F62F9"/>
    <w:rsid w:val="004F66B3"/>
    <w:rsid w:val="004F6FA7"/>
    <w:rsid w:val="004F72DA"/>
    <w:rsid w:val="004F7352"/>
    <w:rsid w:val="004F7889"/>
    <w:rsid w:val="0050015C"/>
    <w:rsid w:val="00500418"/>
    <w:rsid w:val="00500CCF"/>
    <w:rsid w:val="00500E62"/>
    <w:rsid w:val="005010DE"/>
    <w:rsid w:val="005011FD"/>
    <w:rsid w:val="0050164B"/>
    <w:rsid w:val="00501AA5"/>
    <w:rsid w:val="00502958"/>
    <w:rsid w:val="00502BD2"/>
    <w:rsid w:val="00502DA4"/>
    <w:rsid w:val="00502E1B"/>
    <w:rsid w:val="00503790"/>
    <w:rsid w:val="005038F3"/>
    <w:rsid w:val="00503F83"/>
    <w:rsid w:val="0050421C"/>
    <w:rsid w:val="005048FF"/>
    <w:rsid w:val="00504A9B"/>
    <w:rsid w:val="00504E9A"/>
    <w:rsid w:val="00504F83"/>
    <w:rsid w:val="005059B9"/>
    <w:rsid w:val="00505F64"/>
    <w:rsid w:val="00506DCD"/>
    <w:rsid w:val="00507325"/>
    <w:rsid w:val="00507583"/>
    <w:rsid w:val="00507C56"/>
    <w:rsid w:val="00507F13"/>
    <w:rsid w:val="005109D4"/>
    <w:rsid w:val="00510CF4"/>
    <w:rsid w:val="0051160A"/>
    <w:rsid w:val="005118BA"/>
    <w:rsid w:val="00511C56"/>
    <w:rsid w:val="00512385"/>
    <w:rsid w:val="00512A4D"/>
    <w:rsid w:val="00512D87"/>
    <w:rsid w:val="005130DA"/>
    <w:rsid w:val="00513C19"/>
    <w:rsid w:val="00513DDA"/>
    <w:rsid w:val="00513E19"/>
    <w:rsid w:val="005148B4"/>
    <w:rsid w:val="00514B29"/>
    <w:rsid w:val="00514E8C"/>
    <w:rsid w:val="005152B1"/>
    <w:rsid w:val="005152F0"/>
    <w:rsid w:val="0051532D"/>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6CF"/>
    <w:rsid w:val="00523BC7"/>
    <w:rsid w:val="00523C08"/>
    <w:rsid w:val="00523C10"/>
    <w:rsid w:val="00523E23"/>
    <w:rsid w:val="005245D5"/>
    <w:rsid w:val="005247FE"/>
    <w:rsid w:val="00524889"/>
    <w:rsid w:val="0052575D"/>
    <w:rsid w:val="005259FC"/>
    <w:rsid w:val="00525A53"/>
    <w:rsid w:val="005260F1"/>
    <w:rsid w:val="00526569"/>
    <w:rsid w:val="00526726"/>
    <w:rsid w:val="00526F91"/>
    <w:rsid w:val="00527256"/>
    <w:rsid w:val="00527934"/>
    <w:rsid w:val="00527B57"/>
    <w:rsid w:val="00527C8D"/>
    <w:rsid w:val="00527C9C"/>
    <w:rsid w:val="00530AC4"/>
    <w:rsid w:val="00531F7B"/>
    <w:rsid w:val="00532064"/>
    <w:rsid w:val="0053268A"/>
    <w:rsid w:val="0053309E"/>
    <w:rsid w:val="00533169"/>
    <w:rsid w:val="00533194"/>
    <w:rsid w:val="005332C8"/>
    <w:rsid w:val="00534021"/>
    <w:rsid w:val="0053464E"/>
    <w:rsid w:val="00534CBD"/>
    <w:rsid w:val="005352C8"/>
    <w:rsid w:val="005354C1"/>
    <w:rsid w:val="00535F99"/>
    <w:rsid w:val="005361DE"/>
    <w:rsid w:val="00536356"/>
    <w:rsid w:val="00536CBB"/>
    <w:rsid w:val="00536DDD"/>
    <w:rsid w:val="00537033"/>
    <w:rsid w:val="00540A37"/>
    <w:rsid w:val="00540B49"/>
    <w:rsid w:val="005418DB"/>
    <w:rsid w:val="0054230B"/>
    <w:rsid w:val="005434EA"/>
    <w:rsid w:val="00544ABA"/>
    <w:rsid w:val="00545D55"/>
    <w:rsid w:val="005461AB"/>
    <w:rsid w:val="00546C6A"/>
    <w:rsid w:val="00546FBA"/>
    <w:rsid w:val="00547F04"/>
    <w:rsid w:val="00550924"/>
    <w:rsid w:val="00550D63"/>
    <w:rsid w:val="00550EF1"/>
    <w:rsid w:val="00551075"/>
    <w:rsid w:val="005513C8"/>
    <w:rsid w:val="0055236E"/>
    <w:rsid w:val="0055352C"/>
    <w:rsid w:val="005538A6"/>
    <w:rsid w:val="00554F94"/>
    <w:rsid w:val="00555161"/>
    <w:rsid w:val="00555A59"/>
    <w:rsid w:val="00555DE6"/>
    <w:rsid w:val="00555EB3"/>
    <w:rsid w:val="00556776"/>
    <w:rsid w:val="005567F6"/>
    <w:rsid w:val="00556E29"/>
    <w:rsid w:val="00557474"/>
    <w:rsid w:val="00557DAA"/>
    <w:rsid w:val="00557DAD"/>
    <w:rsid w:val="00561138"/>
    <w:rsid w:val="00561699"/>
    <w:rsid w:val="0056194F"/>
    <w:rsid w:val="005619E1"/>
    <w:rsid w:val="00562629"/>
    <w:rsid w:val="005628FE"/>
    <w:rsid w:val="0056364B"/>
    <w:rsid w:val="00563D49"/>
    <w:rsid w:val="00564191"/>
    <w:rsid w:val="00564557"/>
    <w:rsid w:val="0056458C"/>
    <w:rsid w:val="00564628"/>
    <w:rsid w:val="005648B9"/>
    <w:rsid w:val="00564A3C"/>
    <w:rsid w:val="00564F82"/>
    <w:rsid w:val="00564FF6"/>
    <w:rsid w:val="005653AF"/>
    <w:rsid w:val="00565501"/>
    <w:rsid w:val="00565755"/>
    <w:rsid w:val="0056601E"/>
    <w:rsid w:val="00566406"/>
    <w:rsid w:val="005664A6"/>
    <w:rsid w:val="00566538"/>
    <w:rsid w:val="0056725A"/>
    <w:rsid w:val="0056741F"/>
    <w:rsid w:val="00567647"/>
    <w:rsid w:val="0056781B"/>
    <w:rsid w:val="00567BE2"/>
    <w:rsid w:val="00570102"/>
    <w:rsid w:val="00570505"/>
    <w:rsid w:val="005712E6"/>
    <w:rsid w:val="00572942"/>
    <w:rsid w:val="005730DB"/>
    <w:rsid w:val="00573251"/>
    <w:rsid w:val="005733A8"/>
    <w:rsid w:val="005734F9"/>
    <w:rsid w:val="00573B5B"/>
    <w:rsid w:val="00573F55"/>
    <w:rsid w:val="00574070"/>
    <w:rsid w:val="00575148"/>
    <w:rsid w:val="0057540E"/>
    <w:rsid w:val="005757B6"/>
    <w:rsid w:val="005761E2"/>
    <w:rsid w:val="0058000F"/>
    <w:rsid w:val="00580557"/>
    <w:rsid w:val="0058074F"/>
    <w:rsid w:val="00580A76"/>
    <w:rsid w:val="00581042"/>
    <w:rsid w:val="00581703"/>
    <w:rsid w:val="00581B15"/>
    <w:rsid w:val="005821DD"/>
    <w:rsid w:val="00583908"/>
    <w:rsid w:val="00583C9C"/>
    <w:rsid w:val="00584757"/>
    <w:rsid w:val="00584E21"/>
    <w:rsid w:val="005858EE"/>
    <w:rsid w:val="00585B7D"/>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E36"/>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70"/>
    <w:rsid w:val="005A1295"/>
    <w:rsid w:val="005A1FBF"/>
    <w:rsid w:val="005A1FD5"/>
    <w:rsid w:val="005A29B1"/>
    <w:rsid w:val="005A2EBF"/>
    <w:rsid w:val="005A3750"/>
    <w:rsid w:val="005A380B"/>
    <w:rsid w:val="005A4890"/>
    <w:rsid w:val="005A49D4"/>
    <w:rsid w:val="005A4D7C"/>
    <w:rsid w:val="005A51C9"/>
    <w:rsid w:val="005A5A96"/>
    <w:rsid w:val="005A5D7F"/>
    <w:rsid w:val="005A5DC0"/>
    <w:rsid w:val="005A65C3"/>
    <w:rsid w:val="005A6B6D"/>
    <w:rsid w:val="005A6ED5"/>
    <w:rsid w:val="005A6F0E"/>
    <w:rsid w:val="005A6F57"/>
    <w:rsid w:val="005A7235"/>
    <w:rsid w:val="005A795B"/>
    <w:rsid w:val="005A7BAF"/>
    <w:rsid w:val="005B05FA"/>
    <w:rsid w:val="005B0652"/>
    <w:rsid w:val="005B1213"/>
    <w:rsid w:val="005B1B55"/>
    <w:rsid w:val="005B1DBD"/>
    <w:rsid w:val="005B26B0"/>
    <w:rsid w:val="005B3EBD"/>
    <w:rsid w:val="005B3F0C"/>
    <w:rsid w:val="005B4173"/>
    <w:rsid w:val="005B48E8"/>
    <w:rsid w:val="005B564F"/>
    <w:rsid w:val="005B56D9"/>
    <w:rsid w:val="005B5BA3"/>
    <w:rsid w:val="005B5E62"/>
    <w:rsid w:val="005B6DBE"/>
    <w:rsid w:val="005B7E97"/>
    <w:rsid w:val="005B7F46"/>
    <w:rsid w:val="005C059E"/>
    <w:rsid w:val="005C07D2"/>
    <w:rsid w:val="005C09A7"/>
    <w:rsid w:val="005C0EA8"/>
    <w:rsid w:val="005C102D"/>
    <w:rsid w:val="005C132C"/>
    <w:rsid w:val="005C17FB"/>
    <w:rsid w:val="005C1833"/>
    <w:rsid w:val="005C1838"/>
    <w:rsid w:val="005C18C2"/>
    <w:rsid w:val="005C2063"/>
    <w:rsid w:val="005C244F"/>
    <w:rsid w:val="005C2767"/>
    <w:rsid w:val="005C2922"/>
    <w:rsid w:val="005C2C01"/>
    <w:rsid w:val="005C2F60"/>
    <w:rsid w:val="005C323D"/>
    <w:rsid w:val="005C3772"/>
    <w:rsid w:val="005C39C3"/>
    <w:rsid w:val="005C4229"/>
    <w:rsid w:val="005C4580"/>
    <w:rsid w:val="005C5065"/>
    <w:rsid w:val="005C52F3"/>
    <w:rsid w:val="005C564C"/>
    <w:rsid w:val="005C6234"/>
    <w:rsid w:val="005C64DC"/>
    <w:rsid w:val="005C6605"/>
    <w:rsid w:val="005C6CCB"/>
    <w:rsid w:val="005C71A0"/>
    <w:rsid w:val="005C7802"/>
    <w:rsid w:val="005C7B50"/>
    <w:rsid w:val="005D029E"/>
    <w:rsid w:val="005D0427"/>
    <w:rsid w:val="005D0776"/>
    <w:rsid w:val="005D07AE"/>
    <w:rsid w:val="005D08FD"/>
    <w:rsid w:val="005D0C83"/>
    <w:rsid w:val="005D113B"/>
    <w:rsid w:val="005D1732"/>
    <w:rsid w:val="005D2D9A"/>
    <w:rsid w:val="005D3A6E"/>
    <w:rsid w:val="005D3B21"/>
    <w:rsid w:val="005D4019"/>
    <w:rsid w:val="005D41DC"/>
    <w:rsid w:val="005D43B7"/>
    <w:rsid w:val="005D460F"/>
    <w:rsid w:val="005D4DC5"/>
    <w:rsid w:val="005D5442"/>
    <w:rsid w:val="005D5C22"/>
    <w:rsid w:val="005D5E6C"/>
    <w:rsid w:val="005D63A9"/>
    <w:rsid w:val="005D65AF"/>
    <w:rsid w:val="005D65D5"/>
    <w:rsid w:val="005D6C56"/>
    <w:rsid w:val="005D6CED"/>
    <w:rsid w:val="005D6DBF"/>
    <w:rsid w:val="005D6F49"/>
    <w:rsid w:val="005D7E8A"/>
    <w:rsid w:val="005E06FA"/>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5F6"/>
    <w:rsid w:val="005F0A62"/>
    <w:rsid w:val="005F0FA8"/>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D2A"/>
    <w:rsid w:val="005F65D9"/>
    <w:rsid w:val="005F6768"/>
    <w:rsid w:val="005F69CF"/>
    <w:rsid w:val="005F6E39"/>
    <w:rsid w:val="005F6E58"/>
    <w:rsid w:val="005F7031"/>
    <w:rsid w:val="005F704C"/>
    <w:rsid w:val="005F7A22"/>
    <w:rsid w:val="005F7B9D"/>
    <w:rsid w:val="00600501"/>
    <w:rsid w:val="00600B0C"/>
    <w:rsid w:val="00602DFA"/>
    <w:rsid w:val="006031D1"/>
    <w:rsid w:val="006033BF"/>
    <w:rsid w:val="00603702"/>
    <w:rsid w:val="00603B4B"/>
    <w:rsid w:val="00603F20"/>
    <w:rsid w:val="006046A9"/>
    <w:rsid w:val="0060471B"/>
    <w:rsid w:val="00604F37"/>
    <w:rsid w:val="0060508A"/>
    <w:rsid w:val="006055AF"/>
    <w:rsid w:val="00605942"/>
    <w:rsid w:val="00605C9F"/>
    <w:rsid w:val="006065C1"/>
    <w:rsid w:val="006068E8"/>
    <w:rsid w:val="00606ADB"/>
    <w:rsid w:val="006072DE"/>
    <w:rsid w:val="006075F4"/>
    <w:rsid w:val="006078A8"/>
    <w:rsid w:val="00607BAD"/>
    <w:rsid w:val="00607EC7"/>
    <w:rsid w:val="006102BC"/>
    <w:rsid w:val="0061048A"/>
    <w:rsid w:val="00610AE7"/>
    <w:rsid w:val="00611178"/>
    <w:rsid w:val="0061148D"/>
    <w:rsid w:val="00611D01"/>
    <w:rsid w:val="006122EC"/>
    <w:rsid w:val="006124B3"/>
    <w:rsid w:val="00612611"/>
    <w:rsid w:val="0061279A"/>
    <w:rsid w:val="00612A10"/>
    <w:rsid w:val="00613009"/>
    <w:rsid w:val="006132EA"/>
    <w:rsid w:val="00613481"/>
    <w:rsid w:val="00613CA5"/>
    <w:rsid w:val="0061401C"/>
    <w:rsid w:val="006140F3"/>
    <w:rsid w:val="0061420B"/>
    <w:rsid w:val="00614A59"/>
    <w:rsid w:val="00614BD4"/>
    <w:rsid w:val="00614D33"/>
    <w:rsid w:val="00614E7E"/>
    <w:rsid w:val="0061537D"/>
    <w:rsid w:val="0061537F"/>
    <w:rsid w:val="006156D7"/>
    <w:rsid w:val="00615CF1"/>
    <w:rsid w:val="00615DEA"/>
    <w:rsid w:val="006165A4"/>
    <w:rsid w:val="00616A60"/>
    <w:rsid w:val="00616D0C"/>
    <w:rsid w:val="00616EE6"/>
    <w:rsid w:val="006171FB"/>
    <w:rsid w:val="00617283"/>
    <w:rsid w:val="00617A2A"/>
    <w:rsid w:val="006207F4"/>
    <w:rsid w:val="00620C67"/>
    <w:rsid w:val="00620D09"/>
    <w:rsid w:val="00621646"/>
    <w:rsid w:val="00621803"/>
    <w:rsid w:val="00621A34"/>
    <w:rsid w:val="006220F1"/>
    <w:rsid w:val="00623E46"/>
    <w:rsid w:val="00624604"/>
    <w:rsid w:val="00624D2C"/>
    <w:rsid w:val="00624F7F"/>
    <w:rsid w:val="00625142"/>
    <w:rsid w:val="00625145"/>
    <w:rsid w:val="00626768"/>
    <w:rsid w:val="006268A3"/>
    <w:rsid w:val="00626F9D"/>
    <w:rsid w:val="00627402"/>
    <w:rsid w:val="00627403"/>
    <w:rsid w:val="00627474"/>
    <w:rsid w:val="00627CEA"/>
    <w:rsid w:val="00627E37"/>
    <w:rsid w:val="00630480"/>
    <w:rsid w:val="0063058E"/>
    <w:rsid w:val="006305F8"/>
    <w:rsid w:val="0063197B"/>
    <w:rsid w:val="006319D0"/>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6F62"/>
    <w:rsid w:val="006370E1"/>
    <w:rsid w:val="00637382"/>
    <w:rsid w:val="006375B2"/>
    <w:rsid w:val="006375BB"/>
    <w:rsid w:val="006409EE"/>
    <w:rsid w:val="00640BF7"/>
    <w:rsid w:val="00640FFF"/>
    <w:rsid w:val="00641761"/>
    <w:rsid w:val="006419AF"/>
    <w:rsid w:val="006425FC"/>
    <w:rsid w:val="00642631"/>
    <w:rsid w:val="00642DF5"/>
    <w:rsid w:val="0064304A"/>
    <w:rsid w:val="0064380B"/>
    <w:rsid w:val="00643A4F"/>
    <w:rsid w:val="00643FF5"/>
    <w:rsid w:val="006441FD"/>
    <w:rsid w:val="00644E5A"/>
    <w:rsid w:val="00644F2C"/>
    <w:rsid w:val="00645065"/>
    <w:rsid w:val="006450DD"/>
    <w:rsid w:val="00645141"/>
    <w:rsid w:val="00645AEE"/>
    <w:rsid w:val="00646428"/>
    <w:rsid w:val="00646AFD"/>
    <w:rsid w:val="0064707F"/>
    <w:rsid w:val="006471E8"/>
    <w:rsid w:val="00647E90"/>
    <w:rsid w:val="00647FA3"/>
    <w:rsid w:val="006500F7"/>
    <w:rsid w:val="00650769"/>
    <w:rsid w:val="0065106D"/>
    <w:rsid w:val="006516B7"/>
    <w:rsid w:val="006518E4"/>
    <w:rsid w:val="006519F4"/>
    <w:rsid w:val="00651FB8"/>
    <w:rsid w:val="0065203F"/>
    <w:rsid w:val="006520D5"/>
    <w:rsid w:val="0065239B"/>
    <w:rsid w:val="00652BA0"/>
    <w:rsid w:val="00653045"/>
    <w:rsid w:val="00653A25"/>
    <w:rsid w:val="00653D93"/>
    <w:rsid w:val="00653FDA"/>
    <w:rsid w:val="006541A0"/>
    <w:rsid w:val="00654E99"/>
    <w:rsid w:val="00655104"/>
    <w:rsid w:val="0065548F"/>
    <w:rsid w:val="00655633"/>
    <w:rsid w:val="006559BB"/>
    <w:rsid w:val="00655D93"/>
    <w:rsid w:val="00655E86"/>
    <w:rsid w:val="00656614"/>
    <w:rsid w:val="00656C4D"/>
    <w:rsid w:val="006577CD"/>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D0F"/>
    <w:rsid w:val="00664525"/>
    <w:rsid w:val="0066465B"/>
    <w:rsid w:val="00664C81"/>
    <w:rsid w:val="0066521A"/>
    <w:rsid w:val="0066540C"/>
    <w:rsid w:val="00665EAE"/>
    <w:rsid w:val="006661EA"/>
    <w:rsid w:val="00666909"/>
    <w:rsid w:val="00666EBC"/>
    <w:rsid w:val="00667189"/>
    <w:rsid w:val="0066749E"/>
    <w:rsid w:val="00667CCB"/>
    <w:rsid w:val="00667EFD"/>
    <w:rsid w:val="00670475"/>
    <w:rsid w:val="00670B8C"/>
    <w:rsid w:val="00670C4A"/>
    <w:rsid w:val="006712FE"/>
    <w:rsid w:val="00671F3E"/>
    <w:rsid w:val="00672482"/>
    <w:rsid w:val="00672A18"/>
    <w:rsid w:val="006735D0"/>
    <w:rsid w:val="006739E9"/>
    <w:rsid w:val="00674D52"/>
    <w:rsid w:val="00674F93"/>
    <w:rsid w:val="0067546F"/>
    <w:rsid w:val="00676287"/>
    <w:rsid w:val="00676CE4"/>
    <w:rsid w:val="00676EC2"/>
    <w:rsid w:val="00676F61"/>
    <w:rsid w:val="00676FA5"/>
    <w:rsid w:val="006771A4"/>
    <w:rsid w:val="006771AD"/>
    <w:rsid w:val="006774A8"/>
    <w:rsid w:val="00677572"/>
    <w:rsid w:val="00681156"/>
    <w:rsid w:val="00681229"/>
    <w:rsid w:val="00681514"/>
    <w:rsid w:val="0068185E"/>
    <w:rsid w:val="00681BE5"/>
    <w:rsid w:val="00681E30"/>
    <w:rsid w:val="0068379B"/>
    <w:rsid w:val="00683D98"/>
    <w:rsid w:val="00683D99"/>
    <w:rsid w:val="00684079"/>
    <w:rsid w:val="006848EE"/>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32F"/>
    <w:rsid w:val="0069561C"/>
    <w:rsid w:val="00695634"/>
    <w:rsid w:val="0069600D"/>
    <w:rsid w:val="006963AE"/>
    <w:rsid w:val="00697053"/>
    <w:rsid w:val="006A0214"/>
    <w:rsid w:val="006A066A"/>
    <w:rsid w:val="006A06CA"/>
    <w:rsid w:val="006A083E"/>
    <w:rsid w:val="006A0FFD"/>
    <w:rsid w:val="006A1170"/>
    <w:rsid w:val="006A14A3"/>
    <w:rsid w:val="006A159D"/>
    <w:rsid w:val="006A18BF"/>
    <w:rsid w:val="006A1F58"/>
    <w:rsid w:val="006A242E"/>
    <w:rsid w:val="006A26AB"/>
    <w:rsid w:val="006A298D"/>
    <w:rsid w:val="006A2F80"/>
    <w:rsid w:val="006A3A48"/>
    <w:rsid w:val="006A3FD6"/>
    <w:rsid w:val="006A4076"/>
    <w:rsid w:val="006A436F"/>
    <w:rsid w:val="006A4E5B"/>
    <w:rsid w:val="006A59D8"/>
    <w:rsid w:val="006A6B7B"/>
    <w:rsid w:val="006A78F8"/>
    <w:rsid w:val="006A7C26"/>
    <w:rsid w:val="006A7E27"/>
    <w:rsid w:val="006B010E"/>
    <w:rsid w:val="006B03CA"/>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BF6"/>
    <w:rsid w:val="006B6C0D"/>
    <w:rsid w:val="006B7657"/>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D29"/>
    <w:rsid w:val="006C650D"/>
    <w:rsid w:val="006C69A5"/>
    <w:rsid w:val="006C7740"/>
    <w:rsid w:val="006D0389"/>
    <w:rsid w:val="006D0848"/>
    <w:rsid w:val="006D0BA5"/>
    <w:rsid w:val="006D0C15"/>
    <w:rsid w:val="006D0D8B"/>
    <w:rsid w:val="006D0FBF"/>
    <w:rsid w:val="006D10DC"/>
    <w:rsid w:val="006D1586"/>
    <w:rsid w:val="006D19C1"/>
    <w:rsid w:val="006D2827"/>
    <w:rsid w:val="006D2848"/>
    <w:rsid w:val="006D2A9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2562"/>
    <w:rsid w:val="006E3023"/>
    <w:rsid w:val="006E3369"/>
    <w:rsid w:val="006E3D12"/>
    <w:rsid w:val="006E449C"/>
    <w:rsid w:val="006E4726"/>
    <w:rsid w:val="006E4E72"/>
    <w:rsid w:val="006E50D0"/>
    <w:rsid w:val="006E663E"/>
    <w:rsid w:val="006E6EDF"/>
    <w:rsid w:val="006E7BA5"/>
    <w:rsid w:val="006F01E8"/>
    <w:rsid w:val="006F02D7"/>
    <w:rsid w:val="006F03EC"/>
    <w:rsid w:val="006F059F"/>
    <w:rsid w:val="006F0EBB"/>
    <w:rsid w:val="006F1E96"/>
    <w:rsid w:val="006F2D24"/>
    <w:rsid w:val="006F352A"/>
    <w:rsid w:val="006F37F7"/>
    <w:rsid w:val="006F3909"/>
    <w:rsid w:val="006F3D1B"/>
    <w:rsid w:val="006F4036"/>
    <w:rsid w:val="006F428E"/>
    <w:rsid w:val="006F48E1"/>
    <w:rsid w:val="006F4FA0"/>
    <w:rsid w:val="006F5096"/>
    <w:rsid w:val="006F5160"/>
    <w:rsid w:val="006F5374"/>
    <w:rsid w:val="006F57D7"/>
    <w:rsid w:val="006F5C15"/>
    <w:rsid w:val="006F60DF"/>
    <w:rsid w:val="006F64DE"/>
    <w:rsid w:val="006F6766"/>
    <w:rsid w:val="006F67E2"/>
    <w:rsid w:val="006F68C1"/>
    <w:rsid w:val="006F6CE2"/>
    <w:rsid w:val="006F6E10"/>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495F"/>
    <w:rsid w:val="00704B6E"/>
    <w:rsid w:val="00704F73"/>
    <w:rsid w:val="0070508D"/>
    <w:rsid w:val="0070542E"/>
    <w:rsid w:val="0070604A"/>
    <w:rsid w:val="007060D4"/>
    <w:rsid w:val="0070624C"/>
    <w:rsid w:val="00706451"/>
    <w:rsid w:val="00706721"/>
    <w:rsid w:val="00707E0F"/>
    <w:rsid w:val="0071068A"/>
    <w:rsid w:val="00710E19"/>
    <w:rsid w:val="00710E52"/>
    <w:rsid w:val="0071154B"/>
    <w:rsid w:val="0071174F"/>
    <w:rsid w:val="0071176F"/>
    <w:rsid w:val="0071196A"/>
    <w:rsid w:val="00711B11"/>
    <w:rsid w:val="00712FAE"/>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51"/>
    <w:rsid w:val="00720A9F"/>
    <w:rsid w:val="00721E9E"/>
    <w:rsid w:val="007227FE"/>
    <w:rsid w:val="007233C3"/>
    <w:rsid w:val="00723C95"/>
    <w:rsid w:val="007244E7"/>
    <w:rsid w:val="0072505F"/>
    <w:rsid w:val="00725B00"/>
    <w:rsid w:val="0072680C"/>
    <w:rsid w:val="00726B3D"/>
    <w:rsid w:val="00726C64"/>
    <w:rsid w:val="007310B7"/>
    <w:rsid w:val="00731237"/>
    <w:rsid w:val="00731A22"/>
    <w:rsid w:val="0073207E"/>
    <w:rsid w:val="00732523"/>
    <w:rsid w:val="0073254B"/>
    <w:rsid w:val="00732664"/>
    <w:rsid w:val="00732BA7"/>
    <w:rsid w:val="007333EA"/>
    <w:rsid w:val="00733601"/>
    <w:rsid w:val="00733A22"/>
    <w:rsid w:val="00733A57"/>
    <w:rsid w:val="00733F36"/>
    <w:rsid w:val="007340CE"/>
    <w:rsid w:val="00734781"/>
    <w:rsid w:val="007349FC"/>
    <w:rsid w:val="00734B6F"/>
    <w:rsid w:val="007351A5"/>
    <w:rsid w:val="00735293"/>
    <w:rsid w:val="00735376"/>
    <w:rsid w:val="00736038"/>
    <w:rsid w:val="007363EA"/>
    <w:rsid w:val="00736A02"/>
    <w:rsid w:val="00736E06"/>
    <w:rsid w:val="00736E37"/>
    <w:rsid w:val="00737286"/>
    <w:rsid w:val="007373DB"/>
    <w:rsid w:val="00737847"/>
    <w:rsid w:val="00737F27"/>
    <w:rsid w:val="00737FD3"/>
    <w:rsid w:val="00740240"/>
    <w:rsid w:val="007402CA"/>
    <w:rsid w:val="007407DB"/>
    <w:rsid w:val="0074096D"/>
    <w:rsid w:val="00740BFC"/>
    <w:rsid w:val="00740F76"/>
    <w:rsid w:val="00741037"/>
    <w:rsid w:val="007422B3"/>
    <w:rsid w:val="007424BF"/>
    <w:rsid w:val="007435F1"/>
    <w:rsid w:val="00743BC1"/>
    <w:rsid w:val="00743DDD"/>
    <w:rsid w:val="00744625"/>
    <w:rsid w:val="007446BB"/>
    <w:rsid w:val="00744AF1"/>
    <w:rsid w:val="00745882"/>
    <w:rsid w:val="00745A04"/>
    <w:rsid w:val="00745A0F"/>
    <w:rsid w:val="00745DFD"/>
    <w:rsid w:val="00746197"/>
    <w:rsid w:val="0074689C"/>
    <w:rsid w:val="00746B3F"/>
    <w:rsid w:val="00747117"/>
    <w:rsid w:val="007479C2"/>
    <w:rsid w:val="00747B0D"/>
    <w:rsid w:val="00751452"/>
    <w:rsid w:val="007521A5"/>
    <w:rsid w:val="007524EE"/>
    <w:rsid w:val="00752E99"/>
    <w:rsid w:val="00753959"/>
    <w:rsid w:val="00753DD6"/>
    <w:rsid w:val="007541DF"/>
    <w:rsid w:val="00754A4A"/>
    <w:rsid w:val="00755F9F"/>
    <w:rsid w:val="007566FB"/>
    <w:rsid w:val="007567A8"/>
    <w:rsid w:val="00756D6A"/>
    <w:rsid w:val="00757EE2"/>
    <w:rsid w:val="0076043F"/>
    <w:rsid w:val="00760F66"/>
    <w:rsid w:val="007611F8"/>
    <w:rsid w:val="00761200"/>
    <w:rsid w:val="00761931"/>
    <w:rsid w:val="00761BD1"/>
    <w:rsid w:val="007627BA"/>
    <w:rsid w:val="0076291E"/>
    <w:rsid w:val="00762C76"/>
    <w:rsid w:val="00762D81"/>
    <w:rsid w:val="0076317B"/>
    <w:rsid w:val="007643D5"/>
    <w:rsid w:val="00765366"/>
    <w:rsid w:val="00765914"/>
    <w:rsid w:val="00765AC2"/>
    <w:rsid w:val="0076614D"/>
    <w:rsid w:val="0076624C"/>
    <w:rsid w:val="0076627D"/>
    <w:rsid w:val="00766304"/>
    <w:rsid w:val="00766648"/>
    <w:rsid w:val="00767A28"/>
    <w:rsid w:val="00767DCE"/>
    <w:rsid w:val="00767DD2"/>
    <w:rsid w:val="00770264"/>
    <w:rsid w:val="0077082B"/>
    <w:rsid w:val="00770E60"/>
    <w:rsid w:val="00771324"/>
    <w:rsid w:val="00771C8F"/>
    <w:rsid w:val="0077266E"/>
    <w:rsid w:val="0077292E"/>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4AE"/>
    <w:rsid w:val="00777E7E"/>
    <w:rsid w:val="00777EFA"/>
    <w:rsid w:val="007804DD"/>
    <w:rsid w:val="00780EC1"/>
    <w:rsid w:val="00780F3B"/>
    <w:rsid w:val="0078115B"/>
    <w:rsid w:val="007816EE"/>
    <w:rsid w:val="00781B0F"/>
    <w:rsid w:val="00782071"/>
    <w:rsid w:val="00782783"/>
    <w:rsid w:val="00782946"/>
    <w:rsid w:val="00782ECD"/>
    <w:rsid w:val="00782F44"/>
    <w:rsid w:val="0078363B"/>
    <w:rsid w:val="00783CCF"/>
    <w:rsid w:val="00783F5B"/>
    <w:rsid w:val="00784609"/>
    <w:rsid w:val="00784720"/>
    <w:rsid w:val="0078481D"/>
    <w:rsid w:val="007848C8"/>
    <w:rsid w:val="00784BE8"/>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AA6"/>
    <w:rsid w:val="00793F28"/>
    <w:rsid w:val="007944D2"/>
    <w:rsid w:val="00794B19"/>
    <w:rsid w:val="00794FFA"/>
    <w:rsid w:val="00795B8D"/>
    <w:rsid w:val="00795E34"/>
    <w:rsid w:val="00795F0E"/>
    <w:rsid w:val="00796495"/>
    <w:rsid w:val="00797063"/>
    <w:rsid w:val="00797D8F"/>
    <w:rsid w:val="007A0C00"/>
    <w:rsid w:val="007A0E15"/>
    <w:rsid w:val="007A176E"/>
    <w:rsid w:val="007A19BF"/>
    <w:rsid w:val="007A2850"/>
    <w:rsid w:val="007A2A69"/>
    <w:rsid w:val="007A2CF1"/>
    <w:rsid w:val="007A384E"/>
    <w:rsid w:val="007A41B5"/>
    <w:rsid w:val="007A4486"/>
    <w:rsid w:val="007A4682"/>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5F3"/>
    <w:rsid w:val="007B1701"/>
    <w:rsid w:val="007B1C32"/>
    <w:rsid w:val="007B1DBB"/>
    <w:rsid w:val="007B2319"/>
    <w:rsid w:val="007B2FBF"/>
    <w:rsid w:val="007B3E13"/>
    <w:rsid w:val="007B4044"/>
    <w:rsid w:val="007B4046"/>
    <w:rsid w:val="007B4300"/>
    <w:rsid w:val="007B565C"/>
    <w:rsid w:val="007B595F"/>
    <w:rsid w:val="007B5B7E"/>
    <w:rsid w:val="007B5D75"/>
    <w:rsid w:val="007B6D5E"/>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8DD"/>
    <w:rsid w:val="007C4A05"/>
    <w:rsid w:val="007C5711"/>
    <w:rsid w:val="007C57B9"/>
    <w:rsid w:val="007C6325"/>
    <w:rsid w:val="007C73A3"/>
    <w:rsid w:val="007C7975"/>
    <w:rsid w:val="007C7EF5"/>
    <w:rsid w:val="007D06AC"/>
    <w:rsid w:val="007D0741"/>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7E0"/>
    <w:rsid w:val="007D5946"/>
    <w:rsid w:val="007D5962"/>
    <w:rsid w:val="007D5A2B"/>
    <w:rsid w:val="007D6213"/>
    <w:rsid w:val="007D63B2"/>
    <w:rsid w:val="007D651D"/>
    <w:rsid w:val="007D71B7"/>
    <w:rsid w:val="007D7C66"/>
    <w:rsid w:val="007D7CF3"/>
    <w:rsid w:val="007E0274"/>
    <w:rsid w:val="007E02A7"/>
    <w:rsid w:val="007E0415"/>
    <w:rsid w:val="007E0991"/>
    <w:rsid w:val="007E0AFE"/>
    <w:rsid w:val="007E0B2C"/>
    <w:rsid w:val="007E0BD1"/>
    <w:rsid w:val="007E107F"/>
    <w:rsid w:val="007E2FD7"/>
    <w:rsid w:val="007E310B"/>
    <w:rsid w:val="007E38DA"/>
    <w:rsid w:val="007E3D65"/>
    <w:rsid w:val="007E3EE2"/>
    <w:rsid w:val="007E47E7"/>
    <w:rsid w:val="007E4A68"/>
    <w:rsid w:val="007E4A98"/>
    <w:rsid w:val="007E4EB6"/>
    <w:rsid w:val="007E5DD7"/>
    <w:rsid w:val="007E6FB9"/>
    <w:rsid w:val="007E7139"/>
    <w:rsid w:val="007E7366"/>
    <w:rsid w:val="007E7EA1"/>
    <w:rsid w:val="007E7EA4"/>
    <w:rsid w:val="007F03CE"/>
    <w:rsid w:val="007F04D3"/>
    <w:rsid w:val="007F0A1D"/>
    <w:rsid w:val="007F1095"/>
    <w:rsid w:val="007F137D"/>
    <w:rsid w:val="007F17B5"/>
    <w:rsid w:val="007F245F"/>
    <w:rsid w:val="007F2D8D"/>
    <w:rsid w:val="007F2EBF"/>
    <w:rsid w:val="007F3044"/>
    <w:rsid w:val="007F3249"/>
    <w:rsid w:val="007F3704"/>
    <w:rsid w:val="007F4657"/>
    <w:rsid w:val="007F494A"/>
    <w:rsid w:val="007F5609"/>
    <w:rsid w:val="007F5625"/>
    <w:rsid w:val="007F568A"/>
    <w:rsid w:val="007F59F7"/>
    <w:rsid w:val="007F5E21"/>
    <w:rsid w:val="007F6413"/>
    <w:rsid w:val="007F6761"/>
    <w:rsid w:val="007F676E"/>
    <w:rsid w:val="007F6B11"/>
    <w:rsid w:val="007F6E2B"/>
    <w:rsid w:val="007F7D12"/>
    <w:rsid w:val="007F7F02"/>
    <w:rsid w:val="00800258"/>
    <w:rsid w:val="00800C97"/>
    <w:rsid w:val="0080153D"/>
    <w:rsid w:val="0080220F"/>
    <w:rsid w:val="008026A7"/>
    <w:rsid w:val="00802735"/>
    <w:rsid w:val="008028C2"/>
    <w:rsid w:val="00802DDB"/>
    <w:rsid w:val="0080379D"/>
    <w:rsid w:val="008037D8"/>
    <w:rsid w:val="00803B7E"/>
    <w:rsid w:val="00803DA6"/>
    <w:rsid w:val="008040D9"/>
    <w:rsid w:val="0080436E"/>
    <w:rsid w:val="00804937"/>
    <w:rsid w:val="00804E1E"/>
    <w:rsid w:val="00804E43"/>
    <w:rsid w:val="008050F5"/>
    <w:rsid w:val="0080519C"/>
    <w:rsid w:val="0080553F"/>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6805"/>
    <w:rsid w:val="008168E2"/>
    <w:rsid w:val="00816BE8"/>
    <w:rsid w:val="00816CD5"/>
    <w:rsid w:val="00816DBD"/>
    <w:rsid w:val="00816FE2"/>
    <w:rsid w:val="00817062"/>
    <w:rsid w:val="00817991"/>
    <w:rsid w:val="00817F58"/>
    <w:rsid w:val="008203C5"/>
    <w:rsid w:val="0082046A"/>
    <w:rsid w:val="00820B84"/>
    <w:rsid w:val="0082199B"/>
    <w:rsid w:val="00821C2A"/>
    <w:rsid w:val="008227B7"/>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13E0"/>
    <w:rsid w:val="008317EC"/>
    <w:rsid w:val="0083195D"/>
    <w:rsid w:val="00831B7B"/>
    <w:rsid w:val="00831D90"/>
    <w:rsid w:val="008324F3"/>
    <w:rsid w:val="00832691"/>
    <w:rsid w:val="0083296B"/>
    <w:rsid w:val="00832B8A"/>
    <w:rsid w:val="00833547"/>
    <w:rsid w:val="00833852"/>
    <w:rsid w:val="00833AB9"/>
    <w:rsid w:val="00833B62"/>
    <w:rsid w:val="00834820"/>
    <w:rsid w:val="00834C82"/>
    <w:rsid w:val="00834DB6"/>
    <w:rsid w:val="00834F93"/>
    <w:rsid w:val="00835627"/>
    <w:rsid w:val="00835F6D"/>
    <w:rsid w:val="008375DA"/>
    <w:rsid w:val="00840C4A"/>
    <w:rsid w:val="008411B9"/>
    <w:rsid w:val="0084122F"/>
    <w:rsid w:val="00841573"/>
    <w:rsid w:val="00841D08"/>
    <w:rsid w:val="00842D43"/>
    <w:rsid w:val="00842F64"/>
    <w:rsid w:val="0084323E"/>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988"/>
    <w:rsid w:val="00852F9E"/>
    <w:rsid w:val="00853FD8"/>
    <w:rsid w:val="00854053"/>
    <w:rsid w:val="008543AC"/>
    <w:rsid w:val="008548B8"/>
    <w:rsid w:val="00854965"/>
    <w:rsid w:val="00855298"/>
    <w:rsid w:val="008554D1"/>
    <w:rsid w:val="008558E0"/>
    <w:rsid w:val="008569E0"/>
    <w:rsid w:val="00857AF7"/>
    <w:rsid w:val="00857BE5"/>
    <w:rsid w:val="00860109"/>
    <w:rsid w:val="008601BD"/>
    <w:rsid w:val="00860359"/>
    <w:rsid w:val="00860E43"/>
    <w:rsid w:val="00861252"/>
    <w:rsid w:val="0086171A"/>
    <w:rsid w:val="0086226C"/>
    <w:rsid w:val="00863237"/>
    <w:rsid w:val="00863C07"/>
    <w:rsid w:val="008640B7"/>
    <w:rsid w:val="008644A4"/>
    <w:rsid w:val="00864A6C"/>
    <w:rsid w:val="00864BB1"/>
    <w:rsid w:val="00864DF7"/>
    <w:rsid w:val="00865278"/>
    <w:rsid w:val="008654F9"/>
    <w:rsid w:val="008658C0"/>
    <w:rsid w:val="008660F7"/>
    <w:rsid w:val="00866388"/>
    <w:rsid w:val="0086644B"/>
    <w:rsid w:val="00866FE3"/>
    <w:rsid w:val="0086722D"/>
    <w:rsid w:val="00867AD8"/>
    <w:rsid w:val="00867C04"/>
    <w:rsid w:val="00867D56"/>
    <w:rsid w:val="00867D70"/>
    <w:rsid w:val="00870646"/>
    <w:rsid w:val="008706C3"/>
    <w:rsid w:val="00870BAA"/>
    <w:rsid w:val="00870D91"/>
    <w:rsid w:val="008716D1"/>
    <w:rsid w:val="008716ED"/>
    <w:rsid w:val="008718AD"/>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80017"/>
    <w:rsid w:val="00880305"/>
    <w:rsid w:val="0088088A"/>
    <w:rsid w:val="00880A3F"/>
    <w:rsid w:val="00880EE2"/>
    <w:rsid w:val="008813BC"/>
    <w:rsid w:val="00881732"/>
    <w:rsid w:val="008818A2"/>
    <w:rsid w:val="00881FF9"/>
    <w:rsid w:val="0088213D"/>
    <w:rsid w:val="008821C6"/>
    <w:rsid w:val="0088243D"/>
    <w:rsid w:val="0088251A"/>
    <w:rsid w:val="00882D28"/>
    <w:rsid w:val="00883A67"/>
    <w:rsid w:val="008848E9"/>
    <w:rsid w:val="00884FD8"/>
    <w:rsid w:val="00885244"/>
    <w:rsid w:val="008857C7"/>
    <w:rsid w:val="008858B3"/>
    <w:rsid w:val="00885BF6"/>
    <w:rsid w:val="008866CF"/>
    <w:rsid w:val="00886782"/>
    <w:rsid w:val="008869A1"/>
    <w:rsid w:val="00886B3F"/>
    <w:rsid w:val="0088727A"/>
    <w:rsid w:val="00887686"/>
    <w:rsid w:val="0089015D"/>
    <w:rsid w:val="0089021A"/>
    <w:rsid w:val="0089022E"/>
    <w:rsid w:val="00890475"/>
    <w:rsid w:val="00890A7C"/>
    <w:rsid w:val="00890D11"/>
    <w:rsid w:val="008910EE"/>
    <w:rsid w:val="00891A26"/>
    <w:rsid w:val="008923F8"/>
    <w:rsid w:val="008928F1"/>
    <w:rsid w:val="00892BBF"/>
    <w:rsid w:val="00892DB5"/>
    <w:rsid w:val="0089346D"/>
    <w:rsid w:val="008935AB"/>
    <w:rsid w:val="00893F27"/>
    <w:rsid w:val="008942BD"/>
    <w:rsid w:val="0089478A"/>
    <w:rsid w:val="0089480A"/>
    <w:rsid w:val="00894FE5"/>
    <w:rsid w:val="00895658"/>
    <w:rsid w:val="008956DA"/>
    <w:rsid w:val="00895BA9"/>
    <w:rsid w:val="00895D79"/>
    <w:rsid w:val="0089601B"/>
    <w:rsid w:val="0089647F"/>
    <w:rsid w:val="0089655D"/>
    <w:rsid w:val="00896784"/>
    <w:rsid w:val="00896C56"/>
    <w:rsid w:val="00897051"/>
    <w:rsid w:val="00897824"/>
    <w:rsid w:val="00897BCB"/>
    <w:rsid w:val="00897C07"/>
    <w:rsid w:val="00897DBA"/>
    <w:rsid w:val="008A02FA"/>
    <w:rsid w:val="008A06A8"/>
    <w:rsid w:val="008A1AAC"/>
    <w:rsid w:val="008A20CA"/>
    <w:rsid w:val="008A239B"/>
    <w:rsid w:val="008A2505"/>
    <w:rsid w:val="008A2956"/>
    <w:rsid w:val="008A2EA1"/>
    <w:rsid w:val="008A2EF6"/>
    <w:rsid w:val="008A3480"/>
    <w:rsid w:val="008A3642"/>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BB8"/>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D8"/>
    <w:rsid w:val="008B66EE"/>
    <w:rsid w:val="008B6793"/>
    <w:rsid w:val="008B6E87"/>
    <w:rsid w:val="008B75C2"/>
    <w:rsid w:val="008B787A"/>
    <w:rsid w:val="008C0219"/>
    <w:rsid w:val="008C0A89"/>
    <w:rsid w:val="008C0AA9"/>
    <w:rsid w:val="008C0E71"/>
    <w:rsid w:val="008C1852"/>
    <w:rsid w:val="008C2CFF"/>
    <w:rsid w:val="008C2E1E"/>
    <w:rsid w:val="008C2E22"/>
    <w:rsid w:val="008C2ED2"/>
    <w:rsid w:val="008C3612"/>
    <w:rsid w:val="008C3D4D"/>
    <w:rsid w:val="008C4026"/>
    <w:rsid w:val="008C417E"/>
    <w:rsid w:val="008C4E31"/>
    <w:rsid w:val="008C5B51"/>
    <w:rsid w:val="008C5F0A"/>
    <w:rsid w:val="008C6105"/>
    <w:rsid w:val="008C6124"/>
    <w:rsid w:val="008C6334"/>
    <w:rsid w:val="008C66BD"/>
    <w:rsid w:val="008C6968"/>
    <w:rsid w:val="008C742A"/>
    <w:rsid w:val="008C74C7"/>
    <w:rsid w:val="008C7714"/>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C72"/>
    <w:rsid w:val="008D4CF8"/>
    <w:rsid w:val="008D5246"/>
    <w:rsid w:val="008D5291"/>
    <w:rsid w:val="008D5368"/>
    <w:rsid w:val="008D561B"/>
    <w:rsid w:val="008D582B"/>
    <w:rsid w:val="008D5CF9"/>
    <w:rsid w:val="008D5D0A"/>
    <w:rsid w:val="008D6199"/>
    <w:rsid w:val="008D64B9"/>
    <w:rsid w:val="008D6794"/>
    <w:rsid w:val="008D7F65"/>
    <w:rsid w:val="008E0178"/>
    <w:rsid w:val="008E02F8"/>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54E8"/>
    <w:rsid w:val="008E5740"/>
    <w:rsid w:val="008E5868"/>
    <w:rsid w:val="008E5ADB"/>
    <w:rsid w:val="008E5DC8"/>
    <w:rsid w:val="008E6465"/>
    <w:rsid w:val="008E6C57"/>
    <w:rsid w:val="008E7082"/>
    <w:rsid w:val="008E72AF"/>
    <w:rsid w:val="008F0952"/>
    <w:rsid w:val="008F1154"/>
    <w:rsid w:val="008F1B84"/>
    <w:rsid w:val="008F1B9D"/>
    <w:rsid w:val="008F1DB6"/>
    <w:rsid w:val="008F337C"/>
    <w:rsid w:val="008F39C0"/>
    <w:rsid w:val="008F39E4"/>
    <w:rsid w:val="008F51F0"/>
    <w:rsid w:val="008F57CD"/>
    <w:rsid w:val="008F5960"/>
    <w:rsid w:val="008F5CD0"/>
    <w:rsid w:val="008F629A"/>
    <w:rsid w:val="008F6A9B"/>
    <w:rsid w:val="008F6F03"/>
    <w:rsid w:val="008F7603"/>
    <w:rsid w:val="008F769D"/>
    <w:rsid w:val="008F76B7"/>
    <w:rsid w:val="008F76DC"/>
    <w:rsid w:val="008F7D2F"/>
    <w:rsid w:val="008F7E68"/>
    <w:rsid w:val="009013C5"/>
    <w:rsid w:val="0090147B"/>
    <w:rsid w:val="00901649"/>
    <w:rsid w:val="00901CBA"/>
    <w:rsid w:val="00901DC6"/>
    <w:rsid w:val="00901EEE"/>
    <w:rsid w:val="009021DC"/>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8D2"/>
    <w:rsid w:val="00910C20"/>
    <w:rsid w:val="00910FE1"/>
    <w:rsid w:val="0091106A"/>
    <w:rsid w:val="00911C09"/>
    <w:rsid w:val="00911D1C"/>
    <w:rsid w:val="00912F38"/>
    <w:rsid w:val="0091340D"/>
    <w:rsid w:val="00913C58"/>
    <w:rsid w:val="00913D36"/>
    <w:rsid w:val="009140B4"/>
    <w:rsid w:val="00914174"/>
    <w:rsid w:val="0091428A"/>
    <w:rsid w:val="00914733"/>
    <w:rsid w:val="0091495E"/>
    <w:rsid w:val="00914AA5"/>
    <w:rsid w:val="00914EAF"/>
    <w:rsid w:val="00915428"/>
    <w:rsid w:val="009162DD"/>
    <w:rsid w:val="009163E7"/>
    <w:rsid w:val="0091670A"/>
    <w:rsid w:val="0091671A"/>
    <w:rsid w:val="009169F6"/>
    <w:rsid w:val="009170FD"/>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37D9"/>
    <w:rsid w:val="0092406C"/>
    <w:rsid w:val="00924096"/>
    <w:rsid w:val="009243BC"/>
    <w:rsid w:val="009244D5"/>
    <w:rsid w:val="00925049"/>
    <w:rsid w:val="0092523A"/>
    <w:rsid w:val="009252F1"/>
    <w:rsid w:val="00925588"/>
    <w:rsid w:val="00925733"/>
    <w:rsid w:val="00925AF5"/>
    <w:rsid w:val="00926244"/>
    <w:rsid w:val="00926268"/>
    <w:rsid w:val="009264A2"/>
    <w:rsid w:val="0092715D"/>
    <w:rsid w:val="00927299"/>
    <w:rsid w:val="009278F0"/>
    <w:rsid w:val="00930632"/>
    <w:rsid w:val="009310BC"/>
    <w:rsid w:val="00931D3F"/>
    <w:rsid w:val="009324C4"/>
    <w:rsid w:val="00932671"/>
    <w:rsid w:val="00932A7A"/>
    <w:rsid w:val="00932D26"/>
    <w:rsid w:val="009330BF"/>
    <w:rsid w:val="00933817"/>
    <w:rsid w:val="009340EB"/>
    <w:rsid w:val="00934510"/>
    <w:rsid w:val="0093476C"/>
    <w:rsid w:val="00935A1E"/>
    <w:rsid w:val="00935AA3"/>
    <w:rsid w:val="00935B7C"/>
    <w:rsid w:val="00935E3A"/>
    <w:rsid w:val="00936005"/>
    <w:rsid w:val="0093607C"/>
    <w:rsid w:val="00940008"/>
    <w:rsid w:val="00940FFA"/>
    <w:rsid w:val="00941010"/>
    <w:rsid w:val="00941503"/>
    <w:rsid w:val="0094187D"/>
    <w:rsid w:val="009423ED"/>
    <w:rsid w:val="00942C90"/>
    <w:rsid w:val="00942F29"/>
    <w:rsid w:val="00942FB6"/>
    <w:rsid w:val="009430E1"/>
    <w:rsid w:val="009434EB"/>
    <w:rsid w:val="00943EA6"/>
    <w:rsid w:val="009443F2"/>
    <w:rsid w:val="009448F2"/>
    <w:rsid w:val="009451E0"/>
    <w:rsid w:val="0094524B"/>
    <w:rsid w:val="009456E3"/>
    <w:rsid w:val="00945759"/>
    <w:rsid w:val="00945925"/>
    <w:rsid w:val="009466E9"/>
    <w:rsid w:val="00946CB3"/>
    <w:rsid w:val="00946D20"/>
    <w:rsid w:val="00946E51"/>
    <w:rsid w:val="009473F4"/>
    <w:rsid w:val="0094767D"/>
    <w:rsid w:val="00950231"/>
    <w:rsid w:val="00950794"/>
    <w:rsid w:val="009507AA"/>
    <w:rsid w:val="009509EF"/>
    <w:rsid w:val="009512DC"/>
    <w:rsid w:val="009515CA"/>
    <w:rsid w:val="00951691"/>
    <w:rsid w:val="00951FCE"/>
    <w:rsid w:val="009521CC"/>
    <w:rsid w:val="0095226C"/>
    <w:rsid w:val="0095269B"/>
    <w:rsid w:val="00952C05"/>
    <w:rsid w:val="00952D52"/>
    <w:rsid w:val="009540B7"/>
    <w:rsid w:val="009543D0"/>
    <w:rsid w:val="00954AF9"/>
    <w:rsid w:val="00954DAE"/>
    <w:rsid w:val="00955410"/>
    <w:rsid w:val="009558EE"/>
    <w:rsid w:val="009559D5"/>
    <w:rsid w:val="00955C17"/>
    <w:rsid w:val="00955FFA"/>
    <w:rsid w:val="00956170"/>
    <w:rsid w:val="009561F8"/>
    <w:rsid w:val="00956BA1"/>
    <w:rsid w:val="00956D42"/>
    <w:rsid w:val="00956F0F"/>
    <w:rsid w:val="0095727F"/>
    <w:rsid w:val="009572AF"/>
    <w:rsid w:val="00957E41"/>
    <w:rsid w:val="0096016E"/>
    <w:rsid w:val="0096023A"/>
    <w:rsid w:val="009607AB"/>
    <w:rsid w:val="00961154"/>
    <w:rsid w:val="009615DB"/>
    <w:rsid w:val="00962683"/>
    <w:rsid w:val="00962ADC"/>
    <w:rsid w:val="00962E23"/>
    <w:rsid w:val="0096487C"/>
    <w:rsid w:val="00964BC2"/>
    <w:rsid w:val="00964D4A"/>
    <w:rsid w:val="00964EAE"/>
    <w:rsid w:val="00965023"/>
    <w:rsid w:val="009650B7"/>
    <w:rsid w:val="0096515D"/>
    <w:rsid w:val="0096554B"/>
    <w:rsid w:val="00965841"/>
    <w:rsid w:val="00966623"/>
    <w:rsid w:val="009678DB"/>
    <w:rsid w:val="00970728"/>
    <w:rsid w:val="009707C9"/>
    <w:rsid w:val="00971303"/>
    <w:rsid w:val="00971E0B"/>
    <w:rsid w:val="00972101"/>
    <w:rsid w:val="00972285"/>
    <w:rsid w:val="00972FB5"/>
    <w:rsid w:val="00973607"/>
    <w:rsid w:val="009736FE"/>
    <w:rsid w:val="00973B96"/>
    <w:rsid w:val="00973E3C"/>
    <w:rsid w:val="00974763"/>
    <w:rsid w:val="009757CA"/>
    <w:rsid w:val="00976E76"/>
    <w:rsid w:val="00977A14"/>
    <w:rsid w:val="00977E9B"/>
    <w:rsid w:val="009807BF"/>
    <w:rsid w:val="009809CE"/>
    <w:rsid w:val="0098131F"/>
    <w:rsid w:val="00981479"/>
    <w:rsid w:val="00981F74"/>
    <w:rsid w:val="0098237C"/>
    <w:rsid w:val="009829B3"/>
    <w:rsid w:val="00982C31"/>
    <w:rsid w:val="00982D45"/>
    <w:rsid w:val="00983165"/>
    <w:rsid w:val="00983343"/>
    <w:rsid w:val="009833C4"/>
    <w:rsid w:val="009834E0"/>
    <w:rsid w:val="009838FF"/>
    <w:rsid w:val="00984149"/>
    <w:rsid w:val="00984788"/>
    <w:rsid w:val="00984909"/>
    <w:rsid w:val="00984FF3"/>
    <w:rsid w:val="00984FF9"/>
    <w:rsid w:val="009850C5"/>
    <w:rsid w:val="0098516C"/>
    <w:rsid w:val="00985208"/>
    <w:rsid w:val="00986326"/>
    <w:rsid w:val="00986849"/>
    <w:rsid w:val="00986BB7"/>
    <w:rsid w:val="00986D4B"/>
    <w:rsid w:val="00986F6D"/>
    <w:rsid w:val="0098727C"/>
    <w:rsid w:val="00987708"/>
    <w:rsid w:val="00987DF0"/>
    <w:rsid w:val="00987E2E"/>
    <w:rsid w:val="0099008B"/>
    <w:rsid w:val="00990387"/>
    <w:rsid w:val="0099177B"/>
    <w:rsid w:val="00991B8C"/>
    <w:rsid w:val="0099367E"/>
    <w:rsid w:val="00993FE4"/>
    <w:rsid w:val="0099425E"/>
    <w:rsid w:val="00994CDC"/>
    <w:rsid w:val="009969CD"/>
    <w:rsid w:val="0099770A"/>
    <w:rsid w:val="00997769"/>
    <w:rsid w:val="00997A2E"/>
    <w:rsid w:val="009A048E"/>
    <w:rsid w:val="009A119F"/>
    <w:rsid w:val="009A1609"/>
    <w:rsid w:val="009A16A3"/>
    <w:rsid w:val="009A1A7E"/>
    <w:rsid w:val="009A3480"/>
    <w:rsid w:val="009A3DB8"/>
    <w:rsid w:val="009A43B3"/>
    <w:rsid w:val="009A464D"/>
    <w:rsid w:val="009A496F"/>
    <w:rsid w:val="009A4B78"/>
    <w:rsid w:val="009A4D73"/>
    <w:rsid w:val="009A4E41"/>
    <w:rsid w:val="009A5297"/>
    <w:rsid w:val="009A5851"/>
    <w:rsid w:val="009A5C0C"/>
    <w:rsid w:val="009A5D40"/>
    <w:rsid w:val="009A5E10"/>
    <w:rsid w:val="009A6665"/>
    <w:rsid w:val="009A743F"/>
    <w:rsid w:val="009A74F7"/>
    <w:rsid w:val="009B00F2"/>
    <w:rsid w:val="009B0E67"/>
    <w:rsid w:val="009B0FB2"/>
    <w:rsid w:val="009B1113"/>
    <w:rsid w:val="009B1C34"/>
    <w:rsid w:val="009B1D22"/>
    <w:rsid w:val="009B1E86"/>
    <w:rsid w:val="009B27C4"/>
    <w:rsid w:val="009B2BE6"/>
    <w:rsid w:val="009B2D92"/>
    <w:rsid w:val="009B31DE"/>
    <w:rsid w:val="009B3250"/>
    <w:rsid w:val="009B35A6"/>
    <w:rsid w:val="009B42A4"/>
    <w:rsid w:val="009B42D2"/>
    <w:rsid w:val="009B44D0"/>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F71"/>
    <w:rsid w:val="009D111C"/>
    <w:rsid w:val="009D17A0"/>
    <w:rsid w:val="009D1F7A"/>
    <w:rsid w:val="009D2873"/>
    <w:rsid w:val="009D2942"/>
    <w:rsid w:val="009D2BB8"/>
    <w:rsid w:val="009D3A1A"/>
    <w:rsid w:val="009D426A"/>
    <w:rsid w:val="009D5BDB"/>
    <w:rsid w:val="009D6B03"/>
    <w:rsid w:val="009D6B3D"/>
    <w:rsid w:val="009D7422"/>
    <w:rsid w:val="009D7567"/>
    <w:rsid w:val="009D78E7"/>
    <w:rsid w:val="009E0742"/>
    <w:rsid w:val="009E0B29"/>
    <w:rsid w:val="009E1291"/>
    <w:rsid w:val="009E12BC"/>
    <w:rsid w:val="009E139D"/>
    <w:rsid w:val="009E224D"/>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7C1"/>
    <w:rsid w:val="009E624A"/>
    <w:rsid w:val="009E6B32"/>
    <w:rsid w:val="009E7039"/>
    <w:rsid w:val="009E70F3"/>
    <w:rsid w:val="009E730A"/>
    <w:rsid w:val="009E7E98"/>
    <w:rsid w:val="009F00EE"/>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A91"/>
    <w:rsid w:val="009F71A6"/>
    <w:rsid w:val="009F71AA"/>
    <w:rsid w:val="009F754A"/>
    <w:rsid w:val="009F791F"/>
    <w:rsid w:val="009F7F86"/>
    <w:rsid w:val="00A0034D"/>
    <w:rsid w:val="00A00BFB"/>
    <w:rsid w:val="00A00DCF"/>
    <w:rsid w:val="00A0126C"/>
    <w:rsid w:val="00A012DA"/>
    <w:rsid w:val="00A0187E"/>
    <w:rsid w:val="00A026F0"/>
    <w:rsid w:val="00A02E29"/>
    <w:rsid w:val="00A02F2D"/>
    <w:rsid w:val="00A02F61"/>
    <w:rsid w:val="00A03529"/>
    <w:rsid w:val="00A03E0E"/>
    <w:rsid w:val="00A040D1"/>
    <w:rsid w:val="00A044B7"/>
    <w:rsid w:val="00A04A0A"/>
    <w:rsid w:val="00A050A8"/>
    <w:rsid w:val="00A056A3"/>
    <w:rsid w:val="00A059AF"/>
    <w:rsid w:val="00A05B51"/>
    <w:rsid w:val="00A06286"/>
    <w:rsid w:val="00A06318"/>
    <w:rsid w:val="00A063BC"/>
    <w:rsid w:val="00A068E1"/>
    <w:rsid w:val="00A06A80"/>
    <w:rsid w:val="00A06D8A"/>
    <w:rsid w:val="00A0711F"/>
    <w:rsid w:val="00A07B0B"/>
    <w:rsid w:val="00A102A0"/>
    <w:rsid w:val="00A10860"/>
    <w:rsid w:val="00A114FA"/>
    <w:rsid w:val="00A11615"/>
    <w:rsid w:val="00A11AF3"/>
    <w:rsid w:val="00A12ACF"/>
    <w:rsid w:val="00A12B42"/>
    <w:rsid w:val="00A12BD4"/>
    <w:rsid w:val="00A12C09"/>
    <w:rsid w:val="00A13084"/>
    <w:rsid w:val="00A1327F"/>
    <w:rsid w:val="00A13817"/>
    <w:rsid w:val="00A138D3"/>
    <w:rsid w:val="00A13E0F"/>
    <w:rsid w:val="00A144B7"/>
    <w:rsid w:val="00A149B4"/>
    <w:rsid w:val="00A152D3"/>
    <w:rsid w:val="00A15F4F"/>
    <w:rsid w:val="00A160AB"/>
    <w:rsid w:val="00A16745"/>
    <w:rsid w:val="00A16747"/>
    <w:rsid w:val="00A17E93"/>
    <w:rsid w:val="00A20013"/>
    <w:rsid w:val="00A2056F"/>
    <w:rsid w:val="00A20582"/>
    <w:rsid w:val="00A20C65"/>
    <w:rsid w:val="00A21767"/>
    <w:rsid w:val="00A21FD5"/>
    <w:rsid w:val="00A22751"/>
    <w:rsid w:val="00A22940"/>
    <w:rsid w:val="00A22F63"/>
    <w:rsid w:val="00A23102"/>
    <w:rsid w:val="00A233D8"/>
    <w:rsid w:val="00A2343F"/>
    <w:rsid w:val="00A23505"/>
    <w:rsid w:val="00A2428B"/>
    <w:rsid w:val="00A247E5"/>
    <w:rsid w:val="00A248BD"/>
    <w:rsid w:val="00A24D81"/>
    <w:rsid w:val="00A24EA5"/>
    <w:rsid w:val="00A25173"/>
    <w:rsid w:val="00A252F0"/>
    <w:rsid w:val="00A2542D"/>
    <w:rsid w:val="00A259F2"/>
    <w:rsid w:val="00A26463"/>
    <w:rsid w:val="00A2660E"/>
    <w:rsid w:val="00A26916"/>
    <w:rsid w:val="00A26B47"/>
    <w:rsid w:val="00A26FF1"/>
    <w:rsid w:val="00A27547"/>
    <w:rsid w:val="00A2770B"/>
    <w:rsid w:val="00A27806"/>
    <w:rsid w:val="00A3068C"/>
    <w:rsid w:val="00A3127F"/>
    <w:rsid w:val="00A31922"/>
    <w:rsid w:val="00A31BCC"/>
    <w:rsid w:val="00A31C70"/>
    <w:rsid w:val="00A31C87"/>
    <w:rsid w:val="00A325BB"/>
    <w:rsid w:val="00A3297A"/>
    <w:rsid w:val="00A32A58"/>
    <w:rsid w:val="00A32EEC"/>
    <w:rsid w:val="00A333A5"/>
    <w:rsid w:val="00A336C5"/>
    <w:rsid w:val="00A339D9"/>
    <w:rsid w:val="00A33BD6"/>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638"/>
    <w:rsid w:val="00A41B15"/>
    <w:rsid w:val="00A4224E"/>
    <w:rsid w:val="00A4229F"/>
    <w:rsid w:val="00A428A9"/>
    <w:rsid w:val="00A42ACA"/>
    <w:rsid w:val="00A4327C"/>
    <w:rsid w:val="00A43496"/>
    <w:rsid w:val="00A43665"/>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E44"/>
    <w:rsid w:val="00A47F91"/>
    <w:rsid w:val="00A507D7"/>
    <w:rsid w:val="00A50A5C"/>
    <w:rsid w:val="00A50BE2"/>
    <w:rsid w:val="00A50CC6"/>
    <w:rsid w:val="00A50E40"/>
    <w:rsid w:val="00A51462"/>
    <w:rsid w:val="00A51946"/>
    <w:rsid w:val="00A51FF7"/>
    <w:rsid w:val="00A52079"/>
    <w:rsid w:val="00A52143"/>
    <w:rsid w:val="00A521E9"/>
    <w:rsid w:val="00A5298E"/>
    <w:rsid w:val="00A52B3E"/>
    <w:rsid w:val="00A5313B"/>
    <w:rsid w:val="00A5320E"/>
    <w:rsid w:val="00A53F7B"/>
    <w:rsid w:val="00A54090"/>
    <w:rsid w:val="00A541F3"/>
    <w:rsid w:val="00A54282"/>
    <w:rsid w:val="00A549D3"/>
    <w:rsid w:val="00A54DF0"/>
    <w:rsid w:val="00A55616"/>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BA5"/>
    <w:rsid w:val="00A66354"/>
    <w:rsid w:val="00A66E37"/>
    <w:rsid w:val="00A66ECF"/>
    <w:rsid w:val="00A67681"/>
    <w:rsid w:val="00A67E38"/>
    <w:rsid w:val="00A703E4"/>
    <w:rsid w:val="00A704C9"/>
    <w:rsid w:val="00A70DC6"/>
    <w:rsid w:val="00A71080"/>
    <w:rsid w:val="00A71986"/>
    <w:rsid w:val="00A71E3D"/>
    <w:rsid w:val="00A71E73"/>
    <w:rsid w:val="00A72740"/>
    <w:rsid w:val="00A73A64"/>
    <w:rsid w:val="00A742AD"/>
    <w:rsid w:val="00A746D7"/>
    <w:rsid w:val="00A74AB2"/>
    <w:rsid w:val="00A75A27"/>
    <w:rsid w:val="00A75A46"/>
    <w:rsid w:val="00A75B36"/>
    <w:rsid w:val="00A7623B"/>
    <w:rsid w:val="00A7660A"/>
    <w:rsid w:val="00A7663A"/>
    <w:rsid w:val="00A7696B"/>
    <w:rsid w:val="00A769D4"/>
    <w:rsid w:val="00A8008F"/>
    <w:rsid w:val="00A804C7"/>
    <w:rsid w:val="00A80857"/>
    <w:rsid w:val="00A80A39"/>
    <w:rsid w:val="00A80DF0"/>
    <w:rsid w:val="00A80E64"/>
    <w:rsid w:val="00A81A16"/>
    <w:rsid w:val="00A823A7"/>
    <w:rsid w:val="00A824D4"/>
    <w:rsid w:val="00A825C8"/>
    <w:rsid w:val="00A82742"/>
    <w:rsid w:val="00A82A29"/>
    <w:rsid w:val="00A83984"/>
    <w:rsid w:val="00A83A1E"/>
    <w:rsid w:val="00A84198"/>
    <w:rsid w:val="00A841AB"/>
    <w:rsid w:val="00A84FFD"/>
    <w:rsid w:val="00A856A9"/>
    <w:rsid w:val="00A86104"/>
    <w:rsid w:val="00A8655A"/>
    <w:rsid w:val="00A87203"/>
    <w:rsid w:val="00A87744"/>
    <w:rsid w:val="00A87AE6"/>
    <w:rsid w:val="00A87B09"/>
    <w:rsid w:val="00A87C22"/>
    <w:rsid w:val="00A90590"/>
    <w:rsid w:val="00A90856"/>
    <w:rsid w:val="00A90A39"/>
    <w:rsid w:val="00A90A97"/>
    <w:rsid w:val="00A90CB4"/>
    <w:rsid w:val="00A910DA"/>
    <w:rsid w:val="00A920E1"/>
    <w:rsid w:val="00A92998"/>
    <w:rsid w:val="00A933AE"/>
    <w:rsid w:val="00A93863"/>
    <w:rsid w:val="00A93928"/>
    <w:rsid w:val="00A93F73"/>
    <w:rsid w:val="00A9415E"/>
    <w:rsid w:val="00A9423F"/>
    <w:rsid w:val="00A94EBD"/>
    <w:rsid w:val="00A9510D"/>
    <w:rsid w:val="00A95580"/>
    <w:rsid w:val="00A956AC"/>
    <w:rsid w:val="00A95D2A"/>
    <w:rsid w:val="00A961D6"/>
    <w:rsid w:val="00A96214"/>
    <w:rsid w:val="00A967E8"/>
    <w:rsid w:val="00A97F4B"/>
    <w:rsid w:val="00AA04C5"/>
    <w:rsid w:val="00AA10B1"/>
    <w:rsid w:val="00AA2803"/>
    <w:rsid w:val="00AA2BF2"/>
    <w:rsid w:val="00AA2D68"/>
    <w:rsid w:val="00AA2D6F"/>
    <w:rsid w:val="00AA2E92"/>
    <w:rsid w:val="00AA3987"/>
    <w:rsid w:val="00AA3B68"/>
    <w:rsid w:val="00AA3E79"/>
    <w:rsid w:val="00AA4FB4"/>
    <w:rsid w:val="00AA5C0B"/>
    <w:rsid w:val="00AA5E3B"/>
    <w:rsid w:val="00AA63AD"/>
    <w:rsid w:val="00AA65B4"/>
    <w:rsid w:val="00AA6A75"/>
    <w:rsid w:val="00AA745E"/>
    <w:rsid w:val="00AB04AB"/>
    <w:rsid w:val="00AB0733"/>
    <w:rsid w:val="00AB09D2"/>
    <w:rsid w:val="00AB0B64"/>
    <w:rsid w:val="00AB0C30"/>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1231"/>
    <w:rsid w:val="00AC1992"/>
    <w:rsid w:val="00AC1E14"/>
    <w:rsid w:val="00AC2CFA"/>
    <w:rsid w:val="00AC3263"/>
    <w:rsid w:val="00AC337E"/>
    <w:rsid w:val="00AC3E12"/>
    <w:rsid w:val="00AC406E"/>
    <w:rsid w:val="00AC417C"/>
    <w:rsid w:val="00AC430C"/>
    <w:rsid w:val="00AC4951"/>
    <w:rsid w:val="00AC49C9"/>
    <w:rsid w:val="00AC4A6B"/>
    <w:rsid w:val="00AC5C19"/>
    <w:rsid w:val="00AC60F0"/>
    <w:rsid w:val="00AC63C7"/>
    <w:rsid w:val="00AC6657"/>
    <w:rsid w:val="00AC6D7A"/>
    <w:rsid w:val="00AC7363"/>
    <w:rsid w:val="00AC7401"/>
    <w:rsid w:val="00AC7901"/>
    <w:rsid w:val="00AC79F3"/>
    <w:rsid w:val="00AC7FDD"/>
    <w:rsid w:val="00AD0949"/>
    <w:rsid w:val="00AD0F1D"/>
    <w:rsid w:val="00AD1179"/>
    <w:rsid w:val="00AD1359"/>
    <w:rsid w:val="00AD19F0"/>
    <w:rsid w:val="00AD1FCE"/>
    <w:rsid w:val="00AD26E1"/>
    <w:rsid w:val="00AD29CC"/>
    <w:rsid w:val="00AD3268"/>
    <w:rsid w:val="00AD3652"/>
    <w:rsid w:val="00AD3D6C"/>
    <w:rsid w:val="00AD3DE2"/>
    <w:rsid w:val="00AD4261"/>
    <w:rsid w:val="00AD46F5"/>
    <w:rsid w:val="00AD51A3"/>
    <w:rsid w:val="00AD598B"/>
    <w:rsid w:val="00AD7154"/>
    <w:rsid w:val="00AD793C"/>
    <w:rsid w:val="00AD797D"/>
    <w:rsid w:val="00AD7E02"/>
    <w:rsid w:val="00AE0034"/>
    <w:rsid w:val="00AE0483"/>
    <w:rsid w:val="00AE08DD"/>
    <w:rsid w:val="00AE13BD"/>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593B"/>
    <w:rsid w:val="00AE60E4"/>
    <w:rsid w:val="00AE6872"/>
    <w:rsid w:val="00AE6C58"/>
    <w:rsid w:val="00AE72C4"/>
    <w:rsid w:val="00AE7F05"/>
    <w:rsid w:val="00AE7F38"/>
    <w:rsid w:val="00AF054D"/>
    <w:rsid w:val="00AF0939"/>
    <w:rsid w:val="00AF0981"/>
    <w:rsid w:val="00AF0F9C"/>
    <w:rsid w:val="00AF10F0"/>
    <w:rsid w:val="00AF18E2"/>
    <w:rsid w:val="00AF19C4"/>
    <w:rsid w:val="00AF24E7"/>
    <w:rsid w:val="00AF272B"/>
    <w:rsid w:val="00AF291B"/>
    <w:rsid w:val="00AF2DAA"/>
    <w:rsid w:val="00AF2EBD"/>
    <w:rsid w:val="00AF33AE"/>
    <w:rsid w:val="00AF3CDC"/>
    <w:rsid w:val="00AF44B1"/>
    <w:rsid w:val="00AF5800"/>
    <w:rsid w:val="00AF6986"/>
    <w:rsid w:val="00AF69FE"/>
    <w:rsid w:val="00AF6A77"/>
    <w:rsid w:val="00AF6D1B"/>
    <w:rsid w:val="00AF73ED"/>
    <w:rsid w:val="00AF76A8"/>
    <w:rsid w:val="00AF7D69"/>
    <w:rsid w:val="00AF7ED2"/>
    <w:rsid w:val="00B004D8"/>
    <w:rsid w:val="00B00830"/>
    <w:rsid w:val="00B00CC5"/>
    <w:rsid w:val="00B016D2"/>
    <w:rsid w:val="00B02091"/>
    <w:rsid w:val="00B0250E"/>
    <w:rsid w:val="00B02B43"/>
    <w:rsid w:val="00B03697"/>
    <w:rsid w:val="00B03D36"/>
    <w:rsid w:val="00B04540"/>
    <w:rsid w:val="00B046F1"/>
    <w:rsid w:val="00B05116"/>
    <w:rsid w:val="00B051A7"/>
    <w:rsid w:val="00B05F1A"/>
    <w:rsid w:val="00B066A2"/>
    <w:rsid w:val="00B06D58"/>
    <w:rsid w:val="00B07B33"/>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5AB"/>
    <w:rsid w:val="00B135DC"/>
    <w:rsid w:val="00B13797"/>
    <w:rsid w:val="00B137BF"/>
    <w:rsid w:val="00B13A1B"/>
    <w:rsid w:val="00B13A76"/>
    <w:rsid w:val="00B142D9"/>
    <w:rsid w:val="00B145D5"/>
    <w:rsid w:val="00B14BC4"/>
    <w:rsid w:val="00B158A3"/>
    <w:rsid w:val="00B15B25"/>
    <w:rsid w:val="00B15C36"/>
    <w:rsid w:val="00B15EA0"/>
    <w:rsid w:val="00B16069"/>
    <w:rsid w:val="00B16F73"/>
    <w:rsid w:val="00B1745A"/>
    <w:rsid w:val="00B17785"/>
    <w:rsid w:val="00B17A19"/>
    <w:rsid w:val="00B17A4E"/>
    <w:rsid w:val="00B17B30"/>
    <w:rsid w:val="00B17C2F"/>
    <w:rsid w:val="00B2153E"/>
    <w:rsid w:val="00B218CB"/>
    <w:rsid w:val="00B21FA7"/>
    <w:rsid w:val="00B22022"/>
    <w:rsid w:val="00B225E4"/>
    <w:rsid w:val="00B23223"/>
    <w:rsid w:val="00B23F7A"/>
    <w:rsid w:val="00B240B1"/>
    <w:rsid w:val="00B24208"/>
    <w:rsid w:val="00B24374"/>
    <w:rsid w:val="00B24728"/>
    <w:rsid w:val="00B248A9"/>
    <w:rsid w:val="00B2490A"/>
    <w:rsid w:val="00B24BE3"/>
    <w:rsid w:val="00B24D28"/>
    <w:rsid w:val="00B24F1C"/>
    <w:rsid w:val="00B25D76"/>
    <w:rsid w:val="00B27032"/>
    <w:rsid w:val="00B27085"/>
    <w:rsid w:val="00B27583"/>
    <w:rsid w:val="00B30003"/>
    <w:rsid w:val="00B3015C"/>
    <w:rsid w:val="00B30642"/>
    <w:rsid w:val="00B31201"/>
    <w:rsid w:val="00B31B4B"/>
    <w:rsid w:val="00B31E36"/>
    <w:rsid w:val="00B32E26"/>
    <w:rsid w:val="00B338B7"/>
    <w:rsid w:val="00B34061"/>
    <w:rsid w:val="00B34376"/>
    <w:rsid w:val="00B3440A"/>
    <w:rsid w:val="00B34441"/>
    <w:rsid w:val="00B35533"/>
    <w:rsid w:val="00B35534"/>
    <w:rsid w:val="00B35A87"/>
    <w:rsid w:val="00B35AFD"/>
    <w:rsid w:val="00B35F9A"/>
    <w:rsid w:val="00B3609C"/>
    <w:rsid w:val="00B36236"/>
    <w:rsid w:val="00B3662E"/>
    <w:rsid w:val="00B36645"/>
    <w:rsid w:val="00B366D2"/>
    <w:rsid w:val="00B366FA"/>
    <w:rsid w:val="00B36E86"/>
    <w:rsid w:val="00B379BA"/>
    <w:rsid w:val="00B40B30"/>
    <w:rsid w:val="00B40E47"/>
    <w:rsid w:val="00B412FD"/>
    <w:rsid w:val="00B41E1C"/>
    <w:rsid w:val="00B422BE"/>
    <w:rsid w:val="00B4241D"/>
    <w:rsid w:val="00B426BB"/>
    <w:rsid w:val="00B42EB9"/>
    <w:rsid w:val="00B436F0"/>
    <w:rsid w:val="00B441FE"/>
    <w:rsid w:val="00B44821"/>
    <w:rsid w:val="00B44AD3"/>
    <w:rsid w:val="00B450EB"/>
    <w:rsid w:val="00B45152"/>
    <w:rsid w:val="00B454DD"/>
    <w:rsid w:val="00B45E54"/>
    <w:rsid w:val="00B460B8"/>
    <w:rsid w:val="00B464E4"/>
    <w:rsid w:val="00B4689A"/>
    <w:rsid w:val="00B46D5F"/>
    <w:rsid w:val="00B46E7B"/>
    <w:rsid w:val="00B47DC5"/>
    <w:rsid w:val="00B50395"/>
    <w:rsid w:val="00B505B3"/>
    <w:rsid w:val="00B50882"/>
    <w:rsid w:val="00B50A74"/>
    <w:rsid w:val="00B5199C"/>
    <w:rsid w:val="00B520A0"/>
    <w:rsid w:val="00B5257E"/>
    <w:rsid w:val="00B525CE"/>
    <w:rsid w:val="00B52CFD"/>
    <w:rsid w:val="00B545A8"/>
    <w:rsid w:val="00B54E0B"/>
    <w:rsid w:val="00B56527"/>
    <w:rsid w:val="00B56706"/>
    <w:rsid w:val="00B57019"/>
    <w:rsid w:val="00B576DA"/>
    <w:rsid w:val="00B57710"/>
    <w:rsid w:val="00B601C9"/>
    <w:rsid w:val="00B60D04"/>
    <w:rsid w:val="00B6158F"/>
    <w:rsid w:val="00B61EE8"/>
    <w:rsid w:val="00B633A3"/>
    <w:rsid w:val="00B63533"/>
    <w:rsid w:val="00B63BDB"/>
    <w:rsid w:val="00B640D9"/>
    <w:rsid w:val="00B64A0E"/>
    <w:rsid w:val="00B64DDF"/>
    <w:rsid w:val="00B6601E"/>
    <w:rsid w:val="00B663AA"/>
    <w:rsid w:val="00B66DD5"/>
    <w:rsid w:val="00B67722"/>
    <w:rsid w:val="00B67B97"/>
    <w:rsid w:val="00B67F01"/>
    <w:rsid w:val="00B70329"/>
    <w:rsid w:val="00B711AB"/>
    <w:rsid w:val="00B714F0"/>
    <w:rsid w:val="00B71A40"/>
    <w:rsid w:val="00B71C8C"/>
    <w:rsid w:val="00B71CB4"/>
    <w:rsid w:val="00B71FD7"/>
    <w:rsid w:val="00B725E7"/>
    <w:rsid w:val="00B72C07"/>
    <w:rsid w:val="00B72DF7"/>
    <w:rsid w:val="00B72F42"/>
    <w:rsid w:val="00B73E44"/>
    <w:rsid w:val="00B74290"/>
    <w:rsid w:val="00B74510"/>
    <w:rsid w:val="00B74BD4"/>
    <w:rsid w:val="00B74BF7"/>
    <w:rsid w:val="00B760FD"/>
    <w:rsid w:val="00B76185"/>
    <w:rsid w:val="00B76BCD"/>
    <w:rsid w:val="00B779E6"/>
    <w:rsid w:val="00B804E2"/>
    <w:rsid w:val="00B811B2"/>
    <w:rsid w:val="00B81BA3"/>
    <w:rsid w:val="00B82213"/>
    <w:rsid w:val="00B8276E"/>
    <w:rsid w:val="00B827A7"/>
    <w:rsid w:val="00B82912"/>
    <w:rsid w:val="00B839A9"/>
    <w:rsid w:val="00B83A62"/>
    <w:rsid w:val="00B83B59"/>
    <w:rsid w:val="00B84252"/>
    <w:rsid w:val="00B8468F"/>
    <w:rsid w:val="00B849F1"/>
    <w:rsid w:val="00B84FC6"/>
    <w:rsid w:val="00B857F5"/>
    <w:rsid w:val="00B86D6C"/>
    <w:rsid w:val="00B86EB5"/>
    <w:rsid w:val="00B86F47"/>
    <w:rsid w:val="00B874B4"/>
    <w:rsid w:val="00B87502"/>
    <w:rsid w:val="00B8787A"/>
    <w:rsid w:val="00B87887"/>
    <w:rsid w:val="00B90123"/>
    <w:rsid w:val="00B90196"/>
    <w:rsid w:val="00B911C1"/>
    <w:rsid w:val="00B91374"/>
    <w:rsid w:val="00B9216A"/>
    <w:rsid w:val="00B922C3"/>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19C4"/>
    <w:rsid w:val="00BA3038"/>
    <w:rsid w:val="00BA370A"/>
    <w:rsid w:val="00BA48BC"/>
    <w:rsid w:val="00BA4A29"/>
    <w:rsid w:val="00BA4BE7"/>
    <w:rsid w:val="00BA5F20"/>
    <w:rsid w:val="00BA5F44"/>
    <w:rsid w:val="00BA68D9"/>
    <w:rsid w:val="00BA695F"/>
    <w:rsid w:val="00BA6FD8"/>
    <w:rsid w:val="00BA7172"/>
    <w:rsid w:val="00BA7B01"/>
    <w:rsid w:val="00BB02D7"/>
    <w:rsid w:val="00BB0D9F"/>
    <w:rsid w:val="00BB0DEE"/>
    <w:rsid w:val="00BB0F93"/>
    <w:rsid w:val="00BB1031"/>
    <w:rsid w:val="00BB1B33"/>
    <w:rsid w:val="00BB2480"/>
    <w:rsid w:val="00BB27FD"/>
    <w:rsid w:val="00BB2C4E"/>
    <w:rsid w:val="00BB2E29"/>
    <w:rsid w:val="00BB2F74"/>
    <w:rsid w:val="00BB3206"/>
    <w:rsid w:val="00BB3277"/>
    <w:rsid w:val="00BB32C2"/>
    <w:rsid w:val="00BB39BF"/>
    <w:rsid w:val="00BB3B0D"/>
    <w:rsid w:val="00BB524C"/>
    <w:rsid w:val="00BB5DAB"/>
    <w:rsid w:val="00BB6195"/>
    <w:rsid w:val="00BB61A3"/>
    <w:rsid w:val="00BB67EA"/>
    <w:rsid w:val="00BB707E"/>
    <w:rsid w:val="00BB7568"/>
    <w:rsid w:val="00BC007C"/>
    <w:rsid w:val="00BC0986"/>
    <w:rsid w:val="00BC0AB2"/>
    <w:rsid w:val="00BC1308"/>
    <w:rsid w:val="00BC1BF4"/>
    <w:rsid w:val="00BC2600"/>
    <w:rsid w:val="00BC2F24"/>
    <w:rsid w:val="00BC33BE"/>
    <w:rsid w:val="00BC3A47"/>
    <w:rsid w:val="00BC3EEB"/>
    <w:rsid w:val="00BC4780"/>
    <w:rsid w:val="00BC4CDB"/>
    <w:rsid w:val="00BC52C8"/>
    <w:rsid w:val="00BC5485"/>
    <w:rsid w:val="00BC549C"/>
    <w:rsid w:val="00BC570E"/>
    <w:rsid w:val="00BC5A6C"/>
    <w:rsid w:val="00BC5AF6"/>
    <w:rsid w:val="00BC5B4B"/>
    <w:rsid w:val="00BC5E93"/>
    <w:rsid w:val="00BC5EDB"/>
    <w:rsid w:val="00BC69A2"/>
    <w:rsid w:val="00BC6ED6"/>
    <w:rsid w:val="00BC6F03"/>
    <w:rsid w:val="00BC6FA1"/>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6D43"/>
    <w:rsid w:val="00BD7090"/>
    <w:rsid w:val="00BD7490"/>
    <w:rsid w:val="00BD767F"/>
    <w:rsid w:val="00BD7DA0"/>
    <w:rsid w:val="00BE096B"/>
    <w:rsid w:val="00BE09C3"/>
    <w:rsid w:val="00BE0C27"/>
    <w:rsid w:val="00BE0F9B"/>
    <w:rsid w:val="00BE15BB"/>
    <w:rsid w:val="00BE198F"/>
    <w:rsid w:val="00BE4875"/>
    <w:rsid w:val="00BE4CCF"/>
    <w:rsid w:val="00BE5964"/>
    <w:rsid w:val="00BE660B"/>
    <w:rsid w:val="00BE6AFE"/>
    <w:rsid w:val="00BE6BBE"/>
    <w:rsid w:val="00BE7021"/>
    <w:rsid w:val="00BE7300"/>
    <w:rsid w:val="00BE76F7"/>
    <w:rsid w:val="00BE784F"/>
    <w:rsid w:val="00BE79C6"/>
    <w:rsid w:val="00BF0238"/>
    <w:rsid w:val="00BF0717"/>
    <w:rsid w:val="00BF1750"/>
    <w:rsid w:val="00BF178E"/>
    <w:rsid w:val="00BF189F"/>
    <w:rsid w:val="00BF1B44"/>
    <w:rsid w:val="00BF1D88"/>
    <w:rsid w:val="00BF1F01"/>
    <w:rsid w:val="00BF1FC2"/>
    <w:rsid w:val="00BF23CC"/>
    <w:rsid w:val="00BF243F"/>
    <w:rsid w:val="00BF2708"/>
    <w:rsid w:val="00BF3284"/>
    <w:rsid w:val="00BF3CDF"/>
    <w:rsid w:val="00BF4C2B"/>
    <w:rsid w:val="00BF507A"/>
    <w:rsid w:val="00BF53F1"/>
    <w:rsid w:val="00BF5717"/>
    <w:rsid w:val="00BF5B9D"/>
    <w:rsid w:val="00BF5C45"/>
    <w:rsid w:val="00BF5FA3"/>
    <w:rsid w:val="00BF62F2"/>
    <w:rsid w:val="00BF63A5"/>
    <w:rsid w:val="00BF72A7"/>
    <w:rsid w:val="00BF7558"/>
    <w:rsid w:val="00BF7DD2"/>
    <w:rsid w:val="00C0111E"/>
    <w:rsid w:val="00C02676"/>
    <w:rsid w:val="00C029AB"/>
    <w:rsid w:val="00C02D74"/>
    <w:rsid w:val="00C03BD5"/>
    <w:rsid w:val="00C03C8B"/>
    <w:rsid w:val="00C03F3C"/>
    <w:rsid w:val="00C0425C"/>
    <w:rsid w:val="00C049BE"/>
    <w:rsid w:val="00C04A71"/>
    <w:rsid w:val="00C04DF0"/>
    <w:rsid w:val="00C05A4C"/>
    <w:rsid w:val="00C05A67"/>
    <w:rsid w:val="00C0632D"/>
    <w:rsid w:val="00C0641F"/>
    <w:rsid w:val="00C06C9A"/>
    <w:rsid w:val="00C06E6F"/>
    <w:rsid w:val="00C075DB"/>
    <w:rsid w:val="00C07EBA"/>
    <w:rsid w:val="00C07FBC"/>
    <w:rsid w:val="00C100E2"/>
    <w:rsid w:val="00C100E7"/>
    <w:rsid w:val="00C11113"/>
    <w:rsid w:val="00C11687"/>
    <w:rsid w:val="00C11E28"/>
    <w:rsid w:val="00C11F66"/>
    <w:rsid w:val="00C1225B"/>
    <w:rsid w:val="00C122F9"/>
    <w:rsid w:val="00C1253A"/>
    <w:rsid w:val="00C128C9"/>
    <w:rsid w:val="00C12CF3"/>
    <w:rsid w:val="00C12F88"/>
    <w:rsid w:val="00C131A8"/>
    <w:rsid w:val="00C1322D"/>
    <w:rsid w:val="00C135A3"/>
    <w:rsid w:val="00C1477A"/>
    <w:rsid w:val="00C14A62"/>
    <w:rsid w:val="00C158EB"/>
    <w:rsid w:val="00C159B1"/>
    <w:rsid w:val="00C15D51"/>
    <w:rsid w:val="00C161F5"/>
    <w:rsid w:val="00C16C92"/>
    <w:rsid w:val="00C16ED6"/>
    <w:rsid w:val="00C1706B"/>
    <w:rsid w:val="00C17DB7"/>
    <w:rsid w:val="00C17E48"/>
    <w:rsid w:val="00C17E57"/>
    <w:rsid w:val="00C17F0B"/>
    <w:rsid w:val="00C201E7"/>
    <w:rsid w:val="00C20506"/>
    <w:rsid w:val="00C208C5"/>
    <w:rsid w:val="00C20AA2"/>
    <w:rsid w:val="00C20B91"/>
    <w:rsid w:val="00C21155"/>
    <w:rsid w:val="00C2146C"/>
    <w:rsid w:val="00C214D7"/>
    <w:rsid w:val="00C21561"/>
    <w:rsid w:val="00C217EE"/>
    <w:rsid w:val="00C22784"/>
    <w:rsid w:val="00C22FAA"/>
    <w:rsid w:val="00C23A4C"/>
    <w:rsid w:val="00C2419D"/>
    <w:rsid w:val="00C243A4"/>
    <w:rsid w:val="00C24416"/>
    <w:rsid w:val="00C248DB"/>
    <w:rsid w:val="00C26170"/>
    <w:rsid w:val="00C26B5A"/>
    <w:rsid w:val="00C26BB1"/>
    <w:rsid w:val="00C26D52"/>
    <w:rsid w:val="00C303E4"/>
    <w:rsid w:val="00C30775"/>
    <w:rsid w:val="00C30B8D"/>
    <w:rsid w:val="00C30DBE"/>
    <w:rsid w:val="00C3134E"/>
    <w:rsid w:val="00C315D8"/>
    <w:rsid w:val="00C31C4A"/>
    <w:rsid w:val="00C31D2D"/>
    <w:rsid w:val="00C3209A"/>
    <w:rsid w:val="00C32639"/>
    <w:rsid w:val="00C32808"/>
    <w:rsid w:val="00C32AD2"/>
    <w:rsid w:val="00C33114"/>
    <w:rsid w:val="00C3415E"/>
    <w:rsid w:val="00C34193"/>
    <w:rsid w:val="00C347FD"/>
    <w:rsid w:val="00C34DAE"/>
    <w:rsid w:val="00C34E1E"/>
    <w:rsid w:val="00C34E5A"/>
    <w:rsid w:val="00C35553"/>
    <w:rsid w:val="00C35D9C"/>
    <w:rsid w:val="00C36219"/>
    <w:rsid w:val="00C36656"/>
    <w:rsid w:val="00C3698E"/>
    <w:rsid w:val="00C36CCA"/>
    <w:rsid w:val="00C36E1C"/>
    <w:rsid w:val="00C36F42"/>
    <w:rsid w:val="00C3718A"/>
    <w:rsid w:val="00C379C5"/>
    <w:rsid w:val="00C37EEE"/>
    <w:rsid w:val="00C40453"/>
    <w:rsid w:val="00C404A7"/>
    <w:rsid w:val="00C40E71"/>
    <w:rsid w:val="00C41879"/>
    <w:rsid w:val="00C41A7C"/>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555"/>
    <w:rsid w:val="00C476AC"/>
    <w:rsid w:val="00C47E67"/>
    <w:rsid w:val="00C47FD9"/>
    <w:rsid w:val="00C50C1A"/>
    <w:rsid w:val="00C50E1E"/>
    <w:rsid w:val="00C51132"/>
    <w:rsid w:val="00C511A7"/>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929"/>
    <w:rsid w:val="00C550B6"/>
    <w:rsid w:val="00C556B1"/>
    <w:rsid w:val="00C55A05"/>
    <w:rsid w:val="00C55F8D"/>
    <w:rsid w:val="00C56101"/>
    <w:rsid w:val="00C565F2"/>
    <w:rsid w:val="00C567E3"/>
    <w:rsid w:val="00C56C45"/>
    <w:rsid w:val="00C573CC"/>
    <w:rsid w:val="00C57B81"/>
    <w:rsid w:val="00C57FB9"/>
    <w:rsid w:val="00C6077B"/>
    <w:rsid w:val="00C60950"/>
    <w:rsid w:val="00C60DD1"/>
    <w:rsid w:val="00C61565"/>
    <w:rsid w:val="00C61574"/>
    <w:rsid w:val="00C615B4"/>
    <w:rsid w:val="00C6184A"/>
    <w:rsid w:val="00C61AC6"/>
    <w:rsid w:val="00C61ACF"/>
    <w:rsid w:val="00C6211D"/>
    <w:rsid w:val="00C62376"/>
    <w:rsid w:val="00C62B32"/>
    <w:rsid w:val="00C62D08"/>
    <w:rsid w:val="00C63DED"/>
    <w:rsid w:val="00C63E88"/>
    <w:rsid w:val="00C6436D"/>
    <w:rsid w:val="00C64F97"/>
    <w:rsid w:val="00C65585"/>
    <w:rsid w:val="00C656EB"/>
    <w:rsid w:val="00C65DF4"/>
    <w:rsid w:val="00C667F0"/>
    <w:rsid w:val="00C66AC8"/>
    <w:rsid w:val="00C67B49"/>
    <w:rsid w:val="00C711F5"/>
    <w:rsid w:val="00C713A1"/>
    <w:rsid w:val="00C71828"/>
    <w:rsid w:val="00C72105"/>
    <w:rsid w:val="00C74520"/>
    <w:rsid w:val="00C74954"/>
    <w:rsid w:val="00C75765"/>
    <w:rsid w:val="00C76028"/>
    <w:rsid w:val="00C76184"/>
    <w:rsid w:val="00C76462"/>
    <w:rsid w:val="00C7673D"/>
    <w:rsid w:val="00C76A80"/>
    <w:rsid w:val="00C76C27"/>
    <w:rsid w:val="00C76E09"/>
    <w:rsid w:val="00C76F07"/>
    <w:rsid w:val="00C77EF6"/>
    <w:rsid w:val="00C80B4B"/>
    <w:rsid w:val="00C80D63"/>
    <w:rsid w:val="00C80E85"/>
    <w:rsid w:val="00C8129D"/>
    <w:rsid w:val="00C812D5"/>
    <w:rsid w:val="00C81536"/>
    <w:rsid w:val="00C81BEA"/>
    <w:rsid w:val="00C81DF5"/>
    <w:rsid w:val="00C82188"/>
    <w:rsid w:val="00C8242B"/>
    <w:rsid w:val="00C82A50"/>
    <w:rsid w:val="00C83240"/>
    <w:rsid w:val="00C83381"/>
    <w:rsid w:val="00C83607"/>
    <w:rsid w:val="00C83768"/>
    <w:rsid w:val="00C83B18"/>
    <w:rsid w:val="00C840C3"/>
    <w:rsid w:val="00C841B4"/>
    <w:rsid w:val="00C84266"/>
    <w:rsid w:val="00C8466F"/>
    <w:rsid w:val="00C8489E"/>
    <w:rsid w:val="00C849E0"/>
    <w:rsid w:val="00C84B74"/>
    <w:rsid w:val="00C84CBF"/>
    <w:rsid w:val="00C8512A"/>
    <w:rsid w:val="00C85378"/>
    <w:rsid w:val="00C85970"/>
    <w:rsid w:val="00C85E9B"/>
    <w:rsid w:val="00C874C8"/>
    <w:rsid w:val="00C90165"/>
    <w:rsid w:val="00C902DA"/>
    <w:rsid w:val="00C90733"/>
    <w:rsid w:val="00C921C4"/>
    <w:rsid w:val="00C9235F"/>
    <w:rsid w:val="00C9257F"/>
    <w:rsid w:val="00C9302E"/>
    <w:rsid w:val="00C9319C"/>
    <w:rsid w:val="00C9330C"/>
    <w:rsid w:val="00C934F6"/>
    <w:rsid w:val="00C93874"/>
    <w:rsid w:val="00C93A4C"/>
    <w:rsid w:val="00C944EB"/>
    <w:rsid w:val="00C94FD2"/>
    <w:rsid w:val="00C95341"/>
    <w:rsid w:val="00C95B76"/>
    <w:rsid w:val="00C964C3"/>
    <w:rsid w:val="00C964D6"/>
    <w:rsid w:val="00C96635"/>
    <w:rsid w:val="00C966B7"/>
    <w:rsid w:val="00C969DB"/>
    <w:rsid w:val="00C96A6E"/>
    <w:rsid w:val="00C97A4A"/>
    <w:rsid w:val="00C97DC9"/>
    <w:rsid w:val="00C97EE3"/>
    <w:rsid w:val="00C97F78"/>
    <w:rsid w:val="00CA042A"/>
    <w:rsid w:val="00CA12BA"/>
    <w:rsid w:val="00CA165C"/>
    <w:rsid w:val="00CA1C0D"/>
    <w:rsid w:val="00CA1DAE"/>
    <w:rsid w:val="00CA1E62"/>
    <w:rsid w:val="00CA2267"/>
    <w:rsid w:val="00CA38AD"/>
    <w:rsid w:val="00CA3EEE"/>
    <w:rsid w:val="00CA5098"/>
    <w:rsid w:val="00CA5503"/>
    <w:rsid w:val="00CA612D"/>
    <w:rsid w:val="00CA66C3"/>
    <w:rsid w:val="00CA6CAD"/>
    <w:rsid w:val="00CA70A8"/>
    <w:rsid w:val="00CA70B8"/>
    <w:rsid w:val="00CA70D0"/>
    <w:rsid w:val="00CA74A4"/>
    <w:rsid w:val="00CA7683"/>
    <w:rsid w:val="00CA77AE"/>
    <w:rsid w:val="00CA7EA1"/>
    <w:rsid w:val="00CA7EEA"/>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4728"/>
    <w:rsid w:val="00CB59E7"/>
    <w:rsid w:val="00CB5D27"/>
    <w:rsid w:val="00CB5E4A"/>
    <w:rsid w:val="00CB6FCA"/>
    <w:rsid w:val="00CB724D"/>
    <w:rsid w:val="00CB73EA"/>
    <w:rsid w:val="00CB76E3"/>
    <w:rsid w:val="00CB7D4E"/>
    <w:rsid w:val="00CB7F12"/>
    <w:rsid w:val="00CB7F1F"/>
    <w:rsid w:val="00CC002B"/>
    <w:rsid w:val="00CC07E5"/>
    <w:rsid w:val="00CC09F0"/>
    <w:rsid w:val="00CC0C11"/>
    <w:rsid w:val="00CC1F52"/>
    <w:rsid w:val="00CC233F"/>
    <w:rsid w:val="00CC27FD"/>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25F3"/>
    <w:rsid w:val="00CD27FF"/>
    <w:rsid w:val="00CD2875"/>
    <w:rsid w:val="00CD2DF3"/>
    <w:rsid w:val="00CD305C"/>
    <w:rsid w:val="00CD3A6D"/>
    <w:rsid w:val="00CD3E5A"/>
    <w:rsid w:val="00CD3E63"/>
    <w:rsid w:val="00CD40A3"/>
    <w:rsid w:val="00CD457E"/>
    <w:rsid w:val="00CD4CD3"/>
    <w:rsid w:val="00CD589F"/>
    <w:rsid w:val="00CD60C9"/>
    <w:rsid w:val="00CD6345"/>
    <w:rsid w:val="00CD6835"/>
    <w:rsid w:val="00CD6BBB"/>
    <w:rsid w:val="00CD7482"/>
    <w:rsid w:val="00CE05BD"/>
    <w:rsid w:val="00CE07C1"/>
    <w:rsid w:val="00CE1567"/>
    <w:rsid w:val="00CE1859"/>
    <w:rsid w:val="00CE186F"/>
    <w:rsid w:val="00CE20E3"/>
    <w:rsid w:val="00CE273A"/>
    <w:rsid w:val="00CE321C"/>
    <w:rsid w:val="00CE32E8"/>
    <w:rsid w:val="00CE353C"/>
    <w:rsid w:val="00CE3700"/>
    <w:rsid w:val="00CE3B69"/>
    <w:rsid w:val="00CE4559"/>
    <w:rsid w:val="00CE4B49"/>
    <w:rsid w:val="00CE5118"/>
    <w:rsid w:val="00CE5487"/>
    <w:rsid w:val="00CE59B5"/>
    <w:rsid w:val="00CE59DB"/>
    <w:rsid w:val="00CE5D3A"/>
    <w:rsid w:val="00CE67D8"/>
    <w:rsid w:val="00CE68EA"/>
    <w:rsid w:val="00CE7381"/>
    <w:rsid w:val="00CE7447"/>
    <w:rsid w:val="00CE74CE"/>
    <w:rsid w:val="00CE7510"/>
    <w:rsid w:val="00CF0829"/>
    <w:rsid w:val="00CF0E74"/>
    <w:rsid w:val="00CF1833"/>
    <w:rsid w:val="00CF1AEA"/>
    <w:rsid w:val="00CF2091"/>
    <w:rsid w:val="00CF21F6"/>
    <w:rsid w:val="00CF2278"/>
    <w:rsid w:val="00CF2C62"/>
    <w:rsid w:val="00CF2F66"/>
    <w:rsid w:val="00CF337B"/>
    <w:rsid w:val="00CF3FE7"/>
    <w:rsid w:val="00CF4416"/>
    <w:rsid w:val="00CF5762"/>
    <w:rsid w:val="00CF65B4"/>
    <w:rsid w:val="00CF6806"/>
    <w:rsid w:val="00CF69B0"/>
    <w:rsid w:val="00CF6C05"/>
    <w:rsid w:val="00CF709F"/>
    <w:rsid w:val="00CF7485"/>
    <w:rsid w:val="00CF7E56"/>
    <w:rsid w:val="00D00FCA"/>
    <w:rsid w:val="00D01744"/>
    <w:rsid w:val="00D01C03"/>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33B"/>
    <w:rsid w:val="00D10477"/>
    <w:rsid w:val="00D107E2"/>
    <w:rsid w:val="00D11D76"/>
    <w:rsid w:val="00D121F5"/>
    <w:rsid w:val="00D126E4"/>
    <w:rsid w:val="00D131BF"/>
    <w:rsid w:val="00D136AD"/>
    <w:rsid w:val="00D13A90"/>
    <w:rsid w:val="00D140E6"/>
    <w:rsid w:val="00D14C7E"/>
    <w:rsid w:val="00D158EF"/>
    <w:rsid w:val="00D15C14"/>
    <w:rsid w:val="00D15E74"/>
    <w:rsid w:val="00D15FAA"/>
    <w:rsid w:val="00D16ECB"/>
    <w:rsid w:val="00D16EEE"/>
    <w:rsid w:val="00D17167"/>
    <w:rsid w:val="00D17BA5"/>
    <w:rsid w:val="00D17D56"/>
    <w:rsid w:val="00D2058D"/>
    <w:rsid w:val="00D208E9"/>
    <w:rsid w:val="00D2176E"/>
    <w:rsid w:val="00D2182A"/>
    <w:rsid w:val="00D218BC"/>
    <w:rsid w:val="00D2193D"/>
    <w:rsid w:val="00D22105"/>
    <w:rsid w:val="00D2211C"/>
    <w:rsid w:val="00D22B55"/>
    <w:rsid w:val="00D22C81"/>
    <w:rsid w:val="00D23055"/>
    <w:rsid w:val="00D230AD"/>
    <w:rsid w:val="00D2320E"/>
    <w:rsid w:val="00D2327A"/>
    <w:rsid w:val="00D251AB"/>
    <w:rsid w:val="00D25240"/>
    <w:rsid w:val="00D25AC6"/>
    <w:rsid w:val="00D25BF1"/>
    <w:rsid w:val="00D261D3"/>
    <w:rsid w:val="00D27086"/>
    <w:rsid w:val="00D319DF"/>
    <w:rsid w:val="00D31C02"/>
    <w:rsid w:val="00D3225E"/>
    <w:rsid w:val="00D324BC"/>
    <w:rsid w:val="00D32B9F"/>
    <w:rsid w:val="00D331A5"/>
    <w:rsid w:val="00D33565"/>
    <w:rsid w:val="00D33761"/>
    <w:rsid w:val="00D33762"/>
    <w:rsid w:val="00D33998"/>
    <w:rsid w:val="00D342BA"/>
    <w:rsid w:val="00D34BD1"/>
    <w:rsid w:val="00D35177"/>
    <w:rsid w:val="00D356E1"/>
    <w:rsid w:val="00D40609"/>
    <w:rsid w:val="00D40983"/>
    <w:rsid w:val="00D409ED"/>
    <w:rsid w:val="00D40B3B"/>
    <w:rsid w:val="00D41188"/>
    <w:rsid w:val="00D417D3"/>
    <w:rsid w:val="00D418D5"/>
    <w:rsid w:val="00D41DB1"/>
    <w:rsid w:val="00D42147"/>
    <w:rsid w:val="00D4276D"/>
    <w:rsid w:val="00D42798"/>
    <w:rsid w:val="00D42970"/>
    <w:rsid w:val="00D43468"/>
    <w:rsid w:val="00D43AED"/>
    <w:rsid w:val="00D44916"/>
    <w:rsid w:val="00D45AE4"/>
    <w:rsid w:val="00D45CA4"/>
    <w:rsid w:val="00D45EA7"/>
    <w:rsid w:val="00D45F22"/>
    <w:rsid w:val="00D47178"/>
    <w:rsid w:val="00D4752E"/>
    <w:rsid w:val="00D47842"/>
    <w:rsid w:val="00D47BEF"/>
    <w:rsid w:val="00D50826"/>
    <w:rsid w:val="00D51675"/>
    <w:rsid w:val="00D51EBA"/>
    <w:rsid w:val="00D51F73"/>
    <w:rsid w:val="00D52827"/>
    <w:rsid w:val="00D529BE"/>
    <w:rsid w:val="00D52CF6"/>
    <w:rsid w:val="00D53D3E"/>
    <w:rsid w:val="00D547E0"/>
    <w:rsid w:val="00D54992"/>
    <w:rsid w:val="00D55291"/>
    <w:rsid w:val="00D55C48"/>
    <w:rsid w:val="00D55E47"/>
    <w:rsid w:val="00D56392"/>
    <w:rsid w:val="00D56997"/>
    <w:rsid w:val="00D56BF7"/>
    <w:rsid w:val="00D570E6"/>
    <w:rsid w:val="00D5730F"/>
    <w:rsid w:val="00D5774F"/>
    <w:rsid w:val="00D60809"/>
    <w:rsid w:val="00D60D7F"/>
    <w:rsid w:val="00D61066"/>
    <w:rsid w:val="00D61C9C"/>
    <w:rsid w:val="00D61E7B"/>
    <w:rsid w:val="00D62111"/>
    <w:rsid w:val="00D62229"/>
    <w:rsid w:val="00D625B8"/>
    <w:rsid w:val="00D626F8"/>
    <w:rsid w:val="00D636DC"/>
    <w:rsid w:val="00D63F4C"/>
    <w:rsid w:val="00D64613"/>
    <w:rsid w:val="00D64702"/>
    <w:rsid w:val="00D649DC"/>
    <w:rsid w:val="00D65A6A"/>
    <w:rsid w:val="00D66BFD"/>
    <w:rsid w:val="00D66C91"/>
    <w:rsid w:val="00D674EE"/>
    <w:rsid w:val="00D67535"/>
    <w:rsid w:val="00D67BC9"/>
    <w:rsid w:val="00D67DBC"/>
    <w:rsid w:val="00D704D9"/>
    <w:rsid w:val="00D70612"/>
    <w:rsid w:val="00D70934"/>
    <w:rsid w:val="00D70BD2"/>
    <w:rsid w:val="00D713F2"/>
    <w:rsid w:val="00D721B1"/>
    <w:rsid w:val="00D72705"/>
    <w:rsid w:val="00D738BF"/>
    <w:rsid w:val="00D73B93"/>
    <w:rsid w:val="00D73C95"/>
    <w:rsid w:val="00D7400F"/>
    <w:rsid w:val="00D745C1"/>
    <w:rsid w:val="00D74784"/>
    <w:rsid w:val="00D756F6"/>
    <w:rsid w:val="00D75731"/>
    <w:rsid w:val="00D75B45"/>
    <w:rsid w:val="00D75B5C"/>
    <w:rsid w:val="00D75F8C"/>
    <w:rsid w:val="00D76050"/>
    <w:rsid w:val="00D76210"/>
    <w:rsid w:val="00D76309"/>
    <w:rsid w:val="00D76423"/>
    <w:rsid w:val="00D767BF"/>
    <w:rsid w:val="00D77278"/>
    <w:rsid w:val="00D775B5"/>
    <w:rsid w:val="00D77961"/>
    <w:rsid w:val="00D77A47"/>
    <w:rsid w:val="00D77B20"/>
    <w:rsid w:val="00D77B3B"/>
    <w:rsid w:val="00D8007C"/>
    <w:rsid w:val="00D8079F"/>
    <w:rsid w:val="00D8103B"/>
    <w:rsid w:val="00D8111B"/>
    <w:rsid w:val="00D81242"/>
    <w:rsid w:val="00D812D2"/>
    <w:rsid w:val="00D823F6"/>
    <w:rsid w:val="00D82C80"/>
    <w:rsid w:val="00D82D02"/>
    <w:rsid w:val="00D82D0F"/>
    <w:rsid w:val="00D8316C"/>
    <w:rsid w:val="00D83A5A"/>
    <w:rsid w:val="00D84157"/>
    <w:rsid w:val="00D84AB8"/>
    <w:rsid w:val="00D84BD7"/>
    <w:rsid w:val="00D84DCA"/>
    <w:rsid w:val="00D85114"/>
    <w:rsid w:val="00D857BC"/>
    <w:rsid w:val="00D85CC6"/>
    <w:rsid w:val="00D85E10"/>
    <w:rsid w:val="00D86A92"/>
    <w:rsid w:val="00D871B6"/>
    <w:rsid w:val="00D875E1"/>
    <w:rsid w:val="00D90275"/>
    <w:rsid w:val="00D902F5"/>
    <w:rsid w:val="00D9075D"/>
    <w:rsid w:val="00D90959"/>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4C8E"/>
    <w:rsid w:val="00D954A1"/>
    <w:rsid w:val="00D95519"/>
    <w:rsid w:val="00D95744"/>
    <w:rsid w:val="00D958FC"/>
    <w:rsid w:val="00D959AE"/>
    <w:rsid w:val="00D95DC2"/>
    <w:rsid w:val="00D96678"/>
    <w:rsid w:val="00D9673A"/>
    <w:rsid w:val="00D96C73"/>
    <w:rsid w:val="00D96D46"/>
    <w:rsid w:val="00D97C27"/>
    <w:rsid w:val="00DA019F"/>
    <w:rsid w:val="00DA032C"/>
    <w:rsid w:val="00DA0526"/>
    <w:rsid w:val="00DA0639"/>
    <w:rsid w:val="00DA0B8C"/>
    <w:rsid w:val="00DA0CF7"/>
    <w:rsid w:val="00DA0E96"/>
    <w:rsid w:val="00DA1203"/>
    <w:rsid w:val="00DA14A0"/>
    <w:rsid w:val="00DA15AC"/>
    <w:rsid w:val="00DA18DA"/>
    <w:rsid w:val="00DA1F0C"/>
    <w:rsid w:val="00DA2B06"/>
    <w:rsid w:val="00DA2B20"/>
    <w:rsid w:val="00DA3565"/>
    <w:rsid w:val="00DA3A5B"/>
    <w:rsid w:val="00DA3D0B"/>
    <w:rsid w:val="00DA3F51"/>
    <w:rsid w:val="00DA45A0"/>
    <w:rsid w:val="00DA45DB"/>
    <w:rsid w:val="00DA48D9"/>
    <w:rsid w:val="00DA49F8"/>
    <w:rsid w:val="00DA4AAE"/>
    <w:rsid w:val="00DA5572"/>
    <w:rsid w:val="00DA5D5D"/>
    <w:rsid w:val="00DA6A15"/>
    <w:rsid w:val="00DA6B3A"/>
    <w:rsid w:val="00DA6CC2"/>
    <w:rsid w:val="00DA7029"/>
    <w:rsid w:val="00DA77A0"/>
    <w:rsid w:val="00DB09A2"/>
    <w:rsid w:val="00DB103D"/>
    <w:rsid w:val="00DB1448"/>
    <w:rsid w:val="00DB1907"/>
    <w:rsid w:val="00DB1998"/>
    <w:rsid w:val="00DB1FC4"/>
    <w:rsid w:val="00DB21F0"/>
    <w:rsid w:val="00DB2C5F"/>
    <w:rsid w:val="00DB3A58"/>
    <w:rsid w:val="00DB3BDF"/>
    <w:rsid w:val="00DB3C58"/>
    <w:rsid w:val="00DB3D46"/>
    <w:rsid w:val="00DB401C"/>
    <w:rsid w:val="00DB46C8"/>
    <w:rsid w:val="00DB52F0"/>
    <w:rsid w:val="00DB540E"/>
    <w:rsid w:val="00DB5A63"/>
    <w:rsid w:val="00DB6166"/>
    <w:rsid w:val="00DB6520"/>
    <w:rsid w:val="00DB656B"/>
    <w:rsid w:val="00DB6803"/>
    <w:rsid w:val="00DB691E"/>
    <w:rsid w:val="00DB6C99"/>
    <w:rsid w:val="00DB75A3"/>
    <w:rsid w:val="00DC02F5"/>
    <w:rsid w:val="00DC0574"/>
    <w:rsid w:val="00DC0C65"/>
    <w:rsid w:val="00DC10E5"/>
    <w:rsid w:val="00DC16BF"/>
    <w:rsid w:val="00DC16E1"/>
    <w:rsid w:val="00DC16FC"/>
    <w:rsid w:val="00DC1881"/>
    <w:rsid w:val="00DC1ED7"/>
    <w:rsid w:val="00DC294E"/>
    <w:rsid w:val="00DC3A6F"/>
    <w:rsid w:val="00DC3D1C"/>
    <w:rsid w:val="00DC43E1"/>
    <w:rsid w:val="00DC5199"/>
    <w:rsid w:val="00DC5A32"/>
    <w:rsid w:val="00DC5E4E"/>
    <w:rsid w:val="00DC651B"/>
    <w:rsid w:val="00DC662F"/>
    <w:rsid w:val="00DC6961"/>
    <w:rsid w:val="00DC6E78"/>
    <w:rsid w:val="00DC707F"/>
    <w:rsid w:val="00DC729A"/>
    <w:rsid w:val="00DC73B1"/>
    <w:rsid w:val="00DC7519"/>
    <w:rsid w:val="00DC7630"/>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752"/>
    <w:rsid w:val="00DD7CB6"/>
    <w:rsid w:val="00DE0077"/>
    <w:rsid w:val="00DE0137"/>
    <w:rsid w:val="00DE01BA"/>
    <w:rsid w:val="00DE061F"/>
    <w:rsid w:val="00DE0DCF"/>
    <w:rsid w:val="00DE137B"/>
    <w:rsid w:val="00DE19D9"/>
    <w:rsid w:val="00DE1DC6"/>
    <w:rsid w:val="00DE1F77"/>
    <w:rsid w:val="00DE21C6"/>
    <w:rsid w:val="00DE22AA"/>
    <w:rsid w:val="00DE288F"/>
    <w:rsid w:val="00DE2C45"/>
    <w:rsid w:val="00DE2D49"/>
    <w:rsid w:val="00DE2ED5"/>
    <w:rsid w:val="00DE2F4E"/>
    <w:rsid w:val="00DE2FB5"/>
    <w:rsid w:val="00DE3E66"/>
    <w:rsid w:val="00DE3F75"/>
    <w:rsid w:val="00DE41FC"/>
    <w:rsid w:val="00DE45F5"/>
    <w:rsid w:val="00DE4AAD"/>
    <w:rsid w:val="00DE4C0C"/>
    <w:rsid w:val="00DE4FC8"/>
    <w:rsid w:val="00DE53B5"/>
    <w:rsid w:val="00DE5A50"/>
    <w:rsid w:val="00DE60C5"/>
    <w:rsid w:val="00DE7323"/>
    <w:rsid w:val="00DE75F0"/>
    <w:rsid w:val="00DE77CB"/>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453"/>
    <w:rsid w:val="00E03D3F"/>
    <w:rsid w:val="00E03DED"/>
    <w:rsid w:val="00E0437C"/>
    <w:rsid w:val="00E0452C"/>
    <w:rsid w:val="00E04D61"/>
    <w:rsid w:val="00E0504C"/>
    <w:rsid w:val="00E05074"/>
    <w:rsid w:val="00E052DA"/>
    <w:rsid w:val="00E05489"/>
    <w:rsid w:val="00E05741"/>
    <w:rsid w:val="00E05F7F"/>
    <w:rsid w:val="00E06549"/>
    <w:rsid w:val="00E06930"/>
    <w:rsid w:val="00E06971"/>
    <w:rsid w:val="00E06C11"/>
    <w:rsid w:val="00E07D90"/>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EFA"/>
    <w:rsid w:val="00E151B9"/>
    <w:rsid w:val="00E158C4"/>
    <w:rsid w:val="00E15CC4"/>
    <w:rsid w:val="00E161E6"/>
    <w:rsid w:val="00E167C9"/>
    <w:rsid w:val="00E1698C"/>
    <w:rsid w:val="00E16BDB"/>
    <w:rsid w:val="00E172BE"/>
    <w:rsid w:val="00E17CF7"/>
    <w:rsid w:val="00E205D6"/>
    <w:rsid w:val="00E209AB"/>
    <w:rsid w:val="00E216EC"/>
    <w:rsid w:val="00E2189A"/>
    <w:rsid w:val="00E21A60"/>
    <w:rsid w:val="00E22220"/>
    <w:rsid w:val="00E22B5A"/>
    <w:rsid w:val="00E22B68"/>
    <w:rsid w:val="00E231C9"/>
    <w:rsid w:val="00E23EBF"/>
    <w:rsid w:val="00E23F56"/>
    <w:rsid w:val="00E23FD5"/>
    <w:rsid w:val="00E24669"/>
    <w:rsid w:val="00E24A70"/>
    <w:rsid w:val="00E24C48"/>
    <w:rsid w:val="00E24EE4"/>
    <w:rsid w:val="00E25981"/>
    <w:rsid w:val="00E26056"/>
    <w:rsid w:val="00E26141"/>
    <w:rsid w:val="00E266F5"/>
    <w:rsid w:val="00E2673E"/>
    <w:rsid w:val="00E270D3"/>
    <w:rsid w:val="00E27FC7"/>
    <w:rsid w:val="00E3050B"/>
    <w:rsid w:val="00E30700"/>
    <w:rsid w:val="00E31115"/>
    <w:rsid w:val="00E31360"/>
    <w:rsid w:val="00E317F8"/>
    <w:rsid w:val="00E31D28"/>
    <w:rsid w:val="00E32425"/>
    <w:rsid w:val="00E3252C"/>
    <w:rsid w:val="00E325FF"/>
    <w:rsid w:val="00E32CB8"/>
    <w:rsid w:val="00E32F67"/>
    <w:rsid w:val="00E3440F"/>
    <w:rsid w:val="00E34F3A"/>
    <w:rsid w:val="00E35F99"/>
    <w:rsid w:val="00E35F9A"/>
    <w:rsid w:val="00E3637F"/>
    <w:rsid w:val="00E364B6"/>
    <w:rsid w:val="00E36723"/>
    <w:rsid w:val="00E3713C"/>
    <w:rsid w:val="00E3767B"/>
    <w:rsid w:val="00E37E1C"/>
    <w:rsid w:val="00E40079"/>
    <w:rsid w:val="00E40126"/>
    <w:rsid w:val="00E4013B"/>
    <w:rsid w:val="00E40C85"/>
    <w:rsid w:val="00E40CBF"/>
    <w:rsid w:val="00E40E7D"/>
    <w:rsid w:val="00E40EE4"/>
    <w:rsid w:val="00E413C6"/>
    <w:rsid w:val="00E420D5"/>
    <w:rsid w:val="00E42517"/>
    <w:rsid w:val="00E42948"/>
    <w:rsid w:val="00E42D55"/>
    <w:rsid w:val="00E42FFE"/>
    <w:rsid w:val="00E4316E"/>
    <w:rsid w:val="00E435AB"/>
    <w:rsid w:val="00E44275"/>
    <w:rsid w:val="00E44705"/>
    <w:rsid w:val="00E44777"/>
    <w:rsid w:val="00E44F67"/>
    <w:rsid w:val="00E4535F"/>
    <w:rsid w:val="00E455E3"/>
    <w:rsid w:val="00E466BC"/>
    <w:rsid w:val="00E4686A"/>
    <w:rsid w:val="00E479FD"/>
    <w:rsid w:val="00E47A76"/>
    <w:rsid w:val="00E504D6"/>
    <w:rsid w:val="00E50B6F"/>
    <w:rsid w:val="00E50EBE"/>
    <w:rsid w:val="00E50F69"/>
    <w:rsid w:val="00E50FC6"/>
    <w:rsid w:val="00E52372"/>
    <w:rsid w:val="00E5272D"/>
    <w:rsid w:val="00E52786"/>
    <w:rsid w:val="00E52F05"/>
    <w:rsid w:val="00E540CA"/>
    <w:rsid w:val="00E54C83"/>
    <w:rsid w:val="00E55460"/>
    <w:rsid w:val="00E55B28"/>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1E57"/>
    <w:rsid w:val="00E62F6E"/>
    <w:rsid w:val="00E63DA2"/>
    <w:rsid w:val="00E641E8"/>
    <w:rsid w:val="00E642AF"/>
    <w:rsid w:val="00E644C6"/>
    <w:rsid w:val="00E64555"/>
    <w:rsid w:val="00E64595"/>
    <w:rsid w:val="00E646BB"/>
    <w:rsid w:val="00E64B83"/>
    <w:rsid w:val="00E64D24"/>
    <w:rsid w:val="00E64FAF"/>
    <w:rsid w:val="00E653A6"/>
    <w:rsid w:val="00E6549C"/>
    <w:rsid w:val="00E654B9"/>
    <w:rsid w:val="00E6589D"/>
    <w:rsid w:val="00E65E8C"/>
    <w:rsid w:val="00E665E7"/>
    <w:rsid w:val="00E6661C"/>
    <w:rsid w:val="00E66C96"/>
    <w:rsid w:val="00E70130"/>
    <w:rsid w:val="00E706DE"/>
    <w:rsid w:val="00E71063"/>
    <w:rsid w:val="00E715FC"/>
    <w:rsid w:val="00E71A45"/>
    <w:rsid w:val="00E71C21"/>
    <w:rsid w:val="00E72F23"/>
    <w:rsid w:val="00E730FC"/>
    <w:rsid w:val="00E73481"/>
    <w:rsid w:val="00E7385A"/>
    <w:rsid w:val="00E7391F"/>
    <w:rsid w:val="00E73CE6"/>
    <w:rsid w:val="00E74780"/>
    <w:rsid w:val="00E74956"/>
    <w:rsid w:val="00E752F7"/>
    <w:rsid w:val="00E75848"/>
    <w:rsid w:val="00E759D4"/>
    <w:rsid w:val="00E76A3C"/>
    <w:rsid w:val="00E76F9B"/>
    <w:rsid w:val="00E77100"/>
    <w:rsid w:val="00E771FC"/>
    <w:rsid w:val="00E773E5"/>
    <w:rsid w:val="00E77BDD"/>
    <w:rsid w:val="00E806D3"/>
    <w:rsid w:val="00E8104D"/>
    <w:rsid w:val="00E81C34"/>
    <w:rsid w:val="00E81D83"/>
    <w:rsid w:val="00E821BB"/>
    <w:rsid w:val="00E822E9"/>
    <w:rsid w:val="00E826FE"/>
    <w:rsid w:val="00E8275E"/>
    <w:rsid w:val="00E827AF"/>
    <w:rsid w:val="00E82DE9"/>
    <w:rsid w:val="00E83253"/>
    <w:rsid w:val="00E83714"/>
    <w:rsid w:val="00E83831"/>
    <w:rsid w:val="00E844AB"/>
    <w:rsid w:val="00E8463C"/>
    <w:rsid w:val="00E84C97"/>
    <w:rsid w:val="00E85005"/>
    <w:rsid w:val="00E85296"/>
    <w:rsid w:val="00E8533B"/>
    <w:rsid w:val="00E85E4E"/>
    <w:rsid w:val="00E86327"/>
    <w:rsid w:val="00E86DF0"/>
    <w:rsid w:val="00E871B7"/>
    <w:rsid w:val="00E87BD2"/>
    <w:rsid w:val="00E87CDC"/>
    <w:rsid w:val="00E908FD"/>
    <w:rsid w:val="00E90B33"/>
    <w:rsid w:val="00E910E4"/>
    <w:rsid w:val="00E911E0"/>
    <w:rsid w:val="00E92115"/>
    <w:rsid w:val="00E93407"/>
    <w:rsid w:val="00E940A8"/>
    <w:rsid w:val="00E94307"/>
    <w:rsid w:val="00E947E8"/>
    <w:rsid w:val="00E94B0F"/>
    <w:rsid w:val="00E9503F"/>
    <w:rsid w:val="00E956F3"/>
    <w:rsid w:val="00E95AA7"/>
    <w:rsid w:val="00E96E68"/>
    <w:rsid w:val="00E97013"/>
    <w:rsid w:val="00E97EA1"/>
    <w:rsid w:val="00EA0BBE"/>
    <w:rsid w:val="00EA18B9"/>
    <w:rsid w:val="00EA1AED"/>
    <w:rsid w:val="00EA1FBC"/>
    <w:rsid w:val="00EA20A1"/>
    <w:rsid w:val="00EA212B"/>
    <w:rsid w:val="00EA24B5"/>
    <w:rsid w:val="00EA2AAA"/>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6CAC"/>
    <w:rsid w:val="00EA75BD"/>
    <w:rsid w:val="00EA7C47"/>
    <w:rsid w:val="00EB0F0F"/>
    <w:rsid w:val="00EB12A5"/>
    <w:rsid w:val="00EB24D8"/>
    <w:rsid w:val="00EB277B"/>
    <w:rsid w:val="00EB2F20"/>
    <w:rsid w:val="00EB2F35"/>
    <w:rsid w:val="00EB31DB"/>
    <w:rsid w:val="00EB3422"/>
    <w:rsid w:val="00EB3A31"/>
    <w:rsid w:val="00EB4EAF"/>
    <w:rsid w:val="00EB548E"/>
    <w:rsid w:val="00EB5C41"/>
    <w:rsid w:val="00EB5F5A"/>
    <w:rsid w:val="00EB656C"/>
    <w:rsid w:val="00EB657E"/>
    <w:rsid w:val="00EB695E"/>
    <w:rsid w:val="00EB69D1"/>
    <w:rsid w:val="00EB69D4"/>
    <w:rsid w:val="00EB6FE9"/>
    <w:rsid w:val="00EB72FF"/>
    <w:rsid w:val="00EB756F"/>
    <w:rsid w:val="00EB79C8"/>
    <w:rsid w:val="00EB7E3F"/>
    <w:rsid w:val="00EB7E78"/>
    <w:rsid w:val="00EC0301"/>
    <w:rsid w:val="00EC08B5"/>
    <w:rsid w:val="00EC09C6"/>
    <w:rsid w:val="00EC0EA5"/>
    <w:rsid w:val="00EC1056"/>
    <w:rsid w:val="00EC1470"/>
    <w:rsid w:val="00EC222E"/>
    <w:rsid w:val="00EC2716"/>
    <w:rsid w:val="00EC2DBB"/>
    <w:rsid w:val="00EC358E"/>
    <w:rsid w:val="00EC3FD2"/>
    <w:rsid w:val="00EC4095"/>
    <w:rsid w:val="00EC43B5"/>
    <w:rsid w:val="00EC4537"/>
    <w:rsid w:val="00EC4960"/>
    <w:rsid w:val="00EC4AE3"/>
    <w:rsid w:val="00EC5414"/>
    <w:rsid w:val="00EC54EE"/>
    <w:rsid w:val="00EC59B2"/>
    <w:rsid w:val="00EC5A3B"/>
    <w:rsid w:val="00EC6424"/>
    <w:rsid w:val="00EC786C"/>
    <w:rsid w:val="00EC7ADD"/>
    <w:rsid w:val="00EC7C26"/>
    <w:rsid w:val="00ED04FE"/>
    <w:rsid w:val="00ED0DD0"/>
    <w:rsid w:val="00ED1122"/>
    <w:rsid w:val="00ED1989"/>
    <w:rsid w:val="00ED28F2"/>
    <w:rsid w:val="00ED2F3E"/>
    <w:rsid w:val="00ED3145"/>
    <w:rsid w:val="00ED3309"/>
    <w:rsid w:val="00ED356E"/>
    <w:rsid w:val="00ED35E1"/>
    <w:rsid w:val="00ED3792"/>
    <w:rsid w:val="00ED3BDA"/>
    <w:rsid w:val="00ED46ED"/>
    <w:rsid w:val="00ED5A3B"/>
    <w:rsid w:val="00ED5C30"/>
    <w:rsid w:val="00ED5E02"/>
    <w:rsid w:val="00ED5EED"/>
    <w:rsid w:val="00ED612A"/>
    <w:rsid w:val="00ED6B1C"/>
    <w:rsid w:val="00ED6CF7"/>
    <w:rsid w:val="00ED6F33"/>
    <w:rsid w:val="00ED70A5"/>
    <w:rsid w:val="00ED7716"/>
    <w:rsid w:val="00ED7737"/>
    <w:rsid w:val="00ED7747"/>
    <w:rsid w:val="00ED7CF4"/>
    <w:rsid w:val="00ED7FA2"/>
    <w:rsid w:val="00EE03EA"/>
    <w:rsid w:val="00EE0786"/>
    <w:rsid w:val="00EE1B0E"/>
    <w:rsid w:val="00EE21D5"/>
    <w:rsid w:val="00EE22FB"/>
    <w:rsid w:val="00EE2407"/>
    <w:rsid w:val="00EE26AE"/>
    <w:rsid w:val="00EE29C8"/>
    <w:rsid w:val="00EE2A54"/>
    <w:rsid w:val="00EE2FC2"/>
    <w:rsid w:val="00EE3B6B"/>
    <w:rsid w:val="00EE3B88"/>
    <w:rsid w:val="00EE4B75"/>
    <w:rsid w:val="00EE4D34"/>
    <w:rsid w:val="00EE4DBD"/>
    <w:rsid w:val="00EE6AC6"/>
    <w:rsid w:val="00EE6E26"/>
    <w:rsid w:val="00EE784F"/>
    <w:rsid w:val="00EE7A1D"/>
    <w:rsid w:val="00EE7DBD"/>
    <w:rsid w:val="00EF0500"/>
    <w:rsid w:val="00EF0808"/>
    <w:rsid w:val="00EF1002"/>
    <w:rsid w:val="00EF143F"/>
    <w:rsid w:val="00EF1D3B"/>
    <w:rsid w:val="00EF23D8"/>
    <w:rsid w:val="00EF2A5A"/>
    <w:rsid w:val="00EF2A87"/>
    <w:rsid w:val="00EF3A74"/>
    <w:rsid w:val="00EF3AE9"/>
    <w:rsid w:val="00EF3EA5"/>
    <w:rsid w:val="00EF49FB"/>
    <w:rsid w:val="00EF55D6"/>
    <w:rsid w:val="00EF644D"/>
    <w:rsid w:val="00EF6BAD"/>
    <w:rsid w:val="00EF6D29"/>
    <w:rsid w:val="00EF6E79"/>
    <w:rsid w:val="00EF7138"/>
    <w:rsid w:val="00EF7E0B"/>
    <w:rsid w:val="00F00881"/>
    <w:rsid w:val="00F00917"/>
    <w:rsid w:val="00F00B65"/>
    <w:rsid w:val="00F010BB"/>
    <w:rsid w:val="00F012C1"/>
    <w:rsid w:val="00F0175F"/>
    <w:rsid w:val="00F01A41"/>
    <w:rsid w:val="00F03280"/>
    <w:rsid w:val="00F0362A"/>
    <w:rsid w:val="00F0385C"/>
    <w:rsid w:val="00F03ABE"/>
    <w:rsid w:val="00F03B69"/>
    <w:rsid w:val="00F04345"/>
    <w:rsid w:val="00F047A4"/>
    <w:rsid w:val="00F04F52"/>
    <w:rsid w:val="00F0510F"/>
    <w:rsid w:val="00F0563F"/>
    <w:rsid w:val="00F05973"/>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AA1"/>
    <w:rsid w:val="00F13F2A"/>
    <w:rsid w:val="00F14D9E"/>
    <w:rsid w:val="00F15097"/>
    <w:rsid w:val="00F153F8"/>
    <w:rsid w:val="00F15671"/>
    <w:rsid w:val="00F1643E"/>
    <w:rsid w:val="00F16695"/>
    <w:rsid w:val="00F17159"/>
    <w:rsid w:val="00F1733F"/>
    <w:rsid w:val="00F202E3"/>
    <w:rsid w:val="00F20C6E"/>
    <w:rsid w:val="00F20D6C"/>
    <w:rsid w:val="00F20F03"/>
    <w:rsid w:val="00F2255F"/>
    <w:rsid w:val="00F225CF"/>
    <w:rsid w:val="00F22882"/>
    <w:rsid w:val="00F22985"/>
    <w:rsid w:val="00F22AEF"/>
    <w:rsid w:val="00F22F7A"/>
    <w:rsid w:val="00F2343C"/>
    <w:rsid w:val="00F23CFC"/>
    <w:rsid w:val="00F24076"/>
    <w:rsid w:val="00F240CB"/>
    <w:rsid w:val="00F2492F"/>
    <w:rsid w:val="00F2500D"/>
    <w:rsid w:val="00F251B2"/>
    <w:rsid w:val="00F2596D"/>
    <w:rsid w:val="00F25CAA"/>
    <w:rsid w:val="00F26AD6"/>
    <w:rsid w:val="00F2711C"/>
    <w:rsid w:val="00F2720E"/>
    <w:rsid w:val="00F27253"/>
    <w:rsid w:val="00F277E8"/>
    <w:rsid w:val="00F27B04"/>
    <w:rsid w:val="00F27E3D"/>
    <w:rsid w:val="00F27EB2"/>
    <w:rsid w:val="00F301D0"/>
    <w:rsid w:val="00F3069F"/>
    <w:rsid w:val="00F30A02"/>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61AE"/>
    <w:rsid w:val="00F36240"/>
    <w:rsid w:val="00F363EB"/>
    <w:rsid w:val="00F365DE"/>
    <w:rsid w:val="00F366DA"/>
    <w:rsid w:val="00F367CF"/>
    <w:rsid w:val="00F36D37"/>
    <w:rsid w:val="00F3719A"/>
    <w:rsid w:val="00F379BF"/>
    <w:rsid w:val="00F37EA7"/>
    <w:rsid w:val="00F40805"/>
    <w:rsid w:val="00F40B93"/>
    <w:rsid w:val="00F40C5E"/>
    <w:rsid w:val="00F40E3E"/>
    <w:rsid w:val="00F4163A"/>
    <w:rsid w:val="00F41873"/>
    <w:rsid w:val="00F419C3"/>
    <w:rsid w:val="00F41D91"/>
    <w:rsid w:val="00F41E2B"/>
    <w:rsid w:val="00F423BE"/>
    <w:rsid w:val="00F424A5"/>
    <w:rsid w:val="00F425EF"/>
    <w:rsid w:val="00F428AC"/>
    <w:rsid w:val="00F42AAD"/>
    <w:rsid w:val="00F42EE3"/>
    <w:rsid w:val="00F43149"/>
    <w:rsid w:val="00F43660"/>
    <w:rsid w:val="00F43B91"/>
    <w:rsid w:val="00F44542"/>
    <w:rsid w:val="00F448DD"/>
    <w:rsid w:val="00F44D6A"/>
    <w:rsid w:val="00F44DB8"/>
    <w:rsid w:val="00F44F03"/>
    <w:rsid w:val="00F45760"/>
    <w:rsid w:val="00F45925"/>
    <w:rsid w:val="00F46BA6"/>
    <w:rsid w:val="00F46C97"/>
    <w:rsid w:val="00F4703E"/>
    <w:rsid w:val="00F4775F"/>
    <w:rsid w:val="00F50781"/>
    <w:rsid w:val="00F50CA3"/>
    <w:rsid w:val="00F517ED"/>
    <w:rsid w:val="00F51F3F"/>
    <w:rsid w:val="00F528B5"/>
    <w:rsid w:val="00F528E7"/>
    <w:rsid w:val="00F52C8A"/>
    <w:rsid w:val="00F5352D"/>
    <w:rsid w:val="00F53615"/>
    <w:rsid w:val="00F53A91"/>
    <w:rsid w:val="00F54466"/>
    <w:rsid w:val="00F54783"/>
    <w:rsid w:val="00F547E9"/>
    <w:rsid w:val="00F5494E"/>
    <w:rsid w:val="00F54ABE"/>
    <w:rsid w:val="00F55804"/>
    <w:rsid w:val="00F55F1A"/>
    <w:rsid w:val="00F56310"/>
    <w:rsid w:val="00F5684C"/>
    <w:rsid w:val="00F57210"/>
    <w:rsid w:val="00F577FC"/>
    <w:rsid w:val="00F602F0"/>
    <w:rsid w:val="00F60C90"/>
    <w:rsid w:val="00F619EE"/>
    <w:rsid w:val="00F61CF5"/>
    <w:rsid w:val="00F61FF9"/>
    <w:rsid w:val="00F62069"/>
    <w:rsid w:val="00F62159"/>
    <w:rsid w:val="00F62A7C"/>
    <w:rsid w:val="00F62B93"/>
    <w:rsid w:val="00F633E5"/>
    <w:rsid w:val="00F63C89"/>
    <w:rsid w:val="00F647EC"/>
    <w:rsid w:val="00F64FAB"/>
    <w:rsid w:val="00F65AC8"/>
    <w:rsid w:val="00F65CEA"/>
    <w:rsid w:val="00F65F15"/>
    <w:rsid w:val="00F66443"/>
    <w:rsid w:val="00F675EA"/>
    <w:rsid w:val="00F7073B"/>
    <w:rsid w:val="00F7074A"/>
    <w:rsid w:val="00F70AD6"/>
    <w:rsid w:val="00F71687"/>
    <w:rsid w:val="00F71708"/>
    <w:rsid w:val="00F717C1"/>
    <w:rsid w:val="00F71AAE"/>
    <w:rsid w:val="00F71CDB"/>
    <w:rsid w:val="00F725D3"/>
    <w:rsid w:val="00F7281E"/>
    <w:rsid w:val="00F72C1A"/>
    <w:rsid w:val="00F72C3D"/>
    <w:rsid w:val="00F737AB"/>
    <w:rsid w:val="00F74216"/>
    <w:rsid w:val="00F74F0F"/>
    <w:rsid w:val="00F75731"/>
    <w:rsid w:val="00F75841"/>
    <w:rsid w:val="00F76333"/>
    <w:rsid w:val="00F770C6"/>
    <w:rsid w:val="00F77100"/>
    <w:rsid w:val="00F8090F"/>
    <w:rsid w:val="00F80A8A"/>
    <w:rsid w:val="00F8139A"/>
    <w:rsid w:val="00F82AAE"/>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0232"/>
    <w:rsid w:val="00F909C7"/>
    <w:rsid w:val="00F91669"/>
    <w:rsid w:val="00F916DE"/>
    <w:rsid w:val="00F9184F"/>
    <w:rsid w:val="00F91943"/>
    <w:rsid w:val="00F9231D"/>
    <w:rsid w:val="00F92A66"/>
    <w:rsid w:val="00F931CF"/>
    <w:rsid w:val="00F93A31"/>
    <w:rsid w:val="00F93D6E"/>
    <w:rsid w:val="00F9423D"/>
    <w:rsid w:val="00F942C2"/>
    <w:rsid w:val="00F94609"/>
    <w:rsid w:val="00F94F16"/>
    <w:rsid w:val="00F95182"/>
    <w:rsid w:val="00F957D2"/>
    <w:rsid w:val="00F95D94"/>
    <w:rsid w:val="00F96F86"/>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7029"/>
    <w:rsid w:val="00FA7157"/>
    <w:rsid w:val="00FA73A6"/>
    <w:rsid w:val="00FA7662"/>
    <w:rsid w:val="00FA7698"/>
    <w:rsid w:val="00FA78C2"/>
    <w:rsid w:val="00FA7A2D"/>
    <w:rsid w:val="00FA7B4F"/>
    <w:rsid w:val="00FA7D8F"/>
    <w:rsid w:val="00FA7DA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2FD0"/>
    <w:rsid w:val="00FB333A"/>
    <w:rsid w:val="00FB39EB"/>
    <w:rsid w:val="00FB4267"/>
    <w:rsid w:val="00FB4547"/>
    <w:rsid w:val="00FB59D4"/>
    <w:rsid w:val="00FB5E81"/>
    <w:rsid w:val="00FB6E6C"/>
    <w:rsid w:val="00FB71B0"/>
    <w:rsid w:val="00FB7ABA"/>
    <w:rsid w:val="00FB7C21"/>
    <w:rsid w:val="00FB7C46"/>
    <w:rsid w:val="00FC04E0"/>
    <w:rsid w:val="00FC06CE"/>
    <w:rsid w:val="00FC0D98"/>
    <w:rsid w:val="00FC0E2F"/>
    <w:rsid w:val="00FC1042"/>
    <w:rsid w:val="00FC11C6"/>
    <w:rsid w:val="00FC17D8"/>
    <w:rsid w:val="00FC279A"/>
    <w:rsid w:val="00FC324D"/>
    <w:rsid w:val="00FC39A1"/>
    <w:rsid w:val="00FC3BC3"/>
    <w:rsid w:val="00FC3E47"/>
    <w:rsid w:val="00FC4B53"/>
    <w:rsid w:val="00FC4BAE"/>
    <w:rsid w:val="00FC4F75"/>
    <w:rsid w:val="00FC5160"/>
    <w:rsid w:val="00FC5A36"/>
    <w:rsid w:val="00FC6353"/>
    <w:rsid w:val="00FC69CF"/>
    <w:rsid w:val="00FC6B0B"/>
    <w:rsid w:val="00FC713B"/>
    <w:rsid w:val="00FC7504"/>
    <w:rsid w:val="00FC7862"/>
    <w:rsid w:val="00FC79D5"/>
    <w:rsid w:val="00FC7B35"/>
    <w:rsid w:val="00FC7B53"/>
    <w:rsid w:val="00FC7BD8"/>
    <w:rsid w:val="00FD0177"/>
    <w:rsid w:val="00FD0AE7"/>
    <w:rsid w:val="00FD0B44"/>
    <w:rsid w:val="00FD0F70"/>
    <w:rsid w:val="00FD2315"/>
    <w:rsid w:val="00FD29A7"/>
    <w:rsid w:val="00FD2B15"/>
    <w:rsid w:val="00FD3092"/>
    <w:rsid w:val="00FD3D4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458"/>
    <w:rsid w:val="00FE07DC"/>
    <w:rsid w:val="00FE08FB"/>
    <w:rsid w:val="00FE1116"/>
    <w:rsid w:val="00FE2075"/>
    <w:rsid w:val="00FE2080"/>
    <w:rsid w:val="00FE27B9"/>
    <w:rsid w:val="00FE2E37"/>
    <w:rsid w:val="00FE30EF"/>
    <w:rsid w:val="00FE3640"/>
    <w:rsid w:val="00FE36B6"/>
    <w:rsid w:val="00FE3780"/>
    <w:rsid w:val="00FE3954"/>
    <w:rsid w:val="00FE3AE5"/>
    <w:rsid w:val="00FE3CF7"/>
    <w:rsid w:val="00FE4071"/>
    <w:rsid w:val="00FE42E3"/>
    <w:rsid w:val="00FE4ECD"/>
    <w:rsid w:val="00FE52B7"/>
    <w:rsid w:val="00FE53C5"/>
    <w:rsid w:val="00FE56A8"/>
    <w:rsid w:val="00FE5807"/>
    <w:rsid w:val="00FE5C39"/>
    <w:rsid w:val="00FE5C57"/>
    <w:rsid w:val="00FE624E"/>
    <w:rsid w:val="00FE6415"/>
    <w:rsid w:val="00FE69E7"/>
    <w:rsid w:val="00FE6BB8"/>
    <w:rsid w:val="00FE6E76"/>
    <w:rsid w:val="00FF027B"/>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103164E"/>
    <w:rsid w:val="01141165"/>
    <w:rsid w:val="01145473"/>
    <w:rsid w:val="01170BF2"/>
    <w:rsid w:val="011F7384"/>
    <w:rsid w:val="01207171"/>
    <w:rsid w:val="012375FA"/>
    <w:rsid w:val="0143581A"/>
    <w:rsid w:val="015502C6"/>
    <w:rsid w:val="015B703A"/>
    <w:rsid w:val="015F3D4A"/>
    <w:rsid w:val="0170784A"/>
    <w:rsid w:val="0175017E"/>
    <w:rsid w:val="0185278D"/>
    <w:rsid w:val="01AA2C10"/>
    <w:rsid w:val="01B813C1"/>
    <w:rsid w:val="01BD7A4F"/>
    <w:rsid w:val="01C963F3"/>
    <w:rsid w:val="01DE1773"/>
    <w:rsid w:val="01E3527C"/>
    <w:rsid w:val="01E730A7"/>
    <w:rsid w:val="01EF3980"/>
    <w:rsid w:val="02145195"/>
    <w:rsid w:val="021B6523"/>
    <w:rsid w:val="021C29C7"/>
    <w:rsid w:val="023D46EC"/>
    <w:rsid w:val="02423BC5"/>
    <w:rsid w:val="024E4B4B"/>
    <w:rsid w:val="02500776"/>
    <w:rsid w:val="02555813"/>
    <w:rsid w:val="025657AD"/>
    <w:rsid w:val="025832D3"/>
    <w:rsid w:val="025D08EA"/>
    <w:rsid w:val="02647ECA"/>
    <w:rsid w:val="027345B1"/>
    <w:rsid w:val="028B2945"/>
    <w:rsid w:val="029B032D"/>
    <w:rsid w:val="02AB3D4B"/>
    <w:rsid w:val="02AE49FB"/>
    <w:rsid w:val="02B0335D"/>
    <w:rsid w:val="02CF1221"/>
    <w:rsid w:val="02DA783B"/>
    <w:rsid w:val="02DB0B53"/>
    <w:rsid w:val="02DC20C4"/>
    <w:rsid w:val="02DC29D3"/>
    <w:rsid w:val="02E30EB0"/>
    <w:rsid w:val="02E85A43"/>
    <w:rsid w:val="02EA04F8"/>
    <w:rsid w:val="030B6A1C"/>
    <w:rsid w:val="03123DCA"/>
    <w:rsid w:val="031B650C"/>
    <w:rsid w:val="033643D3"/>
    <w:rsid w:val="034C6030"/>
    <w:rsid w:val="03595555"/>
    <w:rsid w:val="0371289F"/>
    <w:rsid w:val="03724869"/>
    <w:rsid w:val="037738D8"/>
    <w:rsid w:val="037A0B0F"/>
    <w:rsid w:val="0385459C"/>
    <w:rsid w:val="03885BCE"/>
    <w:rsid w:val="038F541B"/>
    <w:rsid w:val="0392072B"/>
    <w:rsid w:val="03A013D6"/>
    <w:rsid w:val="03B95FF4"/>
    <w:rsid w:val="03BB1D6C"/>
    <w:rsid w:val="03C9092D"/>
    <w:rsid w:val="03D80B70"/>
    <w:rsid w:val="03E94977"/>
    <w:rsid w:val="041D2A27"/>
    <w:rsid w:val="042711AF"/>
    <w:rsid w:val="04272850"/>
    <w:rsid w:val="04310E7B"/>
    <w:rsid w:val="0442423B"/>
    <w:rsid w:val="044E2BE0"/>
    <w:rsid w:val="044F4634"/>
    <w:rsid w:val="046447EC"/>
    <w:rsid w:val="04695B7E"/>
    <w:rsid w:val="04765325"/>
    <w:rsid w:val="048D195A"/>
    <w:rsid w:val="048F3F83"/>
    <w:rsid w:val="04932CE9"/>
    <w:rsid w:val="04B61232"/>
    <w:rsid w:val="04BC2284"/>
    <w:rsid w:val="04C25910"/>
    <w:rsid w:val="04D05CEB"/>
    <w:rsid w:val="04DA26C6"/>
    <w:rsid w:val="04E15802"/>
    <w:rsid w:val="04EE765A"/>
    <w:rsid w:val="050140F6"/>
    <w:rsid w:val="050D2A9B"/>
    <w:rsid w:val="05114EDC"/>
    <w:rsid w:val="052778F4"/>
    <w:rsid w:val="052B23E6"/>
    <w:rsid w:val="05414E92"/>
    <w:rsid w:val="05504736"/>
    <w:rsid w:val="056078BC"/>
    <w:rsid w:val="05634CE7"/>
    <w:rsid w:val="05790131"/>
    <w:rsid w:val="05791A60"/>
    <w:rsid w:val="05854B8E"/>
    <w:rsid w:val="05A312E2"/>
    <w:rsid w:val="05A514AC"/>
    <w:rsid w:val="05E11832"/>
    <w:rsid w:val="05E7762B"/>
    <w:rsid w:val="05EE467B"/>
    <w:rsid w:val="05F72E03"/>
    <w:rsid w:val="06023C82"/>
    <w:rsid w:val="06265907"/>
    <w:rsid w:val="062E4A77"/>
    <w:rsid w:val="063D40C6"/>
    <w:rsid w:val="06712BB6"/>
    <w:rsid w:val="067835DA"/>
    <w:rsid w:val="06856661"/>
    <w:rsid w:val="068955F4"/>
    <w:rsid w:val="06AC1E40"/>
    <w:rsid w:val="06C74ECC"/>
    <w:rsid w:val="070179FE"/>
    <w:rsid w:val="070E48A8"/>
    <w:rsid w:val="07106837"/>
    <w:rsid w:val="071E3C0C"/>
    <w:rsid w:val="072B545A"/>
    <w:rsid w:val="0733430F"/>
    <w:rsid w:val="073836D3"/>
    <w:rsid w:val="073D468D"/>
    <w:rsid w:val="074107DA"/>
    <w:rsid w:val="075948A2"/>
    <w:rsid w:val="075F0692"/>
    <w:rsid w:val="077A65DF"/>
    <w:rsid w:val="07941252"/>
    <w:rsid w:val="07A07BF6"/>
    <w:rsid w:val="07BB7871"/>
    <w:rsid w:val="07C41FE8"/>
    <w:rsid w:val="07CD6512"/>
    <w:rsid w:val="07DB054A"/>
    <w:rsid w:val="07E6312F"/>
    <w:rsid w:val="07EA49A8"/>
    <w:rsid w:val="07F97408"/>
    <w:rsid w:val="07FE491D"/>
    <w:rsid w:val="080D4B60"/>
    <w:rsid w:val="081859DF"/>
    <w:rsid w:val="082F2519"/>
    <w:rsid w:val="083D2AF4"/>
    <w:rsid w:val="08430582"/>
    <w:rsid w:val="084E641F"/>
    <w:rsid w:val="084F6F27"/>
    <w:rsid w:val="08650F92"/>
    <w:rsid w:val="086724C2"/>
    <w:rsid w:val="086D5141"/>
    <w:rsid w:val="0873752E"/>
    <w:rsid w:val="087846CF"/>
    <w:rsid w:val="088E7A4F"/>
    <w:rsid w:val="089303A1"/>
    <w:rsid w:val="08935065"/>
    <w:rsid w:val="089808CE"/>
    <w:rsid w:val="08B03E69"/>
    <w:rsid w:val="08B07271"/>
    <w:rsid w:val="08BA0844"/>
    <w:rsid w:val="08C97079"/>
    <w:rsid w:val="08D4415D"/>
    <w:rsid w:val="08E43B13"/>
    <w:rsid w:val="08EC0C19"/>
    <w:rsid w:val="08EC29C7"/>
    <w:rsid w:val="08F0070A"/>
    <w:rsid w:val="08F53B23"/>
    <w:rsid w:val="08F71A98"/>
    <w:rsid w:val="090146C5"/>
    <w:rsid w:val="091A7535"/>
    <w:rsid w:val="091D6D44"/>
    <w:rsid w:val="092060A3"/>
    <w:rsid w:val="092F3D18"/>
    <w:rsid w:val="093738EA"/>
    <w:rsid w:val="09475E50"/>
    <w:rsid w:val="094C31CE"/>
    <w:rsid w:val="09640E51"/>
    <w:rsid w:val="09722ECD"/>
    <w:rsid w:val="09742D90"/>
    <w:rsid w:val="09756D49"/>
    <w:rsid w:val="097826CE"/>
    <w:rsid w:val="098D72CE"/>
    <w:rsid w:val="099E3CC2"/>
    <w:rsid w:val="099F4CD6"/>
    <w:rsid w:val="09A6526C"/>
    <w:rsid w:val="09AC2692"/>
    <w:rsid w:val="09AF78DC"/>
    <w:rsid w:val="09BE5A1C"/>
    <w:rsid w:val="09E60F96"/>
    <w:rsid w:val="09EA33AB"/>
    <w:rsid w:val="09EB2C7F"/>
    <w:rsid w:val="09EE2F72"/>
    <w:rsid w:val="09F300BA"/>
    <w:rsid w:val="09FC16E9"/>
    <w:rsid w:val="0A03446D"/>
    <w:rsid w:val="0A053C89"/>
    <w:rsid w:val="0A070656"/>
    <w:rsid w:val="0A081A83"/>
    <w:rsid w:val="0A0C3321"/>
    <w:rsid w:val="0A147C03"/>
    <w:rsid w:val="0A1E592A"/>
    <w:rsid w:val="0A3B7763"/>
    <w:rsid w:val="0A783A35"/>
    <w:rsid w:val="0A8C7FBE"/>
    <w:rsid w:val="0A913ED8"/>
    <w:rsid w:val="0A9D21CB"/>
    <w:rsid w:val="0AA60261"/>
    <w:rsid w:val="0ABF0394"/>
    <w:rsid w:val="0ACA0AE6"/>
    <w:rsid w:val="0AFB3396"/>
    <w:rsid w:val="0B016BFE"/>
    <w:rsid w:val="0B0C670D"/>
    <w:rsid w:val="0B154457"/>
    <w:rsid w:val="0B24171E"/>
    <w:rsid w:val="0B3D750A"/>
    <w:rsid w:val="0B4E5BBB"/>
    <w:rsid w:val="0B536D2E"/>
    <w:rsid w:val="0B5C3243"/>
    <w:rsid w:val="0B5E59FA"/>
    <w:rsid w:val="0B602F7F"/>
    <w:rsid w:val="0B6115E9"/>
    <w:rsid w:val="0B6902FF"/>
    <w:rsid w:val="0B7242FE"/>
    <w:rsid w:val="0B745622"/>
    <w:rsid w:val="0B796626"/>
    <w:rsid w:val="0B7A7000"/>
    <w:rsid w:val="0B9335CE"/>
    <w:rsid w:val="0B970D88"/>
    <w:rsid w:val="0B9A7040"/>
    <w:rsid w:val="0BA120A0"/>
    <w:rsid w:val="0BAD59A4"/>
    <w:rsid w:val="0BB04180"/>
    <w:rsid w:val="0BB329F1"/>
    <w:rsid w:val="0BB377CC"/>
    <w:rsid w:val="0BBF1DEA"/>
    <w:rsid w:val="0BCC11C3"/>
    <w:rsid w:val="0BD04822"/>
    <w:rsid w:val="0BDE0106"/>
    <w:rsid w:val="0BE2331A"/>
    <w:rsid w:val="0BE65DF4"/>
    <w:rsid w:val="0BEF6A57"/>
    <w:rsid w:val="0BEF6BE8"/>
    <w:rsid w:val="0C0D15D3"/>
    <w:rsid w:val="0C191D25"/>
    <w:rsid w:val="0C1A446B"/>
    <w:rsid w:val="0C357211"/>
    <w:rsid w:val="0C376758"/>
    <w:rsid w:val="0C466B45"/>
    <w:rsid w:val="0C467A13"/>
    <w:rsid w:val="0C48260B"/>
    <w:rsid w:val="0C762CD4"/>
    <w:rsid w:val="0C86007E"/>
    <w:rsid w:val="0C8A2B4F"/>
    <w:rsid w:val="0C931AD8"/>
    <w:rsid w:val="0C963376"/>
    <w:rsid w:val="0C994C14"/>
    <w:rsid w:val="0CB73F69"/>
    <w:rsid w:val="0CC70681"/>
    <w:rsid w:val="0CD10852"/>
    <w:rsid w:val="0CEC12AF"/>
    <w:rsid w:val="0CF14C47"/>
    <w:rsid w:val="0D1F6B15"/>
    <w:rsid w:val="0D26201E"/>
    <w:rsid w:val="0D576FA9"/>
    <w:rsid w:val="0D584403"/>
    <w:rsid w:val="0D6B3669"/>
    <w:rsid w:val="0D70006B"/>
    <w:rsid w:val="0D7C6A10"/>
    <w:rsid w:val="0D814026"/>
    <w:rsid w:val="0D886C01"/>
    <w:rsid w:val="0D8E6768"/>
    <w:rsid w:val="0D9217FF"/>
    <w:rsid w:val="0D933D59"/>
    <w:rsid w:val="0DA57703"/>
    <w:rsid w:val="0DAE2941"/>
    <w:rsid w:val="0DC24FC9"/>
    <w:rsid w:val="0DC61A39"/>
    <w:rsid w:val="0DCF4D92"/>
    <w:rsid w:val="0DE00CB6"/>
    <w:rsid w:val="0DE620DB"/>
    <w:rsid w:val="0DEE7765"/>
    <w:rsid w:val="0DF62D23"/>
    <w:rsid w:val="0E0B11FA"/>
    <w:rsid w:val="0E121122"/>
    <w:rsid w:val="0E142BB9"/>
    <w:rsid w:val="0E1B3F19"/>
    <w:rsid w:val="0E4A08BC"/>
    <w:rsid w:val="0E4D5CB6"/>
    <w:rsid w:val="0E700754"/>
    <w:rsid w:val="0E8C2C83"/>
    <w:rsid w:val="0E9E6512"/>
    <w:rsid w:val="0EB0180F"/>
    <w:rsid w:val="0EB465BD"/>
    <w:rsid w:val="0EB83A78"/>
    <w:rsid w:val="0EBF032A"/>
    <w:rsid w:val="0EDE3842"/>
    <w:rsid w:val="0EED0A31"/>
    <w:rsid w:val="0EF11FC8"/>
    <w:rsid w:val="0EF83E74"/>
    <w:rsid w:val="0F004D50"/>
    <w:rsid w:val="0F017011"/>
    <w:rsid w:val="0F0335C9"/>
    <w:rsid w:val="0F1B54BA"/>
    <w:rsid w:val="0F204221"/>
    <w:rsid w:val="0F2B5D1F"/>
    <w:rsid w:val="0F3375A2"/>
    <w:rsid w:val="0F380715"/>
    <w:rsid w:val="0F3B3D47"/>
    <w:rsid w:val="0F421593"/>
    <w:rsid w:val="0F44355D"/>
    <w:rsid w:val="0F6459AD"/>
    <w:rsid w:val="0F73174D"/>
    <w:rsid w:val="0F783207"/>
    <w:rsid w:val="0F7D081D"/>
    <w:rsid w:val="0F8E37C8"/>
    <w:rsid w:val="0FA4224E"/>
    <w:rsid w:val="0FB56209"/>
    <w:rsid w:val="0FBC1346"/>
    <w:rsid w:val="0FD3043D"/>
    <w:rsid w:val="0FDA73BD"/>
    <w:rsid w:val="0FDD12BC"/>
    <w:rsid w:val="0FE80FB7"/>
    <w:rsid w:val="0FE97C61"/>
    <w:rsid w:val="0FFF56D6"/>
    <w:rsid w:val="10042D22"/>
    <w:rsid w:val="10086339"/>
    <w:rsid w:val="101C0A97"/>
    <w:rsid w:val="101F38C3"/>
    <w:rsid w:val="10282537"/>
    <w:rsid w:val="102F38FF"/>
    <w:rsid w:val="10482BD9"/>
    <w:rsid w:val="104D01F0"/>
    <w:rsid w:val="104D6442"/>
    <w:rsid w:val="10967DE9"/>
    <w:rsid w:val="10B822C3"/>
    <w:rsid w:val="10CB18A1"/>
    <w:rsid w:val="10D802E5"/>
    <w:rsid w:val="10F67974"/>
    <w:rsid w:val="11036B00"/>
    <w:rsid w:val="110C4121"/>
    <w:rsid w:val="11290C5D"/>
    <w:rsid w:val="112F4D9C"/>
    <w:rsid w:val="11421D1E"/>
    <w:rsid w:val="114C04A7"/>
    <w:rsid w:val="115F4616"/>
    <w:rsid w:val="116457F1"/>
    <w:rsid w:val="11673533"/>
    <w:rsid w:val="11717F0E"/>
    <w:rsid w:val="11795845"/>
    <w:rsid w:val="11CD034E"/>
    <w:rsid w:val="11D434DA"/>
    <w:rsid w:val="11FA7F03"/>
    <w:rsid w:val="121865DB"/>
    <w:rsid w:val="122136E2"/>
    <w:rsid w:val="12312651"/>
    <w:rsid w:val="124454D1"/>
    <w:rsid w:val="124F633D"/>
    <w:rsid w:val="12685FCD"/>
    <w:rsid w:val="12715AC8"/>
    <w:rsid w:val="127203E1"/>
    <w:rsid w:val="1279351E"/>
    <w:rsid w:val="1280574C"/>
    <w:rsid w:val="128819B3"/>
    <w:rsid w:val="12BE3627"/>
    <w:rsid w:val="12C32F26"/>
    <w:rsid w:val="12D62275"/>
    <w:rsid w:val="12E87CB4"/>
    <w:rsid w:val="12F26454"/>
    <w:rsid w:val="12FB03D7"/>
    <w:rsid w:val="130C2AC5"/>
    <w:rsid w:val="130E11C1"/>
    <w:rsid w:val="130F5A00"/>
    <w:rsid w:val="1315735E"/>
    <w:rsid w:val="13427DB4"/>
    <w:rsid w:val="134753CA"/>
    <w:rsid w:val="134A6C68"/>
    <w:rsid w:val="13571D36"/>
    <w:rsid w:val="1360023A"/>
    <w:rsid w:val="136917E4"/>
    <w:rsid w:val="13750189"/>
    <w:rsid w:val="138B7476"/>
    <w:rsid w:val="138F28CD"/>
    <w:rsid w:val="139E05D0"/>
    <w:rsid w:val="13A16CBF"/>
    <w:rsid w:val="13AA5959"/>
    <w:rsid w:val="13B751E9"/>
    <w:rsid w:val="13BB6B20"/>
    <w:rsid w:val="13BD743A"/>
    <w:rsid w:val="13D80DE3"/>
    <w:rsid w:val="13E44C8F"/>
    <w:rsid w:val="13E62E35"/>
    <w:rsid w:val="13EF0479"/>
    <w:rsid w:val="13FA068E"/>
    <w:rsid w:val="140E5EE8"/>
    <w:rsid w:val="141D612B"/>
    <w:rsid w:val="141F60F6"/>
    <w:rsid w:val="141F66D1"/>
    <w:rsid w:val="144B74D7"/>
    <w:rsid w:val="144D2D5B"/>
    <w:rsid w:val="145F04F1"/>
    <w:rsid w:val="146F2C7A"/>
    <w:rsid w:val="14751CD5"/>
    <w:rsid w:val="14954D41"/>
    <w:rsid w:val="14956609"/>
    <w:rsid w:val="149E4992"/>
    <w:rsid w:val="14B36158"/>
    <w:rsid w:val="14BE790E"/>
    <w:rsid w:val="14C111AC"/>
    <w:rsid w:val="14C11485"/>
    <w:rsid w:val="14DB21CD"/>
    <w:rsid w:val="14F00A0F"/>
    <w:rsid w:val="14F25809"/>
    <w:rsid w:val="14F52C04"/>
    <w:rsid w:val="14FE7D0A"/>
    <w:rsid w:val="15080B89"/>
    <w:rsid w:val="150F0169"/>
    <w:rsid w:val="1514752E"/>
    <w:rsid w:val="151A0B57"/>
    <w:rsid w:val="152A6D51"/>
    <w:rsid w:val="153B7C2F"/>
    <w:rsid w:val="154059C2"/>
    <w:rsid w:val="15406575"/>
    <w:rsid w:val="15485AA9"/>
    <w:rsid w:val="154F1265"/>
    <w:rsid w:val="155618F4"/>
    <w:rsid w:val="156E30E2"/>
    <w:rsid w:val="15726A22"/>
    <w:rsid w:val="15836462"/>
    <w:rsid w:val="15883A78"/>
    <w:rsid w:val="158A3C94"/>
    <w:rsid w:val="158C2D9C"/>
    <w:rsid w:val="15A13C8F"/>
    <w:rsid w:val="15AE34DE"/>
    <w:rsid w:val="15AF7257"/>
    <w:rsid w:val="15D268AA"/>
    <w:rsid w:val="15E74C42"/>
    <w:rsid w:val="15EA273C"/>
    <w:rsid w:val="160C28FB"/>
    <w:rsid w:val="16101D7E"/>
    <w:rsid w:val="161248DA"/>
    <w:rsid w:val="161F262E"/>
    <w:rsid w:val="162261B2"/>
    <w:rsid w:val="162E1062"/>
    <w:rsid w:val="1638724C"/>
    <w:rsid w:val="163F4A7E"/>
    <w:rsid w:val="165B0ABE"/>
    <w:rsid w:val="16690834"/>
    <w:rsid w:val="166D18B3"/>
    <w:rsid w:val="167A36F0"/>
    <w:rsid w:val="167B0653"/>
    <w:rsid w:val="16A42B33"/>
    <w:rsid w:val="16A50D85"/>
    <w:rsid w:val="16A7201F"/>
    <w:rsid w:val="16AA639C"/>
    <w:rsid w:val="16B72867"/>
    <w:rsid w:val="16BC1C2B"/>
    <w:rsid w:val="16E55626"/>
    <w:rsid w:val="170E5D26"/>
    <w:rsid w:val="1757398F"/>
    <w:rsid w:val="17606E66"/>
    <w:rsid w:val="17626C76"/>
    <w:rsid w:val="17645AC6"/>
    <w:rsid w:val="17650515"/>
    <w:rsid w:val="17694B12"/>
    <w:rsid w:val="176F6C9D"/>
    <w:rsid w:val="178633B3"/>
    <w:rsid w:val="17885FB1"/>
    <w:rsid w:val="178A7F7B"/>
    <w:rsid w:val="178B2C19"/>
    <w:rsid w:val="178D35C8"/>
    <w:rsid w:val="179606CE"/>
    <w:rsid w:val="17A27073"/>
    <w:rsid w:val="17AF18F3"/>
    <w:rsid w:val="17AF353E"/>
    <w:rsid w:val="17BD5C5B"/>
    <w:rsid w:val="17BE59A2"/>
    <w:rsid w:val="17EB24DE"/>
    <w:rsid w:val="17EB6C6C"/>
    <w:rsid w:val="17EC61EC"/>
    <w:rsid w:val="17ED2C6B"/>
    <w:rsid w:val="17F51899"/>
    <w:rsid w:val="18001DBA"/>
    <w:rsid w:val="18185849"/>
    <w:rsid w:val="181E1910"/>
    <w:rsid w:val="18271890"/>
    <w:rsid w:val="18276E18"/>
    <w:rsid w:val="182C2DE0"/>
    <w:rsid w:val="183A72AB"/>
    <w:rsid w:val="1840688C"/>
    <w:rsid w:val="18477C1A"/>
    <w:rsid w:val="184C1C1D"/>
    <w:rsid w:val="18644328"/>
    <w:rsid w:val="18716A45"/>
    <w:rsid w:val="187F1162"/>
    <w:rsid w:val="18814EDA"/>
    <w:rsid w:val="18820C52"/>
    <w:rsid w:val="188F58CF"/>
    <w:rsid w:val="18950986"/>
    <w:rsid w:val="189866C8"/>
    <w:rsid w:val="18A8690B"/>
    <w:rsid w:val="18C876D8"/>
    <w:rsid w:val="18ED735A"/>
    <w:rsid w:val="18F54C3F"/>
    <w:rsid w:val="19075F1D"/>
    <w:rsid w:val="192817FA"/>
    <w:rsid w:val="19393A07"/>
    <w:rsid w:val="19430C74"/>
    <w:rsid w:val="1945415A"/>
    <w:rsid w:val="19481E9C"/>
    <w:rsid w:val="194B4755"/>
    <w:rsid w:val="194F322A"/>
    <w:rsid w:val="195645B9"/>
    <w:rsid w:val="195F2D42"/>
    <w:rsid w:val="19632760"/>
    <w:rsid w:val="19644DA6"/>
    <w:rsid w:val="196D06DE"/>
    <w:rsid w:val="19722A75"/>
    <w:rsid w:val="19775A51"/>
    <w:rsid w:val="19805192"/>
    <w:rsid w:val="199307E0"/>
    <w:rsid w:val="199724DC"/>
    <w:rsid w:val="19C05ED6"/>
    <w:rsid w:val="19C3097F"/>
    <w:rsid w:val="19D674A8"/>
    <w:rsid w:val="19DB4ABE"/>
    <w:rsid w:val="19EE2A43"/>
    <w:rsid w:val="19F85670"/>
    <w:rsid w:val="1A031D3C"/>
    <w:rsid w:val="1A061349"/>
    <w:rsid w:val="1A073245"/>
    <w:rsid w:val="1A081BBA"/>
    <w:rsid w:val="1A0C2EC9"/>
    <w:rsid w:val="1A1349A1"/>
    <w:rsid w:val="1A174234"/>
    <w:rsid w:val="1A271AB1"/>
    <w:rsid w:val="1A361CF4"/>
    <w:rsid w:val="1A3D12D5"/>
    <w:rsid w:val="1A442DE9"/>
    <w:rsid w:val="1A4C1518"/>
    <w:rsid w:val="1A5115BC"/>
    <w:rsid w:val="1A56143D"/>
    <w:rsid w:val="1A564145"/>
    <w:rsid w:val="1A5A3C35"/>
    <w:rsid w:val="1A6B5E42"/>
    <w:rsid w:val="1A7A42D7"/>
    <w:rsid w:val="1A892102"/>
    <w:rsid w:val="1AAA24BD"/>
    <w:rsid w:val="1AB33345"/>
    <w:rsid w:val="1AB772D9"/>
    <w:rsid w:val="1ABC48F0"/>
    <w:rsid w:val="1AC35C98"/>
    <w:rsid w:val="1AC77D0E"/>
    <w:rsid w:val="1ACA018D"/>
    <w:rsid w:val="1AD11EF7"/>
    <w:rsid w:val="1AF51BB0"/>
    <w:rsid w:val="1AFB2E83"/>
    <w:rsid w:val="1AFE6CB6"/>
    <w:rsid w:val="1AFF658A"/>
    <w:rsid w:val="1B101769"/>
    <w:rsid w:val="1B1738D4"/>
    <w:rsid w:val="1B25482F"/>
    <w:rsid w:val="1B285AE1"/>
    <w:rsid w:val="1B326960"/>
    <w:rsid w:val="1B372632"/>
    <w:rsid w:val="1B3A3A66"/>
    <w:rsid w:val="1B4D04A9"/>
    <w:rsid w:val="1B620A63"/>
    <w:rsid w:val="1B644E3E"/>
    <w:rsid w:val="1B854CE1"/>
    <w:rsid w:val="1B8F5B60"/>
    <w:rsid w:val="1B953983"/>
    <w:rsid w:val="1B9B4505"/>
    <w:rsid w:val="1BAA0BEC"/>
    <w:rsid w:val="1BAF3A7B"/>
    <w:rsid w:val="1BB003F9"/>
    <w:rsid w:val="1BB11F7A"/>
    <w:rsid w:val="1BBC7AB7"/>
    <w:rsid w:val="1BC305D3"/>
    <w:rsid w:val="1BC670A8"/>
    <w:rsid w:val="1BD9327F"/>
    <w:rsid w:val="1BE06796"/>
    <w:rsid w:val="1BEA548C"/>
    <w:rsid w:val="1BED0AD9"/>
    <w:rsid w:val="1BF44E78"/>
    <w:rsid w:val="1BF47D8F"/>
    <w:rsid w:val="1BFD6F6E"/>
    <w:rsid w:val="1BFE2CE6"/>
    <w:rsid w:val="1C2A7637"/>
    <w:rsid w:val="1C2A7F82"/>
    <w:rsid w:val="1C4032FE"/>
    <w:rsid w:val="1C432CFE"/>
    <w:rsid w:val="1C5A43C0"/>
    <w:rsid w:val="1C5D17BA"/>
    <w:rsid w:val="1C5E41DB"/>
    <w:rsid w:val="1C646FED"/>
    <w:rsid w:val="1C694603"/>
    <w:rsid w:val="1C705992"/>
    <w:rsid w:val="1C7E43A1"/>
    <w:rsid w:val="1C96375A"/>
    <w:rsid w:val="1CAE03B3"/>
    <w:rsid w:val="1CAE64BA"/>
    <w:rsid w:val="1CB25FAA"/>
    <w:rsid w:val="1CC47A8B"/>
    <w:rsid w:val="1CD04682"/>
    <w:rsid w:val="1CD55680"/>
    <w:rsid w:val="1CD557F5"/>
    <w:rsid w:val="1CFF0AC4"/>
    <w:rsid w:val="1D24677C"/>
    <w:rsid w:val="1D321E13"/>
    <w:rsid w:val="1D434E54"/>
    <w:rsid w:val="1D575067"/>
    <w:rsid w:val="1D8334A3"/>
    <w:rsid w:val="1D835251"/>
    <w:rsid w:val="1DA11B7B"/>
    <w:rsid w:val="1DA344B8"/>
    <w:rsid w:val="1DA578BD"/>
    <w:rsid w:val="1DAC50F0"/>
    <w:rsid w:val="1DB0683B"/>
    <w:rsid w:val="1DB47B00"/>
    <w:rsid w:val="1DBC044E"/>
    <w:rsid w:val="1DCA10D2"/>
    <w:rsid w:val="1DD2442A"/>
    <w:rsid w:val="1DE33F41"/>
    <w:rsid w:val="1DE702CC"/>
    <w:rsid w:val="1E064B3B"/>
    <w:rsid w:val="1E1B011F"/>
    <w:rsid w:val="1E5039BD"/>
    <w:rsid w:val="1E543091"/>
    <w:rsid w:val="1E5F3164"/>
    <w:rsid w:val="1E62755C"/>
    <w:rsid w:val="1E641526"/>
    <w:rsid w:val="1E676920"/>
    <w:rsid w:val="1E6A01BF"/>
    <w:rsid w:val="1E85149C"/>
    <w:rsid w:val="1E88623C"/>
    <w:rsid w:val="1E8E68A0"/>
    <w:rsid w:val="1EC50EE7"/>
    <w:rsid w:val="1ED15378"/>
    <w:rsid w:val="1EF1268E"/>
    <w:rsid w:val="1F0060BE"/>
    <w:rsid w:val="1F122D30"/>
    <w:rsid w:val="1F2B3DF2"/>
    <w:rsid w:val="1F2D4C2A"/>
    <w:rsid w:val="1F301408"/>
    <w:rsid w:val="1F37200A"/>
    <w:rsid w:val="1F3848CE"/>
    <w:rsid w:val="1F3A1C48"/>
    <w:rsid w:val="1F3C7DAD"/>
    <w:rsid w:val="1F4849CA"/>
    <w:rsid w:val="1F4934E4"/>
    <w:rsid w:val="1F4D1FBA"/>
    <w:rsid w:val="1F4D3D68"/>
    <w:rsid w:val="1F574B03"/>
    <w:rsid w:val="1F672950"/>
    <w:rsid w:val="1F751511"/>
    <w:rsid w:val="1F770DE5"/>
    <w:rsid w:val="1F843F90"/>
    <w:rsid w:val="1F871C7C"/>
    <w:rsid w:val="1F873477"/>
    <w:rsid w:val="1F8D23B7"/>
    <w:rsid w:val="1F8E612F"/>
    <w:rsid w:val="1F900A1F"/>
    <w:rsid w:val="1FA53BA4"/>
    <w:rsid w:val="1FAD2191"/>
    <w:rsid w:val="1FE741BD"/>
    <w:rsid w:val="1FEC4E88"/>
    <w:rsid w:val="1FF16DE9"/>
    <w:rsid w:val="200456B9"/>
    <w:rsid w:val="200F101E"/>
    <w:rsid w:val="20286583"/>
    <w:rsid w:val="202A7DFC"/>
    <w:rsid w:val="2059788E"/>
    <w:rsid w:val="205B6485"/>
    <w:rsid w:val="206375BB"/>
    <w:rsid w:val="20721B96"/>
    <w:rsid w:val="207F2647"/>
    <w:rsid w:val="20895274"/>
    <w:rsid w:val="209822C2"/>
    <w:rsid w:val="20AE6A88"/>
    <w:rsid w:val="20AF45AF"/>
    <w:rsid w:val="20B00655"/>
    <w:rsid w:val="20C0517F"/>
    <w:rsid w:val="20C1476D"/>
    <w:rsid w:val="20C4005A"/>
    <w:rsid w:val="20CF4C51"/>
    <w:rsid w:val="20D858B3"/>
    <w:rsid w:val="20DD111C"/>
    <w:rsid w:val="20F0169D"/>
    <w:rsid w:val="20F46465"/>
    <w:rsid w:val="21244509"/>
    <w:rsid w:val="2125607A"/>
    <w:rsid w:val="2133798D"/>
    <w:rsid w:val="21455F84"/>
    <w:rsid w:val="21495609"/>
    <w:rsid w:val="215D04AF"/>
    <w:rsid w:val="215D0755"/>
    <w:rsid w:val="216D6944"/>
    <w:rsid w:val="21701F90"/>
    <w:rsid w:val="217F2AEE"/>
    <w:rsid w:val="21817CF9"/>
    <w:rsid w:val="21871088"/>
    <w:rsid w:val="218A699A"/>
    <w:rsid w:val="21985D45"/>
    <w:rsid w:val="219C2D85"/>
    <w:rsid w:val="21A07893"/>
    <w:rsid w:val="21CF5788"/>
    <w:rsid w:val="21ED4154"/>
    <w:rsid w:val="21ED538F"/>
    <w:rsid w:val="21F7620D"/>
    <w:rsid w:val="22110474"/>
    <w:rsid w:val="22117056"/>
    <w:rsid w:val="222E3E55"/>
    <w:rsid w:val="22325497"/>
    <w:rsid w:val="223B582C"/>
    <w:rsid w:val="224551CB"/>
    <w:rsid w:val="225E44DE"/>
    <w:rsid w:val="227C4964"/>
    <w:rsid w:val="22804455"/>
    <w:rsid w:val="2291491A"/>
    <w:rsid w:val="229F36B2"/>
    <w:rsid w:val="22AB2EC8"/>
    <w:rsid w:val="22B10AB2"/>
    <w:rsid w:val="22C205C9"/>
    <w:rsid w:val="22DD5403"/>
    <w:rsid w:val="22E04EF3"/>
    <w:rsid w:val="22FF7A6F"/>
    <w:rsid w:val="230230BC"/>
    <w:rsid w:val="2305307D"/>
    <w:rsid w:val="23071A28"/>
    <w:rsid w:val="23072480"/>
    <w:rsid w:val="230C7A96"/>
    <w:rsid w:val="23177672"/>
    <w:rsid w:val="2322375E"/>
    <w:rsid w:val="233F124C"/>
    <w:rsid w:val="234A2BA6"/>
    <w:rsid w:val="23604F8C"/>
    <w:rsid w:val="23674086"/>
    <w:rsid w:val="23700025"/>
    <w:rsid w:val="238D5CE3"/>
    <w:rsid w:val="238E0DF3"/>
    <w:rsid w:val="23AC3027"/>
    <w:rsid w:val="23D706B8"/>
    <w:rsid w:val="23D83D9F"/>
    <w:rsid w:val="23D84719"/>
    <w:rsid w:val="23DE58D7"/>
    <w:rsid w:val="23E2082E"/>
    <w:rsid w:val="243366B7"/>
    <w:rsid w:val="24417C14"/>
    <w:rsid w:val="24422C3A"/>
    <w:rsid w:val="24433219"/>
    <w:rsid w:val="246833F2"/>
    <w:rsid w:val="247725C7"/>
    <w:rsid w:val="247955FF"/>
    <w:rsid w:val="24977600"/>
    <w:rsid w:val="24A0493A"/>
    <w:rsid w:val="24A10C41"/>
    <w:rsid w:val="24AF2DCF"/>
    <w:rsid w:val="24B831E2"/>
    <w:rsid w:val="24BB5C18"/>
    <w:rsid w:val="24BE74B6"/>
    <w:rsid w:val="24C148B0"/>
    <w:rsid w:val="24C83317"/>
    <w:rsid w:val="24D12D46"/>
    <w:rsid w:val="24FB6014"/>
    <w:rsid w:val="250B120F"/>
    <w:rsid w:val="250B63B0"/>
    <w:rsid w:val="250F64F2"/>
    <w:rsid w:val="2513335E"/>
    <w:rsid w:val="25155DFD"/>
    <w:rsid w:val="25207829"/>
    <w:rsid w:val="252C6A4C"/>
    <w:rsid w:val="252C7220"/>
    <w:rsid w:val="252D7B27"/>
    <w:rsid w:val="255D282B"/>
    <w:rsid w:val="255E0351"/>
    <w:rsid w:val="2580476C"/>
    <w:rsid w:val="25855239"/>
    <w:rsid w:val="2593673C"/>
    <w:rsid w:val="25996B41"/>
    <w:rsid w:val="25A12635"/>
    <w:rsid w:val="25A16BBC"/>
    <w:rsid w:val="25A8248F"/>
    <w:rsid w:val="25AE752B"/>
    <w:rsid w:val="25BD6D2B"/>
    <w:rsid w:val="25DD3A49"/>
    <w:rsid w:val="25EB6089"/>
    <w:rsid w:val="26084E8D"/>
    <w:rsid w:val="26086C3B"/>
    <w:rsid w:val="260C4691"/>
    <w:rsid w:val="261455E0"/>
    <w:rsid w:val="261E645E"/>
    <w:rsid w:val="262E235B"/>
    <w:rsid w:val="2637307C"/>
    <w:rsid w:val="26451C3D"/>
    <w:rsid w:val="26485289"/>
    <w:rsid w:val="26573BCF"/>
    <w:rsid w:val="26693A33"/>
    <w:rsid w:val="266B71CA"/>
    <w:rsid w:val="267A73AD"/>
    <w:rsid w:val="26972907"/>
    <w:rsid w:val="269C3827"/>
    <w:rsid w:val="26A50560"/>
    <w:rsid w:val="26C329A6"/>
    <w:rsid w:val="26E56F7C"/>
    <w:rsid w:val="26E975DE"/>
    <w:rsid w:val="26F5471B"/>
    <w:rsid w:val="270F55EE"/>
    <w:rsid w:val="271413C9"/>
    <w:rsid w:val="272C4BAB"/>
    <w:rsid w:val="272F1A96"/>
    <w:rsid w:val="274D564A"/>
    <w:rsid w:val="275D2FB6"/>
    <w:rsid w:val="276428BB"/>
    <w:rsid w:val="277D20FD"/>
    <w:rsid w:val="27982240"/>
    <w:rsid w:val="27A748B0"/>
    <w:rsid w:val="27AC1848"/>
    <w:rsid w:val="27BE5BBA"/>
    <w:rsid w:val="27C941A8"/>
    <w:rsid w:val="27D36DD5"/>
    <w:rsid w:val="27DC0A7C"/>
    <w:rsid w:val="27E46B57"/>
    <w:rsid w:val="27F52753"/>
    <w:rsid w:val="27FA6A57"/>
    <w:rsid w:val="281D44F4"/>
    <w:rsid w:val="283B4A62"/>
    <w:rsid w:val="2843631A"/>
    <w:rsid w:val="28441A80"/>
    <w:rsid w:val="28793E20"/>
    <w:rsid w:val="28814A83"/>
    <w:rsid w:val="289A0DF9"/>
    <w:rsid w:val="28AE2D85"/>
    <w:rsid w:val="28BA0FAF"/>
    <w:rsid w:val="28F31788"/>
    <w:rsid w:val="292304C4"/>
    <w:rsid w:val="292A511A"/>
    <w:rsid w:val="293146FB"/>
    <w:rsid w:val="294319DA"/>
    <w:rsid w:val="29475CCC"/>
    <w:rsid w:val="294F4B81"/>
    <w:rsid w:val="295108F9"/>
    <w:rsid w:val="29565F0F"/>
    <w:rsid w:val="295F5B00"/>
    <w:rsid w:val="2961371B"/>
    <w:rsid w:val="296F27E6"/>
    <w:rsid w:val="297B0CF7"/>
    <w:rsid w:val="298B3D07"/>
    <w:rsid w:val="299A2D2E"/>
    <w:rsid w:val="29B42C36"/>
    <w:rsid w:val="29B570DA"/>
    <w:rsid w:val="29BF3AB4"/>
    <w:rsid w:val="29BF5862"/>
    <w:rsid w:val="29C14FD0"/>
    <w:rsid w:val="29C15774"/>
    <w:rsid w:val="29D37560"/>
    <w:rsid w:val="29D55086"/>
    <w:rsid w:val="29E11C7D"/>
    <w:rsid w:val="29E3367D"/>
    <w:rsid w:val="29FE7C75"/>
    <w:rsid w:val="2A2313DA"/>
    <w:rsid w:val="2A263836"/>
    <w:rsid w:val="2A27165A"/>
    <w:rsid w:val="2A2B114A"/>
    <w:rsid w:val="2A44625D"/>
    <w:rsid w:val="2A4A348B"/>
    <w:rsid w:val="2A587A65"/>
    <w:rsid w:val="2A5C220C"/>
    <w:rsid w:val="2A650158"/>
    <w:rsid w:val="2A68171A"/>
    <w:rsid w:val="2A783C63"/>
    <w:rsid w:val="2A7C7BF7"/>
    <w:rsid w:val="2A8A2314"/>
    <w:rsid w:val="2A8E4195"/>
    <w:rsid w:val="2A935F67"/>
    <w:rsid w:val="2AA15DF8"/>
    <w:rsid w:val="2AC15198"/>
    <w:rsid w:val="2AC60E73"/>
    <w:rsid w:val="2ADA274F"/>
    <w:rsid w:val="2B157704"/>
    <w:rsid w:val="2B3F63F6"/>
    <w:rsid w:val="2B406E77"/>
    <w:rsid w:val="2B421FE8"/>
    <w:rsid w:val="2B465B0F"/>
    <w:rsid w:val="2B764647"/>
    <w:rsid w:val="2B7B32CE"/>
    <w:rsid w:val="2B822DA1"/>
    <w:rsid w:val="2BAA0794"/>
    <w:rsid w:val="2BBA09D7"/>
    <w:rsid w:val="2BD5034F"/>
    <w:rsid w:val="2BD559B4"/>
    <w:rsid w:val="2BDE442F"/>
    <w:rsid w:val="2BE81CF0"/>
    <w:rsid w:val="2BF3772F"/>
    <w:rsid w:val="2BFA5278"/>
    <w:rsid w:val="2BFB24AD"/>
    <w:rsid w:val="2C136339"/>
    <w:rsid w:val="2C15751B"/>
    <w:rsid w:val="2C163734"/>
    <w:rsid w:val="2C3F0EDD"/>
    <w:rsid w:val="2C46263D"/>
    <w:rsid w:val="2C4A3D83"/>
    <w:rsid w:val="2C5113C3"/>
    <w:rsid w:val="2C714E0E"/>
    <w:rsid w:val="2C732BFC"/>
    <w:rsid w:val="2C874CEF"/>
    <w:rsid w:val="2C8D1AAE"/>
    <w:rsid w:val="2C9A6113"/>
    <w:rsid w:val="2CB82A3D"/>
    <w:rsid w:val="2CC118F2"/>
    <w:rsid w:val="2CCD0296"/>
    <w:rsid w:val="2CD42048"/>
    <w:rsid w:val="2CD51841"/>
    <w:rsid w:val="2CF41CC7"/>
    <w:rsid w:val="2CF96358"/>
    <w:rsid w:val="2CFA4778"/>
    <w:rsid w:val="2D053ED4"/>
    <w:rsid w:val="2D104627"/>
    <w:rsid w:val="2D157E8F"/>
    <w:rsid w:val="2D2D6F87"/>
    <w:rsid w:val="2D3C71CA"/>
    <w:rsid w:val="2D610485"/>
    <w:rsid w:val="2D6A01DB"/>
    <w:rsid w:val="2D6C32C4"/>
    <w:rsid w:val="2D780E25"/>
    <w:rsid w:val="2D785E31"/>
    <w:rsid w:val="2D917516"/>
    <w:rsid w:val="2DB31B82"/>
    <w:rsid w:val="2DB33930"/>
    <w:rsid w:val="2DB71F51"/>
    <w:rsid w:val="2DCC2C44"/>
    <w:rsid w:val="2DD35D80"/>
    <w:rsid w:val="2DFB3102"/>
    <w:rsid w:val="2E0F2B31"/>
    <w:rsid w:val="2E100D83"/>
    <w:rsid w:val="2E110657"/>
    <w:rsid w:val="2E163EBF"/>
    <w:rsid w:val="2E2959A0"/>
    <w:rsid w:val="2E2E0121"/>
    <w:rsid w:val="2E3A36BC"/>
    <w:rsid w:val="2E5B5D38"/>
    <w:rsid w:val="2E764C99"/>
    <w:rsid w:val="2E7D3F3E"/>
    <w:rsid w:val="2E8D23D3"/>
    <w:rsid w:val="2E960B5C"/>
    <w:rsid w:val="2EA133AF"/>
    <w:rsid w:val="2EA77F38"/>
    <w:rsid w:val="2EAE5EA6"/>
    <w:rsid w:val="2EBA2A9C"/>
    <w:rsid w:val="2ECC4F1B"/>
    <w:rsid w:val="2ECD0A22"/>
    <w:rsid w:val="2EDD2DD9"/>
    <w:rsid w:val="2EF57F78"/>
    <w:rsid w:val="2EFF4985"/>
    <w:rsid w:val="2F0D60FE"/>
    <w:rsid w:val="2F204FF5"/>
    <w:rsid w:val="2F24275C"/>
    <w:rsid w:val="2F2B1BEC"/>
    <w:rsid w:val="2F361F43"/>
    <w:rsid w:val="2F3740ED"/>
    <w:rsid w:val="2F3945C8"/>
    <w:rsid w:val="2F395375"/>
    <w:rsid w:val="2F3B1E2F"/>
    <w:rsid w:val="2F3E36CD"/>
    <w:rsid w:val="2F416D1A"/>
    <w:rsid w:val="2F431E4F"/>
    <w:rsid w:val="2F541BD8"/>
    <w:rsid w:val="2F5527C5"/>
    <w:rsid w:val="2F590507"/>
    <w:rsid w:val="2F62316D"/>
    <w:rsid w:val="2F6F3887"/>
    <w:rsid w:val="2F72275C"/>
    <w:rsid w:val="2F723467"/>
    <w:rsid w:val="2F8310E0"/>
    <w:rsid w:val="2F922149"/>
    <w:rsid w:val="2FA72ADC"/>
    <w:rsid w:val="2FA8323D"/>
    <w:rsid w:val="2FBB4D1E"/>
    <w:rsid w:val="2FD91648"/>
    <w:rsid w:val="2FD951A4"/>
    <w:rsid w:val="2FDC4B3D"/>
    <w:rsid w:val="2FE808CB"/>
    <w:rsid w:val="2FF3245E"/>
    <w:rsid w:val="2FF41FDE"/>
    <w:rsid w:val="2FF476CA"/>
    <w:rsid w:val="30071129"/>
    <w:rsid w:val="30403475"/>
    <w:rsid w:val="304409AC"/>
    <w:rsid w:val="305239DF"/>
    <w:rsid w:val="305D4027"/>
    <w:rsid w:val="306233EC"/>
    <w:rsid w:val="30640F12"/>
    <w:rsid w:val="306835D0"/>
    <w:rsid w:val="306B04F2"/>
    <w:rsid w:val="306C6018"/>
    <w:rsid w:val="30B17ECF"/>
    <w:rsid w:val="30B771C8"/>
    <w:rsid w:val="30BA6662"/>
    <w:rsid w:val="30C639C5"/>
    <w:rsid w:val="30CA6005"/>
    <w:rsid w:val="30EA3353"/>
    <w:rsid w:val="30F027A5"/>
    <w:rsid w:val="30F46739"/>
    <w:rsid w:val="310413CD"/>
    <w:rsid w:val="31061FC9"/>
    <w:rsid w:val="310E0E7D"/>
    <w:rsid w:val="311E5564"/>
    <w:rsid w:val="31480833"/>
    <w:rsid w:val="31522AEA"/>
    <w:rsid w:val="31584276"/>
    <w:rsid w:val="31644BD5"/>
    <w:rsid w:val="31660CB9"/>
    <w:rsid w:val="3180122F"/>
    <w:rsid w:val="31804955"/>
    <w:rsid w:val="318737BD"/>
    <w:rsid w:val="31940495"/>
    <w:rsid w:val="31AA6DF8"/>
    <w:rsid w:val="31B22151"/>
    <w:rsid w:val="31BE4652"/>
    <w:rsid w:val="31CC3212"/>
    <w:rsid w:val="31CF2FA1"/>
    <w:rsid w:val="31E63BA8"/>
    <w:rsid w:val="31E7004C"/>
    <w:rsid w:val="31F6664E"/>
    <w:rsid w:val="31F716CF"/>
    <w:rsid w:val="32052280"/>
    <w:rsid w:val="3207249C"/>
    <w:rsid w:val="32153FA4"/>
    <w:rsid w:val="321E269F"/>
    <w:rsid w:val="321F6D79"/>
    <w:rsid w:val="322F45A1"/>
    <w:rsid w:val="32364B30"/>
    <w:rsid w:val="32470AEB"/>
    <w:rsid w:val="324C4353"/>
    <w:rsid w:val="325D3E6B"/>
    <w:rsid w:val="32607DFF"/>
    <w:rsid w:val="3264232E"/>
    <w:rsid w:val="32701DFC"/>
    <w:rsid w:val="327C031F"/>
    <w:rsid w:val="327C4DBB"/>
    <w:rsid w:val="32807168"/>
    <w:rsid w:val="328D33FB"/>
    <w:rsid w:val="32A0292F"/>
    <w:rsid w:val="32A02B99"/>
    <w:rsid w:val="32AE46C6"/>
    <w:rsid w:val="32B4263B"/>
    <w:rsid w:val="32CD26E3"/>
    <w:rsid w:val="32D61E6F"/>
    <w:rsid w:val="32DC17A7"/>
    <w:rsid w:val="32DC56D7"/>
    <w:rsid w:val="32F47F79"/>
    <w:rsid w:val="32F81DE5"/>
    <w:rsid w:val="33030EB6"/>
    <w:rsid w:val="33072028"/>
    <w:rsid w:val="330F2BAA"/>
    <w:rsid w:val="33114C55"/>
    <w:rsid w:val="3333106F"/>
    <w:rsid w:val="33385662"/>
    <w:rsid w:val="333C6176"/>
    <w:rsid w:val="333F5C66"/>
    <w:rsid w:val="3344327C"/>
    <w:rsid w:val="334F40FB"/>
    <w:rsid w:val="33541711"/>
    <w:rsid w:val="335E433E"/>
    <w:rsid w:val="336D4FD3"/>
    <w:rsid w:val="33723946"/>
    <w:rsid w:val="337D5F7B"/>
    <w:rsid w:val="338A6DD2"/>
    <w:rsid w:val="338D4C23"/>
    <w:rsid w:val="339236B8"/>
    <w:rsid w:val="33992634"/>
    <w:rsid w:val="33B34517"/>
    <w:rsid w:val="33BC7371"/>
    <w:rsid w:val="33BE2A1A"/>
    <w:rsid w:val="33D414D0"/>
    <w:rsid w:val="33DC46F6"/>
    <w:rsid w:val="33E04D53"/>
    <w:rsid w:val="33E12879"/>
    <w:rsid w:val="33F71E1E"/>
    <w:rsid w:val="33F754AE"/>
    <w:rsid w:val="33F93C07"/>
    <w:rsid w:val="34056568"/>
    <w:rsid w:val="340A6B46"/>
    <w:rsid w:val="3411197D"/>
    <w:rsid w:val="341D7D55"/>
    <w:rsid w:val="342009F8"/>
    <w:rsid w:val="342E1F62"/>
    <w:rsid w:val="343155AF"/>
    <w:rsid w:val="34403A44"/>
    <w:rsid w:val="34480B4A"/>
    <w:rsid w:val="344A6670"/>
    <w:rsid w:val="34603E67"/>
    <w:rsid w:val="346A286F"/>
    <w:rsid w:val="346E4CE5"/>
    <w:rsid w:val="346F0858"/>
    <w:rsid w:val="347740B0"/>
    <w:rsid w:val="348A55DF"/>
    <w:rsid w:val="349E076A"/>
    <w:rsid w:val="34A140F4"/>
    <w:rsid w:val="34C46F9B"/>
    <w:rsid w:val="34CC65F5"/>
    <w:rsid w:val="34D146CE"/>
    <w:rsid w:val="34D4418C"/>
    <w:rsid w:val="34DD5737"/>
    <w:rsid w:val="34E24AFB"/>
    <w:rsid w:val="34E3636A"/>
    <w:rsid w:val="34F67C2F"/>
    <w:rsid w:val="34FA64A9"/>
    <w:rsid w:val="34FF38FF"/>
    <w:rsid w:val="35026F4B"/>
    <w:rsid w:val="353115DE"/>
    <w:rsid w:val="3536691A"/>
    <w:rsid w:val="3538296D"/>
    <w:rsid w:val="353832D4"/>
    <w:rsid w:val="35417A73"/>
    <w:rsid w:val="35562ABC"/>
    <w:rsid w:val="35614F37"/>
    <w:rsid w:val="35631E20"/>
    <w:rsid w:val="356C5EA4"/>
    <w:rsid w:val="357B39A0"/>
    <w:rsid w:val="35A3428A"/>
    <w:rsid w:val="35A92AA0"/>
    <w:rsid w:val="35B13326"/>
    <w:rsid w:val="35CD358A"/>
    <w:rsid w:val="35D00B56"/>
    <w:rsid w:val="35DF7CEC"/>
    <w:rsid w:val="35E86141"/>
    <w:rsid w:val="35E96F6C"/>
    <w:rsid w:val="35F1677D"/>
    <w:rsid w:val="36034D29"/>
    <w:rsid w:val="36176A26"/>
    <w:rsid w:val="36232DB0"/>
    <w:rsid w:val="363B2715"/>
    <w:rsid w:val="364572F9"/>
    <w:rsid w:val="36470DE7"/>
    <w:rsid w:val="36525CB0"/>
    <w:rsid w:val="365C313C"/>
    <w:rsid w:val="367B576D"/>
    <w:rsid w:val="3690539D"/>
    <w:rsid w:val="36A56352"/>
    <w:rsid w:val="36B96E85"/>
    <w:rsid w:val="36BE0077"/>
    <w:rsid w:val="36C7044C"/>
    <w:rsid w:val="36D82D81"/>
    <w:rsid w:val="36D84407"/>
    <w:rsid w:val="36DA0180"/>
    <w:rsid w:val="36EA5EE9"/>
    <w:rsid w:val="36EF34FF"/>
    <w:rsid w:val="36F227C7"/>
    <w:rsid w:val="36FB78B6"/>
    <w:rsid w:val="3709636F"/>
    <w:rsid w:val="37144D14"/>
    <w:rsid w:val="3715740A"/>
    <w:rsid w:val="37406C32"/>
    <w:rsid w:val="37490E61"/>
    <w:rsid w:val="374E0226"/>
    <w:rsid w:val="374F5C96"/>
    <w:rsid w:val="375515B4"/>
    <w:rsid w:val="375A306E"/>
    <w:rsid w:val="377D3CD2"/>
    <w:rsid w:val="378A5DAD"/>
    <w:rsid w:val="378B76CC"/>
    <w:rsid w:val="37985D7C"/>
    <w:rsid w:val="37B3452D"/>
    <w:rsid w:val="37BF1123"/>
    <w:rsid w:val="37CC121B"/>
    <w:rsid w:val="37E82428"/>
    <w:rsid w:val="37F52D97"/>
    <w:rsid w:val="38156F95"/>
    <w:rsid w:val="38172D0E"/>
    <w:rsid w:val="381C0277"/>
    <w:rsid w:val="38207DBA"/>
    <w:rsid w:val="38237904"/>
    <w:rsid w:val="3837515E"/>
    <w:rsid w:val="38507FCD"/>
    <w:rsid w:val="385171D1"/>
    <w:rsid w:val="385F359C"/>
    <w:rsid w:val="387409F0"/>
    <w:rsid w:val="387C6968"/>
    <w:rsid w:val="38B92017"/>
    <w:rsid w:val="38C033A5"/>
    <w:rsid w:val="38D31C38"/>
    <w:rsid w:val="38D368CE"/>
    <w:rsid w:val="38E54BBA"/>
    <w:rsid w:val="38E76B84"/>
    <w:rsid w:val="38E946AA"/>
    <w:rsid w:val="38EE1CC0"/>
    <w:rsid w:val="38F60F50"/>
    <w:rsid w:val="38FD63A7"/>
    <w:rsid w:val="38FE4B0D"/>
    <w:rsid w:val="392E47B3"/>
    <w:rsid w:val="39697599"/>
    <w:rsid w:val="397F0106"/>
    <w:rsid w:val="3982065B"/>
    <w:rsid w:val="39A42F75"/>
    <w:rsid w:val="39B265D5"/>
    <w:rsid w:val="39BD6FC6"/>
    <w:rsid w:val="39BE3ABD"/>
    <w:rsid w:val="39DB7DF1"/>
    <w:rsid w:val="39E13E5C"/>
    <w:rsid w:val="3A555AC7"/>
    <w:rsid w:val="3A5A5133"/>
    <w:rsid w:val="3A5C70FE"/>
    <w:rsid w:val="3A667F7C"/>
    <w:rsid w:val="3A6F0BDF"/>
    <w:rsid w:val="3A812828"/>
    <w:rsid w:val="3A8A13AB"/>
    <w:rsid w:val="3A922B1F"/>
    <w:rsid w:val="3AA342BD"/>
    <w:rsid w:val="3AA54601"/>
    <w:rsid w:val="3AAA7E69"/>
    <w:rsid w:val="3AB331C1"/>
    <w:rsid w:val="3ACC6D0A"/>
    <w:rsid w:val="3AFE4D0B"/>
    <w:rsid w:val="3AFF16F4"/>
    <w:rsid w:val="3B035B63"/>
    <w:rsid w:val="3B0B4358"/>
    <w:rsid w:val="3B1D77D5"/>
    <w:rsid w:val="3B331C0C"/>
    <w:rsid w:val="3B335D23"/>
    <w:rsid w:val="3B345984"/>
    <w:rsid w:val="3B3B31B7"/>
    <w:rsid w:val="3B3B6D13"/>
    <w:rsid w:val="3B673FAC"/>
    <w:rsid w:val="3B824942"/>
    <w:rsid w:val="3B8C1FA8"/>
    <w:rsid w:val="3B8C63DD"/>
    <w:rsid w:val="3B944428"/>
    <w:rsid w:val="3BA80B19"/>
    <w:rsid w:val="3BAB07ED"/>
    <w:rsid w:val="3BBD597A"/>
    <w:rsid w:val="3BC94845"/>
    <w:rsid w:val="3BCC2061"/>
    <w:rsid w:val="3BED02F0"/>
    <w:rsid w:val="3BF05D4F"/>
    <w:rsid w:val="3C0C0D78"/>
    <w:rsid w:val="3C1C4D96"/>
    <w:rsid w:val="3C4240EC"/>
    <w:rsid w:val="3C4329F9"/>
    <w:rsid w:val="3C4D6860"/>
    <w:rsid w:val="3C585A53"/>
    <w:rsid w:val="3C5D3C86"/>
    <w:rsid w:val="3C795D45"/>
    <w:rsid w:val="3C812E4B"/>
    <w:rsid w:val="3C88075E"/>
    <w:rsid w:val="3C9815BA"/>
    <w:rsid w:val="3C9F26BD"/>
    <w:rsid w:val="3CDB69FF"/>
    <w:rsid w:val="3CEF0D11"/>
    <w:rsid w:val="3D076491"/>
    <w:rsid w:val="3D1617E6"/>
    <w:rsid w:val="3D2959BD"/>
    <w:rsid w:val="3D2A34E3"/>
    <w:rsid w:val="3D711B40"/>
    <w:rsid w:val="3D8667EE"/>
    <w:rsid w:val="3D995F73"/>
    <w:rsid w:val="3D9F5D53"/>
    <w:rsid w:val="3DAC3EF8"/>
    <w:rsid w:val="3DC96858"/>
    <w:rsid w:val="3DCE06B2"/>
    <w:rsid w:val="3DCE3E6E"/>
    <w:rsid w:val="3DE80316"/>
    <w:rsid w:val="3DFF04CC"/>
    <w:rsid w:val="3E110AD0"/>
    <w:rsid w:val="3E1321C9"/>
    <w:rsid w:val="3E13381B"/>
    <w:rsid w:val="3E1A5306"/>
    <w:rsid w:val="3E2E7003"/>
    <w:rsid w:val="3E443DF7"/>
    <w:rsid w:val="3E5325C6"/>
    <w:rsid w:val="3E800AA6"/>
    <w:rsid w:val="3E950E30"/>
    <w:rsid w:val="3EB54200"/>
    <w:rsid w:val="3EBE7073"/>
    <w:rsid w:val="3EC15781"/>
    <w:rsid w:val="3EED2A1A"/>
    <w:rsid w:val="3EEE3F97"/>
    <w:rsid w:val="3EF43DA9"/>
    <w:rsid w:val="3EF51467"/>
    <w:rsid w:val="3F0D4E6A"/>
    <w:rsid w:val="3F21749A"/>
    <w:rsid w:val="3F375A43"/>
    <w:rsid w:val="3F3A1FEB"/>
    <w:rsid w:val="3F454604"/>
    <w:rsid w:val="3F457ABB"/>
    <w:rsid w:val="3F5D71D2"/>
    <w:rsid w:val="3F5D7BA0"/>
    <w:rsid w:val="3F6A7BC7"/>
    <w:rsid w:val="3F723C15"/>
    <w:rsid w:val="3F7D5B4C"/>
    <w:rsid w:val="3F9E326F"/>
    <w:rsid w:val="3FA24D3D"/>
    <w:rsid w:val="3FA40567"/>
    <w:rsid w:val="3FAF2FE1"/>
    <w:rsid w:val="3FDE03B7"/>
    <w:rsid w:val="3FDF7A27"/>
    <w:rsid w:val="3FEB52B2"/>
    <w:rsid w:val="3FF12096"/>
    <w:rsid w:val="40170548"/>
    <w:rsid w:val="402406BD"/>
    <w:rsid w:val="402E7F0F"/>
    <w:rsid w:val="4037219F"/>
    <w:rsid w:val="403E177F"/>
    <w:rsid w:val="404228F2"/>
    <w:rsid w:val="405E25C9"/>
    <w:rsid w:val="407E7DCE"/>
    <w:rsid w:val="40896772"/>
    <w:rsid w:val="408C1CB6"/>
    <w:rsid w:val="40A67243"/>
    <w:rsid w:val="40B21825"/>
    <w:rsid w:val="40B27A77"/>
    <w:rsid w:val="40BF2194"/>
    <w:rsid w:val="40C24EED"/>
    <w:rsid w:val="40D01FF9"/>
    <w:rsid w:val="40D22981"/>
    <w:rsid w:val="40D45C40"/>
    <w:rsid w:val="40D93688"/>
    <w:rsid w:val="40E458A3"/>
    <w:rsid w:val="40ED7211"/>
    <w:rsid w:val="40EE65D6"/>
    <w:rsid w:val="40FA31CC"/>
    <w:rsid w:val="40FF5994"/>
    <w:rsid w:val="41001B82"/>
    <w:rsid w:val="411B561D"/>
    <w:rsid w:val="4122462D"/>
    <w:rsid w:val="412C782A"/>
    <w:rsid w:val="412D70FE"/>
    <w:rsid w:val="41320BB8"/>
    <w:rsid w:val="41363E41"/>
    <w:rsid w:val="41377F7D"/>
    <w:rsid w:val="41384420"/>
    <w:rsid w:val="413B0711"/>
    <w:rsid w:val="41405083"/>
    <w:rsid w:val="41644676"/>
    <w:rsid w:val="41790595"/>
    <w:rsid w:val="418807D8"/>
    <w:rsid w:val="4191587A"/>
    <w:rsid w:val="41B0123D"/>
    <w:rsid w:val="41B11ADD"/>
    <w:rsid w:val="41BD2B78"/>
    <w:rsid w:val="41BD7202"/>
    <w:rsid w:val="41BE41FA"/>
    <w:rsid w:val="41C3735C"/>
    <w:rsid w:val="41C53136"/>
    <w:rsid w:val="41D103D1"/>
    <w:rsid w:val="42253D73"/>
    <w:rsid w:val="422C7D41"/>
    <w:rsid w:val="422E137F"/>
    <w:rsid w:val="423B7208"/>
    <w:rsid w:val="423D15C3"/>
    <w:rsid w:val="424010B3"/>
    <w:rsid w:val="42424DE7"/>
    <w:rsid w:val="424B0183"/>
    <w:rsid w:val="42621029"/>
    <w:rsid w:val="42647F5B"/>
    <w:rsid w:val="426F03AD"/>
    <w:rsid w:val="42927B60"/>
    <w:rsid w:val="42994282"/>
    <w:rsid w:val="42AF5FBF"/>
    <w:rsid w:val="42CC3FB3"/>
    <w:rsid w:val="42D950B7"/>
    <w:rsid w:val="42ED2FE9"/>
    <w:rsid w:val="42F73E67"/>
    <w:rsid w:val="430D368B"/>
    <w:rsid w:val="43160791"/>
    <w:rsid w:val="43170066"/>
    <w:rsid w:val="43175059"/>
    <w:rsid w:val="43244531"/>
    <w:rsid w:val="433C41A2"/>
    <w:rsid w:val="43450E97"/>
    <w:rsid w:val="436168E4"/>
    <w:rsid w:val="436A63E7"/>
    <w:rsid w:val="43790D20"/>
    <w:rsid w:val="438602D6"/>
    <w:rsid w:val="4391317D"/>
    <w:rsid w:val="4396542E"/>
    <w:rsid w:val="43A713E9"/>
    <w:rsid w:val="43AC4C52"/>
    <w:rsid w:val="43B26C52"/>
    <w:rsid w:val="43B81529"/>
    <w:rsid w:val="43C7383A"/>
    <w:rsid w:val="43D16466"/>
    <w:rsid w:val="43E03C5C"/>
    <w:rsid w:val="43E964A0"/>
    <w:rsid w:val="44075CA0"/>
    <w:rsid w:val="44232A07"/>
    <w:rsid w:val="442B7817"/>
    <w:rsid w:val="442F13DF"/>
    <w:rsid w:val="44307631"/>
    <w:rsid w:val="44316F05"/>
    <w:rsid w:val="44466E54"/>
    <w:rsid w:val="444C1F91"/>
    <w:rsid w:val="444D05BE"/>
    <w:rsid w:val="4458107A"/>
    <w:rsid w:val="44641089"/>
    <w:rsid w:val="44654E01"/>
    <w:rsid w:val="44694978"/>
    <w:rsid w:val="44695038"/>
    <w:rsid w:val="447A08AC"/>
    <w:rsid w:val="447C0AC8"/>
    <w:rsid w:val="448446EB"/>
    <w:rsid w:val="448E4357"/>
    <w:rsid w:val="448F00D8"/>
    <w:rsid w:val="44953938"/>
    <w:rsid w:val="44A21BB1"/>
    <w:rsid w:val="44C14BE4"/>
    <w:rsid w:val="44CE0B7A"/>
    <w:rsid w:val="44D00A48"/>
    <w:rsid w:val="44D04970"/>
    <w:rsid w:val="44D0671E"/>
    <w:rsid w:val="44D617DF"/>
    <w:rsid w:val="44D66D07"/>
    <w:rsid w:val="44E4602A"/>
    <w:rsid w:val="44FD0CFE"/>
    <w:rsid w:val="45061A4C"/>
    <w:rsid w:val="450665E4"/>
    <w:rsid w:val="450A60D4"/>
    <w:rsid w:val="45231264"/>
    <w:rsid w:val="452E70FA"/>
    <w:rsid w:val="454809AA"/>
    <w:rsid w:val="4550785F"/>
    <w:rsid w:val="455A248C"/>
    <w:rsid w:val="45773005"/>
    <w:rsid w:val="457C4AF8"/>
    <w:rsid w:val="458319E2"/>
    <w:rsid w:val="45863281"/>
    <w:rsid w:val="45B1654F"/>
    <w:rsid w:val="45B80788"/>
    <w:rsid w:val="45BC1C83"/>
    <w:rsid w:val="45C344D5"/>
    <w:rsid w:val="45C61C6B"/>
    <w:rsid w:val="45E83F3B"/>
    <w:rsid w:val="45E85CE9"/>
    <w:rsid w:val="45EA1A61"/>
    <w:rsid w:val="45FF64CF"/>
    <w:rsid w:val="46024FFD"/>
    <w:rsid w:val="46056014"/>
    <w:rsid w:val="461B7E6D"/>
    <w:rsid w:val="461D4BCB"/>
    <w:rsid w:val="46202E05"/>
    <w:rsid w:val="462B44CE"/>
    <w:rsid w:val="463B050F"/>
    <w:rsid w:val="464F1BEA"/>
    <w:rsid w:val="46565349"/>
    <w:rsid w:val="465670F7"/>
    <w:rsid w:val="46574520"/>
    <w:rsid w:val="46583405"/>
    <w:rsid w:val="465B35AD"/>
    <w:rsid w:val="466E2692"/>
    <w:rsid w:val="46713EEA"/>
    <w:rsid w:val="467B6FE2"/>
    <w:rsid w:val="46A55988"/>
    <w:rsid w:val="46A90E6C"/>
    <w:rsid w:val="46C40504"/>
    <w:rsid w:val="46E93C25"/>
    <w:rsid w:val="46EA5025"/>
    <w:rsid w:val="46F000D2"/>
    <w:rsid w:val="46F4261E"/>
    <w:rsid w:val="46F661E4"/>
    <w:rsid w:val="4707219F"/>
    <w:rsid w:val="472A35A4"/>
    <w:rsid w:val="47456C05"/>
    <w:rsid w:val="474A7611"/>
    <w:rsid w:val="475655E5"/>
    <w:rsid w:val="47727F60"/>
    <w:rsid w:val="477366BA"/>
    <w:rsid w:val="478163F5"/>
    <w:rsid w:val="4787520B"/>
    <w:rsid w:val="47881532"/>
    <w:rsid w:val="47A63C85"/>
    <w:rsid w:val="47A66B1D"/>
    <w:rsid w:val="47CA56A6"/>
    <w:rsid w:val="47E744AA"/>
    <w:rsid w:val="47E9061B"/>
    <w:rsid w:val="47EC7D13"/>
    <w:rsid w:val="47FC62B3"/>
    <w:rsid w:val="47FE35A2"/>
    <w:rsid w:val="480A1F47"/>
    <w:rsid w:val="481B656B"/>
    <w:rsid w:val="48303B74"/>
    <w:rsid w:val="484245C7"/>
    <w:rsid w:val="484A2E46"/>
    <w:rsid w:val="484C65AB"/>
    <w:rsid w:val="484D03FF"/>
    <w:rsid w:val="486C4288"/>
    <w:rsid w:val="48742308"/>
    <w:rsid w:val="48873801"/>
    <w:rsid w:val="488D7CFE"/>
    <w:rsid w:val="48936A28"/>
    <w:rsid w:val="489D688D"/>
    <w:rsid w:val="48B06BBA"/>
    <w:rsid w:val="48B84099"/>
    <w:rsid w:val="48DF1625"/>
    <w:rsid w:val="48E520AB"/>
    <w:rsid w:val="48EB1D78"/>
    <w:rsid w:val="48F412C0"/>
    <w:rsid w:val="49002CB3"/>
    <w:rsid w:val="49323FD7"/>
    <w:rsid w:val="49425710"/>
    <w:rsid w:val="49446C09"/>
    <w:rsid w:val="49462189"/>
    <w:rsid w:val="49465201"/>
    <w:rsid w:val="49506EA2"/>
    <w:rsid w:val="49555444"/>
    <w:rsid w:val="496C3458"/>
    <w:rsid w:val="49700B0C"/>
    <w:rsid w:val="497A624B"/>
    <w:rsid w:val="49926698"/>
    <w:rsid w:val="499441BE"/>
    <w:rsid w:val="49957F36"/>
    <w:rsid w:val="49976D62"/>
    <w:rsid w:val="49992664"/>
    <w:rsid w:val="49A10C72"/>
    <w:rsid w:val="49A445FA"/>
    <w:rsid w:val="49AC1B3B"/>
    <w:rsid w:val="49C15A5E"/>
    <w:rsid w:val="49DF57C2"/>
    <w:rsid w:val="4A037596"/>
    <w:rsid w:val="4A070E34"/>
    <w:rsid w:val="4A2861F7"/>
    <w:rsid w:val="4A295C72"/>
    <w:rsid w:val="4A5A3051"/>
    <w:rsid w:val="4A5E47CC"/>
    <w:rsid w:val="4A5E5ECC"/>
    <w:rsid w:val="4A6C027D"/>
    <w:rsid w:val="4A6D4A0F"/>
    <w:rsid w:val="4A731F44"/>
    <w:rsid w:val="4A791606"/>
    <w:rsid w:val="4A9B332A"/>
    <w:rsid w:val="4A9F2514"/>
    <w:rsid w:val="4ABD208B"/>
    <w:rsid w:val="4AE07A05"/>
    <w:rsid w:val="4AE22D20"/>
    <w:rsid w:val="4B187071"/>
    <w:rsid w:val="4B3519D1"/>
    <w:rsid w:val="4B43686F"/>
    <w:rsid w:val="4B4839F5"/>
    <w:rsid w:val="4B55797D"/>
    <w:rsid w:val="4B775437"/>
    <w:rsid w:val="4B7E5126"/>
    <w:rsid w:val="4B944949"/>
    <w:rsid w:val="4BAD1567"/>
    <w:rsid w:val="4BBF74EC"/>
    <w:rsid w:val="4BC66ACD"/>
    <w:rsid w:val="4BEC0155"/>
    <w:rsid w:val="4BED4059"/>
    <w:rsid w:val="4BF37224"/>
    <w:rsid w:val="4BF453E8"/>
    <w:rsid w:val="4C004579"/>
    <w:rsid w:val="4C0D64AA"/>
    <w:rsid w:val="4C1003EB"/>
    <w:rsid w:val="4C12409B"/>
    <w:rsid w:val="4C283F70"/>
    <w:rsid w:val="4C2A2657"/>
    <w:rsid w:val="4C2D08FA"/>
    <w:rsid w:val="4C3A6B73"/>
    <w:rsid w:val="4C475CA7"/>
    <w:rsid w:val="4C5377F9"/>
    <w:rsid w:val="4C76404F"/>
    <w:rsid w:val="4C771B75"/>
    <w:rsid w:val="4CB46925"/>
    <w:rsid w:val="4CB9218D"/>
    <w:rsid w:val="4CBD1C7E"/>
    <w:rsid w:val="4CC823D1"/>
    <w:rsid w:val="4CC862C8"/>
    <w:rsid w:val="4CDC302C"/>
    <w:rsid w:val="4CE70AA9"/>
    <w:rsid w:val="4CE91401"/>
    <w:rsid w:val="4CEA3CD9"/>
    <w:rsid w:val="4D004273"/>
    <w:rsid w:val="4D0A29E9"/>
    <w:rsid w:val="4D142E9F"/>
    <w:rsid w:val="4D186EB4"/>
    <w:rsid w:val="4D1D271C"/>
    <w:rsid w:val="4D2A6BE7"/>
    <w:rsid w:val="4D2F41FE"/>
    <w:rsid w:val="4D3A507C"/>
    <w:rsid w:val="4D3B2BA3"/>
    <w:rsid w:val="4D467F55"/>
    <w:rsid w:val="4D53771C"/>
    <w:rsid w:val="4D5601C7"/>
    <w:rsid w:val="4D564E3E"/>
    <w:rsid w:val="4D706CF0"/>
    <w:rsid w:val="4D8D78A2"/>
    <w:rsid w:val="4D9D385D"/>
    <w:rsid w:val="4DA644C0"/>
    <w:rsid w:val="4DAC27D5"/>
    <w:rsid w:val="4DC4528E"/>
    <w:rsid w:val="4DCE5A99"/>
    <w:rsid w:val="4DD01472"/>
    <w:rsid w:val="4DF87C25"/>
    <w:rsid w:val="4E2709B1"/>
    <w:rsid w:val="4E27425C"/>
    <w:rsid w:val="4E2D5B22"/>
    <w:rsid w:val="4E3F75D2"/>
    <w:rsid w:val="4E695E67"/>
    <w:rsid w:val="4E724CEA"/>
    <w:rsid w:val="4E7B3B9E"/>
    <w:rsid w:val="4E8217B7"/>
    <w:rsid w:val="4EA053B3"/>
    <w:rsid w:val="4EA96B98"/>
    <w:rsid w:val="4EAC5711"/>
    <w:rsid w:val="4EBD4210"/>
    <w:rsid w:val="4EC549CB"/>
    <w:rsid w:val="4EC70B92"/>
    <w:rsid w:val="4EDE7BD0"/>
    <w:rsid w:val="4EEA0D24"/>
    <w:rsid w:val="4EEC23A6"/>
    <w:rsid w:val="4EF61477"/>
    <w:rsid w:val="4EF72DCF"/>
    <w:rsid w:val="4F203F16"/>
    <w:rsid w:val="4F477F24"/>
    <w:rsid w:val="4F485E9E"/>
    <w:rsid w:val="4F492507"/>
    <w:rsid w:val="4F4C72E9"/>
    <w:rsid w:val="4F4D691C"/>
    <w:rsid w:val="4F587A3C"/>
    <w:rsid w:val="4F7F3A32"/>
    <w:rsid w:val="4F8E2368"/>
    <w:rsid w:val="4F960564"/>
    <w:rsid w:val="4F9B6EA2"/>
    <w:rsid w:val="4F9D5D96"/>
    <w:rsid w:val="4FA17635"/>
    <w:rsid w:val="4FBA4253"/>
    <w:rsid w:val="4FBC446F"/>
    <w:rsid w:val="4FC82E13"/>
    <w:rsid w:val="4FD01CC8"/>
    <w:rsid w:val="4FD13C29"/>
    <w:rsid w:val="4FE70DC0"/>
    <w:rsid w:val="4FF204EF"/>
    <w:rsid w:val="4FFA09FE"/>
    <w:rsid w:val="500C0C41"/>
    <w:rsid w:val="502000ED"/>
    <w:rsid w:val="503A0BCC"/>
    <w:rsid w:val="504B2D47"/>
    <w:rsid w:val="505B09C1"/>
    <w:rsid w:val="50630D8E"/>
    <w:rsid w:val="506B5114"/>
    <w:rsid w:val="507366A1"/>
    <w:rsid w:val="50841C58"/>
    <w:rsid w:val="50890FCE"/>
    <w:rsid w:val="50A868B7"/>
    <w:rsid w:val="50AC1958"/>
    <w:rsid w:val="50B138A7"/>
    <w:rsid w:val="50C17863"/>
    <w:rsid w:val="50CA4969"/>
    <w:rsid w:val="50D2023D"/>
    <w:rsid w:val="50D2381E"/>
    <w:rsid w:val="50D94BCC"/>
    <w:rsid w:val="50DD28EE"/>
    <w:rsid w:val="50EA500B"/>
    <w:rsid w:val="51114346"/>
    <w:rsid w:val="51343C08"/>
    <w:rsid w:val="51360251"/>
    <w:rsid w:val="513A1FD3"/>
    <w:rsid w:val="513E0EB3"/>
    <w:rsid w:val="514A46EB"/>
    <w:rsid w:val="51597A9B"/>
    <w:rsid w:val="515C697A"/>
    <w:rsid w:val="515D5F93"/>
    <w:rsid w:val="51621046"/>
    <w:rsid w:val="517607E2"/>
    <w:rsid w:val="517B4CCE"/>
    <w:rsid w:val="51840FBC"/>
    <w:rsid w:val="51894824"/>
    <w:rsid w:val="518F170F"/>
    <w:rsid w:val="519E7A88"/>
    <w:rsid w:val="51B1646C"/>
    <w:rsid w:val="51B178D7"/>
    <w:rsid w:val="51B2004B"/>
    <w:rsid w:val="51B579BE"/>
    <w:rsid w:val="51C413B8"/>
    <w:rsid w:val="51C615D4"/>
    <w:rsid w:val="51C63383"/>
    <w:rsid w:val="51D87B8B"/>
    <w:rsid w:val="51E3730F"/>
    <w:rsid w:val="51E97071"/>
    <w:rsid w:val="520774F7"/>
    <w:rsid w:val="520C6E93"/>
    <w:rsid w:val="520E0886"/>
    <w:rsid w:val="52120376"/>
    <w:rsid w:val="521F52CC"/>
    <w:rsid w:val="5221680B"/>
    <w:rsid w:val="52350359"/>
    <w:rsid w:val="524644C3"/>
    <w:rsid w:val="524F1827"/>
    <w:rsid w:val="52754DA9"/>
    <w:rsid w:val="528559C7"/>
    <w:rsid w:val="5292203B"/>
    <w:rsid w:val="52951AB7"/>
    <w:rsid w:val="52A01E26"/>
    <w:rsid w:val="52A15B9E"/>
    <w:rsid w:val="52A31916"/>
    <w:rsid w:val="52B4767F"/>
    <w:rsid w:val="52BA42A7"/>
    <w:rsid w:val="52C06024"/>
    <w:rsid w:val="52C843F7"/>
    <w:rsid w:val="52DE64AA"/>
    <w:rsid w:val="52E37F64"/>
    <w:rsid w:val="530971A6"/>
    <w:rsid w:val="530A54F1"/>
    <w:rsid w:val="531445C2"/>
    <w:rsid w:val="532540D9"/>
    <w:rsid w:val="532C190B"/>
    <w:rsid w:val="534A7FE3"/>
    <w:rsid w:val="5353311D"/>
    <w:rsid w:val="53561841"/>
    <w:rsid w:val="536F71FE"/>
    <w:rsid w:val="537E4CD3"/>
    <w:rsid w:val="538D2755"/>
    <w:rsid w:val="538E2997"/>
    <w:rsid w:val="53B00574"/>
    <w:rsid w:val="53F306B5"/>
    <w:rsid w:val="53FF492A"/>
    <w:rsid w:val="540C7047"/>
    <w:rsid w:val="542919A7"/>
    <w:rsid w:val="54326116"/>
    <w:rsid w:val="543F11CA"/>
    <w:rsid w:val="54501EE9"/>
    <w:rsid w:val="545033D7"/>
    <w:rsid w:val="54532EC8"/>
    <w:rsid w:val="54535FB0"/>
    <w:rsid w:val="54556AEA"/>
    <w:rsid w:val="54556C40"/>
    <w:rsid w:val="54622402"/>
    <w:rsid w:val="546649A9"/>
    <w:rsid w:val="5472334E"/>
    <w:rsid w:val="54723C7D"/>
    <w:rsid w:val="547277F2"/>
    <w:rsid w:val="54767D3E"/>
    <w:rsid w:val="54843325"/>
    <w:rsid w:val="54862F17"/>
    <w:rsid w:val="54977258"/>
    <w:rsid w:val="54A0435F"/>
    <w:rsid w:val="54AD4386"/>
    <w:rsid w:val="54AE00FE"/>
    <w:rsid w:val="54AE01F4"/>
    <w:rsid w:val="54BC60BF"/>
    <w:rsid w:val="54D44008"/>
    <w:rsid w:val="54D44C3B"/>
    <w:rsid w:val="54DA13D0"/>
    <w:rsid w:val="55055F70"/>
    <w:rsid w:val="55115CC4"/>
    <w:rsid w:val="55131A57"/>
    <w:rsid w:val="55164621"/>
    <w:rsid w:val="551D59AF"/>
    <w:rsid w:val="55264138"/>
    <w:rsid w:val="554D7917"/>
    <w:rsid w:val="5559450E"/>
    <w:rsid w:val="55622629"/>
    <w:rsid w:val="55884798"/>
    <w:rsid w:val="558C5BF9"/>
    <w:rsid w:val="55A106D3"/>
    <w:rsid w:val="55A64150"/>
    <w:rsid w:val="55BB2AD2"/>
    <w:rsid w:val="55BE25C3"/>
    <w:rsid w:val="55BE7800"/>
    <w:rsid w:val="55E97640"/>
    <w:rsid w:val="55F04E72"/>
    <w:rsid w:val="56044479"/>
    <w:rsid w:val="560C6B7F"/>
    <w:rsid w:val="56206DD9"/>
    <w:rsid w:val="562B2188"/>
    <w:rsid w:val="56356D29"/>
    <w:rsid w:val="56431BAE"/>
    <w:rsid w:val="56462CE4"/>
    <w:rsid w:val="565809C8"/>
    <w:rsid w:val="56607C45"/>
    <w:rsid w:val="56646DA2"/>
    <w:rsid w:val="5671345B"/>
    <w:rsid w:val="56776D24"/>
    <w:rsid w:val="56971AA4"/>
    <w:rsid w:val="56A74246"/>
    <w:rsid w:val="56AF0889"/>
    <w:rsid w:val="56B50F12"/>
    <w:rsid w:val="56BB7319"/>
    <w:rsid w:val="56BF4844"/>
    <w:rsid w:val="56C26D5E"/>
    <w:rsid w:val="56E513A2"/>
    <w:rsid w:val="56E9366F"/>
    <w:rsid w:val="56F231C2"/>
    <w:rsid w:val="56FE536D"/>
    <w:rsid w:val="570D0312"/>
    <w:rsid w:val="571132F2"/>
    <w:rsid w:val="571406EC"/>
    <w:rsid w:val="571D4801"/>
    <w:rsid w:val="575651A9"/>
    <w:rsid w:val="575C3A71"/>
    <w:rsid w:val="575D6537"/>
    <w:rsid w:val="57623B4D"/>
    <w:rsid w:val="576757A8"/>
    <w:rsid w:val="576F0018"/>
    <w:rsid w:val="57743881"/>
    <w:rsid w:val="577D71D5"/>
    <w:rsid w:val="578C1931"/>
    <w:rsid w:val="57983F8B"/>
    <w:rsid w:val="57C2283E"/>
    <w:rsid w:val="57D03CCF"/>
    <w:rsid w:val="57D305A7"/>
    <w:rsid w:val="57D67BEC"/>
    <w:rsid w:val="57D72391"/>
    <w:rsid w:val="57D936E4"/>
    <w:rsid w:val="57DA73EC"/>
    <w:rsid w:val="57EE7289"/>
    <w:rsid w:val="58036A32"/>
    <w:rsid w:val="58127D36"/>
    <w:rsid w:val="58192B4F"/>
    <w:rsid w:val="581F1A3E"/>
    <w:rsid w:val="582157B7"/>
    <w:rsid w:val="582770AC"/>
    <w:rsid w:val="582F6BBC"/>
    <w:rsid w:val="583D0117"/>
    <w:rsid w:val="58443253"/>
    <w:rsid w:val="585D2567"/>
    <w:rsid w:val="58675193"/>
    <w:rsid w:val="586B4C84"/>
    <w:rsid w:val="586C4558"/>
    <w:rsid w:val="587D49B7"/>
    <w:rsid w:val="58874450"/>
    <w:rsid w:val="5898359F"/>
    <w:rsid w:val="589C4865"/>
    <w:rsid w:val="58B73A25"/>
    <w:rsid w:val="58C02366"/>
    <w:rsid w:val="58C425E6"/>
    <w:rsid w:val="58C92A72"/>
    <w:rsid w:val="58D75E75"/>
    <w:rsid w:val="58DF5D19"/>
    <w:rsid w:val="58E32A6C"/>
    <w:rsid w:val="58E97957"/>
    <w:rsid w:val="58F230D0"/>
    <w:rsid w:val="58FF239F"/>
    <w:rsid w:val="5901594F"/>
    <w:rsid w:val="591E3AA4"/>
    <w:rsid w:val="592554A0"/>
    <w:rsid w:val="59260BAB"/>
    <w:rsid w:val="59262959"/>
    <w:rsid w:val="59376914"/>
    <w:rsid w:val="594F3C5E"/>
    <w:rsid w:val="59684D1F"/>
    <w:rsid w:val="596D4A2C"/>
    <w:rsid w:val="598A078C"/>
    <w:rsid w:val="59AE0884"/>
    <w:rsid w:val="59AF0BA0"/>
    <w:rsid w:val="59B30116"/>
    <w:rsid w:val="59B85CA7"/>
    <w:rsid w:val="59C77308"/>
    <w:rsid w:val="59DB3743"/>
    <w:rsid w:val="59E06FAB"/>
    <w:rsid w:val="59E24AD2"/>
    <w:rsid w:val="59F12F67"/>
    <w:rsid w:val="59F842F5"/>
    <w:rsid w:val="5A07278A"/>
    <w:rsid w:val="5A0A04CC"/>
    <w:rsid w:val="5A184997"/>
    <w:rsid w:val="5A2107AE"/>
    <w:rsid w:val="5A364E1D"/>
    <w:rsid w:val="5A395FB1"/>
    <w:rsid w:val="5A3A2DDD"/>
    <w:rsid w:val="5A3F439D"/>
    <w:rsid w:val="5A4412E8"/>
    <w:rsid w:val="5A44753A"/>
    <w:rsid w:val="5A4968FF"/>
    <w:rsid w:val="5A59655A"/>
    <w:rsid w:val="5A5E64D8"/>
    <w:rsid w:val="5A610A87"/>
    <w:rsid w:val="5A68299B"/>
    <w:rsid w:val="5A684C17"/>
    <w:rsid w:val="5A6C083F"/>
    <w:rsid w:val="5A6C75D8"/>
    <w:rsid w:val="5A7A7400"/>
    <w:rsid w:val="5A8E2EAB"/>
    <w:rsid w:val="5A932270"/>
    <w:rsid w:val="5AA57E50"/>
    <w:rsid w:val="5AC35D44"/>
    <w:rsid w:val="5AC71F19"/>
    <w:rsid w:val="5ACD1A01"/>
    <w:rsid w:val="5AD1633C"/>
    <w:rsid w:val="5AF16D08"/>
    <w:rsid w:val="5AF30F60"/>
    <w:rsid w:val="5AFC1A12"/>
    <w:rsid w:val="5AFC38FE"/>
    <w:rsid w:val="5AFC3CC2"/>
    <w:rsid w:val="5B034795"/>
    <w:rsid w:val="5B084A0C"/>
    <w:rsid w:val="5B174C4F"/>
    <w:rsid w:val="5B1B1F62"/>
    <w:rsid w:val="5B1E4E90"/>
    <w:rsid w:val="5B1F6B55"/>
    <w:rsid w:val="5B2336CE"/>
    <w:rsid w:val="5B2D7FCE"/>
    <w:rsid w:val="5B417F1E"/>
    <w:rsid w:val="5B436F53"/>
    <w:rsid w:val="5B48738F"/>
    <w:rsid w:val="5B4B7D53"/>
    <w:rsid w:val="5B4D241F"/>
    <w:rsid w:val="5B533DF9"/>
    <w:rsid w:val="5B6634E0"/>
    <w:rsid w:val="5B6D486F"/>
    <w:rsid w:val="5B7E6A7C"/>
    <w:rsid w:val="5B800A46"/>
    <w:rsid w:val="5B8D774E"/>
    <w:rsid w:val="5B94004E"/>
    <w:rsid w:val="5B94207E"/>
    <w:rsid w:val="5B955B74"/>
    <w:rsid w:val="5BA669B6"/>
    <w:rsid w:val="5BAD1BA2"/>
    <w:rsid w:val="5BB97AB4"/>
    <w:rsid w:val="5BC508FC"/>
    <w:rsid w:val="5BCB77E7"/>
    <w:rsid w:val="5BCF552A"/>
    <w:rsid w:val="5BD803C4"/>
    <w:rsid w:val="5BD96AD0"/>
    <w:rsid w:val="5BDF6065"/>
    <w:rsid w:val="5BE865EB"/>
    <w:rsid w:val="5BF304B8"/>
    <w:rsid w:val="5BF40AEC"/>
    <w:rsid w:val="5BF918A2"/>
    <w:rsid w:val="5BF9258D"/>
    <w:rsid w:val="5BF94355"/>
    <w:rsid w:val="5BFA039F"/>
    <w:rsid w:val="5C012E90"/>
    <w:rsid w:val="5C031F8B"/>
    <w:rsid w:val="5C071160"/>
    <w:rsid w:val="5C115B42"/>
    <w:rsid w:val="5C1B3BFC"/>
    <w:rsid w:val="5C3F3891"/>
    <w:rsid w:val="5C490CD0"/>
    <w:rsid w:val="5C4B5818"/>
    <w:rsid w:val="5C4E46A0"/>
    <w:rsid w:val="5C645C72"/>
    <w:rsid w:val="5C680DDD"/>
    <w:rsid w:val="5C723888"/>
    <w:rsid w:val="5C864257"/>
    <w:rsid w:val="5C891DD6"/>
    <w:rsid w:val="5C9044FF"/>
    <w:rsid w:val="5C9D2F32"/>
    <w:rsid w:val="5CA7485D"/>
    <w:rsid w:val="5CFA65D6"/>
    <w:rsid w:val="5D041203"/>
    <w:rsid w:val="5D243653"/>
    <w:rsid w:val="5D333896"/>
    <w:rsid w:val="5D3A69D3"/>
    <w:rsid w:val="5D496861"/>
    <w:rsid w:val="5D4C2B41"/>
    <w:rsid w:val="5D5F1004"/>
    <w:rsid w:val="5D772E1A"/>
    <w:rsid w:val="5D78723B"/>
    <w:rsid w:val="5D9B43A6"/>
    <w:rsid w:val="5DB7113F"/>
    <w:rsid w:val="5DD706C5"/>
    <w:rsid w:val="5DDF0212"/>
    <w:rsid w:val="5DE132F2"/>
    <w:rsid w:val="5DE30E18"/>
    <w:rsid w:val="5DE352BC"/>
    <w:rsid w:val="5DEE4C50"/>
    <w:rsid w:val="5DF272AD"/>
    <w:rsid w:val="5DF70D68"/>
    <w:rsid w:val="5E0578F6"/>
    <w:rsid w:val="5E124B86"/>
    <w:rsid w:val="5E285833"/>
    <w:rsid w:val="5E421FE3"/>
    <w:rsid w:val="5E4D2736"/>
    <w:rsid w:val="5E4E6BDA"/>
    <w:rsid w:val="5E6737F7"/>
    <w:rsid w:val="5E785A05"/>
    <w:rsid w:val="5E7D74BF"/>
    <w:rsid w:val="5E8051A3"/>
    <w:rsid w:val="5E873E9A"/>
    <w:rsid w:val="5E8E1D57"/>
    <w:rsid w:val="5E9B254F"/>
    <w:rsid w:val="5E9D3AC8"/>
    <w:rsid w:val="5E9F0E3F"/>
    <w:rsid w:val="5E9F1180"/>
    <w:rsid w:val="5EA05A1B"/>
    <w:rsid w:val="5EA26F25"/>
    <w:rsid w:val="5EB34C8F"/>
    <w:rsid w:val="5EBF3633"/>
    <w:rsid w:val="5EC118C9"/>
    <w:rsid w:val="5EC60009"/>
    <w:rsid w:val="5EC96247"/>
    <w:rsid w:val="5ED574D6"/>
    <w:rsid w:val="5ED66053"/>
    <w:rsid w:val="5ED864A3"/>
    <w:rsid w:val="5EF07C91"/>
    <w:rsid w:val="5EF17565"/>
    <w:rsid w:val="5F02557F"/>
    <w:rsid w:val="5F101CC4"/>
    <w:rsid w:val="5F2D2C93"/>
    <w:rsid w:val="5F3A5DAA"/>
    <w:rsid w:val="5F476767"/>
    <w:rsid w:val="5F4B136B"/>
    <w:rsid w:val="5F5A31A8"/>
    <w:rsid w:val="5F5B7B31"/>
    <w:rsid w:val="5F6F219D"/>
    <w:rsid w:val="5F7206A6"/>
    <w:rsid w:val="5F742670"/>
    <w:rsid w:val="5F926F9A"/>
    <w:rsid w:val="5F9E76ED"/>
    <w:rsid w:val="5FB7255D"/>
    <w:rsid w:val="5FCF5AF8"/>
    <w:rsid w:val="5FCF738B"/>
    <w:rsid w:val="5FE45453"/>
    <w:rsid w:val="5FF11F12"/>
    <w:rsid w:val="5FF94273"/>
    <w:rsid w:val="5FFF3E49"/>
    <w:rsid w:val="60025ECE"/>
    <w:rsid w:val="600F4147"/>
    <w:rsid w:val="60164BA2"/>
    <w:rsid w:val="601A43EF"/>
    <w:rsid w:val="60255718"/>
    <w:rsid w:val="6026563C"/>
    <w:rsid w:val="602E260D"/>
    <w:rsid w:val="60483AFC"/>
    <w:rsid w:val="60503F3D"/>
    <w:rsid w:val="60511905"/>
    <w:rsid w:val="60594D60"/>
    <w:rsid w:val="605E0C2A"/>
    <w:rsid w:val="606E468E"/>
    <w:rsid w:val="6074044E"/>
    <w:rsid w:val="60A30D33"/>
    <w:rsid w:val="60B46A9C"/>
    <w:rsid w:val="60B57F7E"/>
    <w:rsid w:val="60BF3DBF"/>
    <w:rsid w:val="60C74A21"/>
    <w:rsid w:val="60CE74F7"/>
    <w:rsid w:val="60DA29A7"/>
    <w:rsid w:val="60E90E3C"/>
    <w:rsid w:val="60F75A51"/>
    <w:rsid w:val="610B0DB2"/>
    <w:rsid w:val="610E2650"/>
    <w:rsid w:val="6115578D"/>
    <w:rsid w:val="61156BF9"/>
    <w:rsid w:val="611C29AC"/>
    <w:rsid w:val="613100ED"/>
    <w:rsid w:val="6131633F"/>
    <w:rsid w:val="613227E3"/>
    <w:rsid w:val="61695AD8"/>
    <w:rsid w:val="61706E67"/>
    <w:rsid w:val="617701F5"/>
    <w:rsid w:val="617A5F38"/>
    <w:rsid w:val="61860438"/>
    <w:rsid w:val="619012B7"/>
    <w:rsid w:val="61954B1F"/>
    <w:rsid w:val="61AB4343"/>
    <w:rsid w:val="61AD1E69"/>
    <w:rsid w:val="61B02B17"/>
    <w:rsid w:val="61CE7F08"/>
    <w:rsid w:val="61D4389A"/>
    <w:rsid w:val="61DC2AA6"/>
    <w:rsid w:val="61DC62AA"/>
    <w:rsid w:val="61FE26C5"/>
    <w:rsid w:val="62065A1D"/>
    <w:rsid w:val="62093465"/>
    <w:rsid w:val="622019C2"/>
    <w:rsid w:val="6223212B"/>
    <w:rsid w:val="622F77D6"/>
    <w:rsid w:val="62315204"/>
    <w:rsid w:val="623A1223"/>
    <w:rsid w:val="623D02C5"/>
    <w:rsid w:val="623E51B7"/>
    <w:rsid w:val="623E5FD0"/>
    <w:rsid w:val="624D53FA"/>
    <w:rsid w:val="62647FB0"/>
    <w:rsid w:val="626A3F39"/>
    <w:rsid w:val="626F2040"/>
    <w:rsid w:val="628A3F58"/>
    <w:rsid w:val="628B15D4"/>
    <w:rsid w:val="62970423"/>
    <w:rsid w:val="62A96AD4"/>
    <w:rsid w:val="62B81781"/>
    <w:rsid w:val="62B8336A"/>
    <w:rsid w:val="62C27B96"/>
    <w:rsid w:val="62CA07F9"/>
    <w:rsid w:val="62D45906"/>
    <w:rsid w:val="62D81168"/>
    <w:rsid w:val="62D84CC4"/>
    <w:rsid w:val="62E23D94"/>
    <w:rsid w:val="62E47B0C"/>
    <w:rsid w:val="62E95D23"/>
    <w:rsid w:val="62EA2C49"/>
    <w:rsid w:val="62F15D85"/>
    <w:rsid w:val="62F51D1A"/>
    <w:rsid w:val="630A5BB9"/>
    <w:rsid w:val="630F29B9"/>
    <w:rsid w:val="632779F9"/>
    <w:rsid w:val="6340703E"/>
    <w:rsid w:val="63461EEC"/>
    <w:rsid w:val="634D1699"/>
    <w:rsid w:val="636458D9"/>
    <w:rsid w:val="6367429A"/>
    <w:rsid w:val="637067D1"/>
    <w:rsid w:val="63716EC6"/>
    <w:rsid w:val="637B686F"/>
    <w:rsid w:val="637F4381"/>
    <w:rsid w:val="6381535B"/>
    <w:rsid w:val="63843A67"/>
    <w:rsid w:val="638A73EA"/>
    <w:rsid w:val="638D7B34"/>
    <w:rsid w:val="63AB23D8"/>
    <w:rsid w:val="63AD6150"/>
    <w:rsid w:val="63AE1EC8"/>
    <w:rsid w:val="63B374DF"/>
    <w:rsid w:val="63BF40D6"/>
    <w:rsid w:val="63D27965"/>
    <w:rsid w:val="63DC07E4"/>
    <w:rsid w:val="63DF6868"/>
    <w:rsid w:val="63E37DC4"/>
    <w:rsid w:val="63E91153"/>
    <w:rsid w:val="63F0428F"/>
    <w:rsid w:val="63F41FD1"/>
    <w:rsid w:val="63F975E8"/>
    <w:rsid w:val="641C5084"/>
    <w:rsid w:val="641F5987"/>
    <w:rsid w:val="64337579"/>
    <w:rsid w:val="64354398"/>
    <w:rsid w:val="643E33CE"/>
    <w:rsid w:val="64441196"/>
    <w:rsid w:val="644E7B4E"/>
    <w:rsid w:val="64541E2E"/>
    <w:rsid w:val="64855DC5"/>
    <w:rsid w:val="64872E45"/>
    <w:rsid w:val="64A01811"/>
    <w:rsid w:val="64AC6408"/>
    <w:rsid w:val="64B42F87"/>
    <w:rsid w:val="64B81251"/>
    <w:rsid w:val="64CF0348"/>
    <w:rsid w:val="64F025F6"/>
    <w:rsid w:val="65091B75"/>
    <w:rsid w:val="651915C4"/>
    <w:rsid w:val="651B74E4"/>
    <w:rsid w:val="652E0D3C"/>
    <w:rsid w:val="653603C7"/>
    <w:rsid w:val="653A1C66"/>
    <w:rsid w:val="65442AE4"/>
    <w:rsid w:val="65620FA9"/>
    <w:rsid w:val="65651841"/>
    <w:rsid w:val="65691A71"/>
    <w:rsid w:val="656960A7"/>
    <w:rsid w:val="657038D9"/>
    <w:rsid w:val="65711400"/>
    <w:rsid w:val="65752C9E"/>
    <w:rsid w:val="657972D2"/>
    <w:rsid w:val="657F3B1C"/>
    <w:rsid w:val="659C1F4E"/>
    <w:rsid w:val="659E13EE"/>
    <w:rsid w:val="65A157A3"/>
    <w:rsid w:val="65A2780B"/>
    <w:rsid w:val="65AE7E87"/>
    <w:rsid w:val="65BC6440"/>
    <w:rsid w:val="65C36E7F"/>
    <w:rsid w:val="65C4453D"/>
    <w:rsid w:val="65D21A26"/>
    <w:rsid w:val="65D5373C"/>
    <w:rsid w:val="65D75FCA"/>
    <w:rsid w:val="65DC2D1D"/>
    <w:rsid w:val="66061B48"/>
    <w:rsid w:val="660E4EA0"/>
    <w:rsid w:val="6622709C"/>
    <w:rsid w:val="66261E24"/>
    <w:rsid w:val="662E1715"/>
    <w:rsid w:val="663743F7"/>
    <w:rsid w:val="663B7430"/>
    <w:rsid w:val="664F6E22"/>
    <w:rsid w:val="665C6A93"/>
    <w:rsid w:val="66633B2F"/>
    <w:rsid w:val="66644AC0"/>
    <w:rsid w:val="666D0DA9"/>
    <w:rsid w:val="6671147A"/>
    <w:rsid w:val="667747F4"/>
    <w:rsid w:val="667C4500"/>
    <w:rsid w:val="66890422"/>
    <w:rsid w:val="66935AC8"/>
    <w:rsid w:val="669C0303"/>
    <w:rsid w:val="66A80729"/>
    <w:rsid w:val="66B45A48"/>
    <w:rsid w:val="66B71094"/>
    <w:rsid w:val="66E0683D"/>
    <w:rsid w:val="66E10EF9"/>
    <w:rsid w:val="66E225B5"/>
    <w:rsid w:val="66E62095"/>
    <w:rsid w:val="66E63727"/>
    <w:rsid w:val="66F916AD"/>
    <w:rsid w:val="670A6D87"/>
    <w:rsid w:val="6714124B"/>
    <w:rsid w:val="6714321C"/>
    <w:rsid w:val="672A0BC3"/>
    <w:rsid w:val="67303449"/>
    <w:rsid w:val="673426E5"/>
    <w:rsid w:val="676169F0"/>
    <w:rsid w:val="676236F6"/>
    <w:rsid w:val="67672ABA"/>
    <w:rsid w:val="67746F85"/>
    <w:rsid w:val="677A27ED"/>
    <w:rsid w:val="67982C74"/>
    <w:rsid w:val="67AD0D0D"/>
    <w:rsid w:val="67CF5E62"/>
    <w:rsid w:val="67E4235D"/>
    <w:rsid w:val="68091DC3"/>
    <w:rsid w:val="6813619F"/>
    <w:rsid w:val="68203394"/>
    <w:rsid w:val="683F3A37"/>
    <w:rsid w:val="684B418A"/>
    <w:rsid w:val="685F19E3"/>
    <w:rsid w:val="68633281"/>
    <w:rsid w:val="68774BB2"/>
    <w:rsid w:val="687775B2"/>
    <w:rsid w:val="68834BBC"/>
    <w:rsid w:val="68994EF5"/>
    <w:rsid w:val="689C6999"/>
    <w:rsid w:val="68A112AF"/>
    <w:rsid w:val="68A7317D"/>
    <w:rsid w:val="68AD215C"/>
    <w:rsid w:val="68AE68FE"/>
    <w:rsid w:val="68BA526B"/>
    <w:rsid w:val="68CF4DBB"/>
    <w:rsid w:val="68D4794F"/>
    <w:rsid w:val="68E73A51"/>
    <w:rsid w:val="68F148CF"/>
    <w:rsid w:val="68FB170C"/>
    <w:rsid w:val="68FF6B42"/>
    <w:rsid w:val="69085BD7"/>
    <w:rsid w:val="69236EB5"/>
    <w:rsid w:val="693410C2"/>
    <w:rsid w:val="6934718B"/>
    <w:rsid w:val="694766FF"/>
    <w:rsid w:val="69513A22"/>
    <w:rsid w:val="69557EF4"/>
    <w:rsid w:val="695A5837"/>
    <w:rsid w:val="696574CD"/>
    <w:rsid w:val="696A6956"/>
    <w:rsid w:val="69711F76"/>
    <w:rsid w:val="69825CBF"/>
    <w:rsid w:val="69A97332"/>
    <w:rsid w:val="69B875FD"/>
    <w:rsid w:val="69DB60D0"/>
    <w:rsid w:val="69E06B54"/>
    <w:rsid w:val="69E46644"/>
    <w:rsid w:val="69EE74C3"/>
    <w:rsid w:val="6A102F95"/>
    <w:rsid w:val="6A113B89"/>
    <w:rsid w:val="6A1B14A7"/>
    <w:rsid w:val="6A1C7012"/>
    <w:rsid w:val="6A225D16"/>
    <w:rsid w:val="6A3B684A"/>
    <w:rsid w:val="6A440E91"/>
    <w:rsid w:val="6A4610AD"/>
    <w:rsid w:val="6A511D44"/>
    <w:rsid w:val="6A7F77F9"/>
    <w:rsid w:val="6A861FE3"/>
    <w:rsid w:val="6A9A31A7"/>
    <w:rsid w:val="6AA81CF8"/>
    <w:rsid w:val="6AA84653"/>
    <w:rsid w:val="6AB95599"/>
    <w:rsid w:val="6AE5012B"/>
    <w:rsid w:val="6AE508C6"/>
    <w:rsid w:val="6AEA5419"/>
    <w:rsid w:val="6AEC0549"/>
    <w:rsid w:val="6AF02DC7"/>
    <w:rsid w:val="6AF403FB"/>
    <w:rsid w:val="6B1148DF"/>
    <w:rsid w:val="6B11560E"/>
    <w:rsid w:val="6B146AB5"/>
    <w:rsid w:val="6B15282D"/>
    <w:rsid w:val="6B1E16E2"/>
    <w:rsid w:val="6B241A17"/>
    <w:rsid w:val="6B3158B9"/>
    <w:rsid w:val="6B3B6738"/>
    <w:rsid w:val="6B3C2EFA"/>
    <w:rsid w:val="6B4B43E3"/>
    <w:rsid w:val="6B4C44A1"/>
    <w:rsid w:val="6B565810"/>
    <w:rsid w:val="6B737C7F"/>
    <w:rsid w:val="6B7636D8"/>
    <w:rsid w:val="6B812B17"/>
    <w:rsid w:val="6B882FFF"/>
    <w:rsid w:val="6B9721F1"/>
    <w:rsid w:val="6B991CE8"/>
    <w:rsid w:val="6BB666ED"/>
    <w:rsid w:val="6BC32289"/>
    <w:rsid w:val="6BCA7FB5"/>
    <w:rsid w:val="6BCF6E80"/>
    <w:rsid w:val="6BDA4339"/>
    <w:rsid w:val="6BE7241B"/>
    <w:rsid w:val="6BFC7840"/>
    <w:rsid w:val="6C016BE7"/>
    <w:rsid w:val="6C134FBF"/>
    <w:rsid w:val="6C173B76"/>
    <w:rsid w:val="6C1E0F7E"/>
    <w:rsid w:val="6C243DF1"/>
    <w:rsid w:val="6C3B28C0"/>
    <w:rsid w:val="6C427652"/>
    <w:rsid w:val="6C580C23"/>
    <w:rsid w:val="6C68355C"/>
    <w:rsid w:val="6C730225"/>
    <w:rsid w:val="6C7C0DB6"/>
    <w:rsid w:val="6C895281"/>
    <w:rsid w:val="6C8D4D71"/>
    <w:rsid w:val="6C97174C"/>
    <w:rsid w:val="6C9A56D6"/>
    <w:rsid w:val="6CAF118B"/>
    <w:rsid w:val="6CD149CC"/>
    <w:rsid w:val="6CDE381E"/>
    <w:rsid w:val="6CE150BD"/>
    <w:rsid w:val="6CF51267"/>
    <w:rsid w:val="6D033D67"/>
    <w:rsid w:val="6D0A2431"/>
    <w:rsid w:val="6D1246FB"/>
    <w:rsid w:val="6D176D30"/>
    <w:rsid w:val="6D1C4347"/>
    <w:rsid w:val="6D2F4E5D"/>
    <w:rsid w:val="6D374CDD"/>
    <w:rsid w:val="6D393F05"/>
    <w:rsid w:val="6D464F20"/>
    <w:rsid w:val="6D4D57FB"/>
    <w:rsid w:val="6D505D9E"/>
    <w:rsid w:val="6D527D69"/>
    <w:rsid w:val="6D543AE1"/>
    <w:rsid w:val="6D68758C"/>
    <w:rsid w:val="6D6A6E60"/>
    <w:rsid w:val="6D943EDD"/>
    <w:rsid w:val="6DBD3434"/>
    <w:rsid w:val="6DCF4F15"/>
    <w:rsid w:val="6DD6304C"/>
    <w:rsid w:val="6DD66DF0"/>
    <w:rsid w:val="6DE9321C"/>
    <w:rsid w:val="6DF02DDA"/>
    <w:rsid w:val="6E04626A"/>
    <w:rsid w:val="6E1148C4"/>
    <w:rsid w:val="6E1241EE"/>
    <w:rsid w:val="6E3F209B"/>
    <w:rsid w:val="6E713F3E"/>
    <w:rsid w:val="6E804461"/>
    <w:rsid w:val="6E82642B"/>
    <w:rsid w:val="6E914282"/>
    <w:rsid w:val="6E973BA3"/>
    <w:rsid w:val="6E9817AB"/>
    <w:rsid w:val="6E9C0F6F"/>
    <w:rsid w:val="6EAB5982"/>
    <w:rsid w:val="6EB0599B"/>
    <w:rsid w:val="6EB365E5"/>
    <w:rsid w:val="6EB64310"/>
    <w:rsid w:val="6EBF5BF3"/>
    <w:rsid w:val="6EC07540"/>
    <w:rsid w:val="6EC84D35"/>
    <w:rsid w:val="6EDB3EB3"/>
    <w:rsid w:val="6EEB3C07"/>
    <w:rsid w:val="6EEE4FB7"/>
    <w:rsid w:val="6EF966EE"/>
    <w:rsid w:val="6EFD5AB2"/>
    <w:rsid w:val="6F03131A"/>
    <w:rsid w:val="6F0D3F47"/>
    <w:rsid w:val="6F0E4EC3"/>
    <w:rsid w:val="6F257B75"/>
    <w:rsid w:val="6F2C565C"/>
    <w:rsid w:val="6F3B64CA"/>
    <w:rsid w:val="6F43708B"/>
    <w:rsid w:val="6F44464C"/>
    <w:rsid w:val="6F525DFE"/>
    <w:rsid w:val="6F7246F2"/>
    <w:rsid w:val="6F7C2E7B"/>
    <w:rsid w:val="6F7C731F"/>
    <w:rsid w:val="6F810180"/>
    <w:rsid w:val="6FAC3760"/>
    <w:rsid w:val="6FC35D48"/>
    <w:rsid w:val="6FCF56A0"/>
    <w:rsid w:val="6FE16EE1"/>
    <w:rsid w:val="6FE264A0"/>
    <w:rsid w:val="6FE90EBD"/>
    <w:rsid w:val="6FE9490C"/>
    <w:rsid w:val="6FFB46E7"/>
    <w:rsid w:val="70090BB2"/>
    <w:rsid w:val="702552C0"/>
    <w:rsid w:val="702C748F"/>
    <w:rsid w:val="703277A2"/>
    <w:rsid w:val="70344BBF"/>
    <w:rsid w:val="703674CE"/>
    <w:rsid w:val="70381F50"/>
    <w:rsid w:val="7040644A"/>
    <w:rsid w:val="704E2A69"/>
    <w:rsid w:val="70553DF8"/>
    <w:rsid w:val="70557737"/>
    <w:rsid w:val="70596115"/>
    <w:rsid w:val="705B5186"/>
    <w:rsid w:val="70657DB3"/>
    <w:rsid w:val="706D3514"/>
    <w:rsid w:val="706F4CF2"/>
    <w:rsid w:val="7078567F"/>
    <w:rsid w:val="708F3550"/>
    <w:rsid w:val="70910BA8"/>
    <w:rsid w:val="70930CB0"/>
    <w:rsid w:val="709541F4"/>
    <w:rsid w:val="709E6D27"/>
    <w:rsid w:val="709F4389"/>
    <w:rsid w:val="70A361D6"/>
    <w:rsid w:val="70A370D3"/>
    <w:rsid w:val="70AE175A"/>
    <w:rsid w:val="70B054D2"/>
    <w:rsid w:val="70B36D70"/>
    <w:rsid w:val="70BE4D93"/>
    <w:rsid w:val="70E1568B"/>
    <w:rsid w:val="70E227D6"/>
    <w:rsid w:val="70F3716D"/>
    <w:rsid w:val="70F52D97"/>
    <w:rsid w:val="70FE448F"/>
    <w:rsid w:val="710870BC"/>
    <w:rsid w:val="710F044A"/>
    <w:rsid w:val="71141F49"/>
    <w:rsid w:val="71211F2C"/>
    <w:rsid w:val="71251212"/>
    <w:rsid w:val="712B33A4"/>
    <w:rsid w:val="712F166D"/>
    <w:rsid w:val="71327C95"/>
    <w:rsid w:val="713420C5"/>
    <w:rsid w:val="71347133"/>
    <w:rsid w:val="715C25DD"/>
    <w:rsid w:val="715E72BC"/>
    <w:rsid w:val="716D33C3"/>
    <w:rsid w:val="71787C6E"/>
    <w:rsid w:val="71816E6E"/>
    <w:rsid w:val="718438CB"/>
    <w:rsid w:val="71844269"/>
    <w:rsid w:val="71864485"/>
    <w:rsid w:val="71871A0A"/>
    <w:rsid w:val="7187223E"/>
    <w:rsid w:val="718A7AD1"/>
    <w:rsid w:val="718F158B"/>
    <w:rsid w:val="71922369"/>
    <w:rsid w:val="71A36DE5"/>
    <w:rsid w:val="71AD7318"/>
    <w:rsid w:val="71B2527A"/>
    <w:rsid w:val="71B5159F"/>
    <w:rsid w:val="71BB5EDC"/>
    <w:rsid w:val="71BD6F35"/>
    <w:rsid w:val="71C04F18"/>
    <w:rsid w:val="71C346B5"/>
    <w:rsid w:val="71C3762B"/>
    <w:rsid w:val="71C37A53"/>
    <w:rsid w:val="71C7496A"/>
    <w:rsid w:val="71E511AB"/>
    <w:rsid w:val="71F17594"/>
    <w:rsid w:val="71F65166"/>
    <w:rsid w:val="71F87A6C"/>
    <w:rsid w:val="720806EB"/>
    <w:rsid w:val="72084E9A"/>
    <w:rsid w:val="720C498A"/>
    <w:rsid w:val="721C436A"/>
    <w:rsid w:val="722241AD"/>
    <w:rsid w:val="72343EE1"/>
    <w:rsid w:val="72385C61"/>
    <w:rsid w:val="724D0AFE"/>
    <w:rsid w:val="72553376"/>
    <w:rsid w:val="7258197D"/>
    <w:rsid w:val="72605D30"/>
    <w:rsid w:val="726D70E7"/>
    <w:rsid w:val="72895FDA"/>
    <w:rsid w:val="72A378D8"/>
    <w:rsid w:val="72A45462"/>
    <w:rsid w:val="72A63D8F"/>
    <w:rsid w:val="72AC3A77"/>
    <w:rsid w:val="72B172DF"/>
    <w:rsid w:val="72B666A4"/>
    <w:rsid w:val="72C139C6"/>
    <w:rsid w:val="72CB6EC4"/>
    <w:rsid w:val="72D51220"/>
    <w:rsid w:val="72D9520E"/>
    <w:rsid w:val="72EC6F44"/>
    <w:rsid w:val="72EE408F"/>
    <w:rsid w:val="73041B05"/>
    <w:rsid w:val="730C43A4"/>
    <w:rsid w:val="731B07B0"/>
    <w:rsid w:val="73353A6C"/>
    <w:rsid w:val="73441F01"/>
    <w:rsid w:val="73571C35"/>
    <w:rsid w:val="735F6D3B"/>
    <w:rsid w:val="7363121A"/>
    <w:rsid w:val="73770529"/>
    <w:rsid w:val="737F6D68"/>
    <w:rsid w:val="738D5656"/>
    <w:rsid w:val="7395275D"/>
    <w:rsid w:val="73974727"/>
    <w:rsid w:val="73A00CA7"/>
    <w:rsid w:val="73A11102"/>
    <w:rsid w:val="73BB407D"/>
    <w:rsid w:val="73BB6668"/>
    <w:rsid w:val="73BC5F3C"/>
    <w:rsid w:val="73DF359C"/>
    <w:rsid w:val="73F90F3E"/>
    <w:rsid w:val="73F96ED7"/>
    <w:rsid w:val="742F3CB1"/>
    <w:rsid w:val="743A0B69"/>
    <w:rsid w:val="74411A20"/>
    <w:rsid w:val="745B563F"/>
    <w:rsid w:val="74604B19"/>
    <w:rsid w:val="746A5998"/>
    <w:rsid w:val="747D74F0"/>
    <w:rsid w:val="74827185"/>
    <w:rsid w:val="74940C67"/>
    <w:rsid w:val="749D3FBF"/>
    <w:rsid w:val="74A52F53"/>
    <w:rsid w:val="74B135C7"/>
    <w:rsid w:val="74C31ECB"/>
    <w:rsid w:val="74D07EF1"/>
    <w:rsid w:val="74DD260E"/>
    <w:rsid w:val="750147A2"/>
    <w:rsid w:val="75061B64"/>
    <w:rsid w:val="75186B30"/>
    <w:rsid w:val="75225ED7"/>
    <w:rsid w:val="7559678F"/>
    <w:rsid w:val="755A5A0C"/>
    <w:rsid w:val="755E374E"/>
    <w:rsid w:val="75862244"/>
    <w:rsid w:val="758E43BC"/>
    <w:rsid w:val="758F7694"/>
    <w:rsid w:val="75925734"/>
    <w:rsid w:val="75942919"/>
    <w:rsid w:val="75956A44"/>
    <w:rsid w:val="75970A0E"/>
    <w:rsid w:val="75A960A7"/>
    <w:rsid w:val="75C612F4"/>
    <w:rsid w:val="75C630A2"/>
    <w:rsid w:val="75C80BC8"/>
    <w:rsid w:val="75DA32B4"/>
    <w:rsid w:val="75DC69B3"/>
    <w:rsid w:val="7601057E"/>
    <w:rsid w:val="76022ED7"/>
    <w:rsid w:val="76101A17"/>
    <w:rsid w:val="762A1882"/>
    <w:rsid w:val="763B75EC"/>
    <w:rsid w:val="763E532E"/>
    <w:rsid w:val="764F753B"/>
    <w:rsid w:val="76593F16"/>
    <w:rsid w:val="765C5EF1"/>
    <w:rsid w:val="766034F6"/>
    <w:rsid w:val="767174B1"/>
    <w:rsid w:val="7691545E"/>
    <w:rsid w:val="76960CC6"/>
    <w:rsid w:val="76A519F0"/>
    <w:rsid w:val="76A81AB7"/>
    <w:rsid w:val="76B455F0"/>
    <w:rsid w:val="76B61368"/>
    <w:rsid w:val="76D161A2"/>
    <w:rsid w:val="76D370E5"/>
    <w:rsid w:val="76E41A31"/>
    <w:rsid w:val="77057BFA"/>
    <w:rsid w:val="77162C99"/>
    <w:rsid w:val="771D4F43"/>
    <w:rsid w:val="77324E93"/>
    <w:rsid w:val="77364257"/>
    <w:rsid w:val="773E464C"/>
    <w:rsid w:val="776B78DA"/>
    <w:rsid w:val="776E1C43"/>
    <w:rsid w:val="776E6E8E"/>
    <w:rsid w:val="777C4360"/>
    <w:rsid w:val="778154D2"/>
    <w:rsid w:val="7782133D"/>
    <w:rsid w:val="77982A12"/>
    <w:rsid w:val="779E42D6"/>
    <w:rsid w:val="77A967D7"/>
    <w:rsid w:val="77AA57AB"/>
    <w:rsid w:val="77B27D81"/>
    <w:rsid w:val="77B801ED"/>
    <w:rsid w:val="77BC650A"/>
    <w:rsid w:val="77C63091"/>
    <w:rsid w:val="77D53CE3"/>
    <w:rsid w:val="77EB3293"/>
    <w:rsid w:val="77FC0FFD"/>
    <w:rsid w:val="780659D7"/>
    <w:rsid w:val="780E2ADE"/>
    <w:rsid w:val="7819395D"/>
    <w:rsid w:val="781D7F14"/>
    <w:rsid w:val="784239DF"/>
    <w:rsid w:val="7864485D"/>
    <w:rsid w:val="78767001"/>
    <w:rsid w:val="78807F41"/>
    <w:rsid w:val="789C5D0E"/>
    <w:rsid w:val="78A332C3"/>
    <w:rsid w:val="78B43685"/>
    <w:rsid w:val="78C00B06"/>
    <w:rsid w:val="78C961F4"/>
    <w:rsid w:val="78D45AD6"/>
    <w:rsid w:val="78D66B7E"/>
    <w:rsid w:val="78E314F4"/>
    <w:rsid w:val="78E73002"/>
    <w:rsid w:val="78E9792E"/>
    <w:rsid w:val="78F65C56"/>
    <w:rsid w:val="78F910A8"/>
    <w:rsid w:val="78F9378E"/>
    <w:rsid w:val="79062C97"/>
    <w:rsid w:val="7910600A"/>
    <w:rsid w:val="791365FE"/>
    <w:rsid w:val="792B7DEB"/>
    <w:rsid w:val="796A65B3"/>
    <w:rsid w:val="798D4602"/>
    <w:rsid w:val="7993773F"/>
    <w:rsid w:val="79951709"/>
    <w:rsid w:val="79955265"/>
    <w:rsid w:val="7997722F"/>
    <w:rsid w:val="79AC25AE"/>
    <w:rsid w:val="79C1605A"/>
    <w:rsid w:val="79D91008"/>
    <w:rsid w:val="79DC08AE"/>
    <w:rsid w:val="79F103DA"/>
    <w:rsid w:val="79F24465"/>
    <w:rsid w:val="7A016D9E"/>
    <w:rsid w:val="7A1308A2"/>
    <w:rsid w:val="7A214D4A"/>
    <w:rsid w:val="7A28432B"/>
    <w:rsid w:val="7A410474"/>
    <w:rsid w:val="7A456C06"/>
    <w:rsid w:val="7A6510DB"/>
    <w:rsid w:val="7A6D4434"/>
    <w:rsid w:val="7A7255A6"/>
    <w:rsid w:val="7A7B26AD"/>
    <w:rsid w:val="7A7E27D3"/>
    <w:rsid w:val="7A8A01C7"/>
    <w:rsid w:val="7A927D1C"/>
    <w:rsid w:val="7AA546BD"/>
    <w:rsid w:val="7AAA36FF"/>
    <w:rsid w:val="7AB7745D"/>
    <w:rsid w:val="7ABE07EB"/>
    <w:rsid w:val="7ACD0A2E"/>
    <w:rsid w:val="7ADB7A18"/>
    <w:rsid w:val="7AF34939"/>
    <w:rsid w:val="7B0F0460"/>
    <w:rsid w:val="7B1872A2"/>
    <w:rsid w:val="7B215048"/>
    <w:rsid w:val="7B253A17"/>
    <w:rsid w:val="7B272834"/>
    <w:rsid w:val="7B2F3497"/>
    <w:rsid w:val="7B340AAD"/>
    <w:rsid w:val="7B6A54D9"/>
    <w:rsid w:val="7B6B22FB"/>
    <w:rsid w:val="7B774D4C"/>
    <w:rsid w:val="7B7979D7"/>
    <w:rsid w:val="7B8052A6"/>
    <w:rsid w:val="7B841759"/>
    <w:rsid w:val="7B8F77E3"/>
    <w:rsid w:val="7B953D8A"/>
    <w:rsid w:val="7B95779E"/>
    <w:rsid w:val="7BB2023F"/>
    <w:rsid w:val="7BC24917"/>
    <w:rsid w:val="7BDC361F"/>
    <w:rsid w:val="7BE427C9"/>
    <w:rsid w:val="7BF165E3"/>
    <w:rsid w:val="7BF546E1"/>
    <w:rsid w:val="7BF81ADB"/>
    <w:rsid w:val="7C046713"/>
    <w:rsid w:val="7C046812"/>
    <w:rsid w:val="7C0E12FE"/>
    <w:rsid w:val="7C1C7EBF"/>
    <w:rsid w:val="7C2F7BF3"/>
    <w:rsid w:val="7C442F72"/>
    <w:rsid w:val="7C464F3C"/>
    <w:rsid w:val="7C472027"/>
    <w:rsid w:val="7C596A1E"/>
    <w:rsid w:val="7C630DDA"/>
    <w:rsid w:val="7C650142"/>
    <w:rsid w:val="7C7E46D6"/>
    <w:rsid w:val="7C906658"/>
    <w:rsid w:val="7C9C4E59"/>
    <w:rsid w:val="7C9C690A"/>
    <w:rsid w:val="7CB5297B"/>
    <w:rsid w:val="7CB65C1E"/>
    <w:rsid w:val="7CBC548E"/>
    <w:rsid w:val="7CEC1640"/>
    <w:rsid w:val="7CEC34B9"/>
    <w:rsid w:val="7CF46211"/>
    <w:rsid w:val="7CF4697E"/>
    <w:rsid w:val="7CF625C0"/>
    <w:rsid w:val="7D0C3A90"/>
    <w:rsid w:val="7D133070"/>
    <w:rsid w:val="7D374F29"/>
    <w:rsid w:val="7D423956"/>
    <w:rsid w:val="7D5716E8"/>
    <w:rsid w:val="7D6277B6"/>
    <w:rsid w:val="7D6A6A08"/>
    <w:rsid w:val="7D6B15A6"/>
    <w:rsid w:val="7D8819B8"/>
    <w:rsid w:val="7D883F06"/>
    <w:rsid w:val="7D910439"/>
    <w:rsid w:val="7D9817C8"/>
    <w:rsid w:val="7DA17D30"/>
    <w:rsid w:val="7DAB45AC"/>
    <w:rsid w:val="7DBD6359"/>
    <w:rsid w:val="7DC66335"/>
    <w:rsid w:val="7DCB0BE8"/>
    <w:rsid w:val="7DCE3976"/>
    <w:rsid w:val="7DDA53C2"/>
    <w:rsid w:val="7DE06CCB"/>
    <w:rsid w:val="7DEC1126"/>
    <w:rsid w:val="7DF033B2"/>
    <w:rsid w:val="7E157EA9"/>
    <w:rsid w:val="7E2F1D63"/>
    <w:rsid w:val="7E3037AE"/>
    <w:rsid w:val="7E3C03A5"/>
    <w:rsid w:val="7E3F1C43"/>
    <w:rsid w:val="7E633B84"/>
    <w:rsid w:val="7E723DC7"/>
    <w:rsid w:val="7E8B30DA"/>
    <w:rsid w:val="7E924469"/>
    <w:rsid w:val="7EB42631"/>
    <w:rsid w:val="7EBB4818"/>
    <w:rsid w:val="7ED405DD"/>
    <w:rsid w:val="7EDC56E4"/>
    <w:rsid w:val="7EFC7B34"/>
    <w:rsid w:val="7F2E417B"/>
    <w:rsid w:val="7F480FCB"/>
    <w:rsid w:val="7F6556D9"/>
    <w:rsid w:val="7F932247"/>
    <w:rsid w:val="7F995383"/>
    <w:rsid w:val="7F997CB3"/>
    <w:rsid w:val="7FAA57E2"/>
    <w:rsid w:val="7FBB179D"/>
    <w:rsid w:val="7FC916DD"/>
    <w:rsid w:val="7FC92566"/>
    <w:rsid w:val="7FCB7C32"/>
    <w:rsid w:val="7FD05249"/>
    <w:rsid w:val="7FD14B1D"/>
    <w:rsid w:val="7FDA7EE4"/>
    <w:rsid w:val="7FE72592"/>
    <w:rsid w:val="7FF01447"/>
    <w:rsid w:val="7FF73F34"/>
    <w:rsid w:val="7FFB5897"/>
    <w:rsid w:val="9BE81E2A"/>
    <w:rsid w:val="E27BDAF4"/>
    <w:rsid w:val="F76F0661"/>
    <w:rsid w:val="FD674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0"/>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1"/>
    <w:qFormat/>
    <w:uiPriority w:val="0"/>
    <w:pPr>
      <w:keepNext/>
      <w:keepLines/>
      <w:spacing w:before="260" w:after="260" w:line="416" w:lineRule="auto"/>
      <w:outlineLvl w:val="2"/>
    </w:pPr>
    <w:rPr>
      <w:b/>
      <w:bCs/>
      <w:kern w:val="0"/>
      <w:sz w:val="32"/>
      <w:szCs w:val="32"/>
    </w:rPr>
  </w:style>
  <w:style w:type="paragraph" w:styleId="5">
    <w:name w:val="heading 4"/>
    <w:basedOn w:val="1"/>
    <w:next w:val="1"/>
    <w:semiHidden/>
    <w:unhideWhenUsed/>
    <w:qFormat/>
    <w:uiPriority w:val="9"/>
    <w:pPr>
      <w:spacing w:beforeAutospacing="1" w:afterAutospacing="1"/>
      <w:jc w:val="left"/>
      <w:outlineLvl w:val="3"/>
    </w:pPr>
    <w:rPr>
      <w:rFonts w:hint="eastAsia" w:ascii="宋体" w:hAnsi="宋体"/>
      <w:b/>
      <w:bCs/>
      <w:kern w:val="0"/>
      <w:sz w:val="24"/>
    </w:rPr>
  </w:style>
  <w:style w:type="paragraph" w:styleId="6">
    <w:name w:val="heading 5"/>
    <w:basedOn w:val="1"/>
    <w:next w:val="7"/>
    <w:link w:val="62"/>
    <w:qFormat/>
    <w:uiPriority w:val="0"/>
    <w:pPr>
      <w:keepNext/>
      <w:keepLines/>
      <w:spacing w:before="280" w:after="290" w:line="376" w:lineRule="auto"/>
      <w:outlineLvl w:val="4"/>
    </w:pPr>
    <w:rPr>
      <w:b/>
      <w:sz w:val="28"/>
    </w:rPr>
  </w:style>
  <w:style w:type="paragraph" w:styleId="8">
    <w:name w:val="heading 6"/>
    <w:basedOn w:val="1"/>
    <w:next w:val="7"/>
    <w:link w:val="63"/>
    <w:qFormat/>
    <w:uiPriority w:val="0"/>
    <w:pPr>
      <w:keepNext/>
      <w:keepLines/>
      <w:spacing w:before="240" w:after="64" w:line="320" w:lineRule="auto"/>
      <w:outlineLvl w:val="5"/>
    </w:pPr>
    <w:rPr>
      <w:rFonts w:ascii="Arial" w:hAnsi="Arial" w:eastAsia="黑体"/>
      <w:b/>
      <w:sz w:val="24"/>
    </w:rPr>
  </w:style>
  <w:style w:type="paragraph" w:styleId="9">
    <w:name w:val="heading 7"/>
    <w:basedOn w:val="1"/>
    <w:next w:val="7"/>
    <w:link w:val="64"/>
    <w:qFormat/>
    <w:uiPriority w:val="0"/>
    <w:pPr>
      <w:keepNext/>
      <w:keepLines/>
      <w:spacing w:before="240" w:after="64" w:line="320" w:lineRule="auto"/>
      <w:outlineLvl w:val="6"/>
    </w:pPr>
    <w:rPr>
      <w:b/>
      <w:sz w:val="24"/>
    </w:rPr>
  </w:style>
  <w:style w:type="paragraph" w:styleId="10">
    <w:name w:val="heading 8"/>
    <w:basedOn w:val="1"/>
    <w:next w:val="7"/>
    <w:link w:val="65"/>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7"/>
    <w:link w:val="66"/>
    <w:qFormat/>
    <w:uiPriority w:val="0"/>
    <w:pPr>
      <w:keepNext/>
      <w:keepLines/>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67"/>
    <w:unhideWhenUsed/>
    <w:qFormat/>
    <w:uiPriority w:val="0"/>
    <w:pPr>
      <w:shd w:val="clear" w:color="auto" w:fill="000080"/>
    </w:pPr>
    <w:rPr>
      <w:rFonts w:hint="eastAsia" w:ascii="宋体" w:hAnsi="宋体"/>
      <w:kern w:val="0"/>
      <w:sz w:val="20"/>
      <w:szCs w:val="20"/>
    </w:rPr>
  </w:style>
  <w:style w:type="paragraph" w:styleId="16">
    <w:name w:val="annotation text"/>
    <w:basedOn w:val="1"/>
    <w:link w:val="68"/>
    <w:unhideWhenUsed/>
    <w:qFormat/>
    <w:uiPriority w:val="0"/>
    <w:pPr>
      <w:jc w:val="left"/>
    </w:pPr>
  </w:style>
  <w:style w:type="paragraph" w:styleId="17">
    <w:name w:val="Body Text 3"/>
    <w:basedOn w:val="1"/>
    <w:link w:val="69"/>
    <w:qFormat/>
    <w:uiPriority w:val="0"/>
    <w:pPr>
      <w:spacing w:line="500" w:lineRule="exact"/>
    </w:pPr>
    <w:rPr>
      <w:b/>
      <w:bCs/>
      <w:kern w:val="0"/>
      <w:sz w:val="24"/>
    </w:rPr>
  </w:style>
  <w:style w:type="paragraph" w:styleId="18">
    <w:name w:val="Body Text"/>
    <w:basedOn w:val="1"/>
    <w:link w:val="70"/>
    <w:qFormat/>
    <w:uiPriority w:val="99"/>
    <w:pPr>
      <w:spacing w:line="380" w:lineRule="exact"/>
    </w:pPr>
    <w:rPr>
      <w:kern w:val="0"/>
      <w:sz w:val="24"/>
    </w:rPr>
  </w:style>
  <w:style w:type="paragraph" w:styleId="19">
    <w:name w:val="Body Text Indent"/>
    <w:basedOn w:val="1"/>
    <w:link w:val="71"/>
    <w:qFormat/>
    <w:uiPriority w:val="0"/>
    <w:pPr>
      <w:ind w:firstLine="830" w:firstLineChars="352"/>
    </w:pPr>
    <w:rPr>
      <w:rFonts w:ascii="仿宋_GB2312" w:eastAsia="仿宋_GB2312"/>
      <w:kern w:val="0"/>
      <w:sz w:val="32"/>
      <w:szCs w:val="20"/>
    </w:rPr>
  </w:style>
  <w:style w:type="paragraph" w:styleId="20">
    <w:name w:val="List Number 3"/>
    <w:basedOn w:val="1"/>
    <w:qFormat/>
    <w:uiPriority w:val="0"/>
    <w:pPr>
      <w:tabs>
        <w:tab w:val="left" w:pos="1200"/>
      </w:tabs>
      <w:ind w:left="1200" w:hanging="360"/>
    </w:pPr>
  </w:style>
  <w:style w:type="paragraph" w:styleId="21">
    <w:name w:val="List 2"/>
    <w:basedOn w:val="1"/>
    <w:qFormat/>
    <w:uiPriority w:val="0"/>
    <w:pPr>
      <w:ind w:left="100" w:leftChars="200" w:hanging="200" w:hangingChars="200"/>
    </w:pPr>
    <w:rPr>
      <w:sz w:val="28"/>
    </w:rPr>
  </w:style>
  <w:style w:type="paragraph" w:styleId="22">
    <w:name w:val="index 4"/>
    <w:basedOn w:val="1"/>
    <w:next w:val="1"/>
    <w:unhideWhenUsed/>
    <w:qFormat/>
    <w:uiPriority w:val="99"/>
    <w:pPr>
      <w:ind w:left="600" w:leftChars="600"/>
    </w:p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unhideWhenUsed/>
    <w:qFormat/>
    <w:uiPriority w:val="39"/>
    <w:pPr>
      <w:ind w:left="840" w:leftChars="400"/>
    </w:pPr>
    <w:rPr>
      <w:rFonts w:ascii="Calibri" w:hAnsi="Calibri"/>
      <w:szCs w:val="22"/>
    </w:rPr>
  </w:style>
  <w:style w:type="paragraph" w:styleId="25">
    <w:name w:val="Plain Text"/>
    <w:basedOn w:val="1"/>
    <w:link w:val="72"/>
    <w:qFormat/>
    <w:uiPriority w:val="0"/>
    <w:rPr>
      <w:rFonts w:ascii="宋体" w:hAnsi="Courier New"/>
      <w:kern w:val="0"/>
      <w:sz w:val="20"/>
      <w:szCs w:val="21"/>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73"/>
    <w:qFormat/>
    <w:uiPriority w:val="0"/>
    <w:pPr>
      <w:ind w:left="100" w:leftChars="2500"/>
    </w:pPr>
    <w:rPr>
      <w:rFonts w:ascii="宋体" w:hAnsi="Courier New"/>
      <w:kern w:val="0"/>
      <w:sz w:val="20"/>
      <w:szCs w:val="21"/>
    </w:rPr>
  </w:style>
  <w:style w:type="paragraph" w:styleId="28">
    <w:name w:val="Body Text Indent 2"/>
    <w:basedOn w:val="1"/>
    <w:link w:val="74"/>
    <w:qFormat/>
    <w:uiPriority w:val="0"/>
    <w:pPr>
      <w:ind w:firstLine="630"/>
    </w:pPr>
    <w:rPr>
      <w:kern w:val="0"/>
      <w:sz w:val="32"/>
      <w:szCs w:val="20"/>
    </w:rPr>
  </w:style>
  <w:style w:type="paragraph" w:styleId="29">
    <w:name w:val="endnote text"/>
    <w:basedOn w:val="1"/>
    <w:link w:val="75"/>
    <w:unhideWhenUsed/>
    <w:qFormat/>
    <w:uiPriority w:val="99"/>
    <w:pPr>
      <w:snapToGrid w:val="0"/>
      <w:jc w:val="left"/>
    </w:pPr>
  </w:style>
  <w:style w:type="paragraph" w:styleId="30">
    <w:name w:val="Balloon Text"/>
    <w:basedOn w:val="1"/>
    <w:link w:val="76"/>
    <w:semiHidden/>
    <w:qFormat/>
    <w:uiPriority w:val="0"/>
    <w:rPr>
      <w:kern w:val="0"/>
      <w:sz w:val="18"/>
      <w:szCs w:val="18"/>
    </w:rPr>
  </w:style>
  <w:style w:type="paragraph" w:styleId="31">
    <w:name w:val="footer"/>
    <w:basedOn w:val="1"/>
    <w:link w:val="77"/>
    <w:unhideWhenUsed/>
    <w:qFormat/>
    <w:uiPriority w:val="99"/>
    <w:pPr>
      <w:tabs>
        <w:tab w:val="center" w:pos="4153"/>
        <w:tab w:val="right" w:pos="8306"/>
      </w:tabs>
      <w:snapToGrid w:val="0"/>
      <w:jc w:val="left"/>
    </w:pPr>
    <w:rPr>
      <w:kern w:val="0"/>
      <w:sz w:val="18"/>
      <w:szCs w:val="18"/>
    </w:rPr>
  </w:style>
  <w:style w:type="paragraph" w:styleId="32">
    <w:name w:val="header"/>
    <w:basedOn w:val="1"/>
    <w:link w:val="78"/>
    <w:unhideWhenUsed/>
    <w:qFormat/>
    <w:uiPriority w:val="99"/>
    <w:pPr>
      <w:pBdr>
        <w:bottom w:val="single" w:color="auto" w:sz="6" w:space="1"/>
      </w:pBdr>
      <w:tabs>
        <w:tab w:val="center" w:pos="0"/>
        <w:tab w:val="lef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unhideWhenUsed/>
    <w:qFormat/>
    <w:uiPriority w:val="39"/>
    <w:pPr>
      <w:ind w:left="1260" w:leftChars="600"/>
    </w:pPr>
    <w:rPr>
      <w:rFonts w:ascii="Calibri" w:hAnsi="Calibri"/>
      <w:szCs w:val="22"/>
    </w:rPr>
  </w:style>
  <w:style w:type="paragraph" w:styleId="35">
    <w:name w:val="List"/>
    <w:basedOn w:val="1"/>
    <w:qFormat/>
    <w:uiPriority w:val="0"/>
    <w:pPr>
      <w:ind w:left="200" w:hanging="200" w:hangingChars="200"/>
    </w:pPr>
    <w:rPr>
      <w:sz w:val="28"/>
    </w:rPr>
  </w:style>
  <w:style w:type="paragraph" w:styleId="36">
    <w:name w:val="footnote text"/>
    <w:basedOn w:val="1"/>
    <w:link w:val="79"/>
    <w:unhideWhenUsed/>
    <w:qFormat/>
    <w:uiPriority w:val="99"/>
    <w:pPr>
      <w:snapToGrid w:val="0"/>
      <w:jc w:val="left"/>
    </w:pPr>
    <w:rPr>
      <w:sz w:val="18"/>
      <w:szCs w:val="18"/>
    </w:rPr>
  </w:style>
  <w:style w:type="paragraph" w:styleId="37">
    <w:name w:val="toc 6"/>
    <w:basedOn w:val="1"/>
    <w:next w:val="1"/>
    <w:unhideWhenUsed/>
    <w:qFormat/>
    <w:uiPriority w:val="39"/>
    <w:pPr>
      <w:ind w:left="2100" w:leftChars="1000"/>
    </w:pPr>
    <w:rPr>
      <w:rFonts w:ascii="Calibri" w:hAnsi="Calibri"/>
      <w:szCs w:val="22"/>
    </w:rPr>
  </w:style>
  <w:style w:type="paragraph" w:styleId="38">
    <w:name w:val="Body Text Indent 3"/>
    <w:basedOn w:val="1"/>
    <w:link w:val="80"/>
    <w:qFormat/>
    <w:uiPriority w:val="0"/>
    <w:pPr>
      <w:spacing w:after="120"/>
      <w:ind w:left="420" w:leftChars="200"/>
    </w:pPr>
    <w:rPr>
      <w:kern w:val="0"/>
      <w:sz w:val="16"/>
      <w:szCs w:val="16"/>
    </w:rPr>
  </w:style>
  <w:style w:type="paragraph" w:styleId="39">
    <w:name w:val="toc 2"/>
    <w:basedOn w:val="1"/>
    <w:next w:val="1"/>
    <w:unhideWhenUsed/>
    <w:qFormat/>
    <w:uiPriority w:val="39"/>
    <w:pPr>
      <w:ind w:left="420" w:leftChars="200"/>
    </w:pPr>
  </w:style>
  <w:style w:type="paragraph" w:styleId="40">
    <w:name w:val="toc 9"/>
    <w:basedOn w:val="1"/>
    <w:next w:val="1"/>
    <w:unhideWhenUsed/>
    <w:qFormat/>
    <w:uiPriority w:val="39"/>
    <w:pPr>
      <w:ind w:left="3360" w:leftChars="1600"/>
    </w:pPr>
    <w:rPr>
      <w:rFonts w:ascii="Calibri" w:hAnsi="Calibri"/>
      <w:szCs w:val="22"/>
    </w:rPr>
  </w:style>
  <w:style w:type="paragraph" w:styleId="41">
    <w:name w:val="Body Text 2"/>
    <w:basedOn w:val="1"/>
    <w:link w:val="81"/>
    <w:qFormat/>
    <w:uiPriority w:val="0"/>
    <w:pPr>
      <w:spacing w:after="120" w:line="480" w:lineRule="auto"/>
    </w:pPr>
    <w:rPr>
      <w:kern w:val="0"/>
      <w:sz w:val="20"/>
    </w:rPr>
  </w:style>
  <w:style w:type="paragraph" w:styleId="42">
    <w:name w:val="Normal (Web)"/>
    <w:basedOn w:val="1"/>
    <w:qFormat/>
    <w:uiPriority w:val="99"/>
    <w:pPr>
      <w:widowControl/>
      <w:spacing w:before="100" w:beforeAutospacing="1" w:after="100" w:afterAutospacing="1"/>
      <w:jc w:val="left"/>
    </w:pPr>
    <w:rPr>
      <w:rFonts w:ascii="宋体" w:hAnsi="宋体"/>
      <w:kern w:val="0"/>
      <w:sz w:val="24"/>
    </w:rPr>
  </w:style>
  <w:style w:type="paragraph" w:styleId="43">
    <w:name w:val="index 1"/>
    <w:basedOn w:val="1"/>
    <w:next w:val="1"/>
    <w:semiHidden/>
    <w:qFormat/>
    <w:uiPriority w:val="0"/>
    <w:pPr>
      <w:spacing w:line="400" w:lineRule="exact"/>
      <w:ind w:firstLine="420" w:firstLineChars="200"/>
    </w:pPr>
    <w:rPr>
      <w:rFonts w:ascii="宋体" w:hAnsi="Courier New"/>
      <w:b/>
      <w:szCs w:val="20"/>
    </w:rPr>
  </w:style>
  <w:style w:type="paragraph" w:styleId="44">
    <w:name w:val="Title"/>
    <w:basedOn w:val="1"/>
    <w:next w:val="1"/>
    <w:link w:val="82"/>
    <w:qFormat/>
    <w:uiPriority w:val="10"/>
    <w:pPr>
      <w:spacing w:before="240" w:after="60"/>
      <w:jc w:val="center"/>
      <w:outlineLvl w:val="0"/>
    </w:pPr>
    <w:rPr>
      <w:rFonts w:ascii="Cambria" w:hAnsi="Cambria"/>
      <w:b/>
      <w:bCs/>
      <w:sz w:val="32"/>
      <w:szCs w:val="32"/>
    </w:rPr>
  </w:style>
  <w:style w:type="paragraph" w:styleId="45">
    <w:name w:val="annotation subject"/>
    <w:basedOn w:val="16"/>
    <w:next w:val="1"/>
    <w:link w:val="83"/>
    <w:unhideWhenUsed/>
    <w:qFormat/>
    <w:uiPriority w:val="99"/>
    <w:rPr>
      <w:b/>
      <w:bCs/>
    </w:rPr>
  </w:style>
  <w:style w:type="paragraph" w:styleId="46">
    <w:name w:val="Body Text First Indent"/>
    <w:basedOn w:val="18"/>
    <w:qFormat/>
    <w:uiPriority w:val="0"/>
    <w:pPr>
      <w:widowControl/>
      <w:wordWrap w:val="0"/>
      <w:topLinePunct/>
      <w:spacing w:after="0" w:line="600" w:lineRule="exact"/>
      <w:ind w:firstLine="880" w:firstLineChars="200"/>
      <w:jc w:val="left"/>
      <w:textAlignment w:val="baseline"/>
    </w:pPr>
    <w:rPr>
      <w:rFonts w:ascii="Times New Roman" w:hAnsi="Times New Roman" w:eastAsia="仿宋_GB2312" w:cs="Times New Roman"/>
      <w:sz w:val="32"/>
      <w:szCs w:val="24"/>
      <w:lang w:eastAsia="en-US"/>
    </w:rPr>
  </w:style>
  <w:style w:type="paragraph" w:styleId="47">
    <w:name w:val="Body Text First Indent 2"/>
    <w:basedOn w:val="19"/>
    <w:next w:val="1"/>
    <w:unhideWhenUsed/>
    <w:qFormat/>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22"/>
    <w:rPr>
      <w:b/>
      <w:bCs/>
    </w:rPr>
  </w:style>
  <w:style w:type="character" w:styleId="52">
    <w:name w:val="endnote reference"/>
    <w:unhideWhenUsed/>
    <w:qFormat/>
    <w:uiPriority w:val="99"/>
    <w:rPr>
      <w:vertAlign w:val="superscript"/>
    </w:rPr>
  </w:style>
  <w:style w:type="character" w:styleId="53">
    <w:name w:val="page number"/>
    <w:qFormat/>
    <w:uiPriority w:val="0"/>
  </w:style>
  <w:style w:type="character" w:styleId="54">
    <w:name w:val="FollowedHyperlink"/>
    <w:qFormat/>
    <w:uiPriority w:val="0"/>
    <w:rPr>
      <w:color w:val="000000"/>
      <w:u w:val="none"/>
    </w:rPr>
  </w:style>
  <w:style w:type="character" w:styleId="55">
    <w:name w:val="Hyperlink"/>
    <w:qFormat/>
    <w:uiPriority w:val="99"/>
    <w:rPr>
      <w:color w:val="000000"/>
      <w:u w:val="none"/>
    </w:rPr>
  </w:style>
  <w:style w:type="character" w:styleId="56">
    <w:name w:val="annotation reference"/>
    <w:unhideWhenUsed/>
    <w:qFormat/>
    <w:uiPriority w:val="0"/>
    <w:rPr>
      <w:sz w:val="21"/>
      <w:szCs w:val="21"/>
    </w:rPr>
  </w:style>
  <w:style w:type="character" w:styleId="57">
    <w:name w:val="footnote reference"/>
    <w:unhideWhenUsed/>
    <w:qFormat/>
    <w:uiPriority w:val="99"/>
    <w:rPr>
      <w:vertAlign w:val="superscript"/>
    </w:rPr>
  </w:style>
  <w:style w:type="paragraph" w:styleId="58">
    <w:name w:val="List Paragraph"/>
    <w:basedOn w:val="1"/>
    <w:qFormat/>
    <w:uiPriority w:val="34"/>
    <w:pPr>
      <w:ind w:firstLine="420" w:firstLineChars="200"/>
    </w:pPr>
  </w:style>
  <w:style w:type="character" w:customStyle="1" w:styleId="59">
    <w:name w:val="标题 1 字符1"/>
    <w:link w:val="2"/>
    <w:qFormat/>
    <w:uiPriority w:val="0"/>
    <w:rPr>
      <w:rFonts w:ascii="Times New Roman" w:hAnsi="Times New Roman" w:eastAsia="宋体" w:cs="Times New Roman"/>
      <w:b/>
      <w:bCs/>
      <w:kern w:val="44"/>
      <w:sz w:val="44"/>
      <w:szCs w:val="44"/>
    </w:rPr>
  </w:style>
  <w:style w:type="character" w:customStyle="1" w:styleId="60">
    <w:name w:val="标题 2 字符"/>
    <w:link w:val="3"/>
    <w:qFormat/>
    <w:uiPriority w:val="0"/>
    <w:rPr>
      <w:rFonts w:ascii="Arial" w:hAnsi="Arial" w:eastAsia="黑体" w:cs="Times New Roman"/>
      <w:b/>
      <w:bCs/>
      <w:sz w:val="32"/>
      <w:szCs w:val="32"/>
    </w:rPr>
  </w:style>
  <w:style w:type="character" w:customStyle="1" w:styleId="61">
    <w:name w:val="标题 3 字符"/>
    <w:link w:val="4"/>
    <w:qFormat/>
    <w:uiPriority w:val="0"/>
    <w:rPr>
      <w:rFonts w:ascii="Times New Roman" w:hAnsi="Times New Roman" w:eastAsia="宋体" w:cs="Times New Roman"/>
      <w:b/>
      <w:bCs/>
      <w:sz w:val="32"/>
      <w:szCs w:val="32"/>
    </w:rPr>
  </w:style>
  <w:style w:type="character" w:customStyle="1" w:styleId="62">
    <w:name w:val="标题 5 字符"/>
    <w:link w:val="6"/>
    <w:qFormat/>
    <w:uiPriority w:val="0"/>
    <w:rPr>
      <w:b/>
      <w:kern w:val="2"/>
      <w:sz w:val="28"/>
      <w:szCs w:val="24"/>
    </w:rPr>
  </w:style>
  <w:style w:type="character" w:customStyle="1" w:styleId="63">
    <w:name w:val="标题 6 字符"/>
    <w:link w:val="8"/>
    <w:qFormat/>
    <w:uiPriority w:val="0"/>
    <w:rPr>
      <w:rFonts w:ascii="Arial" w:hAnsi="Arial" w:eastAsia="黑体"/>
      <w:b/>
      <w:kern w:val="2"/>
      <w:sz w:val="24"/>
      <w:szCs w:val="24"/>
    </w:rPr>
  </w:style>
  <w:style w:type="character" w:customStyle="1" w:styleId="64">
    <w:name w:val="标题 7 字符"/>
    <w:link w:val="9"/>
    <w:qFormat/>
    <w:uiPriority w:val="0"/>
    <w:rPr>
      <w:b/>
      <w:kern w:val="2"/>
      <w:sz w:val="24"/>
      <w:szCs w:val="24"/>
    </w:rPr>
  </w:style>
  <w:style w:type="character" w:customStyle="1" w:styleId="65">
    <w:name w:val="标题 8 字符"/>
    <w:link w:val="10"/>
    <w:qFormat/>
    <w:uiPriority w:val="0"/>
    <w:rPr>
      <w:rFonts w:ascii="Arial" w:hAnsi="Arial" w:eastAsia="黑体"/>
      <w:kern w:val="2"/>
      <w:sz w:val="24"/>
      <w:szCs w:val="24"/>
    </w:rPr>
  </w:style>
  <w:style w:type="character" w:customStyle="1" w:styleId="66">
    <w:name w:val="标题 9 字符"/>
    <w:link w:val="11"/>
    <w:qFormat/>
    <w:uiPriority w:val="0"/>
    <w:rPr>
      <w:rFonts w:ascii="Arial" w:hAnsi="Arial" w:eastAsia="黑体"/>
      <w:kern w:val="2"/>
      <w:sz w:val="21"/>
      <w:szCs w:val="24"/>
    </w:rPr>
  </w:style>
  <w:style w:type="character" w:customStyle="1" w:styleId="67">
    <w:name w:val="文档结构图 字符"/>
    <w:link w:val="15"/>
    <w:qFormat/>
    <w:uiPriority w:val="0"/>
    <w:rPr>
      <w:rFonts w:hint="eastAsia" w:ascii="宋体" w:hAnsi="宋体" w:eastAsia="宋体" w:cs="宋体"/>
    </w:rPr>
  </w:style>
  <w:style w:type="character" w:customStyle="1" w:styleId="68">
    <w:name w:val="批注文字 字符3"/>
    <w:link w:val="16"/>
    <w:qFormat/>
    <w:uiPriority w:val="0"/>
    <w:rPr>
      <w:rFonts w:ascii="Times New Roman" w:hAnsi="Times New Roman"/>
      <w:kern w:val="2"/>
      <w:sz w:val="21"/>
      <w:szCs w:val="24"/>
    </w:rPr>
  </w:style>
  <w:style w:type="character" w:customStyle="1" w:styleId="69">
    <w:name w:val="正文文本 3 字符"/>
    <w:link w:val="17"/>
    <w:qFormat/>
    <w:uiPriority w:val="0"/>
    <w:rPr>
      <w:rFonts w:ascii="Times New Roman" w:hAnsi="Times New Roman" w:eastAsia="宋体" w:cs="Times New Roman"/>
      <w:b/>
      <w:bCs/>
      <w:sz w:val="24"/>
      <w:szCs w:val="24"/>
    </w:rPr>
  </w:style>
  <w:style w:type="character" w:customStyle="1" w:styleId="70">
    <w:name w:val="正文文本 字符"/>
    <w:link w:val="18"/>
    <w:qFormat/>
    <w:uiPriority w:val="99"/>
    <w:rPr>
      <w:rFonts w:ascii="Times New Roman" w:hAnsi="Times New Roman" w:eastAsia="宋体" w:cs="Times New Roman"/>
      <w:sz w:val="24"/>
      <w:szCs w:val="24"/>
    </w:rPr>
  </w:style>
  <w:style w:type="character" w:customStyle="1" w:styleId="71">
    <w:name w:val="正文文本缩进 字符1"/>
    <w:link w:val="19"/>
    <w:qFormat/>
    <w:uiPriority w:val="0"/>
    <w:rPr>
      <w:rFonts w:ascii="仿宋_GB2312" w:hAnsi="Times New Roman" w:eastAsia="仿宋_GB2312" w:cs="Times New Roman"/>
      <w:sz w:val="32"/>
      <w:szCs w:val="20"/>
    </w:rPr>
  </w:style>
  <w:style w:type="character" w:customStyle="1" w:styleId="72">
    <w:name w:val="纯文本 字符2"/>
    <w:link w:val="25"/>
    <w:qFormat/>
    <w:uiPriority w:val="0"/>
    <w:rPr>
      <w:rFonts w:ascii="宋体" w:hAnsi="Courier New" w:eastAsia="宋体" w:cs="Courier New"/>
      <w:szCs w:val="21"/>
    </w:rPr>
  </w:style>
  <w:style w:type="character" w:customStyle="1" w:styleId="73">
    <w:name w:val="日期 字符"/>
    <w:link w:val="27"/>
    <w:qFormat/>
    <w:uiPriority w:val="0"/>
    <w:rPr>
      <w:rFonts w:ascii="宋体" w:hAnsi="Courier New" w:eastAsia="宋体" w:cs="Courier New"/>
      <w:szCs w:val="21"/>
    </w:rPr>
  </w:style>
  <w:style w:type="character" w:customStyle="1" w:styleId="74">
    <w:name w:val="正文文本缩进 2 字符"/>
    <w:link w:val="28"/>
    <w:qFormat/>
    <w:uiPriority w:val="0"/>
    <w:rPr>
      <w:rFonts w:ascii="Times New Roman" w:hAnsi="Times New Roman" w:eastAsia="宋体" w:cs="Times New Roman"/>
      <w:sz w:val="32"/>
      <w:szCs w:val="20"/>
    </w:rPr>
  </w:style>
  <w:style w:type="character" w:customStyle="1" w:styleId="75">
    <w:name w:val="尾注文本 字符"/>
    <w:link w:val="29"/>
    <w:semiHidden/>
    <w:qFormat/>
    <w:uiPriority w:val="99"/>
    <w:rPr>
      <w:rFonts w:ascii="Times New Roman" w:hAnsi="Times New Roman"/>
      <w:kern w:val="2"/>
      <w:sz w:val="21"/>
      <w:szCs w:val="24"/>
    </w:rPr>
  </w:style>
  <w:style w:type="character" w:customStyle="1" w:styleId="76">
    <w:name w:val="批注框文本 字符"/>
    <w:link w:val="30"/>
    <w:semiHidden/>
    <w:qFormat/>
    <w:uiPriority w:val="0"/>
    <w:rPr>
      <w:rFonts w:ascii="Times New Roman" w:hAnsi="Times New Roman" w:eastAsia="宋体" w:cs="Times New Roman"/>
      <w:sz w:val="18"/>
      <w:szCs w:val="18"/>
    </w:rPr>
  </w:style>
  <w:style w:type="character" w:customStyle="1" w:styleId="77">
    <w:name w:val="页脚 字符1"/>
    <w:link w:val="31"/>
    <w:qFormat/>
    <w:uiPriority w:val="99"/>
    <w:rPr>
      <w:sz w:val="18"/>
      <w:szCs w:val="18"/>
    </w:rPr>
  </w:style>
  <w:style w:type="character" w:customStyle="1" w:styleId="78">
    <w:name w:val="页眉 字符"/>
    <w:link w:val="32"/>
    <w:qFormat/>
    <w:uiPriority w:val="99"/>
    <w:rPr>
      <w:rFonts w:ascii="Times New Roman" w:hAnsi="Times New Roman"/>
      <w:kern w:val="2"/>
      <w:sz w:val="18"/>
      <w:szCs w:val="18"/>
    </w:rPr>
  </w:style>
  <w:style w:type="character" w:customStyle="1" w:styleId="79">
    <w:name w:val="脚注文本 字符"/>
    <w:link w:val="36"/>
    <w:semiHidden/>
    <w:qFormat/>
    <w:uiPriority w:val="99"/>
    <w:rPr>
      <w:rFonts w:ascii="Times New Roman" w:hAnsi="Times New Roman"/>
      <w:kern w:val="2"/>
      <w:sz w:val="18"/>
      <w:szCs w:val="18"/>
    </w:rPr>
  </w:style>
  <w:style w:type="character" w:customStyle="1" w:styleId="80">
    <w:name w:val="正文文本缩进 3 字符"/>
    <w:link w:val="38"/>
    <w:qFormat/>
    <w:uiPriority w:val="0"/>
    <w:rPr>
      <w:rFonts w:ascii="Times New Roman" w:hAnsi="Times New Roman" w:eastAsia="宋体" w:cs="Times New Roman"/>
      <w:sz w:val="16"/>
      <w:szCs w:val="16"/>
    </w:rPr>
  </w:style>
  <w:style w:type="character" w:customStyle="1" w:styleId="81">
    <w:name w:val="正文文本 2 字符"/>
    <w:link w:val="41"/>
    <w:qFormat/>
    <w:uiPriority w:val="0"/>
    <w:rPr>
      <w:rFonts w:ascii="Times New Roman" w:hAnsi="Times New Roman" w:eastAsia="宋体" w:cs="Times New Roman"/>
      <w:szCs w:val="24"/>
    </w:rPr>
  </w:style>
  <w:style w:type="character" w:customStyle="1" w:styleId="82">
    <w:name w:val="标题 字符"/>
    <w:link w:val="44"/>
    <w:qFormat/>
    <w:uiPriority w:val="10"/>
    <w:rPr>
      <w:rFonts w:ascii="Cambria" w:hAnsi="Cambria" w:cs="Times New Roman"/>
      <w:b/>
      <w:bCs/>
      <w:kern w:val="2"/>
      <w:sz w:val="32"/>
      <w:szCs w:val="32"/>
    </w:rPr>
  </w:style>
  <w:style w:type="character" w:customStyle="1" w:styleId="83">
    <w:name w:val="批注主题 字符"/>
    <w:link w:val="45"/>
    <w:semiHidden/>
    <w:qFormat/>
    <w:uiPriority w:val="99"/>
    <w:rPr>
      <w:rFonts w:ascii="Times New Roman" w:hAnsi="Times New Roman"/>
      <w:b/>
      <w:bCs/>
      <w:kern w:val="2"/>
      <w:sz w:val="21"/>
      <w:szCs w:val="24"/>
    </w:rPr>
  </w:style>
  <w:style w:type="character" w:customStyle="1" w:styleId="84">
    <w:name w:val="批注文字 Char1"/>
    <w:qFormat/>
    <w:locked/>
    <w:uiPriority w:val="0"/>
    <w:rPr>
      <w:rFonts w:ascii="Times New Roman" w:hAnsi="Times New Roman"/>
      <w:kern w:val="2"/>
      <w:sz w:val="21"/>
      <w:szCs w:val="24"/>
    </w:rPr>
  </w:style>
  <w:style w:type="character" w:customStyle="1" w:styleId="85">
    <w:name w:val="case31"/>
    <w:qFormat/>
    <w:uiPriority w:val="0"/>
    <w:rPr>
      <w:rFonts w:hint="default"/>
      <w:sz w:val="21"/>
      <w:szCs w:val="21"/>
    </w:rPr>
  </w:style>
  <w:style w:type="character" w:customStyle="1" w:styleId="86">
    <w:name w:val="批注文字 Char"/>
    <w:qFormat/>
    <w:uiPriority w:val="0"/>
    <w:rPr>
      <w:rFonts w:ascii="Times New Roman" w:hAnsi="Times New Roman"/>
      <w:kern w:val="2"/>
      <w:sz w:val="21"/>
      <w:szCs w:val="24"/>
    </w:rPr>
  </w:style>
  <w:style w:type="character" w:customStyle="1" w:styleId="87">
    <w:name w:val="纯文本 Char"/>
    <w:qFormat/>
    <w:uiPriority w:val="0"/>
    <w:rPr>
      <w:rFonts w:ascii="宋体" w:hAnsi="Courier New" w:eastAsia="宋体"/>
      <w:kern w:val="2"/>
      <w:sz w:val="21"/>
      <w:lang w:val="en-US" w:eastAsia="zh-CN" w:bidi="ar-SA"/>
    </w:rPr>
  </w:style>
  <w:style w:type="character" w:customStyle="1" w:styleId="88">
    <w:name w:val="纯文本 字符1"/>
    <w:qFormat/>
    <w:uiPriority w:val="0"/>
    <w:rPr>
      <w:rFonts w:ascii="宋体" w:hAnsi="Courier New"/>
    </w:rPr>
  </w:style>
  <w:style w:type="character" w:customStyle="1" w:styleId="89">
    <w:name w:val="批注文字 字符1"/>
    <w:qFormat/>
    <w:uiPriority w:val="0"/>
    <w:rPr>
      <w:rFonts w:ascii="Times New Roman" w:hAnsi="Times New Roman"/>
      <w:kern w:val="2"/>
      <w:sz w:val="21"/>
      <w:szCs w:val="24"/>
    </w:rPr>
  </w:style>
  <w:style w:type="character" w:customStyle="1" w:styleId="90">
    <w:name w:val="正文文本 Char1"/>
    <w:semiHidden/>
    <w:qFormat/>
    <w:locked/>
    <w:uiPriority w:val="99"/>
    <w:rPr>
      <w:sz w:val="24"/>
      <w:szCs w:val="24"/>
    </w:rPr>
  </w:style>
  <w:style w:type="character" w:customStyle="1" w:styleId="91">
    <w:name w:val="apple-style-span"/>
    <w:qFormat/>
    <w:uiPriority w:val="0"/>
  </w:style>
  <w:style w:type="character" w:customStyle="1" w:styleId="92">
    <w:name w:val="textcontents"/>
    <w:qFormat/>
    <w:uiPriority w:val="0"/>
  </w:style>
  <w:style w:type="character" w:customStyle="1" w:styleId="93">
    <w:name w:val="普通文字 Char Char2"/>
    <w:qFormat/>
    <w:uiPriority w:val="0"/>
    <w:rPr>
      <w:rFonts w:ascii="宋体" w:hAnsi="Courier New" w:eastAsia="宋体"/>
      <w:kern w:val="2"/>
      <w:sz w:val="21"/>
      <w:lang w:val="en-US" w:eastAsia="zh-CN" w:bidi="ar-SA"/>
    </w:rPr>
  </w:style>
  <w:style w:type="character" w:customStyle="1" w:styleId="94">
    <w:name w:val="标题 5 Char"/>
    <w:qFormat/>
    <w:uiPriority w:val="9"/>
    <w:rPr>
      <w:b/>
      <w:kern w:val="2"/>
      <w:sz w:val="28"/>
      <w:szCs w:val="24"/>
    </w:rPr>
  </w:style>
  <w:style w:type="character" w:customStyle="1" w:styleId="95">
    <w:name w:val="批注文字 字符"/>
    <w:qFormat/>
    <w:uiPriority w:val="0"/>
    <w:rPr>
      <w:rFonts w:ascii="Times New Roman" w:hAnsi="Times New Roman"/>
      <w:kern w:val="2"/>
      <w:sz w:val="21"/>
      <w:szCs w:val="24"/>
    </w:rPr>
  </w:style>
  <w:style w:type="character" w:customStyle="1" w:styleId="96">
    <w:name w:val="标题 1 字符"/>
    <w:qFormat/>
    <w:uiPriority w:val="9"/>
    <w:rPr>
      <w:rFonts w:ascii="Times New Roman" w:hAnsi="Times New Roman" w:eastAsia="宋体" w:cs="Times New Roman"/>
      <w:b/>
      <w:bCs/>
      <w:kern w:val="44"/>
      <w:sz w:val="44"/>
      <w:szCs w:val="44"/>
    </w:rPr>
  </w:style>
  <w:style w:type="character" w:customStyle="1" w:styleId="97">
    <w:name w:val="纯文本 字符"/>
    <w:qFormat/>
    <w:uiPriority w:val="0"/>
    <w:rPr>
      <w:rFonts w:ascii="宋体" w:hAnsi="Courier New" w:eastAsia="宋体" w:cs="Courier New"/>
      <w:szCs w:val="21"/>
    </w:rPr>
  </w:style>
  <w:style w:type="character" w:customStyle="1" w:styleId="98">
    <w:name w:val="headline-content4"/>
    <w:qFormat/>
    <w:uiPriority w:val="0"/>
  </w:style>
  <w:style w:type="character" w:customStyle="1" w:styleId="99">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0">
    <w:name w:val="正文文本缩进 字符"/>
    <w:qFormat/>
    <w:uiPriority w:val="0"/>
    <w:rPr>
      <w:rFonts w:ascii="仿宋_GB2312" w:hAnsi="Times New Roman" w:eastAsia="仿宋_GB2312" w:cs="Times New Roman"/>
      <w:sz w:val="32"/>
      <w:szCs w:val="20"/>
    </w:rPr>
  </w:style>
  <w:style w:type="paragraph" w:customStyle="1" w:styleId="101">
    <w:name w:val="Char1"/>
    <w:basedOn w:val="1"/>
    <w:qFormat/>
    <w:uiPriority w:val="0"/>
    <w:rPr>
      <w:szCs w:val="21"/>
    </w:rPr>
  </w:style>
  <w:style w:type="paragraph" w:customStyle="1" w:styleId="102">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3">
    <w:name w:val="默认段落字体 Para Char Char Char Char Char Char Char Char Char1 Char Char Char Char"/>
    <w:basedOn w:val="1"/>
    <w:qFormat/>
    <w:uiPriority w:val="0"/>
    <w:rPr>
      <w:rFonts w:ascii="Tahoma" w:hAnsi="Tahoma"/>
      <w:sz w:val="24"/>
      <w:szCs w:val="20"/>
    </w:rPr>
  </w:style>
  <w:style w:type="paragraph" w:customStyle="1" w:styleId="104">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5">
    <w:name w:val="纯文本1"/>
    <w:basedOn w:val="1"/>
    <w:qFormat/>
    <w:uiPriority w:val="0"/>
    <w:rPr>
      <w:rFonts w:ascii="宋体" w:hAnsi="Courier New" w:cs="Century"/>
      <w:szCs w:val="21"/>
    </w:rPr>
  </w:style>
  <w:style w:type="paragraph" w:customStyle="1" w:styleId="106">
    <w:name w:val="Table Paragraph"/>
    <w:basedOn w:val="1"/>
    <w:qFormat/>
    <w:uiPriority w:val="1"/>
    <w:pPr>
      <w:jc w:val="left"/>
    </w:pPr>
    <w:rPr>
      <w:rFonts w:ascii="Calibri" w:hAnsi="Calibri"/>
      <w:kern w:val="0"/>
      <w:sz w:val="22"/>
      <w:szCs w:val="22"/>
      <w:lang w:eastAsia="en-US"/>
    </w:rPr>
  </w:style>
  <w:style w:type="paragraph" w:customStyle="1" w:styleId="10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8">
    <w:name w:val="表格"/>
    <w:basedOn w:val="1"/>
    <w:qFormat/>
    <w:uiPriority w:val="0"/>
    <w:pPr>
      <w:spacing w:line="400" w:lineRule="exact"/>
    </w:pPr>
    <w:rPr>
      <w:sz w:val="24"/>
    </w:rPr>
  </w:style>
  <w:style w:type="paragraph" w:customStyle="1" w:styleId="109">
    <w:name w:val="样式 首行缩进:  2 字符"/>
    <w:basedOn w:val="1"/>
    <w:qFormat/>
    <w:uiPriority w:val="0"/>
    <w:pPr>
      <w:spacing w:line="400" w:lineRule="exact"/>
      <w:ind w:firstLine="200" w:firstLineChars="200"/>
    </w:pPr>
    <w:rPr>
      <w:rFonts w:cs="宋体"/>
      <w:sz w:val="24"/>
    </w:rPr>
  </w:style>
  <w:style w:type="paragraph" w:customStyle="1" w:styleId="110">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12">
    <w:name w:val="正文首行缩进两字符"/>
    <w:basedOn w:val="1"/>
    <w:qFormat/>
    <w:uiPriority w:val="0"/>
    <w:pPr>
      <w:spacing w:line="360" w:lineRule="auto"/>
      <w:ind w:firstLine="200" w:firstLineChars="200"/>
    </w:pPr>
  </w:style>
  <w:style w:type="paragraph" w:customStyle="1" w:styleId="113">
    <w:name w:val="正文段"/>
    <w:basedOn w:val="1"/>
    <w:qFormat/>
    <w:uiPriority w:val="0"/>
    <w:pPr>
      <w:widowControl/>
      <w:snapToGrid w:val="0"/>
      <w:spacing w:afterLines="50"/>
      <w:ind w:firstLine="200" w:firstLineChars="200"/>
    </w:pPr>
    <w:rPr>
      <w:kern w:val="0"/>
      <w:sz w:val="24"/>
      <w:szCs w:val="20"/>
    </w:rPr>
  </w:style>
  <w:style w:type="table" w:customStyle="1" w:styleId="114">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5">
    <w:name w:val="页脚 字符"/>
    <w:qFormat/>
    <w:uiPriority w:val="99"/>
  </w:style>
  <w:style w:type="character" w:customStyle="1" w:styleId="116">
    <w:name w:val="标题 1 Char1"/>
    <w:qFormat/>
    <w:uiPriority w:val="0"/>
    <w:rPr>
      <w:rFonts w:eastAsia="宋体"/>
      <w:b/>
      <w:bCs/>
      <w:kern w:val="44"/>
      <w:sz w:val="44"/>
      <w:szCs w:val="44"/>
      <w:lang w:val="en-US" w:eastAsia="zh-CN" w:bidi="ar-SA"/>
    </w:rPr>
  </w:style>
  <w:style w:type="character" w:customStyle="1" w:styleId="117">
    <w:name w:val="批注文字 字符2"/>
    <w:qFormat/>
    <w:uiPriority w:val="0"/>
    <w:rPr>
      <w:rFonts w:ascii="Times New Roman" w:hAnsi="Times New Roman"/>
      <w:kern w:val="2"/>
      <w:sz w:val="21"/>
      <w:szCs w:val="24"/>
    </w:rPr>
  </w:style>
  <w:style w:type="paragraph" w:customStyle="1" w:styleId="118">
    <w:name w:val="Title1"/>
    <w:basedOn w:val="1"/>
    <w:next w:val="1"/>
    <w:qFormat/>
    <w:uiPriority w:val="0"/>
    <w:pPr>
      <w:jc w:val="center"/>
      <w:outlineLvl w:val="0"/>
    </w:pPr>
    <w:rPr>
      <w:rFonts w:ascii="Calibri Light" w:hAnsi="Calibri Light" w:eastAsia="Arial Unicode MS"/>
      <w:b/>
    </w:rPr>
  </w:style>
  <w:style w:type="character" w:customStyle="1" w:styleId="119">
    <w:name w:val="bookmark-item"/>
    <w:basedOn w:val="50"/>
    <w:qFormat/>
    <w:uiPriority w:val="0"/>
  </w:style>
  <w:style w:type="character" w:customStyle="1" w:styleId="120">
    <w:name w:val="font31"/>
    <w:basedOn w:val="50"/>
    <w:qFormat/>
    <w:uiPriority w:val="0"/>
    <w:rPr>
      <w:rFonts w:ascii="Cambria Math" w:hAnsi="Cambria Math" w:eastAsia="Cambria Math" w:cs="Cambria Math"/>
      <w:color w:val="000000"/>
      <w:sz w:val="18"/>
      <w:szCs w:val="18"/>
      <w:u w:val="none"/>
    </w:rPr>
  </w:style>
  <w:style w:type="character" w:customStyle="1" w:styleId="121">
    <w:name w:val="font21"/>
    <w:basedOn w:val="50"/>
    <w:qFormat/>
    <w:uiPriority w:val="0"/>
    <w:rPr>
      <w:rFonts w:hint="eastAsia" w:ascii="宋体" w:hAnsi="宋体" w:eastAsia="宋体" w:cs="宋体"/>
      <w:color w:val="000000"/>
      <w:sz w:val="18"/>
      <w:szCs w:val="18"/>
      <w:u w:val="none"/>
    </w:rPr>
  </w:style>
  <w:style w:type="character" w:customStyle="1" w:styleId="122">
    <w:name w:val="font41"/>
    <w:basedOn w:val="50"/>
    <w:qFormat/>
    <w:uiPriority w:val="0"/>
    <w:rPr>
      <w:rFonts w:ascii="Arial" w:hAnsi="Arial" w:cs="Arial"/>
      <w:color w:val="000000"/>
      <w:sz w:val="18"/>
      <w:szCs w:val="18"/>
      <w:u w:val="none"/>
    </w:rPr>
  </w:style>
  <w:style w:type="character" w:customStyle="1" w:styleId="123">
    <w:name w:val="font51"/>
    <w:basedOn w:val="50"/>
    <w:qFormat/>
    <w:uiPriority w:val="0"/>
    <w:rPr>
      <w:rFonts w:hint="eastAsia" w:ascii="宋体" w:hAnsi="宋体" w:eastAsia="宋体" w:cs="宋体"/>
      <w:color w:val="000000"/>
      <w:sz w:val="16"/>
      <w:szCs w:val="16"/>
      <w:u w:val="none"/>
    </w:rPr>
  </w:style>
  <w:style w:type="character" w:customStyle="1" w:styleId="124">
    <w:name w:val="font61"/>
    <w:basedOn w:val="50"/>
    <w:qFormat/>
    <w:uiPriority w:val="0"/>
    <w:rPr>
      <w:rFonts w:ascii="Calibri" w:hAnsi="Calibri" w:cs="Calibri"/>
      <w:color w:val="000000"/>
      <w:sz w:val="16"/>
      <w:szCs w:val="16"/>
      <w:u w:val="none"/>
    </w:rPr>
  </w:style>
  <w:style w:type="character" w:customStyle="1" w:styleId="125">
    <w:name w:val="font71"/>
    <w:basedOn w:val="50"/>
    <w:qFormat/>
    <w:uiPriority w:val="0"/>
    <w:rPr>
      <w:rFonts w:ascii="Arial" w:hAnsi="Arial" w:cs="Arial"/>
      <w:color w:val="000000"/>
      <w:sz w:val="16"/>
      <w:szCs w:val="16"/>
      <w:u w:val="none"/>
    </w:rPr>
  </w:style>
  <w:style w:type="paragraph" w:customStyle="1" w:styleId="12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27">
    <w:name w:val="font01"/>
    <w:basedOn w:val="50"/>
    <w:qFormat/>
    <w:uiPriority w:val="0"/>
    <w:rPr>
      <w:rFonts w:hint="eastAsia" w:ascii="宋体" w:hAnsi="宋体" w:eastAsia="宋体" w:cs="宋体"/>
      <w:color w:val="000000"/>
      <w:sz w:val="22"/>
      <w:szCs w:val="22"/>
      <w:u w:val="none"/>
    </w:rPr>
  </w:style>
  <w:style w:type="paragraph" w:customStyle="1" w:styleId="128">
    <w:name w:val="列出段落1"/>
    <w:basedOn w:val="1"/>
    <w:qFormat/>
    <w:uiPriority w:val="0"/>
    <w:pPr>
      <w:ind w:firstLine="420" w:firstLineChars="200"/>
    </w:pPr>
  </w:style>
  <w:style w:type="paragraph" w:customStyle="1" w:styleId="129">
    <w:name w:val="WPSOffice手动目录 1"/>
    <w:qFormat/>
    <w:uiPriority w:val="0"/>
    <w:pPr>
      <w:ind w:leftChars="0"/>
    </w:pPr>
    <w:rPr>
      <w:rFonts w:ascii="Times New Roman" w:hAnsi="Times New Roman" w:eastAsia="宋体" w:cs="Times New Roman"/>
      <w:sz w:val="20"/>
      <w:szCs w:val="20"/>
    </w:rPr>
  </w:style>
  <w:style w:type="paragraph" w:customStyle="1" w:styleId="130">
    <w:name w:val="WPSOffice手动目录 2"/>
    <w:qFormat/>
    <w:uiPriority w:val="0"/>
    <w:pPr>
      <w:ind w:leftChars="200"/>
    </w:pPr>
    <w:rPr>
      <w:rFonts w:ascii="Times New Roman" w:hAnsi="Times New Roman" w:eastAsia="宋体" w:cs="Times New Roman"/>
      <w:sz w:val="20"/>
      <w:szCs w:val="20"/>
    </w:rPr>
  </w:style>
  <w:style w:type="paragraph" w:customStyle="1" w:styleId="131">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https://www.gov.cn/zhengce/content/202509/W020250930645245947614.png" TargetMode="Externa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26e795b1-a1c2-4b62-94ff-b477506285fa</errorID>
      <errorWord>：</errorWord>
      <group>L1_Format</group>
      <groupName>格式问题</groupName>
      <ability>L2_HalfPunc</ability>
      <abilityName>全半角检查</abilityName>
      <candidateList>
        <item>:</item>
      </candidateList>
      <explain>文本全半角错误。</explain>
      <paraID>59E0F0A8</paraID>
      <start>45</start>
      <end>46</end>
      <status>unmodified</status>
      <modifiedWord/>
      <trackRevisions>false</trackRevisions>
    </reviewItem>
    <reviewItem>
      <errorID>2fb9220e-826b-4689-bc10-e1e243e07189</errorID>
      <errorWord>/）</errorWord>
      <group>L1_Punc</group>
      <groupName>标点问题</groupName>
      <ability>L2_Punc</ability>
      <abilityName>标点符号检查</abilityName>
      <candidateList>
        <item>）</item>
      </candidateList>
      <explain/>
      <paraID>59E0F0A8</paraID>
      <start>72</start>
      <end>74</end>
      <status>ignored</status>
      <modifiedWord/>
      <trackRevisions>false</trackRevisions>
    </reviewItem>
    <reviewItem>
      <errorID>8d311558-4ccc-4a55-b882-4f91be11fa65</errorID>
      <errorWord>(</errorWord>
      <group>L1_Format</group>
      <groupName>格式问题</groupName>
      <ability>L2_HalfPunc</ability>
      <abilityName>全半角检查</abilityName>
      <candidateList>
        <item>（</item>
      </candidateList>
      <explain>文本全半角错误。</explain>
      <paraID>59E0F0A8</paraID>
      <start>76</start>
      <end>77</end>
      <status>unmodified</status>
      <modifiedWord/>
      <trackRevisions>false</trackRevisions>
    </reviewItem>
    <reviewItem>
      <errorID>c88a42ee-5698-41c6-a0cb-b95b9b1e2599</errorID>
      <errorWord>)</errorWord>
      <group>L1_Format</group>
      <groupName>格式问题</groupName>
      <ability>L2_HalfPunc</ability>
      <abilityName>全半角检查</abilityName>
      <candidateList>
        <item>）</item>
      </candidateList>
      <explain>文本全半角错误。</explain>
      <paraID>59E0F0A8</paraID>
      <start>79</start>
      <end>80</end>
      <status>unmodified</status>
      <modifiedWord/>
      <trackRevisions>false</trackRevisions>
    </reviewItem>
    <reviewItem>
      <errorID>18c9b001-43a6-4b13-9ec2-79f44e3b64d2</errorID>
      <errorWord>：/。</errorWord>
      <group>L1_Punc</group>
      <groupName>标点问题</groupName>
      <ability>L2_Punc</ability>
      <abilityName>标点符号检查</abilityName>
      <candidateList>
        <item>：</item>
      </candidateList>
      <explain/>
      <paraID>3297E90E</paraID>
      <start>2</start>
      <end>5</end>
      <status>unmodified</status>
      <modifiedWord/>
      <trackRevisions>false</trackRevisions>
    </reviewItem>
    <reviewItem>
      <errorID>5086a5da-576c-45f9-8b09-7cc2fe0609d1</errorID>
      <errorWord>：/。</errorWord>
      <group>L1_Punc</group>
      <groupName>标点问题</groupName>
      <ability>L2_Punc</ability>
      <abilityName>标点符号检查</abilityName>
      <candidateList>
        <item>：</item>
      </candidateList>
      <explain/>
      <paraID>1F735757</paraID>
      <start>2</start>
      <end>5</end>
      <status>unmodified</status>
      <modifiedWord/>
      <trackRevisions>false</trackRevisions>
    </reviewItem>
    <reviewItem>
      <errorID>39e00dd1-dc50-4d8d-a5db-aff932428f66</errorID>
      <errorWord>：/。</errorWord>
      <group>L1_Punc</group>
      <groupName>标点问题</groupName>
      <ability>L2_Punc</ability>
      <abilityName>标点符号检查</abilityName>
      <candidateList>
        <item>：</item>
      </candidateList>
      <explain/>
      <paraID>1DCC82E8</paraID>
      <start>2</start>
      <end>5</end>
      <status>unmodified</status>
      <modifiedWord/>
      <trackRevisions>false</trackRevisions>
    </reviewItem>
    <reviewItem>
      <errorID>bdc3cd00-ec4c-40b5-8cfd-ae2bc9a209a2</errorID>
      <errorWord>：/。</errorWord>
      <group>L1_Punc</group>
      <groupName>标点问题</groupName>
      <ability>L2_Punc</ability>
      <abilityName>标点符号检查</abilityName>
      <candidateList>
        <item>：</item>
      </candidateList>
      <explain/>
      <paraID>4615081E</paraID>
      <start>2</start>
      <end>5</end>
      <status>unmodified</status>
      <modifiedWord/>
      <trackRevisions>false</trackRevisions>
    </reviewItem>
    <reviewItem>
      <errorID>625fe2e8-30d5-4710-9d42-6154d01dcfe0</errorID>
      <errorWord>：/。</errorWord>
      <group>L1_Punc</group>
      <groupName>标点问题</groupName>
      <ability>L2_Punc</ability>
      <abilityName>标点符号检查</abilityName>
      <candidateList>
        <item>：</item>
      </candidateList>
      <explain/>
      <paraID>78EBD5F9</paraID>
      <start>2</start>
      <end>5</end>
      <status>unmodified</status>
      <modifiedWord/>
      <trackRevisions>false</trackRevisions>
    </reviewItem>
    <reviewItem>
      <errorID>c3c9e574-133d-4198-945e-d6f764a07e61</errorID>
      <errorWord>：/。</errorWord>
      <group>L1_Punc</group>
      <groupName>标点问题</groupName>
      <ability>L2_Punc</ability>
      <abilityName>标点符号检查</abilityName>
      <candidateList>
        <item>：</item>
      </candidateList>
      <explain/>
      <paraID> EC9987D</paraID>
      <start>2</start>
      <end>5</end>
      <status>unmodified</status>
      <modifiedWord/>
      <trackRevisions>false</trackRevisions>
    </reviewItem>
    <reviewItem>
      <errorID>d104f0f4-57e1-4643-97d5-694901c14bf8</errorID>
      <errorWord>上午00:00</errorWord>
      <group>L1_Knowledge</group>
      <groupName>知识性问题</groupName>
      <ability>L2_Time</ability>
      <abilityName>日期时间</abilityName>
      <candidateList/>
      <explain>时间与前缀不匹配，可能的时间前缀有“下午、晚上、凌晨、午夜”。</explain>
      <paraID>45C4797A</paraID>
      <start>29</start>
      <end>36</end>
      <status>unmodified</status>
      <modifiedWord/>
      <trackRevisions>false</trackRevisions>
    </reviewItem>
    <reviewItem>
      <errorID>fb58c582-64aa-44c3-bd21-fb45c32b4fe3</errorID>
      <errorWord>：</errorWord>
      <group>L1_Format</group>
      <groupName>格式问题</groupName>
      <ability>L2_HalfPunc</ability>
      <abilityName>全半角检查</abilityName>
      <candidateList>
        <item>:</item>
      </candidateList>
      <explain>文本全半角错误。</explain>
      <paraID>4B5FA824</paraID>
      <start>18</start>
      <end>19</end>
      <status>unmodified</status>
      <modifiedWord/>
      <trackRevisions>false</trackRevisions>
    </reviewItem>
    <reviewItem>
      <errorID>1c09fffb-eba7-4413-89f9-37d5065754d2</errorID>
      <errorWord>/）</errorWord>
      <group>L1_Punc</group>
      <groupName>标点问题</groupName>
      <ability>L2_Punc</ability>
      <abilityName>标点符号检查</abilityName>
      <candidateList>
        <item>）</item>
      </candidateList>
      <explain/>
      <paraID>4B5FA824</paraID>
      <start>45</start>
      <end>47</end>
      <status>unmodified</status>
      <modifiedWord/>
      <trackRevisions>false</trackRevisions>
    </reviewItem>
    <reviewItem>
      <errorID>902f476f-000a-42f7-9ef3-c07ec546bffb</errorID>
      <errorWord>：</errorWord>
      <group>L1_Format</group>
      <groupName>格式问题</groupName>
      <ability>L2_HalfPunc</ability>
      <abilityName>全半角检查</abilityName>
      <candidateList>
        <item>:</item>
      </candidateList>
      <explain>文本全半角错误。</explain>
      <paraID> 8933183</paraID>
      <start>55</start>
      <end>56</end>
      <status>unmodified</status>
      <modifiedWord/>
      <trackRevisions>false</trackRevisions>
    </reviewItem>
    <reviewItem>
      <errorID>226b9e97-4236-4cd1-9948-d0e8259f824f</errorID>
      <errorWord>/）</errorWord>
      <group>L1_Punc</group>
      <groupName>标点问题</groupName>
      <ability>L2_Punc</ability>
      <abilityName>标点符号检查</abilityName>
      <candidateList>
        <item>）</item>
      </candidateList>
      <explain/>
      <paraID> 8933183</paraID>
      <start>82</start>
      <end>84</end>
      <status>unmodified</status>
      <modifiedWord/>
      <trackRevisions>false</trackRevisions>
    </reviewItem>
    <reviewItem>
      <errorID>9c691948-1d7f-44db-928e-3df08e3a10ae</errorID>
      <errorWord>-</errorWord>
      <group>L1_Format</group>
      <groupName>格式问题</groupName>
      <ability>L2_HalfPunc</ability>
      <abilityName>全半角检查</abilityName>
      <candidateList>
        <item>－</item>
      </candidateList>
      <explain>文本全半角错误。</explain>
      <paraID> 8933183</paraID>
      <start>107</start>
      <end>108</end>
      <status>unmodified</status>
      <modifiedWord/>
      <trackRevisions>false</trackRevisions>
    </reviewItem>
    <reviewItem>
      <errorID>88730d21-6e79-4a5d-85c0-314aa58a6e2b</errorID>
      <errorWord>-</errorWord>
      <group>L1_Format</group>
      <groupName>格式问题</groupName>
      <ability>L2_HalfPunc</ability>
      <abilityName>全半角检查</abilityName>
      <candidateList>
        <item>－</item>
      </candidateList>
      <explain>文本全半角错误。</explain>
      <paraID> 8933183</paraID>
      <start>112</start>
      <end>113</end>
      <status>unmodified</status>
      <modifiedWord/>
      <trackRevisions>false</trackRevisions>
    </reviewItem>
    <reviewItem>
      <errorID>2e191247-e6c7-4d38-9fda-5af14b81f32e</errorID>
      <errorWord>-</errorWord>
      <group>L1_Format</group>
      <groupName>格式问题</groupName>
      <ability>L2_HalfPunc</ability>
      <abilityName>全半角检查</abilityName>
      <candidateList>
        <item>－</item>
      </candidateList>
      <explain>文本全半角错误。</explain>
      <paraID> 8933183</paraID>
      <start>119</start>
      <end>120</end>
      <status>unmodified</status>
      <modifiedWord/>
      <trackRevisions>false</trackRevisions>
    </reviewItem>
    <reviewItem>
      <errorID>fa33e9a8-e1c0-4865-b596-93a953e64476</errorID>
      <errorWord>-</errorWord>
      <group>L1_Format</group>
      <groupName>格式问题</groupName>
      <ability>L2_HalfPunc</ability>
      <abilityName>全半角检查</abilityName>
      <candidateList>
        <item>－</item>
      </candidateList>
      <explain>文本全半角错误。</explain>
      <paraID> 8933183</paraID>
      <start>125</start>
      <end>126</end>
      <status>unmodified</status>
      <modifiedWord/>
      <trackRevisions>false</trackRevisions>
    </reviewItem>
    <reviewItem>
      <errorID>1b192d8b-db07-453c-94a9-f081e1702f8f</errorID>
      <errorWord>/）</errorWord>
      <group>L1_Punc</group>
      <groupName>标点问题</groupName>
      <ability>L2_Punc</ability>
      <abilityName>标点符号检查</abilityName>
      <candidateList>
        <item>）</item>
      </candidateList>
      <explain/>
      <paraID> 9613909</paraID>
      <start>161</start>
      <end>163</end>
      <status>unmodified</status>
      <modifiedWord/>
      <trackRevisions>false</trackRevisions>
    </reviewItem>
    <reviewItem>
      <errorID>94276ac8-efd9-4991-91ba-75efba1c2b3d</errorID>
      <errorWord>(</errorWord>
      <group>L1_Format</group>
      <groupName>格式问题</groupName>
      <ability>L2_HalfPunc</ability>
      <abilityName>全半角检查</abilityName>
      <candidateList>
        <item>（</item>
      </candidateList>
      <explain>文本全半角错误。</explain>
      <paraID>31BE0CE5</paraID>
      <start>63</start>
      <end>64</end>
      <status>unmodified</status>
      <modifiedWord/>
      <trackRevisions>false</trackRevisions>
    </reviewItem>
    <reviewItem>
      <errorID>6ed52878-a42d-4eaf-a347-907efcb89fd6</errorID>
      <errorWord>)</errorWord>
      <group>L1_Format</group>
      <groupName>格式问题</groupName>
      <ability>L2_HalfPunc</ability>
      <abilityName>全半角检查</abilityName>
      <candidateList>
        <item>）</item>
      </candidateList>
      <explain>文本全半角错误。</explain>
      <paraID>31BE0CE5</paraID>
      <start>86</start>
      <end>87</end>
      <status>unmodified</status>
      <modifiedWord/>
      <trackRevisions>false</trackRevisions>
    </reviewItem>
    <reviewItem>
      <errorID>f4672c8d-504f-41c8-a164-1d0d6caa696f</errorID>
      <errorWord>(</errorWord>
      <group>L1_Format</group>
      <groupName>格式问题</groupName>
      <ability>L2_HalfPunc</ability>
      <abilityName>全半角检查</abilityName>
      <candidateList>
        <item>（</item>
      </candidateList>
      <explain>文本全半角错误。</explain>
      <paraID>31BE0CE5</paraID>
      <start>96</start>
      <end>97</end>
      <status>unmodified</status>
      <modifiedWord/>
      <trackRevisions>false</trackRevisions>
    </reviewItem>
    <reviewItem>
      <errorID>058e02ac-c409-4c8c-af35-677e0ffe7dc2</errorID>
      <errorWord>)</errorWord>
      <group>L1_Format</group>
      <groupName>格式问题</groupName>
      <ability>L2_HalfPunc</ability>
      <abilityName>全半角检查</abilityName>
      <candidateList>
        <item>）</item>
      </candidateList>
      <explain>文本全半角错误。</explain>
      <paraID>31BE0CE5</paraID>
      <start>112</start>
      <end>113</end>
      <status>unmodified</status>
      <modifiedWord/>
      <trackRevisions>false</trackRevisions>
    </reviewItem>
    <reviewItem>
      <errorID>19e5e4c3-cf19-44dd-9884-72f988e56ec1</errorID>
      <errorWord>：</errorWord>
      <group>L1_Format</group>
      <groupName>格式问题</groupName>
      <ability>L2_HalfPunc</ability>
      <abilityName>全半角检查</abilityName>
      <candidateList>
        <item>:</item>
      </candidateList>
      <explain>文本全半角错误。</explain>
      <paraID>2DD02B17</paraID>
      <start>46</start>
      <end>47</end>
      <status>unmodified</status>
      <modifiedWord/>
      <trackRevisions>false</trackRevisions>
    </reviewItem>
    <reviewItem>
      <errorID>d36c89d0-2d3c-4481-ad50-33f12f7a325b</errorID>
      <errorWord>/）</errorWord>
      <group>L1_Punc</group>
      <groupName>标点问题</groupName>
      <ability>L2_Punc</ability>
      <abilityName>标点符号检查</abilityName>
      <candidateList>
        <item>）</item>
      </candidateList>
      <explain/>
      <paraID>2DD02B17</paraID>
      <start>73</start>
      <end>75</end>
      <status>unmodified</status>
      <modifiedWord/>
      <trackRevisions>false</trackRevisions>
    </reviewItem>
    <reviewItem>
      <errorID>431c0aff-bedd-474d-ae50-ed6e1bf587d4</errorID>
      <errorWord>-</errorWord>
      <group>L1_Format</group>
      <groupName>格式问题</groupName>
      <ability>L2_HalfPunc</ability>
      <abilityName>全半角检查</abilityName>
      <candidateList>
        <item>－</item>
      </candidateList>
      <explain>文本全半角错误。</explain>
      <paraID>2DD02B17</paraID>
      <start>251</start>
      <end>252</end>
      <status>unmodified</status>
      <modifiedWord/>
      <trackRevisions>false</trackRevisions>
    </reviewItem>
    <reviewItem>
      <errorID>8e334491-cc82-43a5-94aa-470befc4cb06</errorID>
      <errorWord>-</errorWord>
      <group>L1_Format</group>
      <groupName>格式问题</groupName>
      <ability>L2_HalfPunc</ability>
      <abilityName>全半角检查</abilityName>
      <candidateList>
        <item>－</item>
      </candidateList>
      <explain>文本全半角错误。</explain>
      <paraID>2DD02B17</paraID>
      <start>256</start>
      <end>257</end>
      <status>unmodified</status>
      <modifiedWord/>
      <trackRevisions>false</trackRevisions>
    </reviewItem>
    <reviewItem>
      <errorID>97b16a86-eb53-4d69-8d2a-01cf25a5832a</errorID>
      <errorWord>-</errorWord>
      <group>L1_Format</group>
      <groupName>格式问题</groupName>
      <ability>L2_HalfPunc</ability>
      <abilityName>全半角检查</abilityName>
      <candidateList>
        <item>－</item>
      </candidateList>
      <explain>文本全半角错误。</explain>
      <paraID>2DD02B17</paraID>
      <start>261</start>
      <end>262</end>
      <status>unmodified</status>
      <modifiedWord/>
      <trackRevisions>false</trackRevisions>
    </reviewItem>
    <reviewItem>
      <errorID>b24182b6-5629-4bd4-8d35-9701668bd865</errorID>
      <errorWord>-</errorWord>
      <group>L1_Format</group>
      <groupName>格式问题</groupName>
      <ability>L2_HalfPunc</ability>
      <abilityName>全半角检查</abilityName>
      <candidateList>
        <item>－</item>
      </candidateList>
      <explain>文本全半角错误。</explain>
      <paraID>2DD02B17</paraID>
      <start>267</start>
      <end>268</end>
      <status>unmodified</status>
      <modifiedWord/>
      <trackRevisions>false</trackRevisions>
    </reviewItem>
    <reviewItem>
      <errorID>3225f27b-f118-4148-be30-30fa89214e79</errorID>
      <errorWord>-</errorWord>
      <group>L1_Format</group>
      <groupName>格式问题</groupName>
      <ability>L2_HalfPunc</ability>
      <abilityName>全半角检查</abilityName>
      <candidateList>
        <item>－</item>
      </candidateList>
      <explain>文本全半角错误。</explain>
      <paraID>2DD02B17</paraID>
      <start>284</start>
      <end>285</end>
      <status>unmodified</status>
      <modifiedWord/>
      <trackRevisions>false</trackRevisions>
    </reviewItem>
    <reviewItem>
      <errorID>916158b1-fbe0-4d95-b6b8-5d5761ac4592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FA23196</paraID>
      <start>82</start>
      <end>83</end>
      <status>unmodified</status>
      <modifiedWord/>
      <trackRevisions>false</trackRevisions>
    </reviewItem>
    <reviewItem>
      <errorID>74db3082-d81d-4059-b5d1-cb1983e19ba6</errorID>
      <errorWord>-</errorWord>
      <group>L1_Format</group>
      <groupName>格式问题</groupName>
      <ability>L2_HalfPunc</ability>
      <abilityName>全半角检查</abilityName>
      <candidateList>
        <item>－</item>
      </candidateList>
      <explain>文本全半角错误。</explain>
      <paraID> FA23196</paraID>
      <start>108</start>
      <end>109</end>
      <status>unmodified</status>
      <modifiedWord/>
      <trackRevisions>false</trackRevisions>
    </reviewItem>
    <reviewItem>
      <errorID>2657b1fc-e6c4-4545-9e9f-bdcf93f7ac5f</errorID>
      <errorWord>-</errorWord>
      <group>L1_Format</group>
      <groupName>格式问题</groupName>
      <ability>L2_HalfPunc</ability>
      <abilityName>全半角检查</abilityName>
      <candidateList>
        <item>－</item>
      </candidateList>
      <explain>文本全半角错误。</explain>
      <paraID> FA23196</paraID>
      <start>137</start>
      <end>138</end>
      <status>unmodified</status>
      <modifiedWord/>
      <trackRevisions>false</trackRevisions>
    </reviewItem>
    <reviewItem>
      <errorID>f4d31e7b-52dd-4037-9476-65251aa90da4</errorID>
      <errorWord>操作合</errorWord>
      <group>L1_Word</group>
      <groupName>字词问题</groupName>
      <ability>L2_Typo</ability>
      <abilityName>字词错误</abilityName>
      <candidateList>
        <item>操作台</item>
      </candidateList>
      <explain/>
      <paraID>7E200A5D</paraID>
      <start>8</start>
      <end>11</end>
      <status>unmodified</status>
      <modifiedWord/>
      <trackRevisions>false</trackRevisions>
    </reviewItem>
    <reviewItem>
      <errorID>43682cf9-16ec-4e2f-89de-c4eaf2a91ef4</errorID>
      <errorWord>：</errorWord>
      <group>L1_Format</group>
      <groupName>格式问题</groupName>
      <ability>L2_HalfPunc</ability>
      <abilityName>全半角检查</abilityName>
      <candidateList>
        <item>:</item>
      </candidateList>
      <explain>文本全半角错误。</explain>
      <paraID>2C5B0227</paraID>
      <start>39</start>
      <end>40</end>
      <status>unmodified</status>
      <modifiedWord/>
      <trackRevisions>false</trackRevisions>
    </reviewItem>
    <reviewItem>
      <errorID>5b3199b1-6540-4f94-89c8-bc37f6cd1f43</errorID>
      <errorWord>/）</errorWord>
      <group>L1_Punc</group>
      <groupName>标点问题</groupName>
      <ability>L2_Punc</ability>
      <abilityName>标点符号检查</abilityName>
      <candidateList>
        <item>）</item>
      </candidateList>
      <explain/>
      <paraID>2C5B0227</paraID>
      <start>66</start>
      <end>68</end>
      <status>unmodified</status>
      <modifiedWord/>
      <trackRevisions>false</trackRevisions>
    </reviewItem>
    <reviewItem>
      <errorID>0b4641e7-378e-4fcd-85d5-0bdc8a609405</errorID>
      <errorWord>年</errorWord>
      <group>L1_Word</group>
      <groupName>字词问题</groupName>
      <ability>L2_Typo</ability>
      <abilityName>字词错误</abilityName>
      <candidateList>
        <item>年第</item>
      </candidateList>
      <explain/>
      <paraID>5FA0F994</paraID>
      <start>35</start>
      <end>36</end>
      <status>unmodified</status>
      <modifiedWord/>
      <trackRevisions>false</trackRevisions>
    </reviewItem>
    <reviewItem>
      <errorID>2a88bde5-5803-4177-9fee-32088e52328d</errorID>
      <errorWord>》</errorWord>
      <group>L1_Word</group>
      <groupName>字词问题</groupName>
      <ability>L2_Typo</ability>
      <abilityName>字词错误</abilityName>
      <candidateList>
        <item>》中</item>
      </candidateList>
      <explain/>
      <paraID>5FA0F994</paraID>
      <start>76</start>
      <end>77</end>
      <status>unmodified</status>
      <modifiedWord/>
      <trackRevisions>false</trackRevisions>
    </reviewItem>
    <reviewItem>
      <errorID>91127079-7954-42a0-90c3-593915f5f6d9</errorID>
      <errorWord>：</errorWord>
      <group>L1_Format</group>
      <groupName>格式问题</groupName>
      <ability>L2_HalfPunc</ability>
      <abilityName>全半角检查</abilityName>
      <candidateList>
        <item>:</item>
      </candidateList>
      <explain>文本全半角错误。</explain>
      <paraID>5FA0F994</paraID>
      <start>151</start>
      <end>152</end>
      <status>unmodified</status>
      <modifiedWord/>
      <trackRevisions>false</trackRevisions>
    </reviewItem>
    <reviewItem>
      <errorID>6c111550-8cc5-46e0-8a68-b1297b1767b6</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5FA0F994</paraID>
      <start>336</start>
      <end>338</end>
      <status>unmodified</status>
      <modifiedWord/>
      <trackRevisions>false</trackRevisions>
    </reviewItem>
    <reviewItem>
      <errorID>55dd034c-1d70-4eee-9f3d-95e4708899af</errorID>
      <errorWord>进口进口</errorWord>
      <group>L1_Word</group>
      <groupName>字词问题</groupName>
      <ability>L2_Typo</ability>
      <abilityName>字词错误</abilityName>
      <candidateList>
        <item>进口</item>
      </candidateList>
      <explain/>
      <paraID>41D3082B</paraID>
      <start>6</start>
      <end>10</end>
      <status>unmodified</status>
      <modifiedWord/>
      <trackRevisions>false</trackRevisions>
    </reviewItem>
    <reviewItem>
      <errorID>65190ab1-f865-428d-92f3-0f04bf2cdcda</errorID>
      <errorWord>,</errorWord>
      <group>L1_Format</group>
      <groupName>格式问题</groupName>
      <ability>L2_HalfPunc</ability>
      <abilityName>全半角检查</abilityName>
      <candidateList>
        <item>，</item>
      </candidateList>
      <explain>文本全半角错误。</explain>
      <paraID>77623D16</paraID>
      <start>12</start>
      <end>13</end>
      <status>unmodified</status>
      <modifiedWord/>
      <trackRevisions>false</trackRevisions>
    </reviewItem>
    <reviewItem>
      <errorID>8b821e22-b0da-4d78-bdbe-e8767181071c</errorID>
      <errorWord>,</errorWord>
      <group>L1_Format</group>
      <groupName>格式问题</groupName>
      <ability>L2_HalfPunc</ability>
      <abilityName>全半角检查</abilityName>
      <candidateList>
        <item>，</item>
      </candidateList>
      <explain>文本全半角错误。</explain>
      <paraID>7AF2B9E2</paraID>
      <start>24</start>
      <end>25</end>
      <status>unmodified</status>
      <modifiedWord/>
      <trackRevisions>false</trackRevisions>
    </reviewItem>
    <reviewItem>
      <errorID>67c1a07e-facc-4ec9-877e-a9af6565811f</errorID>
      <errorWord>(</errorWord>
      <group>L1_Format</group>
      <groupName>格式问题</groupName>
      <ability>L2_HalfPunc</ability>
      <abilityName>全半角检查</abilityName>
      <candidateList>
        <item>（</item>
      </candidateList>
      <explain>文本全半角错误。</explain>
      <paraID>447F5E3C</paraID>
      <start>16</start>
      <end>17</end>
      <status>unmodified</status>
      <modifiedWord/>
      <trackRevisions>false</trackRevisions>
    </reviewItem>
    <reviewItem>
      <errorID>2de73f8c-f6ad-407b-8e64-c2344fb1b459</errorID>
      <errorWord>)</errorWord>
      <group>L1_Format</group>
      <groupName>格式问题</groupName>
      <ability>L2_HalfPunc</ability>
      <abilityName>全半角检查</abilityName>
      <candidateList>
        <item>）</item>
      </candidateList>
      <explain>文本全半角错误。</explain>
      <paraID>447F5E3C</paraID>
      <start>29</start>
      <end>30</end>
      <status>unmodified</status>
      <modifiedWord/>
      <trackRevisions>false</trackRevisions>
    </reviewItem>
    <reviewItem>
      <errorID>24a758f6-c2c7-4edb-b626-a4446d37dfff</errorID>
      <errorWord>0-90%</errorWord>
      <group>L1_Knowledge</group>
      <groupName>知识性问题</groupName>
      <ability>L2_Knowledge</ability>
      <abilityName>其他知识</abilityName>
      <candidateList>
        <item>0—90%</item>
      </candidateList>
      <explain>1. “0-90%”中的单位“%”仅出现在后一个数字上，容易引起歧义；根据《现代汉语标点符号数字用法规范手册》，数字表示范围两边需要使用统一的格式。2. 根据标点国标 4.13 中的规则，数字、时间或地域连接符应使用（视觉上更长的）“—”或“～”。</explain>
      <paraID>7F398BA5</paraID>
      <start>16</start>
      <end>21</end>
      <status>unmodified</status>
      <modifiedWord/>
      <trackRevisions>false</trackRevisions>
    </reviewItem>
    <reviewItem>
      <errorID>5715bd89-9ab4-4be5-9098-51dfc245ec10</errorID>
      <errorWord>,</errorWord>
      <group>L1_Format</group>
      <groupName>格式问题</groupName>
      <ability>L2_HalfPunc</ability>
      <abilityName>全半角检查</abilityName>
      <candidateList>
        <item>，</item>
      </candidateList>
      <explain>文本全半角错误。</explain>
      <paraID>23A9ABB4</paraID>
      <start>43</start>
      <end>44</end>
      <status>unmodified</status>
      <modifiedWord/>
      <trackRevisions>false</trackRevisions>
    </reviewItem>
    <reviewItem>
      <errorID>4ad8ecdf-d6c5-44a3-93fa-3612502470c8</errorID>
      <errorWord>(</errorWord>
      <group>L1_Format</group>
      <groupName>格式问题</groupName>
      <ability>L2_HalfPunc</ability>
      <abilityName>全半角检查</abilityName>
      <candidateList>
        <item>（</item>
      </candidateList>
      <explain>文本全半角错误。</explain>
      <paraID>2BB4296B</paraID>
      <start>19</start>
      <end>20</end>
      <status>unmodified</status>
      <modifiedWord/>
      <trackRevisions>false</trackRevisions>
    </reviewItem>
    <reviewItem>
      <errorID>b29f94a7-17df-4ec9-9541-cd24a1a3b8c4</errorID>
      <errorWord>)</errorWord>
      <group>L1_Format</group>
      <groupName>格式问题</groupName>
      <ability>L2_HalfPunc</ability>
      <abilityName>全半角检查</abilityName>
      <candidateList>
        <item>）</item>
      </candidateList>
      <explain>文本全半角错误。</explain>
      <paraID>2BB4296B</paraID>
      <start>42</start>
      <end>43</end>
      <status>unmodified</status>
      <modifiedWord/>
      <trackRevisions>false</trackRevisions>
    </reviewItem>
    <reviewItem>
      <errorID>812a3f16-262e-40be-90a9-61747d64ed93</errorID>
      <errorWord>rpm</errorWord>
      <group>L1_Word</group>
      <groupName>字词问题</groupName>
      <ability>L2_Typo</ability>
      <abilityName>字词错误</abilityName>
      <candidateList/>
      <explain>非法定单位</explain>
      <paraID>139BD692</paraID>
      <start>30</start>
      <end>33</end>
      <status>unmodified</status>
      <modifiedWord/>
      <trackRevisions>false</trackRevisions>
    </reviewItem>
    <reviewItem>
      <errorID>9730d6cb-13cb-4150-a788-d3a01109e993</errorID>
      <errorWord>(</errorWord>
      <group>L1_Format</group>
      <groupName>格式问题</groupName>
      <ability>L2_HalfPunc</ability>
      <abilityName>全半角检查</abilityName>
      <candidateList>
        <item>（</item>
      </candidateList>
      <explain>文本全半角错误。</explain>
      <paraID>2916CBDA</paraID>
      <start>11</start>
      <end>12</end>
      <status>unmodified</status>
      <modifiedWord/>
      <trackRevisions>false</trackRevisions>
    </reviewItem>
    <reviewItem>
      <errorID>36662c27-6ffa-46aa-95ec-72a54d05d620</errorID>
      <errorWord>)</errorWord>
      <group>L1_Format</group>
      <groupName>格式问题</groupName>
      <ability>L2_HalfPunc</ability>
      <abilityName>全半角检查</abilityName>
      <candidateList>
        <item>）</item>
      </candidateList>
      <explain>文本全半角错误。</explain>
      <paraID>2916CBDA</paraID>
      <start>27</start>
      <end>28</end>
      <status>unmodified</status>
      <modifiedWord/>
      <trackRevisions>false</trackRevisions>
    </reviewItem>
    <reviewItem>
      <errorID>db633c49-5c97-49ff-b207-ab1f9f36110e</errorID>
      <errorWord>(</errorWord>
      <group>L1_Format</group>
      <groupName>格式问题</groupName>
      <ability>L2_HalfPunc</ability>
      <abilityName>全半角检查</abilityName>
      <candidateList>
        <item>（</item>
      </candidateList>
      <explain>文本全半角错误。</explain>
      <paraID>2916CBDA</paraID>
      <start>36</start>
      <end>37</end>
      <status>unmodified</status>
      <modifiedWord/>
      <trackRevisions>false</trackRevisions>
    </reviewItem>
    <reviewItem>
      <errorID>f1091ada-e98f-4ab2-bd11-6d73553daba9</errorID>
      <errorWord>)</errorWord>
      <group>L1_Format</group>
      <groupName>格式问题</groupName>
      <ability>L2_HalfPunc</ability>
      <abilityName>全半角检查</abilityName>
      <candidateList>
        <item>）</item>
      </candidateList>
      <explain>文本全半角错误。</explain>
      <paraID>2916CBDA</paraID>
      <start>47</start>
      <end>48</end>
      <status>unmodified</status>
      <modifiedWord/>
      <trackRevisions>false</trackRevisions>
    </reviewItem>
    <reviewItem>
      <errorID>613b9bbe-451a-41b2-b260-41992b5d5c1b</errorID>
      <errorWord>;</errorWord>
      <group>L1_Format</group>
      <groupName>格式问题</groupName>
      <ability>L2_HalfPunc</ability>
      <abilityName>全半角检查</abilityName>
      <candidateList>
        <item>；</item>
      </candidateList>
      <explain>文本全半角错误。</explain>
      <paraID>5F438543</paraID>
      <start>38</start>
      <end>39</end>
      <status>unmodified</status>
      <modifiedWord/>
      <trackRevisions>false</trackRevisions>
    </reviewItem>
    <reviewItem>
      <errorID>c6813734-6db4-402c-9978-9a41825275bd</errorID>
      <errorWord>系统联接</errorWord>
      <group>L1_Word</group>
      <groupName>字词问题</groupName>
      <ability>L2_Variant</ability>
      <abilityName>异形词</abilityName>
      <candidateList>
        <item>系统连接</item>
      </candidateList>
      <explain>词汇[系统联接]的规范词形写作[系统连接]。</explain>
      <paraID> EFAABD6</paraID>
      <start>17</start>
      <end>21</end>
      <status>unmodified</status>
      <modifiedWord/>
      <trackRevisions>false</trackRevisions>
    </reviewItem>
    <reviewItem>
      <errorID>c5d8359c-eba0-44eb-aaf9-3d364e7c639c</errorID>
      <errorWord>(</errorWord>
      <group>L1_Format</group>
      <groupName>格式问题</groupName>
      <ability>L2_HalfPunc</ability>
      <abilityName>全半角检查</abilityName>
      <candidateList>
        <item>（</item>
      </candidateList>
      <explain>文本全半角错误。</explain>
      <paraID>180FF597</paraID>
      <start>36</start>
      <end>37</end>
      <status>unmodified</status>
      <modifiedWord/>
      <trackRevisions>false</trackRevisions>
    </reviewItem>
    <reviewItem>
      <errorID>34601d31-060b-4397-aded-19d1edb17f14</errorID>
      <errorWord>)</errorWord>
      <group>L1_Format</group>
      <groupName>格式问题</groupName>
      <ability>L2_HalfPunc</ability>
      <abilityName>全半角检查</abilityName>
      <candidateList>
        <item>）</item>
      </candidateList>
      <explain>文本全半角错误。</explain>
      <paraID>180FF597</paraID>
      <start>106</start>
      <end>107</end>
      <status>unmodified</status>
      <modifiedWord/>
      <trackRevisions>false</trackRevisions>
    </reviewItem>
    <reviewItem>
      <errorID>9c3440f4-6e39-4c71-8db1-78eee815f91b</errorID>
      <errorWord>噪音</errorWord>
      <group>L1_Word</group>
      <groupName>字词问题</groupName>
      <ability>L2_Alias</ability>
      <abilityName>也作/曾用词</abilityName>
      <candidateList>
        <item>噪声</item>
      </candidateList>
      <explain>词汇[噪音]为不规范表述或旧称，其规范书面表述为[噪声]。</explain>
      <paraID>391D55AB</paraID>
      <start>54</start>
      <end>56</end>
      <status>unmodified</status>
      <modifiedWord/>
      <trackRevisions>false</trackRevisions>
    </reviewItem>
    <reviewItem>
      <errorID>9ba53c74-999e-4e47-baad-63062f7e775c</errorID>
      <errorWord>不同锥</errorWord>
      <group>L1_Word</group>
      <groupName>字词问题</groupName>
      <ability>L2_Typo</ability>
      <abilityName>字词错误</abilityName>
      <candidateList>
        <item>不同</item>
      </candidateList>
      <explain/>
      <paraID>473EEA8C</paraID>
      <start>1</start>
      <end>4</end>
      <status>unmodified</status>
      <modifiedWord/>
      <trackRevisions>false</trackRevisions>
    </reviewItem>
    <reviewItem>
      <errorID>8051a213-f8d4-43e4-a8f9-6136ae35cd8a</errorID>
      <errorWord>)</errorWord>
      <group>L1_Format</group>
      <groupName>格式问题</groupName>
      <ability>L2_HalfPunc</ability>
      <abilityName>全半角检查</abilityName>
      <candidateList>
        <item>）</item>
      </candidateList>
      <explain>文本全半角错误。</explain>
      <paraID>473EEA8C</paraID>
      <start>23</start>
      <end>24</end>
      <status>unmodified</status>
      <modifiedWord/>
      <trackRevisions>false</trackRevisions>
    </reviewItem>
    <reviewItem>
      <errorID>f4a26f0c-06d4-4a62-9f61-4ff6fd127859</errorID>
      <errorWord>,</errorWord>
      <group>L1_Format</group>
      <groupName>格式问题</groupName>
      <ability>L2_HalfPunc</ability>
      <abilityName>全半角检查</abilityName>
      <candidateList>
        <item>，</item>
      </candidateList>
      <explain>文本全半角错误。</explain>
      <paraID>340FD784</paraID>
      <start>26</start>
      <end>27</end>
      <status>unmodified</status>
      <modifiedWord/>
      <trackRevisions>false</trackRevisions>
    </reviewItem>
    <reviewItem>
      <errorID>5cefe82f-714f-46ee-aa8a-b6f0768a0cf7</errorID>
      <errorWord>噪音</errorWord>
      <group>L1_Word</group>
      <groupName>字词问题</groupName>
      <ability>L2_Alias</ability>
      <abilityName>也作/曾用词</abilityName>
      <candidateList>
        <item>噪声</item>
      </candidateList>
      <explain>词汇[噪音]为不规范表述或旧称，其规范书面表述为[噪声]。</explain>
      <paraID>6D393215</paraID>
      <start>5</start>
      <end>7</end>
      <status>unmodified</status>
      <modifiedWord/>
      <trackRevisions>false</trackRevisions>
    </reviewItem>
    <reviewItem>
      <errorID>ef9515eb-6d75-4711-bfe9-c243d547a506</errorID>
      <errorWord>；</errorWord>
      <group>L1_Format</group>
      <groupName>格式问题</groupName>
      <ability>L2_HalfPunc</ability>
      <abilityName>全半角检查</abilityName>
      <candidateList>
        <item>; </item>
      </candidateList>
      <explain>文本全半角错误。</explain>
      <paraID>7C46704C</paraID>
      <start>5</start>
      <end>6</end>
      <status>unmodified</status>
      <modifiedWord/>
      <trackRevisions>false</trackRevisions>
    </reviewItem>
    <reviewItem>
      <errorID>dc14c5d5-f7ba-416e-aa8c-fcac4f0ec063</errorID>
      <errorWord>；</errorWord>
      <group>L1_Format</group>
      <groupName>格式问题</groupName>
      <ability>L2_HalfPunc</ability>
      <abilityName>全半角检查</abilityName>
      <candidateList>
        <item>; </item>
      </candidateList>
      <explain>文本全半角错误。</explain>
      <paraID>7C46704C</paraID>
      <start>15</start>
      <end>16</end>
      <status>unmodified</status>
      <modifiedWord/>
      <trackRevisions>false</trackRevisions>
    </reviewItem>
    <reviewItem>
      <errorID>3f1a2fde-2fa3-4853-a8df-1aaae42b2623</errorID>
      <errorWord>；</errorWord>
      <group>L1_Format</group>
      <groupName>格式问题</groupName>
      <ability>L2_HalfPunc</ability>
      <abilityName>全半角检查</abilityName>
      <candidateList>
        <item>; </item>
      </candidateList>
      <explain>文本全半角错误。</explain>
      <paraID>7C46704C</paraID>
      <start>21</start>
      <end>22</end>
      <status>unmodified</status>
      <modifiedWord/>
      <trackRevisions>false</trackRevisions>
    </reviewItem>
    <reviewItem>
      <errorID>ce6d0da8-9f0e-4f15-8bd3-5449dd5f6059</errorID>
      <errorWord>；</errorWord>
      <group>L1_Format</group>
      <groupName>格式问题</groupName>
      <ability>L2_HalfPunc</ability>
      <abilityName>全半角检查</abilityName>
      <candidateList>
        <item>; </item>
      </candidateList>
      <explain>文本全半角错误。</explain>
      <paraID>7C46704C</paraID>
      <start>27</start>
      <end>28</end>
      <status>unmodified</status>
      <modifiedWord/>
      <trackRevisions>false</trackRevisions>
    </reviewItem>
    <reviewItem>
      <errorID>4f3180a8-144f-4be0-bbe0-ba543603564c</errorID>
      <errorWord>；</errorWord>
      <group>L1_Format</group>
      <groupName>格式问题</groupName>
      <ability>L2_HalfPunc</ability>
      <abilityName>全半角检查</abilityName>
      <candidateList>
        <item>; </item>
      </candidateList>
      <explain>文本全半角错误。</explain>
      <paraID>7C46704C</paraID>
      <start>33</start>
      <end>34</end>
      <status>unmodified</status>
      <modifiedWord/>
      <trackRevisions>false</trackRevisions>
    </reviewItem>
    <reviewItem>
      <errorID>c33f5ce8-1576-42ac-a5fa-ace3c4985852</errorID>
      <errorWord>；</errorWord>
      <group>L1_Format</group>
      <groupName>格式问题</groupName>
      <ability>L2_HalfPunc</ability>
      <abilityName>全半角检查</abilityName>
      <candidateList>
        <item>; </item>
      </candidateList>
      <explain>文本全半角错误。</explain>
      <paraID>7C46704C</paraID>
      <start>39</start>
      <end>40</end>
      <status>unmodified</status>
      <modifiedWord/>
      <trackRevisions>false</trackRevisions>
    </reviewItem>
    <reviewItem>
      <errorID>5cf0d20a-a841-42d5-bf58-a34b89999081</errorID>
      <errorWord>；</errorWord>
      <group>L1_Format</group>
      <groupName>格式问题</groupName>
      <ability>L2_HalfPunc</ability>
      <abilityName>全半角检查</abilityName>
      <candidateList>
        <item>;</item>
      </candidateList>
      <explain>文本全半角错误。</explain>
      <paraID>7C46704C</paraID>
      <start>44</start>
      <end>45</end>
      <status>unmodified</status>
      <modifiedWord/>
      <trackRevisions>false</trackRevisions>
    </reviewItem>
    <reviewItem>
      <errorID>9ea54547-5eba-47e1-a01d-b69682bc1858</errorID>
      <errorWord>；</errorWord>
      <group>L1_Format</group>
      <groupName>格式问题</groupName>
      <ability>L2_HalfPunc</ability>
      <abilityName>全半角检查</abilityName>
      <candidateList>
        <item>; </item>
      </candidateList>
      <explain>文本全半角错误。</explain>
      <paraID>3C2DEF7F</paraID>
      <start>6</start>
      <end>7</end>
      <status>unmodified</status>
      <modifiedWord/>
      <trackRevisions>false</trackRevisions>
    </reviewItem>
    <reviewItem>
      <errorID>04da0ebb-01fa-40be-b995-7dc7017842ce</errorID>
      <errorWord>；</errorWord>
      <group>L1_Format</group>
      <groupName>格式问题</groupName>
      <ability>L2_HalfPunc</ability>
      <abilityName>全半角检查</abilityName>
      <candidateList>
        <item>; </item>
      </candidateList>
      <explain>文本全半角错误。</explain>
      <paraID>3C2DEF7F</paraID>
      <start>12</start>
      <end>13</end>
      <status>unmodified</status>
      <modifiedWord/>
      <trackRevisions>false</trackRevisions>
    </reviewItem>
    <reviewItem>
      <errorID>222757b8-cd4e-42c7-9a5e-94b86169ac8f</errorID>
      <errorWord>；</errorWord>
      <group>L1_Format</group>
      <groupName>格式问题</groupName>
      <ability>L2_HalfPunc</ability>
      <abilityName>全半角检查</abilityName>
      <candidateList>
        <item>; </item>
      </candidateList>
      <explain>文本全半角错误。</explain>
      <paraID>3C2DEF7F</paraID>
      <start>19</start>
      <end>20</end>
      <status>unmodified</status>
      <modifiedWord/>
      <trackRevisions>false</trackRevisions>
    </reviewItem>
    <reviewItem>
      <errorID>75346f1e-2800-477b-a0ab-6ac9f4aedcc4</errorID>
      <errorWord>；</errorWord>
      <group>L1_Format</group>
      <groupName>格式问题</groupName>
      <ability>L2_HalfPunc</ability>
      <abilityName>全半角检查</abilityName>
      <candidateList>
        <item>; </item>
      </candidateList>
      <explain>文本全半角错误。</explain>
      <paraID>3C2DEF7F</paraID>
      <start>26</start>
      <end>27</end>
      <status>unmodified</status>
      <modifiedWord/>
      <trackRevisions>false</trackRevisions>
    </reviewItem>
    <reviewItem>
      <errorID>67e5343a-eec9-437f-a07e-63963fb77fee</errorID>
      <errorWord>；</errorWord>
      <group>L1_Format</group>
      <groupName>格式问题</groupName>
      <ability>L2_HalfPunc</ability>
      <abilityName>全半角检查</abilityName>
      <candidateList>
        <item>; </item>
      </candidateList>
      <explain>文本全半角错误。</explain>
      <paraID>3C2DEF7F</paraID>
      <start>34</start>
      <end>35</end>
      <status>unmodified</status>
      <modifiedWord/>
      <trackRevisions>false</trackRevisions>
    </reviewItem>
    <reviewItem>
      <errorID>02e3daf6-d938-4d22-a39c-22d5abcda4b6</errorID>
      <errorWord>；</errorWord>
      <group>L1_Format</group>
      <groupName>格式问题</groupName>
      <ability>L2_HalfPunc</ability>
      <abilityName>全半角检查</abilityName>
      <candidateList>
        <item>; </item>
      </candidateList>
      <explain>文本全半角错误。</explain>
      <paraID>3C2DEF7F</paraID>
      <start>42</start>
      <end>43</end>
      <status>unmodified</status>
      <modifiedWord/>
      <trackRevisions>false</trackRevisions>
    </reviewItem>
    <reviewItem>
      <errorID>46fbcedc-0789-429e-8241-4fc781868222</errorID>
      <errorWord>；</errorWord>
      <group>L1_Format</group>
      <groupName>格式问题</groupName>
      <ability>L2_HalfPunc</ability>
      <abilityName>全半角检查</abilityName>
      <candidateList>
        <item>;</item>
      </candidateList>
      <explain>文本全半角错误。</explain>
      <paraID>3C2DEF7F</paraID>
      <start>49</start>
      <end>50</end>
      <status>unmodified</status>
      <modifiedWord/>
      <trackRevisions>false</trackRevisions>
    </reviewItem>
    <reviewItem>
      <errorID>81f582e9-4bd0-4391-87bb-6f706e4e13cf</errorID>
      <errorWord>(</errorWord>
      <group>L1_Format</group>
      <groupName>格式问题</groupName>
      <ability>L2_HalfPunc</ability>
      <abilityName>全半角检查</abilityName>
      <candidateList>
        <item>（</item>
      </candidateList>
      <explain>文本全半角错误。</explain>
      <paraID>48DC7CC2</paraID>
      <start>96</start>
      <end>97</end>
      <status>unmodified</status>
      <modifiedWord/>
      <trackRevisions>false</trackRevisions>
    </reviewItem>
    <reviewItem>
      <errorID>e0ba293b-1e70-4e2a-8148-77024cdf3a06</errorID>
      <errorWord>)</errorWord>
      <group>L1_Format</group>
      <groupName>格式问题</groupName>
      <ability>L2_HalfPunc</ability>
      <abilityName>全半角检查</abilityName>
      <candidateList>
        <item>）</item>
      </candidateList>
      <explain>文本全半角错误。</explain>
      <paraID>48DC7CC2</paraID>
      <start>105</start>
      <end>106</end>
      <status>unmodified</status>
      <modifiedWord/>
      <trackRevisions>false</trackRevisions>
    </reviewItem>
    <reviewItem>
      <errorID>47013a63-e1d2-41b4-a2f5-4bdc22ef403e</errorID>
      <errorWord>)</errorWord>
      <group>L1_Format</group>
      <groupName>格式问题</groupName>
      <ability>L2_HalfPunc</ability>
      <abilityName>全半角检查</abilityName>
      <candidateList>
        <item>）</item>
      </candidateList>
      <explain>文本全半角错误。</explain>
      <paraID>63C61FF4</paraID>
      <start>20</start>
      <end>21</end>
      <status>unmodified</status>
      <modifiedWord/>
      <trackRevisions>false</trackRevisions>
    </reviewItem>
    <reviewItem>
      <errorID>104f6c28-5bbb-4820-a81d-dbf766416ebf</errorID>
      <errorWord>(</errorWord>
      <group>L1_Format</group>
      <groupName>格式问题</groupName>
      <ability>L2_HalfPunc</ability>
      <abilityName>全半角检查</abilityName>
      <candidateList>
        <item>（</item>
      </candidateList>
      <explain>文本全半角错误。</explain>
      <paraID>63C61FF4</paraID>
      <start>28</start>
      <end>29</end>
      <status>unmodified</status>
      <modifiedWord/>
      <trackRevisions>false</trackRevisions>
    </reviewItem>
    <reviewItem>
      <errorID>3f8c1f3c-878b-4177-af65-2c53880c9555</errorID>
      <errorWord>；</errorWord>
      <group>L1_Format</group>
      <groupName>格式问题</groupName>
      <ability>L2_HalfPunc</ability>
      <abilityName>全半角检查</abilityName>
      <candidateList>
        <item>;</item>
      </candidateList>
      <explain>文本全半角错误。</explain>
      <paraID>4F3A0022</paraID>
      <start>35</start>
      <end>36</end>
      <status>unmodified</status>
      <modifiedWord/>
      <trackRevisions>false</trackRevisions>
    </reviewItem>
    <reviewItem>
      <errorID>27ed893b-0cf9-4337-abe8-2e289db0d68c</errorID>
      <errorWord>；</errorWord>
      <group>L1_Format</group>
      <groupName>格式问题</groupName>
      <ability>L2_HalfPunc</ability>
      <abilityName>全半角检查</abilityName>
      <candidateList>
        <item>;</item>
      </candidateList>
      <explain>文本全半角错误。</explain>
      <paraID>4B590FD3</paraID>
      <start>38</start>
      <end>39</end>
      <status>unmodified</status>
      <modifiedWord/>
      <trackRevisions>false</trackRevisions>
    </reviewItem>
    <reviewItem>
      <errorID>748575cb-fa59-4636-ba75-514dc9e06293</errorID>
      <errorWord>；</errorWord>
      <group>L1_Format</group>
      <groupName>格式问题</groupName>
      <ability>L2_HalfPunc</ability>
      <abilityName>全半角检查</abilityName>
      <candidateList>
        <item>;</item>
      </candidateList>
      <explain>文本全半角错误。</explain>
      <paraID>5A789ED0</paraID>
      <start>38</start>
      <end>39</end>
      <status>unmodified</status>
      <modifiedWord/>
      <trackRevisions>false</trackRevisions>
    </reviewItem>
    <reviewItem>
      <errorID>8e586d54-b2da-4434-bdf1-58fd9d0d3294</errorID>
      <errorWord>；</errorWord>
      <group>L1_Format</group>
      <groupName>格式问题</groupName>
      <ability>L2_HalfPunc</ability>
      <abilityName>全半角检查</abilityName>
      <candidateList>
        <item>;</item>
      </candidateList>
      <explain>文本全半角错误。</explain>
      <paraID>1EEDFB11</paraID>
      <start>43</start>
      <end>44</end>
      <status>unmodified</status>
      <modifiedWord/>
      <trackRevisions>false</trackRevisions>
    </reviewItem>
    <reviewItem>
      <errorID>a1afa32f-d234-4abf-bf73-34e8233f7ac6</errorID>
      <errorWord>；</errorWord>
      <group>L1_Format</group>
      <groupName>格式问题</groupName>
      <ability>L2_HalfPunc</ability>
      <abilityName>全半角检查</abilityName>
      <candidateList>
        <item>;</item>
      </candidateList>
      <explain>文本全半角错误。</explain>
      <paraID>5F4E6CCB</paraID>
      <start>43</start>
      <end>44</end>
      <status>unmodified</status>
      <modifiedWord/>
      <trackRevisions>false</trackRevisions>
    </reviewItem>
    <reviewItem>
      <errorID>e718e188-82a3-449e-ab84-17ddabe6d0c5</errorID>
      <errorWord>；</errorWord>
      <group>L1_Format</group>
      <groupName>格式问题</groupName>
      <ability>L2_HalfPunc</ability>
      <abilityName>全半角检查</abilityName>
      <candidateList>
        <item>;</item>
      </candidateList>
      <explain>文本全半角错误。</explain>
      <paraID>2D9E6C19</paraID>
      <start>43</start>
      <end>44</end>
      <status>unmodified</status>
      <modifiedWord/>
      <trackRevisions>false</trackRevisions>
    </reviewItem>
    <reviewItem>
      <errorID>26c30045-faa9-493c-b0aa-1eb1ac95d300</errorID>
      <errorWord>(</errorWord>
      <group>L1_Format</group>
      <groupName>格式问题</groupName>
      <ability>L2_HalfPunc</ability>
      <abilityName>全半角检查</abilityName>
      <candidateList>
        <item>（</item>
      </candidateList>
      <explain>文本全半角错误。</explain>
      <paraID>47986BBC</paraID>
      <start>30</start>
      <end>31</end>
      <status>unmodified</status>
      <modifiedWord/>
      <trackRevisions>false</trackRevisions>
    </reviewItem>
    <reviewItem>
      <errorID>6e9e8754-3004-4ca4-a4f0-af21c7da39d6</errorID>
      <errorWord>)</errorWord>
      <group>L1_Format</group>
      <groupName>格式问题</groupName>
      <ability>L2_HalfPunc</ability>
      <abilityName>全半角检查</abilityName>
      <candidateList>
        <item>）</item>
      </candidateList>
      <explain>文本全半角错误。</explain>
      <paraID>47986BBC</paraID>
      <start>51</start>
      <end>52</end>
      <status>unmodified</status>
      <modifiedWord/>
      <trackRevisions>false</trackRevisions>
    </reviewItem>
    <reviewItem>
      <errorID>063bebdc-1311-480e-8998-0e1b5982aaf6</errorID>
      <errorWord>(</errorWord>
      <group>L1_Format</group>
      <groupName>格式问题</groupName>
      <ability>L2_HalfPunc</ability>
      <abilityName>全半角检查</abilityName>
      <candidateList>
        <item>（</item>
      </candidateList>
      <explain>文本全半角错误。</explain>
      <paraID>4961A8FA</paraID>
      <start>9</start>
      <end>10</end>
      <status>unmodified</status>
      <modifiedWord/>
      <trackRevisions>false</trackRevisions>
    </reviewItem>
    <reviewItem>
      <errorID>d83175c0-31f7-49d1-bbc5-d95c7779f741</errorID>
      <errorWord>)</errorWord>
      <group>L1_Format</group>
      <groupName>格式问题</groupName>
      <ability>L2_HalfPunc</ability>
      <abilityName>全半角检查</abilityName>
      <candidateList>
        <item>）</item>
      </candidateList>
      <explain>文本全半角错误。</explain>
      <paraID>4961A8FA</paraID>
      <start>16</start>
      <end>17</end>
      <status>unmodified</status>
      <modifiedWord/>
      <trackRevisions>false</trackRevisions>
    </reviewItem>
    <reviewItem>
      <errorID>4f8d2400-a196-4042-9185-28240a46ab02</errorID>
      <errorWord>至少10个以上</errorWord>
      <group>L1_Grammar</group>
      <groupName>语法问题</groupName>
      <ability>L2_Grammar</ability>
      <abilityName>语法错误</abilityName>
      <candidateList>
        <item>至少10个</item>
      </candidateList>
      <explain/>
      <paraID>1E1A2CC8</paraID>
      <start>3</start>
      <end>10</end>
      <status>unmodified</status>
      <modifiedWord/>
      <trackRevisions>false</trackRevisions>
    </reviewItem>
    <reviewItem>
      <errorID>c99c3ba5-45a7-403a-b6d9-c1c3932fd084</errorID>
      <errorWord>)</errorWord>
      <group>L1_Format</group>
      <groupName>格式问题</groupName>
      <ability>L2_HalfPunc</ability>
      <abilityName>全半角检查</abilityName>
      <candidateList>
        <item>）</item>
      </candidateList>
      <explain>文本全半角错误。</explain>
      <paraID>6D654E1E</paraID>
      <start>22</start>
      <end>23</end>
      <status>unmodified</status>
      <modifiedWord/>
      <trackRevisions>false</trackRevisions>
    </reviewItem>
    <reviewItem>
      <errorID>33147206-f351-4038-81a4-6b122c0e266b</errorID>
      <errorWord>)</errorWord>
      <group>L1_Format</group>
      <groupName>格式问题</groupName>
      <ability>L2_HalfPunc</ability>
      <abilityName>全半角检查</abilityName>
      <candidateList>
        <item>）</item>
      </candidateList>
      <explain>文本全半角错误。</explain>
      <paraID>3E4223F0</paraID>
      <start>86</start>
      <end>87</end>
      <status>unmodified</status>
      <modifiedWord/>
      <trackRevisions>false</trackRevisions>
    </reviewItem>
    <reviewItem>
      <errorID>4f27ef10-9fa9-4df7-b5bb-ed5ca605b1e5</errorID>
      <errorWord>(</errorWord>
      <group>L1_Format</group>
      <groupName>格式问题</groupName>
      <ability>L2_HalfPunc</ability>
      <abilityName>全半角检查</abilityName>
      <candidateList>
        <item>（</item>
      </candidateList>
      <explain>文本全半角错误。</explain>
      <paraID>31278DC7</paraID>
      <start>10</start>
      <end>11</end>
      <status>unmodified</status>
      <modifiedWord/>
      <trackRevisions>false</trackRevisions>
    </reviewItem>
    <reviewItem>
      <errorID>37ab9148-2534-45c0-b139-e8681c7467d3</errorID>
      <errorWord>)</errorWord>
      <group>L1_Format</group>
      <groupName>格式问题</groupName>
      <ability>L2_HalfPunc</ability>
      <abilityName>全半角检查</abilityName>
      <candidateList>
        <item>）</item>
      </candidateList>
      <explain>文本全半角错误。</explain>
      <paraID>31278DC7</paraID>
      <start>42</start>
      <end>43</end>
      <status>unmodified</status>
      <modifiedWord/>
      <trackRevisions>false</trackRevisions>
    </reviewItem>
    <reviewItem>
      <errorID>1a96bc41-ae12-4532-8645-e8494722d011</errorID>
      <errorWord>及可</errorWord>
      <group>L1_Word</group>
      <groupName>字词问题</groupName>
      <ability>L2_Typo</ability>
      <abilityName>字词错误</abilityName>
      <candidateList>
        <item>即可</item>
      </candidateList>
      <explain/>
      <paraID>54BF8321</paraID>
      <start>189</start>
      <end>191</end>
      <status>unmodified</status>
      <modifiedWord/>
      <trackRevisions>false</trackRevisions>
    </reviewItem>
    <reviewItem>
      <errorID>27d7bcff-0a47-4057-9674-2c38bd450515</errorID>
      <errorWord>(</errorWord>
      <group>L1_Format</group>
      <groupName>格式问题</groupName>
      <ability>L2_HalfPunc</ability>
      <abilityName>全半角检查</abilityName>
      <candidateList>
        <item>（</item>
      </candidateList>
      <explain>文本全半角错误。</explain>
      <paraID>6A91380B</paraID>
      <start>55</start>
      <end>56</end>
      <status>unmodified</status>
      <modifiedWord/>
      <trackRevisions>false</trackRevisions>
    </reviewItem>
    <reviewItem>
      <errorID>571c4cd9-a03f-4396-ad32-792d196a4343</errorID>
      <errorWord>)</errorWord>
      <group>L1_Format</group>
      <groupName>格式问题</groupName>
      <ability>L2_HalfPunc</ability>
      <abilityName>全半角检查</abilityName>
      <candidateList>
        <item>）</item>
      </candidateList>
      <explain>文本全半角错误。</explain>
      <paraID>6A91380B</paraID>
      <start>59</start>
      <end>60</end>
      <status>unmodified</status>
      <modifiedWord/>
      <trackRevisions>false</trackRevisions>
    </reviewItem>
    <reviewItem>
      <errorID>d429be1d-8d63-44e4-94a2-f152666b28f6</errorID>
      <errorWord>，</errorWord>
      <group>L1_Punc</group>
      <groupName>标点问题</groupName>
      <ability>L2_Punc</ability>
      <abilityName>标点符号检查</abilityName>
      <candidateList>
        <item/>
      </candidateList>
      <explain>括号内行文末尾一般不加标点。</explain>
      <paraID>6535F3B1</paraID>
      <start>66</start>
      <end>67</end>
      <status>unmodified</status>
      <modifiedWord/>
      <trackRevisions>false</trackRevisions>
    </reviewItem>
    <reviewItem>
      <errorID>e91ca174-148e-4088-a134-4409f31de68a</errorID>
      <errorWord>(</errorWord>
      <group>L1_Format</group>
      <groupName>格式问题</groupName>
      <ability>L2_HalfPunc</ability>
      <abilityName>全半角检查</abilityName>
      <candidateList>
        <item>（</item>
      </candidateList>
      <explain>文本全半角错误。</explain>
      <paraID>4EA8112F</paraID>
      <start>11</start>
      <end>12</end>
      <status>unmodified</status>
      <modifiedWord/>
      <trackRevisions>false</trackRevisions>
    </reviewItem>
    <reviewItem>
      <errorID>5f3770d0-65d7-4bf7-8206-944ad2fcf25c</errorID>
      <errorWord>,</errorWord>
      <group>L1_Format</group>
      <groupName>格式问题</groupName>
      <ability>L2_HalfPunc</ability>
      <abilityName>全半角检查</abilityName>
      <candidateList>
        <item>，</item>
      </candidateList>
      <explain>文本全半角错误。</explain>
      <paraID>40A7A014</paraID>
      <start>47</start>
      <end>48</end>
      <status>unmodified</status>
      <modifiedWord/>
      <trackRevisions>false</trackRevisions>
    </reviewItem>
    <reviewItem>
      <errorID>5130a1a7-b8f7-4108-81ec-894164ac1a19</errorID>
      <errorWord>kw</errorWord>
      <group>L1_Word</group>
      <groupName>字词问题</groupName>
      <ability>L2_Typo</ability>
      <abilityName>字词错误</abilityName>
      <candidateList>
        <item>kW</item>
      </candidateList>
      <explain/>
      <paraID>36D8E7A9</paraID>
      <start>20</start>
      <end>22</end>
      <status>unmodified</status>
      <modifiedWord/>
      <trackRevisions>false</trackRevisions>
    </reviewItem>
    <reviewItem>
      <errorID>b21cb1ba-365c-442c-adc0-603efd9c8325</errorID>
      <errorWord>存贮</errorWord>
      <group>L1_Word</group>
      <groupName>字词问题</groupName>
      <ability>L2_Typo</ability>
      <abilityName>字词错误</abilityName>
      <candidateList>
        <item>存储</item>
      </candidateList>
      <explain/>
      <paraID>256ABE14</paraID>
      <start>3</start>
      <end>5</end>
      <status>unmodified</status>
      <modifiedWord/>
      <trackRevisions>false</trackRevisions>
    </reviewItem>
    <reviewItem>
      <errorID>b6bf6fe2-304c-4317-aa0c-0e1d62e708f2</errorID>
      <errorWord>（</errorWord>
      <group>L1_Punc</group>
      <groupName>标点问题</groupName>
      <ability>L2_Punc</ability>
      <abilityName>标点符号检查</abilityName>
      <candidateList/>
      <explain>同一形式括号套用。</explain>
      <paraID>7A2BFB6B</paraID>
      <start>27</start>
      <end>28</end>
      <status>unmodified</status>
      <modifiedWord/>
      <trackRevisions>false</trackRevisions>
    </reviewItem>
    <reviewItem>
      <errorID>c17dfd10-9c76-4ea0-8674-375a7ead1798</errorID>
      <errorWord>）</errorWord>
      <group>L1_Punc</group>
      <groupName>标点问题</groupName>
      <ability>L2_Punc</ability>
      <abilityName>标点符号检查</abilityName>
      <candidateList/>
      <explain>同一形式括号套用。</explain>
      <paraID>7A2BFB6B</paraID>
      <start>32</start>
      <end>33</end>
      <status>unmodified</status>
      <modifiedWord/>
      <trackRevisions>false</trackRevisions>
    </reviewItem>
    <reviewItem>
      <errorID>59bfc575-26a7-47a2-b8ea-514d672294bb</errorID>
      <errorWord>样品的</errorWord>
      <group>L1_Word</group>
      <groupName>字词问题</groupName>
      <ability>L2_Typo</ability>
      <abilityName>字词错误</abilityName>
      <candidateList>
        <item>样品</item>
      </candidateList>
      <explain/>
      <paraID>204B30D9</paraID>
      <start>45</start>
      <end>48</end>
      <status>unmodified</status>
      <modifiedWord/>
      <trackRevisions>false</trackRevisions>
    </reviewItem>
    <reviewItem>
      <errorID>fc08b97c-b5f4-44ec-a66b-6f2dd9c6c5ff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6312D4BB</paraID>
      <start>31</start>
      <end>32</end>
      <status>unmodified</status>
      <modifiedWord/>
      <trackRevisions>false</trackRevisions>
    </reviewItem>
    <reviewItem>
      <errorID>9c1fb7dc-8460-4e7a-a338-0622ee3d11d6</errorID>
      <errorWord>(</errorWord>
      <group>L1_Format</group>
      <groupName>格式问题</groupName>
      <ability>L2_HalfPunc</ability>
      <abilityName>全半角检查</abilityName>
      <candidateList>
        <item>（</item>
      </candidateList>
      <explain>文本全半角错误。</explain>
      <paraID>605500BA</paraID>
      <start>10</start>
      <end>11</end>
      <status>unmodified</status>
      <modifiedWord/>
      <trackRevisions>false</trackRevisions>
    </reviewItem>
    <reviewItem>
      <errorID>a3578697-65e2-43e7-af93-a50eb8648288</errorID>
      <errorWord>)</errorWord>
      <group>L1_Format</group>
      <groupName>格式问题</groupName>
      <ability>L2_HalfPunc</ability>
      <abilityName>全半角检查</abilityName>
      <candidateList>
        <item>）</item>
      </candidateList>
      <explain>文本全半角错误。</explain>
      <paraID>605500BA</paraID>
      <start>14</start>
      <end>15</end>
      <status>unmodified</status>
      <modifiedWord/>
      <trackRevisions>false</trackRevisions>
    </reviewItem>
    <reviewItem>
      <errorID>45a804d8-a604-4bb1-bcd6-6a566b66daa1</errorID>
      <errorWord>(</errorWord>
      <group>L1_Format</group>
      <groupName>格式问题</groupName>
      <ability>L2_HalfPunc</ability>
      <abilityName>全半角检查</abilityName>
      <candidateList>
        <item>（</item>
      </candidateList>
      <explain>文本全半角错误。</explain>
      <paraID>648430E7</paraID>
      <start>10</start>
      <end>11</end>
      <status>unmodified</status>
      <modifiedWord/>
      <trackRevisions>false</trackRevisions>
    </reviewItem>
    <reviewItem>
      <errorID>cf9658db-5491-4cda-8947-6bc885eb85c9</errorID>
      <errorWord>)</errorWord>
      <group>L1_Format</group>
      <groupName>格式问题</groupName>
      <ability>L2_HalfPunc</ability>
      <abilityName>全半角检查</abilityName>
      <candidateList>
        <item>）</item>
      </candidateList>
      <explain>文本全半角错误。</explain>
      <paraID>648430E7</paraID>
      <start>14</start>
      <end>15</end>
      <status>unmodified</status>
      <modifiedWord/>
      <trackRevisions>false</trackRevisions>
    </reviewItem>
    <reviewItem>
      <errorID>88b470db-346a-4322-a0d4-6ee4070d83d4</errorID>
      <errorWord>(</errorWord>
      <group>L1_Format</group>
      <groupName>格式问题</groupName>
      <ability>L2_HalfPunc</ability>
      <abilityName>全半角检查</abilityName>
      <candidateList>
        <item>（</item>
      </candidateList>
      <explain>文本全半角错误。</explain>
      <paraID>1B3FE4E8</paraID>
      <start>11</start>
      <end>12</end>
      <status>unmodified</status>
      <modifiedWord/>
      <trackRevisions>false</trackRevisions>
    </reviewItem>
    <reviewItem>
      <errorID>882eca47-761c-4ead-8602-57c8f3c5d3e8</errorID>
      <errorWord>)</errorWord>
      <group>L1_Format</group>
      <groupName>格式问题</groupName>
      <ability>L2_HalfPunc</ability>
      <abilityName>全半角检查</abilityName>
      <candidateList>
        <item>）</item>
      </candidateList>
      <explain>文本全半角错误。</explain>
      <paraID>1B3FE4E8</paraID>
      <start>16</start>
      <end>17</end>
      <status>unmodified</status>
      <modifiedWord/>
      <trackRevisions>false</trackRevisions>
    </reviewItem>
    <reviewItem>
      <errorID>cd44d2fb-8e67-41c4-9ca0-839c5da9ba26</errorID>
      <errorWord>(</errorWord>
      <group>L1_Format</group>
      <groupName>格式问题</groupName>
      <ability>L2_HalfPunc</ability>
      <abilityName>全半角检查</abilityName>
      <candidateList>
        <item>（</item>
      </candidateList>
      <explain>文本全半角错误。</explain>
      <paraID>7DA0681E</paraID>
      <start>11</start>
      <end>12</end>
      <status>unmodified</status>
      <modifiedWord/>
      <trackRevisions>false</trackRevisions>
    </reviewItem>
    <reviewItem>
      <errorID>e9a5fcec-3110-438f-b8bd-df1bc1ffc035</errorID>
      <errorWord>)</errorWord>
      <group>L1_Format</group>
      <groupName>格式问题</groupName>
      <ability>L2_HalfPunc</ability>
      <abilityName>全半角检查</abilityName>
      <candidateList>
        <item>）</item>
      </candidateList>
      <explain>文本全半角错误。</explain>
      <paraID>7DA0681E</paraID>
      <start>16</start>
      <end>17</end>
      <status>unmodified</status>
      <modifiedWord/>
      <trackRevisions>false</trackRevisions>
    </reviewItem>
    <reviewItem>
      <errorID>3d78f667-300c-486c-9ff0-11ba564a127d</errorID>
      <errorWord>晰</errorWord>
      <group>L1_Word</group>
      <groupName>字词问题</groupName>
      <ability>L2_Typo</ability>
      <abilityName>字词错误</abilityName>
      <candidateList>
        <item>晰地</item>
      </candidateList>
      <explain/>
      <paraID>587C2B83</paraID>
      <start>119</start>
      <end>120</end>
      <status>unmodified</status>
      <modifiedWord/>
      <trackRevisions>false</trackRevisions>
    </reviewItem>
    <reviewItem>
      <errorID>dcfd8e11-1cf1-465f-813e-f75b6c73489e</errorID>
      <errorWord>材料材料</errorWord>
      <group>L1_Word</group>
      <groupName>字词问题</groupName>
      <ability>L2_Typo</ability>
      <abilityName>字词错误</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587C2B83</paraID>
      <start>203</start>
      <end>207</end>
      <status>unmodified</status>
      <modifiedWord/>
      <trackRevisions>false</trackRevisions>
    </reviewItem>
    <reviewItem>
      <errorID>052a2bcf-4c1a-4ba7-934e-890da34fd927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2FFA5936</paraID>
      <start>16</start>
      <end>17</end>
      <status>unmodified</status>
      <modifiedWord/>
      <trackRevisions>false</trackRevisions>
    </reviewItem>
    <reviewItem>
      <errorID>6c0150a0-13c2-4b69-9f73-ffc2aafe9317</errorID>
      <errorWord>之间的</errorWord>
      <group>L1_Word</group>
      <groupName>字词问题</groupName>
      <ability>L2_Typo</ability>
      <abilityName>字词错误</abilityName>
      <candidateList>
        <item>之间</item>
      </candidateList>
      <explain/>
      <paraID>4FBFCBF9</paraID>
      <start>20</start>
      <end>23</end>
      <status>unmodified</status>
      <modifiedWord/>
      <trackRevisions>false</trackRevisions>
    </reviewItem>
    <reviewItem>
      <errorID>e77888e6-0216-4f56-9d28-1e7adf751d58</errorID>
      <errorWord>（</errorWord>
      <group>L1_Punc</group>
      <groupName>标点问题</groupName>
      <ability>L2_Punc</ability>
      <abilityName>标点符号检查</abilityName>
      <candidateList/>
      <explain>同一形式括号套用。</explain>
      <paraID>71100F1E</paraID>
      <start>39</start>
      <end>40</end>
      <status>unmodified</status>
      <modifiedWord/>
      <trackRevisions>false</trackRevisions>
    </reviewItem>
    <reviewItem>
      <errorID>34dbffb7-3f2b-48cc-99f7-2de772700a20</errorID>
      <errorWord>）</errorWord>
      <group>L1_Punc</group>
      <groupName>标点问题</groupName>
      <ability>L2_Punc</ability>
      <abilityName>标点符号检查</abilityName>
      <candidateList/>
      <explain>同一形式括号套用。</explain>
      <paraID>71100F1E</paraID>
      <start>42</start>
      <end>43</end>
      <status>unmodified</status>
      <modifiedWord/>
      <trackRevisions>false</trackRevisions>
    </reviewItem>
    <reviewItem>
      <errorID>2ce8740b-03ce-45bd-878d-834de0bb97a4</errorID>
      <errorWord>(</errorWord>
      <group>L1_Format</group>
      <groupName>格式问题</groupName>
      <ability>L2_HalfPunc</ability>
      <abilityName>全半角检查</abilityName>
      <candidateList>
        <item>（</item>
      </candidateList>
      <explain>文本全半角错误。</explain>
      <paraID>7294875C</paraID>
      <start>30</start>
      <end>31</end>
      <status>unmodified</status>
      <modifiedWord/>
      <trackRevisions>false</trackRevisions>
    </reviewItem>
    <reviewItem>
      <errorID>725b1200-c2a9-4abd-80f7-4d4e5fbee022</errorID>
      <errorWord>)</errorWord>
      <group>L1_Format</group>
      <groupName>格式问题</groupName>
      <ability>L2_HalfPunc</ability>
      <abilityName>全半角检查</abilityName>
      <candidateList>
        <item>）</item>
      </candidateList>
      <explain>文本全半角错误。</explain>
      <paraID>7294875C</paraID>
      <start>39</start>
      <end>40</end>
      <status>unmodified</status>
      <modifiedWord/>
      <trackRevisions>false</trackRevisions>
    </reviewItem>
    <reviewItem>
      <errorID>e14a243c-0acc-47e2-8411-2d2e6a28416b</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27325AB4</paraID>
      <start>46</start>
      <end>49</end>
      <status>unmodified</status>
      <modifiedWord/>
      <trackRevisions>false</trackRevisions>
    </reviewItem>
    <reviewItem>
      <errorID>3737dc8e-29b4-45d3-a33d-f3df0a06c8ac</errorID>
      <errorWord>Kg</errorWord>
      <group>L1_Word</group>
      <groupName>字词问题</groupName>
      <ability>L2_Typo</ability>
      <abilityName>字词错误</abilityName>
      <candidateList>
        <item>kg</item>
      </candidateList>
      <explain/>
      <paraID>5F2EA60E</paraID>
      <start>40</start>
      <end>42</end>
      <status>unmodified</status>
      <modifiedWord/>
      <trackRevisions>false</trackRevisions>
    </reviewItem>
    <reviewItem>
      <errorID>958d55b9-48c5-44e9-8d67-732bfb86fac7</errorID>
      <errorWord>(</errorWord>
      <group>L1_Format</group>
      <groupName>格式问题</groupName>
      <ability>L2_HalfPunc</ability>
      <abilityName>全半角检查</abilityName>
      <candidateList>
        <item>（</item>
      </candidateList>
      <explain>文本全半角错误。</explain>
      <paraID> 83CCFB2</paraID>
      <start>11</start>
      <end>12</end>
      <status>unmodified</status>
      <modifiedWord/>
      <trackRevisions>false</trackRevisions>
    </reviewItem>
    <reviewItem>
      <errorID>07177580-5407-4c94-a937-faec25991b02</errorID>
      <errorWord>)</errorWord>
      <group>L1_Format</group>
      <groupName>格式问题</groupName>
      <ability>L2_HalfPunc</ability>
      <abilityName>全半角检查</abilityName>
      <candidateList>
        <item>）</item>
      </candidateList>
      <explain>文本全半角错误。</explain>
      <paraID> 83CCFB2</paraID>
      <start>18</start>
      <end>19</end>
      <status>unmodified</status>
      <modifiedWord/>
      <trackRevisions>false</trackRevisions>
    </reviewItem>
    <reviewItem>
      <errorID>58c506e7-1f82-490c-bd5f-f68043fd765c</errorID>
      <errorWord>:</errorWord>
      <group>L1_Format</group>
      <groupName>格式问题</groupName>
      <ability>L2_HalfPunc</ability>
      <abilityName>全半角检查</abilityName>
      <candidateList>
        <item>：</item>
      </candidateList>
      <explain>文本全半角错误。</explain>
      <paraID>65B2D1C5</paraID>
      <start>8</start>
      <end>9</end>
      <status>unmodified</status>
      <modifiedWord/>
      <trackRevisions>false</trackRevisions>
    </reviewItem>
    <reviewItem>
      <errorID>6a504e0e-c948-46ce-9615-fe4546ff23dc</errorID>
      <errorWord>:</errorWord>
      <group>L1_Format</group>
      <groupName>格式问题</groupName>
      <ability>L2_HalfPunc</ability>
      <abilityName>全半角检查</abilityName>
      <candidateList>
        <item>：</item>
      </candidateList>
      <explain>文本全半角错误。</explain>
      <paraID>1057C88E</paraID>
      <start>8</start>
      <end>9</end>
      <status>unmodified</status>
      <modifiedWord/>
      <trackRevisions>false</trackRevisions>
    </reviewItem>
    <reviewItem>
      <errorID>7e78d509-07a2-40aa-8971-6023c8089bec</errorID>
      <errorWord>:</errorWord>
      <group>L1_Format</group>
      <groupName>格式问题</groupName>
      <ability>L2_HalfPunc</ability>
      <abilityName>全半角检查</abilityName>
      <candidateList>
        <item>：</item>
      </candidateList>
      <explain>文本全半角错误。</explain>
      <paraID>61DF1C4B</paraID>
      <start>7</start>
      <end>8</end>
      <status>unmodified</status>
      <modifiedWord/>
      <trackRevisions>false</trackRevisions>
    </reviewItem>
    <reviewItem>
      <errorID>5dc27ded-f813-4cc9-8a36-dc69a8758b18</errorID>
      <errorWord>:</errorWord>
      <group>L1_Format</group>
      <groupName>格式问题</groupName>
      <ability>L2_HalfPunc</ability>
      <abilityName>全半角检查</abilityName>
      <candidateList>
        <item>：</item>
      </candidateList>
      <explain>文本全半角错误。</explain>
      <paraID>1F6609EC</paraID>
      <start>13</start>
      <end>14</end>
      <status>unmodified</status>
      <modifiedWord/>
      <trackRevisions>false</trackRevisions>
    </reviewItem>
    <reviewItem>
      <errorID>3533f978-c905-4da4-9a30-89e7b00c4fba</errorID>
      <errorWord>(</errorWord>
      <group>L1_Format</group>
      <groupName>格式问题</groupName>
      <ability>L2_HalfPunc</ability>
      <abilityName>全半角检查</abilityName>
      <candidateList>
        <item>（</item>
      </candidateList>
      <explain>文本全半角错误。</explain>
      <paraID>1F6609EC</paraID>
      <start>17</start>
      <end>18</end>
      <status>unmodified</status>
      <modifiedWord/>
      <trackRevisions>false</trackRevisions>
    </reviewItem>
    <reviewItem>
      <errorID>7dafa217-fcfe-4800-a5b9-fb03f6054178</errorID>
      <errorWord>)</errorWord>
      <group>L1_Format</group>
      <groupName>格式问题</groupName>
      <ability>L2_HalfPunc</ability>
      <abilityName>全半角检查</abilityName>
      <candidateList>
        <item>）</item>
      </candidateList>
      <explain>文本全半角错误。</explain>
      <paraID>1F6609EC</paraID>
      <start>27</start>
      <end>28</end>
      <status>unmodified</status>
      <modifiedWord/>
      <trackRevisions>false</trackRevisions>
    </reviewItem>
    <reviewItem>
      <errorID>0d2d1cc0-8b81-4cb4-8e58-2d6d8498e293</errorID>
      <errorWord>(</errorWord>
      <group>L1_Format</group>
      <groupName>格式问题</groupName>
      <ability>L2_HalfPunc</ability>
      <abilityName>全半角检查</abilityName>
      <candidateList>
        <item>（</item>
      </candidateList>
      <explain>文本全半角错误。</explain>
      <paraID>6806231A</paraID>
      <start>6</start>
      <end>7</end>
      <status>unmodified</status>
      <modifiedWord/>
      <trackRevisions>false</trackRevisions>
    </reviewItem>
    <reviewItem>
      <errorID>8f6a268f-7760-46a6-b44b-687bd86bb5c4</errorID>
      <errorWord>)</errorWord>
      <group>L1_Format</group>
      <groupName>格式问题</groupName>
      <ability>L2_HalfPunc</ability>
      <abilityName>全半角检查</abilityName>
      <candidateList>
        <item>）</item>
      </candidateList>
      <explain>文本全半角错误。</explain>
      <paraID>6806231A</paraID>
      <start>15</start>
      <end>16</end>
      <status>unmodified</status>
      <modifiedWord/>
      <trackRevisions>false</trackRevisions>
    </reviewItem>
    <reviewItem>
      <errorID>b92506c3-f1ea-4cc7-ae4b-b7770a5fef75</errorID>
      <errorWord>(</errorWord>
      <group>L1_Format</group>
      <groupName>格式问题</groupName>
      <ability>L2_HalfPunc</ability>
      <abilityName>全半角检查</abilityName>
      <candidateList>
        <item>（</item>
      </candidateList>
      <explain>文本全半角错误。</explain>
      <paraID>33DE1299</paraID>
      <start>7</start>
      <end>8</end>
      <status>unmodified</status>
      <modifiedWord/>
      <trackRevisions>false</trackRevisions>
    </reviewItem>
    <reviewItem>
      <errorID>69684fc9-7521-49fd-b123-ed6ee6e3de6b</errorID>
      <errorWord>)</errorWord>
      <group>L1_Format</group>
      <groupName>格式问题</groupName>
      <ability>L2_HalfPunc</ability>
      <abilityName>全半角检查</abilityName>
      <candidateList>
        <item>）</item>
      </candidateList>
      <explain>文本全半角错误。</explain>
      <paraID>33DE1299</paraID>
      <start>19</start>
      <end>20</end>
      <status>unmodified</status>
      <modifiedWord/>
      <trackRevisions>false</trackRevisions>
    </reviewItem>
    <reviewItem>
      <errorID>2c678113-e183-4bd9-b80d-9208e5f22c11</errorID>
      <errorWord>(</errorWord>
      <group>L1_Format</group>
      <groupName>格式问题</groupName>
      <ability>L2_HalfPunc</ability>
      <abilityName>全半角检查</abilityName>
      <candidateList>
        <item>（</item>
      </candidateList>
      <explain>文本全半角错误。</explain>
      <paraID>77A13198</paraID>
      <start>8</start>
      <end>9</end>
      <status>unmodified</status>
      <modifiedWord/>
      <trackRevisions>false</trackRevisions>
    </reviewItem>
    <reviewItem>
      <errorID>120c4a54-1fba-49a6-92b9-406a5159ed7b</errorID>
      <errorWord>)</errorWord>
      <group>L1_Format</group>
      <groupName>格式问题</groupName>
      <ability>L2_HalfPunc</ability>
      <abilityName>全半角检查</abilityName>
      <candidateList>
        <item>）</item>
      </candidateList>
      <explain>文本全半角错误。</explain>
      <paraID>77A13198</paraID>
      <start>17</start>
      <end>18</end>
      <status>unmodified</status>
      <modifiedWord/>
      <trackRevisions>false</trackRevisions>
    </reviewItem>
    <reviewItem>
      <errorID>246214b6-54d9-432b-9f59-646ec3b95c14</errorID>
      <errorWord>(</errorWord>
      <group>L1_Format</group>
      <groupName>格式问题</groupName>
      <ability>L2_HalfPunc</ability>
      <abilityName>全半角检查</abilityName>
      <candidateList>
        <item>（</item>
      </candidateList>
      <explain>文本全半角错误。</explain>
      <paraID>619BC854</paraID>
      <start>8</start>
      <end>9</end>
      <status>unmodified</status>
      <modifiedWord/>
      <trackRevisions>false</trackRevisions>
    </reviewItem>
    <reviewItem>
      <errorID>6fd1fcbd-998a-4a32-a904-747827dcf652</errorID>
      <errorWord>)</errorWord>
      <group>L1_Format</group>
      <groupName>格式问题</groupName>
      <ability>L2_HalfPunc</ability>
      <abilityName>全半角检查</abilityName>
      <candidateList>
        <item>）</item>
      </candidateList>
      <explain>文本全半角错误。</explain>
      <paraID>619BC854</paraID>
      <start>17</start>
      <end>18</end>
      <status>unmodified</status>
      <modifiedWord/>
      <trackRevisions>false</trackRevisions>
    </reviewItem>
    <reviewItem>
      <errorID>32ee9212-34c1-4b52-91cb-f1f9b81b6e9b</errorID>
      <errorWord>(</errorWord>
      <group>L1_Format</group>
      <groupName>格式问题</groupName>
      <ability>L2_HalfPunc</ability>
      <abilityName>全半角检查</abilityName>
      <candidateList>
        <item>（</item>
      </candidateList>
      <explain>文本全半角错误。</explain>
      <paraID>18542EA7</paraID>
      <start>8</start>
      <end>9</end>
      <status>unmodified</status>
      <modifiedWord/>
      <trackRevisions>false</trackRevisions>
    </reviewItem>
    <reviewItem>
      <errorID>c298c772-0e71-44fb-823a-15ac77f36b58</errorID>
      <errorWord>)</errorWord>
      <group>L1_Format</group>
      <groupName>格式问题</groupName>
      <ability>L2_HalfPunc</ability>
      <abilityName>全半角检查</abilityName>
      <candidateList>
        <item>）</item>
      </candidateList>
      <explain>文本全半角错误。</explain>
      <paraID>18542EA7</paraID>
      <start>12</start>
      <end>13</end>
      <status>unmodified</status>
      <modifiedWord/>
      <trackRevisions>false</trackRevisions>
    </reviewItem>
    <reviewItem>
      <errorID>12e7c448-4caa-4848-a9b1-0055391f3648</errorID>
      <errorWord>(</errorWord>
      <group>L1_Format</group>
      <groupName>格式问题</groupName>
      <ability>L2_HalfPunc</ability>
      <abilityName>全半角检查</abilityName>
      <candidateList>
        <item>（</item>
      </candidateList>
      <explain>文本全半角错误。</explain>
      <paraID>18542EA7</paraID>
      <start>28</start>
      <end>29</end>
      <status>unmodified</status>
      <modifiedWord/>
      <trackRevisions>false</trackRevisions>
    </reviewItem>
    <reviewItem>
      <errorID>0cb244e2-6ce2-4927-9aa6-0020e4808321</errorID>
      <errorWord>)</errorWord>
      <group>L1_Format</group>
      <groupName>格式问题</groupName>
      <ability>L2_HalfPunc</ability>
      <abilityName>全半角检查</abilityName>
      <candidateList>
        <item>）</item>
      </candidateList>
      <explain>文本全半角错误。</explain>
      <paraID>18542EA7</paraID>
      <start>43</start>
      <end>44</end>
      <status>unmodified</status>
      <modifiedWord/>
      <trackRevisions>false</trackRevisions>
    </reviewItem>
    <reviewItem>
      <errorID>80117d69-d0cf-4408-8ad8-a74482d56b79</errorID>
      <errorWord>(</errorWord>
      <group>L1_Format</group>
      <groupName>格式问题</groupName>
      <ability>L2_HalfPunc</ability>
      <abilityName>全半角检查</abilityName>
      <candidateList>
        <item>（</item>
      </candidateList>
      <explain>文本全半角错误。</explain>
      <paraID> CA671E3</paraID>
      <start>8</start>
      <end>9</end>
      <status>unmodified</status>
      <modifiedWord/>
      <trackRevisions>false</trackRevisions>
    </reviewItem>
    <reviewItem>
      <errorID>c9ca7266-8619-4713-8400-e8b847631434</errorID>
      <errorWord>)</errorWord>
      <group>L1_Format</group>
      <groupName>格式问题</groupName>
      <ability>L2_HalfPunc</ability>
      <abilityName>全半角检查</abilityName>
      <candidateList>
        <item>）</item>
      </candidateList>
      <explain>文本全半角错误。</explain>
      <paraID> CA671E3</paraID>
      <start>12</start>
      <end>13</end>
      <status>unmodified</status>
      <modifiedWord/>
      <trackRevisions>false</trackRevisions>
    </reviewItem>
    <reviewItem>
      <errorID>46c235d6-eeed-4151-bf90-7cdf9a76d3c0</errorID>
      <errorWord>(</errorWord>
      <group>L1_Format</group>
      <groupName>格式问题</groupName>
      <ability>L2_HalfPunc</ability>
      <abilityName>全半角检查</abilityName>
      <candidateList>
        <item>（</item>
      </candidateList>
      <explain>文本全半角错误。</explain>
      <paraID> CA671E3</paraID>
      <start>26</start>
      <end>27</end>
      <status>unmodified</status>
      <modifiedWord/>
      <trackRevisions>false</trackRevisions>
    </reviewItem>
    <reviewItem>
      <errorID>44418e9b-ed34-4078-885a-f458b32fc2db</errorID>
      <errorWord>)</errorWord>
      <group>L1_Format</group>
      <groupName>格式问题</groupName>
      <ability>L2_HalfPunc</ability>
      <abilityName>全半角检查</abilityName>
      <candidateList>
        <item>）</item>
      </candidateList>
      <explain>文本全半角错误。</explain>
      <paraID> CA671E3</paraID>
      <start>41</start>
      <end>42</end>
      <status>unmodified</status>
      <modifiedWord/>
      <trackRevisions>false</trackRevisions>
    </reviewItem>
    <reviewItem>
      <errorID>a37e561e-2c77-4fa7-937f-a8375c10f050</errorID>
      <errorWord>(</errorWord>
      <group>L1_Format</group>
      <groupName>格式问题</groupName>
      <ability>L2_HalfPunc</ability>
      <abilityName>全半角检查</abilityName>
      <candidateList>
        <item>（</item>
      </candidateList>
      <explain>文本全半角错误。</explain>
      <paraID>59435094</paraID>
      <start>14</start>
      <end>15</end>
      <status>unmodified</status>
      <modifiedWord/>
      <trackRevisions>false</trackRevisions>
    </reviewItem>
    <reviewItem>
      <errorID>7941c376-7327-48e7-a3e8-93be5949c97a</errorID>
      <errorWord>,</errorWord>
      <group>L1_Format</group>
      <groupName>格式问题</groupName>
      <ability>L2_HalfPunc</ability>
      <abilityName>全半角检查</abilityName>
      <candidateList>
        <item>，</item>
      </candidateList>
      <explain>文本全半角错误。</explain>
      <paraID>59435094</paraID>
      <start>44</start>
      <end>45</end>
      <status>unmodified</status>
      <modifiedWord/>
      <trackRevisions>false</trackRevisions>
    </reviewItem>
    <reviewItem>
      <errorID>eb36e695-57d9-4fb5-8120-5158a63725f5</errorID>
      <errorWord>,</errorWord>
      <group>L1_Format</group>
      <groupName>格式问题</groupName>
      <ability>L2_HalfPunc</ability>
      <abilityName>全半角检查</abilityName>
      <candidateList>
        <item>，</item>
      </candidateList>
      <explain>文本全半角错误。</explain>
      <paraID>59435094</paraID>
      <start>50</start>
      <end>51</end>
      <status>unmodified</status>
      <modifiedWord/>
      <trackRevisions>false</trackRevisions>
    </reviewItem>
    <reviewItem>
      <errorID>ca0d545b-5813-4e57-8a81-a86c4b07f8eb</errorID>
      <errorWord>,</errorWord>
      <group>L1_Format</group>
      <groupName>格式问题</groupName>
      <ability>L2_HalfPunc</ability>
      <abilityName>全半角检查</abilityName>
      <candidateList>
        <item>，</item>
      </candidateList>
      <explain>文本全半角错误。</explain>
      <paraID>59435094</paraID>
      <start>57</start>
      <end>58</end>
      <status>unmodified</status>
      <modifiedWord/>
      <trackRevisions>false</trackRevisions>
    </reviewItem>
    <reviewItem>
      <errorID>bd7bca74-f11c-4e4b-9df7-e6e04af252c8</errorID>
      <errorWord>,</errorWord>
      <group>L1_Format</group>
      <groupName>格式问题</groupName>
      <ability>L2_HalfPunc</ability>
      <abilityName>全半角检查</abilityName>
      <candidateList>
        <item>，</item>
      </candidateList>
      <explain>文本全半角错误。</explain>
      <paraID>59435094</paraID>
      <start>62</start>
      <end>63</end>
      <status>unmodified</status>
      <modifiedWord/>
      <trackRevisions>false</trackRevisions>
    </reviewItem>
    <reviewItem>
      <errorID>d3d18384-c40f-4022-acbc-7df1add151df</errorID>
      <errorWord>,</errorWord>
      <group>L1_Format</group>
      <groupName>格式问题</groupName>
      <ability>L2_HalfPunc</ability>
      <abilityName>全半角检查</abilityName>
      <candidateList>
        <item>，</item>
      </candidateList>
      <explain>文本全半角错误。</explain>
      <paraID>59435094</paraID>
      <start>67</start>
      <end>68</end>
      <status>unmodified</status>
      <modifiedWord/>
      <trackRevisions>false</trackRevisions>
    </reviewItem>
    <reviewItem>
      <errorID>208c69fa-2b29-48ba-9a5f-c6013f3c7f9e</errorID>
      <errorWord>)</errorWord>
      <group>L1_Format</group>
      <groupName>格式问题</groupName>
      <ability>L2_HalfPunc</ability>
      <abilityName>全半角检查</abilityName>
      <candidateList>
        <item>）</item>
      </candidateList>
      <explain>文本全半角错误。</explain>
      <paraID>59435094</paraID>
      <start>85</start>
      <end>86</end>
      <status>unmodified</status>
      <modifiedWord/>
      <trackRevisions>false</trackRevisions>
    </reviewItem>
    <reviewItem>
      <errorID>cd43b520-3580-4430-8c59-e00df60263b5</errorID>
      <errorWord>,</errorWord>
      <group>L1_Format</group>
      <groupName>格式问题</groupName>
      <ability>L2_HalfPunc</ability>
      <abilityName>全半角检查</abilityName>
      <candidateList>
        <item>，</item>
      </candidateList>
      <explain>文本全半角错误。</explain>
      <paraID>2F228994</paraID>
      <start>14</start>
      <end>15</end>
      <status>unmodified</status>
      <modifiedWord/>
      <trackRevisions>false</trackRevisions>
    </reviewItem>
    <reviewItem>
      <errorID>5302dbc5-ff90-48f8-aeea-7801e103863e</errorID>
      <errorWord>矩</errorWord>
      <group>L1_Word</group>
      <groupName>字词问题</groupName>
      <ability>L2_Typo</ability>
      <abilityName>字词错误</abilityName>
      <candidateList>
        <item>炬</item>
      </candidateList>
      <explain>存在发音相同字词的误用。</explain>
      <paraID>56F04559</paraID>
      <start>2</start>
      <end>3</end>
      <status>unmodified</status>
      <modifiedWord/>
      <trackRevisions>false</trackRevisions>
    </reviewItem>
    <reviewItem>
      <errorID>5e9793b8-d171-48cf-a542-fb2dad68c3f8</errorID>
      <errorWord>(</errorWord>
      <group>L1_Format</group>
      <groupName>格式问题</groupName>
      <ability>L2_HalfPunc</ability>
      <abilityName>全半角检查</abilityName>
      <candidateList>
        <item>（</item>
      </candidateList>
      <explain>文本全半角错误。</explain>
      <paraID> 9B822F5</paraID>
      <start>18</start>
      <end>19</end>
      <status>unmodified</status>
      <modifiedWord/>
      <trackRevisions>false</trackRevisions>
    </reviewItem>
    <reviewItem>
      <errorID>64c371b0-f366-4b21-9ddc-50715c586e00</errorID>
      <errorWord>)</errorWord>
      <group>L1_Format</group>
      <groupName>格式问题</groupName>
      <ability>L2_HalfPunc</ability>
      <abilityName>全半角检查</abilityName>
      <candidateList>
        <item>）</item>
      </candidateList>
      <explain>文本全半角错误。</explain>
      <paraID> 9B822F5</paraID>
      <start>41</start>
      <end>42</end>
      <status>unmodified</status>
      <modifiedWord/>
      <trackRevisions>false</trackRevisions>
    </reviewItem>
    <reviewItem>
      <errorID>b0dbb77e-9017-49e1-9496-5e140333c0b0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1406AD13</paraID>
      <start>9</start>
      <end>10</end>
      <status>unmodified</status>
      <modifiedWord/>
      <trackRevisions>false</trackRevisions>
    </reviewItem>
    <reviewItem>
      <errorID>524718e6-6e91-40dc-b1fb-31b6b7e3ac16</errorID>
      <errorWord>调档位</errorWord>
      <group>L1_Word</group>
      <groupName>字词问题</groupName>
      <ability>L2_Typo</ability>
      <abilityName>字词错误</abilityName>
      <candidateList>
        <item>调挡位</item>
      </candidateList>
      <explain/>
      <paraID> 7A01C96</paraID>
      <start>15</start>
      <end>18</end>
      <status>unmodified</status>
      <modifiedWord/>
      <trackRevisions>false</trackRevisions>
    </reviewItem>
    <reviewItem>
      <errorID>d3cfc189-e92a-4b18-bc26-c112c1a9e223</errorID>
      <errorWord>20%-80%</errorWord>
      <group>L1_Knowledge</group>
      <groupName>知识性问题</groupName>
      <ability>L2_Knowledge</ability>
      <abilityName>其他知识</abilityName>
      <candidateList>
        <item>20%—80%</item>
      </candidateList>
      <explain>1. “20%-80%”中的单位“%”仅出现在后一个数字上，容易引起歧义；根据《现代汉语标点符号数字用法规范手册》，数字表示范围两边需要使用统一的格式。2. 根据标点国标 4.13 中的规则，数字、时间或地域连接符应使用（视觉上更长的）“—”或“～”。</explain>
      <paraID>4FB78222</paraID>
      <start>8</start>
      <end>15</end>
      <status>unmodified</status>
      <modifiedWord/>
      <trackRevisions>false</trackRevisions>
    </reviewItem>
    <reviewItem>
      <errorID>141a37f5-2a97-4778-9a97-eac9651562b8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2EC5CF4C</paraID>
      <start>39</start>
      <end>40</end>
      <status>unmodified</status>
      <modifiedWord/>
      <trackRevisions>false</trackRevisions>
    </reviewItem>
    <reviewItem>
      <errorID>b60ce875-8d7b-4452-9afe-a4de25217808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57309B</paraID>
      <start>11</start>
      <end>12</end>
      <status>unmodified</status>
      <modifiedWord/>
      <trackRevisions>false</trackRevisions>
    </reviewItem>
    <reviewItem>
      <errorID>2ab03c95-269c-4471-b27f-687de8631131</errorID>
      <errorWord>MV</errorWord>
      <group>L1_Official</group>
      <groupName>公文问题</groupName>
      <ability>L2_Official</ability>
      <abilityName>公文问题</abilityName>
      <candidateList/>
      <explain>公文中禁止出现该词语</explain>
      <paraID>33177B1D</paraID>
      <start>22</start>
      <end>24</end>
      <status>unmodified</status>
      <modifiedWord/>
      <trackRevisions>false</trackRevisions>
    </reviewItem>
    <reviewItem>
      <errorID>350a773d-f069-49e4-839f-82e5f80809df</errorID>
      <errorWord>需具备</errorWord>
      <group>L1_Word</group>
      <groupName>字词问题</groupName>
      <ability>L2_Typo</ability>
      <abilityName>字词错误</abilityName>
      <candidateList>
        <item>须具备</item>
      </candidateList>
      <explain/>
      <paraID>16C26D3A</paraID>
      <start>11</start>
      <end>14</end>
      <status>unmodified</status>
      <modifiedWord/>
      <trackRevisions>false</trackRevisions>
    </reviewItem>
    <reviewItem>
      <errorID>88f3f688-bac3-43e5-b6bb-5ea8e5d86a5a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1326BEFD</paraID>
      <start>0</start>
      <end>2</end>
      <status>unmodified</status>
      <modifiedWord/>
      <trackRevisions>false</trackRevisions>
    </reviewItem>
    <reviewItem>
      <errorID>4ea2ce4a-99d6-4305-bb7a-8694299a0bf4</errorID>
      <errorWord>作出</errorWord>
      <group>L1_Word</group>
      <groupName>字词问题</groupName>
      <ability>L2_Typo</ability>
      <abilityName>字词错误</abilityName>
      <candidateList>
        <item>做出</item>
      </candidateList>
      <explain/>
      <paraID> A598846</paraID>
      <start>40</start>
      <end>42</end>
      <status>unmodified</status>
      <modifiedWord/>
      <trackRevisions>false</trackRevisions>
    </reviewItem>
    <reviewItem>
      <errorID>e238b5e6-4de5-401c-8e87-2ea65ff9eb45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2DAFB907</paraID>
      <start>0</start>
      <end>2</end>
      <status>unmodified</status>
      <modifiedWord/>
      <trackRevisions>false</trackRevisions>
    </reviewItem>
    <reviewItem>
      <errorID>9f2077e7-5d4d-4ea6-a9ae-a6b21c326ea0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108B5C50</paraID>
      <start>0</start>
      <end>2</end>
      <status>unmodified</status>
      <modifiedWord/>
      <trackRevisions>false</trackRevisions>
    </reviewItem>
    <reviewItem>
      <errorID>f6f3c9d9-16ec-454e-bb7b-0bc505fb2c84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36CF710A</paraID>
      <start>0</start>
      <end>2</end>
      <status>unmodified</status>
      <modifiedWord/>
      <trackRevisions>false</trackRevisions>
    </reviewItem>
    <reviewItem>
      <errorID>0936f300-0b88-4386-8cd4-3941f4d11422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6FCAEAC4</paraID>
      <start>0</start>
      <end>2</end>
      <status>unmodified</status>
      <modifiedWord/>
      <trackRevisions>false</trackRevisions>
    </reviewItem>
    <reviewItem>
      <errorID>58438ef6-55e4-4d76-b16f-e7c5849cc8ba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443B074C</paraID>
      <start>0</start>
      <end>2</end>
      <status>unmodified</status>
      <modifiedWord/>
      <trackRevisions>false</trackRevisions>
    </reviewItem>
    <reviewItem>
      <errorID>c888540e-c7f4-4f6d-a552-e0e44e09c573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1146EE92</paraID>
      <start>0</start>
      <end>2</end>
      <status>unmodified</status>
      <modifiedWord/>
      <trackRevisions>false</trackRevisions>
    </reviewItem>
    <reviewItem>
      <errorID>c335d115-22cc-40a0-ba10-74a7ae801f62</errorID>
      <errorWord>其它</errorWord>
      <group>L1_Word</group>
      <groupName>字词问题</groupName>
      <ability>L2_Alias</ability>
      <abilityName>也作/曾用词</abilityName>
      <candidateList>
        <item>其他</item>
      </candidateList>
      <explain>词汇[其它]为不规范表述或旧称，其规范书面表述为[其他]。</explain>
      <paraID>3E942631</paraID>
      <start>3</start>
      <end>5</end>
      <status>unmodified</status>
      <modifiedWord/>
      <trackRevisions>false</trackRevisions>
    </reviewItem>
    <reviewItem>
      <errorID>f835c1e4-843a-4f07-9c7f-1a86ca5189ef</errorID>
      <errorWord>；</errorWord>
      <group>L1_Word</group>
      <groupName>字词问题</groupName>
      <ability>L2_Typo</ability>
      <abilityName>字词错误</abilityName>
      <candidateList>
        <item>；在</item>
      </candidateList>
      <explain/>
      <paraID>6F2EBA41</paraID>
      <start>101</start>
      <end>102</end>
      <status>unmodified</status>
      <modifiedWord/>
      <trackRevisions>false</trackRevisions>
    </reviewItem>
    <reviewItem>
      <errorID>5e57bff5-8ad4-4526-a298-e943564eca88</errorID>
      <errorWord>人</errorWord>
      <group>L1_Word</group>
      <groupName>字词问题</groupName>
      <ability>L2_Typo</ability>
      <abilityName>字词错误</abilityName>
      <candidateList>
        <item>人提</item>
      </candidateList>
      <explain/>
      <paraID>6F2EBA41</paraID>
      <start>153</start>
      <end>154</end>
      <status>unmodified</status>
      <modifiedWord/>
      <trackRevisions>false</trackRevisions>
    </reviewItem>
    <reviewItem>
      <errorID>c87b1a77-828f-410a-ae3c-b7e2d78e1951</errorID>
      <errorWord>解</errorWord>
      <group>L1_Word</group>
      <groupName>字词问题</groupName>
      <ability>L2_Typo</ability>
      <abilityName>字词错误</abilityName>
      <candidateList>
        <item>解决</item>
      </candidateList>
      <explain>〈动〉❶处理问题使有结果：～困难｜～问题｜～矛盾。❷消灭（坏人）：残余匪徒全给～了。</explain>
      <paraID>76F10A57</paraID>
      <start>32</start>
      <end>33</end>
      <status>unmodified</status>
      <modifiedWord/>
      <trackRevisions>false</trackRevisions>
    </reviewItem>
    <reviewItem>
      <errorID>7662645c-3fd5-461a-8f43-7ed3ec131a54</errorID>
      <errorWord>其它</errorWord>
      <group>L1_Word</group>
      <groupName>字词问题</groupName>
      <ability>L2_Alias</ability>
      <abilityName>也作/曾用词</abilityName>
      <candidateList>
        <item>其他</item>
      </candidateList>
      <explain>词汇[其它]为不规范表述或旧称，其规范书面表述为[其他]。</explain>
      <paraID>57898324</paraID>
      <start>42</start>
      <end>44</end>
      <status>unmodified</status>
      <modifiedWord/>
      <trackRevisions>false</trackRevisions>
    </reviewItem>
    <reviewItem>
      <errorID>73076278-29af-47e7-8f74-8b8a812ee473</errorID>
      <errorWord>做</errorWord>
      <group>L1_Word</group>
      <groupName>字词问题</groupName>
      <ability>L2_Typo</ability>
      <abilityName>字词错误</abilityName>
      <candidateList>
        <item>作</item>
      </candidateList>
      <explain>存在发音相同字词的误用。</explain>
      <paraID>5DEB59C4</paraID>
      <start>54</start>
      <end>55</end>
      <status>unmodified</status>
      <modifiedWord/>
      <trackRevisions>false</trackRevisions>
    </reviewItem>
    <reviewItem>
      <errorID>ae2ee395-a877-4c1a-800b-33f9bbcd37df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7613416D</paraID>
      <start>0</start>
      <end>2</end>
      <status>unmodified</status>
      <modifiedWord/>
      <trackRevisions>false</trackRevisions>
    </reviewItem>
    <reviewItem>
      <errorID>e1b6e62b-4e24-47cf-9747-bb7eca5c320c</errorID>
      <errorWord>作出</errorWord>
      <group>L1_Word</group>
      <groupName>字词问题</groupName>
      <ability>L2_Typo</ability>
      <abilityName>字词错误</abilityName>
      <candidateList>
        <item>做出</item>
      </candidateList>
      <explain/>
      <paraID>6BDB1834</paraID>
      <start>40</start>
      <end>42</end>
      <status>unmodified</status>
      <modifiedWord/>
      <trackRevisions>false</trackRevisions>
    </reviewItem>
    <reviewItem>
      <errorID>a1999224-ee49-40ab-83ce-bd61eb535f84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781B64CB</paraID>
      <start>0</start>
      <end>2</end>
      <status>unmodified</status>
      <modifiedWord/>
      <trackRevisions>false</trackRevisions>
    </reviewItem>
    <reviewItem>
      <errorID>67b9f104-6973-4a61-bbfb-e947fac506c0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57DA5165</paraID>
      <start>0</start>
      <end>2</end>
      <status>unmodified</status>
      <modifiedWord/>
      <trackRevisions>false</trackRevisions>
    </reviewItem>
    <reviewItem>
      <errorID>3d1861bc-1b4a-40fa-a491-d36391a37b2d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40EF636C</paraID>
      <start>0</start>
      <end>2</end>
      <status>unmodified</status>
      <modifiedWord/>
      <trackRevisions>false</trackRevisions>
    </reviewItem>
    <reviewItem>
      <errorID>6fca9010-f596-4539-be1f-74398d89a519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3588AB77</paraID>
      <start>0</start>
      <end>2</end>
      <status>unmodified</status>
      <modifiedWord/>
      <trackRevisions>false</trackRevisions>
    </reviewItem>
    <reviewItem>
      <errorID>ba7486e9-ea8d-43cd-8723-da7c24bf3419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36BB7E71</paraID>
      <start>0</start>
      <end>2</end>
      <status>unmodified</status>
      <modifiedWord/>
      <trackRevisions>false</trackRevisions>
    </reviewItem>
    <reviewItem>
      <errorID>4755de70-38a2-4fd6-b6c7-b38eeda96c95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1E0B3C6E</paraID>
      <start>0</start>
      <end>2</end>
      <status>unmodified</status>
      <modifiedWord/>
      <trackRevisions>false</trackRevisions>
    </reviewItem>
    <reviewItem>
      <errorID>f75b5863-9b75-41e0-b0ce-ebe807a92718</errorID>
      <errorWord>其它</errorWord>
      <group>L1_Word</group>
      <groupName>字词问题</groupName>
      <ability>L2_Alias</ability>
      <abilityName>也作/曾用词</abilityName>
      <candidateList>
        <item>其他</item>
      </candidateList>
      <explain>词汇[其它]为不规范表述或旧称，其规范书面表述为[其他]。</explain>
      <paraID>21D1D307</paraID>
      <start>3</start>
      <end>5</end>
      <status>unmodified</status>
      <modifiedWord/>
      <trackRevisions>false</trackRevisions>
    </reviewItem>
    <reviewItem>
      <errorID>19524fd6-9869-41a8-9080-e886dd8425af</errorID>
      <errorWord>；</errorWord>
      <group>L1_Word</group>
      <groupName>字词问题</groupName>
      <ability>L2_Typo</ability>
      <abilityName>字词错误</abilityName>
      <candidateList>
        <item>；在</item>
      </candidateList>
      <explain/>
      <paraID>11923779</paraID>
      <start>101</start>
      <end>102</end>
      <status>unmodified</status>
      <modifiedWord/>
      <trackRevisions>false</trackRevisions>
    </reviewItem>
    <reviewItem>
      <errorID>7f7e8a92-2340-4fbf-a4e8-d3a33a4e9789</errorID>
      <errorWord>人</errorWord>
      <group>L1_Word</group>
      <groupName>字词问题</groupName>
      <ability>L2_Typo</ability>
      <abilityName>字词错误</abilityName>
      <candidateList>
        <item>人提</item>
      </candidateList>
      <explain/>
      <paraID>11923779</paraID>
      <start>153</start>
      <end>154</end>
      <status>unmodified</status>
      <modifiedWord/>
      <trackRevisions>false</trackRevisions>
    </reviewItem>
    <reviewItem>
      <errorID>c27845e7-e9c8-4883-833a-da32cb0537f7</errorID>
      <errorWord>解</errorWord>
      <group>L1_Word</group>
      <groupName>字词问题</groupName>
      <ability>L2_Typo</ability>
      <abilityName>字词错误</abilityName>
      <candidateList>
        <item>解决</item>
      </candidateList>
      <explain>〈动〉❶处理问题使有结果：～困难｜～问题｜～矛盾。❷消灭（坏人）：残余匪徒全给～了。</explain>
      <paraID>  4D3604</paraID>
      <start>32</start>
      <end>33</end>
      <status>unmodified</status>
      <modifiedWord/>
      <trackRevisions>false</trackRevisions>
    </reviewItem>
    <reviewItem>
      <errorID>6e5ab8dd-6f62-4cd3-b3bb-9cafe2d63c51</errorID>
      <errorWord>其它</errorWord>
      <group>L1_Word</group>
      <groupName>字词问题</groupName>
      <ability>L2_Alias</ability>
      <abilityName>也作/曾用词</abilityName>
      <candidateList>
        <item>其他</item>
      </candidateList>
      <explain>词汇[其它]为不规范表述或旧称，其规范书面表述为[其他]。</explain>
      <paraID>709A2EE8</paraID>
      <start>42</start>
      <end>44</end>
      <status>unmodified</status>
      <modifiedWord/>
      <trackRevisions>false</trackRevisions>
    </reviewItem>
    <reviewItem>
      <errorID>99dacde3-f08d-42f0-af3d-d39a21e362ca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7C71355</paraID>
      <start>0</start>
      <end>2</end>
      <status>unmodified</status>
      <modifiedWord/>
      <trackRevisions>false</trackRevisions>
    </reviewItem>
    <reviewItem>
      <errorID>eac9962b-f051-4f8c-ad17-9e5106cf7b23</errorID>
      <errorWord>作出</errorWord>
      <group>L1_Word</group>
      <groupName>字词问题</groupName>
      <ability>L2_Typo</ability>
      <abilityName>字词错误</abilityName>
      <candidateList>
        <item>做出</item>
      </candidateList>
      <explain/>
      <paraID>22C147F3</paraID>
      <start>40</start>
      <end>42</end>
      <status>unmodified</status>
      <modifiedWord/>
      <trackRevisions>false</trackRevisions>
    </reviewItem>
    <reviewItem>
      <errorID>90786ecf-7e58-4252-bad4-bb9a78a635d0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74AB5049</paraID>
      <start>0</start>
      <end>2</end>
      <status>unmodified</status>
      <modifiedWord/>
      <trackRevisions>false</trackRevisions>
    </reviewItem>
    <reviewItem>
      <errorID>e62c4b00-7c6d-4d85-8f82-60259bd45a31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550AAD97</paraID>
      <start>0</start>
      <end>2</end>
      <status>unmodified</status>
      <modifiedWord/>
      <trackRevisions>false</trackRevisions>
    </reviewItem>
    <reviewItem>
      <errorID>177bcb45-7d1d-4d6e-92bc-11a11ce79071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38A60AE8</paraID>
      <start>0</start>
      <end>2</end>
      <status>unmodified</status>
      <modifiedWord/>
      <trackRevisions>false</trackRevisions>
    </reviewItem>
    <reviewItem>
      <errorID>c8a3df0d-4190-4d39-99b9-ac6201e1eee9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25EB9DBB</paraID>
      <start>0</start>
      <end>2</end>
      <status>unmodified</status>
      <modifiedWord/>
      <trackRevisions>false</trackRevisions>
    </reviewItem>
    <reviewItem>
      <errorID>ef346747-e598-48c9-bbc7-bf5e5fdac4e7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5208EA92</paraID>
      <start>0</start>
      <end>2</end>
      <status>unmodified</status>
      <modifiedWord/>
      <trackRevisions>false</trackRevisions>
    </reviewItem>
    <reviewItem>
      <errorID>9c015bab-3d5c-4bf4-b4d1-c76dca464cd2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3E034958</paraID>
      <start>0</start>
      <end>2</end>
      <status>unmodified</status>
      <modifiedWord/>
      <trackRevisions>false</trackRevisions>
    </reviewItem>
    <reviewItem>
      <errorID>f94c2e5c-9e53-433e-b1af-9a9f26bb1ad0</errorID>
      <errorWord>其它</errorWord>
      <group>L1_Word</group>
      <groupName>字词问题</groupName>
      <ability>L2_Alias</ability>
      <abilityName>也作/曾用词</abilityName>
      <candidateList>
        <item>其他</item>
      </candidateList>
      <explain>词汇[其它]为不规范表述或旧称，其规范书面表述为[其他]。</explain>
      <paraID>71E99DCA</paraID>
      <start>3</start>
      <end>5</end>
      <status>unmodified</status>
      <modifiedWord/>
      <trackRevisions>false</trackRevisions>
    </reviewItem>
    <reviewItem>
      <errorID>83322f51-cfe4-4d15-a911-1af750022c1c</errorID>
      <errorWord>；</errorWord>
      <group>L1_Word</group>
      <groupName>字词问题</groupName>
      <ability>L2_Typo</ability>
      <abilityName>字词错误</abilityName>
      <candidateList>
        <item>；在</item>
      </candidateList>
      <explain/>
      <paraID> 8B472AF</paraID>
      <start>101</start>
      <end>102</end>
      <status>unmodified</status>
      <modifiedWord/>
      <trackRevisions>false</trackRevisions>
    </reviewItem>
    <reviewItem>
      <errorID>164d600c-61a6-4ed4-98d3-7d8441873309</errorID>
      <errorWord>人</errorWord>
      <group>L1_Word</group>
      <groupName>字词问题</groupName>
      <ability>L2_Typo</ability>
      <abilityName>字词错误</abilityName>
      <candidateList>
        <item>人提</item>
      </candidateList>
      <explain/>
      <paraID> 8B472AF</paraID>
      <start>153</start>
      <end>154</end>
      <status>unmodified</status>
      <modifiedWord/>
      <trackRevisions>false</trackRevisions>
    </reviewItem>
    <reviewItem>
      <errorID>9195c443-94f7-40f2-9c77-ad349913c9a2</errorID>
      <errorWord>解</errorWord>
      <group>L1_Word</group>
      <groupName>字词问题</groupName>
      <ability>L2_Typo</ability>
      <abilityName>字词错误</abilityName>
      <candidateList>
        <item>解决</item>
      </candidateList>
      <explain>〈动〉❶处理问题使有结果：～困难｜～问题｜～矛盾。❷消灭（坏人）：残余匪徒全给～了。</explain>
      <paraID>6408473F</paraID>
      <start>32</start>
      <end>33</end>
      <status>unmodified</status>
      <modifiedWord/>
      <trackRevisions>false</trackRevisions>
    </reviewItem>
    <reviewItem>
      <errorID>dbd182f2-39d0-43db-b093-3c89e8102518</errorID>
      <errorWord>其它</errorWord>
      <group>L1_Word</group>
      <groupName>字词问题</groupName>
      <ability>L2_Alias</ability>
      <abilityName>也作/曾用词</abilityName>
      <candidateList>
        <item>其他</item>
      </candidateList>
      <explain>词汇[其它]为不规范表述或旧称，其规范书面表述为[其他]。</explain>
      <paraID>54DC871C</paraID>
      <start>42</start>
      <end>44</end>
      <status>unmodified</status>
      <modifiedWord/>
      <trackRevisions>false</trackRevisions>
    </reviewItem>
    <reviewItem>
      <errorID>45331402-e259-4c4d-8377-93ed5622da34</errorID>
      <errorWord>做</errorWord>
      <group>L1_Word</group>
      <groupName>字词问题</groupName>
      <ability>L2_Typo</ability>
      <abilityName>字词错误</abilityName>
      <candidateList>
        <item>作</item>
      </candidateList>
      <explain>存在发音相同字词的误用。</explain>
      <paraID>2D3C504E</paraID>
      <start>54</start>
      <end>55</end>
      <status>unmodified</status>
      <modifiedWord/>
      <trackRevisions>false</trackRevisions>
    </reviewItem>
    <reviewItem>
      <errorID>ff31a2a5-4a5e-4162-9115-08cfeaf4e71e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3B14CC85</paraID>
      <start>0</start>
      <end>2</end>
      <status>unmodified</status>
      <modifiedWord/>
      <trackRevisions>false</trackRevisions>
    </reviewItem>
    <reviewItem>
      <errorID>ca01e4f4-b3c5-4a71-bc6f-a7d0d1337443</errorID>
      <errorWord>作出</errorWord>
      <group>L1_Word</group>
      <groupName>字词问题</groupName>
      <ability>L2_Typo</ability>
      <abilityName>字词错误</abilityName>
      <candidateList>
        <item>做出</item>
      </candidateList>
      <explain/>
      <paraID>7B2AA234</paraID>
      <start>40</start>
      <end>42</end>
      <status>unmodified</status>
      <modifiedWord/>
      <trackRevisions>false</trackRevisions>
    </reviewItem>
    <reviewItem>
      <errorID>75ea7d7d-84d0-4449-ab31-32d0504e5cbd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65BED24F</paraID>
      <start>0</start>
      <end>2</end>
      <status>unmodified</status>
      <modifiedWord/>
      <trackRevisions>false</trackRevisions>
    </reviewItem>
    <reviewItem>
      <errorID>3a07db95-32db-4baf-a0e4-6c1d1c7be8fb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46722640</paraID>
      <start>0</start>
      <end>2</end>
      <status>unmodified</status>
      <modifiedWord/>
      <trackRevisions>false</trackRevisions>
    </reviewItem>
    <reviewItem>
      <errorID>79a392d5-e92d-4538-926c-a3bd6cd9c5d8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33BA63BD</paraID>
      <start>0</start>
      <end>2</end>
      <status>unmodified</status>
      <modifiedWord/>
      <trackRevisions>false</trackRevisions>
    </reviewItem>
    <reviewItem>
      <errorID>c7293823-c456-466c-a7e1-f89648e3bdb0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41CD33F2</paraID>
      <start>0</start>
      <end>2</end>
      <status>unmodified</status>
      <modifiedWord/>
      <trackRevisions>false</trackRevisions>
    </reviewItem>
    <reviewItem>
      <errorID>6a6af78e-d538-4f2f-9047-e8dd1cfa332f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7FD2CA6A</paraID>
      <start>0</start>
      <end>2</end>
      <status>unmodified</status>
      <modifiedWord/>
      <trackRevisions>false</trackRevisions>
    </reviewItem>
    <reviewItem>
      <errorID>6976ba57-d776-4d71-95a0-d36d4e30be4a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6083D05C</paraID>
      <start>0</start>
      <end>2</end>
      <status>unmodified</status>
      <modifiedWord/>
      <trackRevisions>false</trackRevisions>
    </reviewItem>
    <reviewItem>
      <errorID>5eb1b464-58f2-4247-905f-1597adbc1b24</errorID>
      <errorWord>其它</errorWord>
      <group>L1_Word</group>
      <groupName>字词问题</groupName>
      <ability>L2_Alias</ability>
      <abilityName>也作/曾用词</abilityName>
      <candidateList>
        <item>其他</item>
      </candidateList>
      <explain>词汇[其它]为不规范表述或旧称，其规范书面表述为[其他]。</explain>
      <paraID>62CBAECF</paraID>
      <start>3</start>
      <end>5</end>
      <status>unmodified</status>
      <modifiedWord/>
      <trackRevisions>false</trackRevisions>
    </reviewItem>
    <reviewItem>
      <errorID>fefed91b-20be-478f-af37-e29f0b1fe367</errorID>
      <errorWord>；</errorWord>
      <group>L1_Word</group>
      <groupName>字词问题</groupName>
      <ability>L2_Typo</ability>
      <abilityName>字词错误</abilityName>
      <candidateList>
        <item>；在</item>
      </candidateList>
      <explain/>
      <paraID>405D2003</paraID>
      <start>101</start>
      <end>102</end>
      <status>unmodified</status>
      <modifiedWord/>
      <trackRevisions>false</trackRevisions>
    </reviewItem>
    <reviewItem>
      <errorID>fde0bb41-4506-4bd5-99ef-c7707cd8cb17</errorID>
      <errorWord>人</errorWord>
      <group>L1_Word</group>
      <groupName>字词问题</groupName>
      <ability>L2_Typo</ability>
      <abilityName>字词错误</abilityName>
      <candidateList>
        <item>人提</item>
      </candidateList>
      <explain/>
      <paraID>405D2003</paraID>
      <start>153</start>
      <end>154</end>
      <status>unmodified</status>
      <modifiedWord/>
      <trackRevisions>false</trackRevisions>
    </reviewItem>
    <reviewItem>
      <errorID>0ee6afb3-c6b6-451e-af80-b574775e3294</errorID>
      <errorWord>解</errorWord>
      <group>L1_Word</group>
      <groupName>字词问题</groupName>
      <ability>L2_Typo</ability>
      <abilityName>字词错误</abilityName>
      <candidateList>
        <item>解决</item>
      </candidateList>
      <explain>〈动〉❶处理问题使有结果：～困难｜～问题｜～矛盾。❷消灭（坏人）：残余匪徒全给～了。</explain>
      <paraID>26D135F5</paraID>
      <start>32</start>
      <end>35</end>
      <status>modified</status>
      <modifiedWord>解决</modifiedWord>
      <trackRevisions>true</trackRevisions>
    </reviewItem>
    <reviewItem>
      <errorID>28c63016-0e15-46aa-8c91-fb879fe75ae8</errorID>
      <errorWord>其它</errorWord>
      <group>L1_Word</group>
      <groupName>字词问题</groupName>
      <ability>L2_Alias</ability>
      <abilityName>也作/曾用词</abilityName>
      <candidateList>
        <item>其他</item>
      </candidateList>
      <explain>词汇[其它]为不规范表述或旧称，其规范书面表述为[其他]。</explain>
      <paraID> F2F1A24</paraID>
      <start>42</start>
      <end>44</end>
      <status>unmodified</status>
      <modifiedWord/>
      <trackRevisions>false</trackRevisions>
    </reviewItem>
    <reviewItem>
      <errorID>a417e48c-9a1b-4dc3-8c4d-79dbf0d1102c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31DBD448</paraID>
      <start>0</start>
      <end>2</end>
      <status>unmodified</status>
      <modifiedWord/>
      <trackRevisions>false</trackRevisions>
    </reviewItem>
    <reviewItem>
      <errorID>c4fe8fcf-7591-4f60-ba0e-24c37b877c18</errorID>
      <errorWord>作出</errorWord>
      <group>L1_Word</group>
      <groupName>字词问题</groupName>
      <ability>L2_Typo</ability>
      <abilityName>字词错误</abilityName>
      <candidateList>
        <item>做出</item>
      </candidateList>
      <explain/>
      <paraID>358578D1</paraID>
      <start>40</start>
      <end>42</end>
      <status>unmodified</status>
      <modifiedWord/>
      <trackRevisions>false</trackRevisions>
    </reviewItem>
    <reviewItem>
      <errorID>40ac2ae4-996b-43e0-81f1-a942c7ba398f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777BA60F</paraID>
      <start>0</start>
      <end>2</end>
      <status>unmodified</status>
      <modifiedWord/>
      <trackRevisions>false</trackRevisions>
    </reviewItem>
    <reviewItem>
      <errorID>070969fe-6232-4713-9fd5-f54046001f3b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63A71037</paraID>
      <start>0</start>
      <end>2</end>
      <status>unmodified</status>
      <modifiedWord/>
      <trackRevisions>false</trackRevisions>
    </reviewItem>
    <reviewItem>
      <errorID>5c1de076-b313-46e7-9f94-aaff94cb5c2e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4114FE06</paraID>
      <start>0</start>
      <end>2</end>
      <status>unmodified</status>
      <modifiedWord/>
      <trackRevisions>false</trackRevisions>
    </reviewItem>
    <reviewItem>
      <errorID>2dafc6d3-9df2-4e11-a289-18ac37b5057d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1956E71B</paraID>
      <start>0</start>
      <end>2</end>
      <status>unmodified</status>
      <modifiedWord/>
      <trackRevisions>false</trackRevisions>
    </reviewItem>
    <reviewItem>
      <errorID>2c4fee5f-dafb-4741-93f3-f05048bb8fa4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1A8AA74A</paraID>
      <start>0</start>
      <end>2</end>
      <status>unmodified</status>
      <modifiedWord/>
      <trackRevisions>false</trackRevisions>
    </reviewItem>
    <reviewItem>
      <errorID>39e61459-b6d1-4857-86bc-deeda6ad5667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22CF0D29</paraID>
      <start>0</start>
      <end>2</end>
      <status>unmodified</status>
      <modifiedWord/>
      <trackRevisions>false</trackRevisions>
    </reviewItem>
    <reviewItem>
      <errorID>2750ebe3-bbaf-4af7-ae40-4e122012ed57</errorID>
      <errorWord>其它</errorWord>
      <group>L1_Word</group>
      <groupName>字词问题</groupName>
      <ability>L2_Alias</ability>
      <abilityName>也作/曾用词</abilityName>
      <candidateList>
        <item>其他</item>
      </candidateList>
      <explain>词汇[其它]为不规范表述或旧称，其规范书面表述为[其他]。</explain>
      <paraID>19F25065</paraID>
      <start>3</start>
      <end>5</end>
      <status>unmodified</status>
      <modifiedWord/>
      <trackRevisions>false</trackRevisions>
    </reviewItem>
    <reviewItem>
      <errorID>1f2d6a6b-b563-4f2c-a36e-500223e4f76f</errorID>
      <errorWord>；</errorWord>
      <group>L1_Word</group>
      <groupName>字词问题</groupName>
      <ability>L2_Typo</ability>
      <abilityName>字词错误</abilityName>
      <candidateList>
        <item>；在</item>
      </candidateList>
      <explain/>
      <paraID>5E8621E0</paraID>
      <start>101</start>
      <end>102</end>
      <status>unmodified</status>
      <modifiedWord/>
      <trackRevisions>false</trackRevisions>
    </reviewItem>
    <reviewItem>
      <errorID>d555cf07-bf96-4f7a-aac6-affd7effade9</errorID>
      <errorWord>人</errorWord>
      <group>L1_Word</group>
      <groupName>字词问题</groupName>
      <ability>L2_Typo</ability>
      <abilityName>字词错误</abilityName>
      <candidateList>
        <item>人提</item>
      </candidateList>
      <explain/>
      <paraID>5E8621E0</paraID>
      <start>153</start>
      <end>154</end>
      <status>unmodified</status>
      <modifiedWord/>
      <trackRevisions>false</trackRevisions>
    </reviewItem>
    <reviewItem>
      <errorID>0ed3e417-4677-4a84-aaec-02b90e487bb4</errorID>
      <errorWord>解</errorWord>
      <group>L1_Word</group>
      <groupName>字词问题</groupName>
      <ability>L2_Typo</ability>
      <abilityName>字词错误</abilityName>
      <candidateList>
        <item>解决</item>
      </candidateList>
      <explain>〈动〉❶处理问题使有结果：～困难｜～问题｜～矛盾。❷消灭（坏人）：残余匪徒全给～了。</explain>
      <paraID>1E83034C</paraID>
      <start>32</start>
      <end>35</end>
      <status>modified</status>
      <modifiedWord>解决</modifiedWord>
      <trackRevisions>true</trackRevisions>
    </reviewItem>
    <reviewItem>
      <errorID>158530e4-87ac-4e20-a539-194fe5580fc7</errorID>
      <errorWord>其它</errorWord>
      <group>L1_Word</group>
      <groupName>字词问题</groupName>
      <ability>L2_Alias</ability>
      <abilityName>也作/曾用词</abilityName>
      <candidateList>
        <item>其他</item>
      </candidateList>
      <explain>词汇[其它]为不规范表述或旧称，其规范书面表述为[其他]。</explain>
      <paraID>7ED3EB61</paraID>
      <start>42</start>
      <end>44</end>
      <status>unmodified</status>
      <modifiedWord/>
      <trackRevisions>false</trackRevisions>
    </reviewItem>
    <reviewItem>
      <errorID>d324cfd6-a59f-49ca-be43-ce922ac8523b</errorID>
      <errorWord>做</errorWord>
      <group>L1_Word</group>
      <groupName>字词问题</groupName>
      <ability>L2_Typo</ability>
      <abilityName>字词错误</abilityName>
      <candidateList>
        <item>作</item>
      </candidateList>
      <explain>存在发音相同字词的误用。</explain>
      <paraID>7D7075F5</paraID>
      <start>54</start>
      <end>55</end>
      <status>unmodified</status>
      <modifiedWord/>
      <trackRevisions>false</trackRevisions>
    </reviewItem>
    <reviewItem>
      <errorID>ca5626a3-1981-4372-a93f-0698cefb3e15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7737847C</paraID>
      <start>0</start>
      <end>2</end>
      <status>unmodified</status>
      <modifiedWord/>
      <trackRevisions>false</trackRevisions>
    </reviewItem>
    <reviewItem>
      <errorID>3d84ee86-3f14-4013-9de9-e02c8097b9b5</errorID>
      <errorWord>作出</errorWord>
      <group>L1_Word</group>
      <groupName>字词问题</groupName>
      <ability>L2_Typo</ability>
      <abilityName>字词错误</abilityName>
      <candidateList>
        <item>做出</item>
      </candidateList>
      <explain/>
      <paraID>409A7661</paraID>
      <start>40</start>
      <end>42</end>
      <status>unmodified</status>
      <modifiedWord/>
      <trackRevisions>false</trackRevisions>
    </reviewItem>
    <reviewItem>
      <errorID>66055254-a47c-4253-8e33-a1ca01c77295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6362BC5F</paraID>
      <start>0</start>
      <end>2</end>
      <status>unmodified</status>
      <modifiedWord/>
      <trackRevisions>false</trackRevisions>
    </reviewItem>
    <reviewItem>
      <errorID>4594cb6c-99ef-47d8-8966-d8a6d6c626e7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59D242A0</paraID>
      <start>0</start>
      <end>2</end>
      <status>unmodified</status>
      <modifiedWord/>
      <trackRevisions>false</trackRevisions>
    </reviewItem>
    <reviewItem>
      <errorID>85c4d625-616b-40a5-9b39-bdd407bb916c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20273AB2</paraID>
      <start>0</start>
      <end>2</end>
      <status>unmodified</status>
      <modifiedWord/>
      <trackRevisions>false</trackRevisions>
    </reviewItem>
    <reviewItem>
      <errorID>466fb20c-e852-4057-bead-6737c697cb9f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54F31011</paraID>
      <start>0</start>
      <end>2</end>
      <status>unmodified</status>
      <modifiedWord/>
      <trackRevisions>false</trackRevisions>
    </reviewItem>
    <reviewItem>
      <errorID>b3865d14-1bb1-438e-a0a4-8085a642943e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43FD8E10</paraID>
      <start>0</start>
      <end>2</end>
      <status>unmodified</status>
      <modifiedWord/>
      <trackRevisions>false</trackRevisions>
    </reviewItem>
    <reviewItem>
      <errorID>1f2d7901-644a-40e3-ad71-a86fdc7a57b9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6B7F0EF7</paraID>
      <start>0</start>
      <end>2</end>
      <status>unmodified</status>
      <modifiedWord/>
      <trackRevisions>false</trackRevisions>
    </reviewItem>
    <reviewItem>
      <errorID>44e4a42c-49ca-4dba-a02d-3e4aa45cd26b</errorID>
      <errorWord>其它</errorWord>
      <group>L1_Word</group>
      <groupName>字词问题</groupName>
      <ability>L2_Alias</ability>
      <abilityName>也作/曾用词</abilityName>
      <candidateList>
        <item>其他</item>
      </candidateList>
      <explain>词汇[其它]为不规范表述或旧称，其规范书面表述为[其他]。</explain>
      <paraID>37A3030D</paraID>
      <start>3</start>
      <end>5</end>
      <status>unmodified</status>
      <modifiedWord/>
      <trackRevisions>false</trackRevisions>
    </reviewItem>
    <reviewItem>
      <errorID>ff71b8b0-82c1-4189-8975-5d4dd57925f9</errorID>
      <errorWord>；</errorWord>
      <group>L1_Word</group>
      <groupName>字词问题</groupName>
      <ability>L2_Typo</ability>
      <abilityName>字词错误</abilityName>
      <candidateList>
        <item>；在</item>
      </candidateList>
      <explain/>
      <paraID>74E233E5</paraID>
      <start>101</start>
      <end>102</end>
      <status>unmodified</status>
      <modifiedWord/>
      <trackRevisions>false</trackRevisions>
    </reviewItem>
    <reviewItem>
      <errorID>f0e8c5d7-92c8-4cc6-96ec-40d258882a2a</errorID>
      <errorWord>人</errorWord>
      <group>L1_Word</group>
      <groupName>字词问题</groupName>
      <ability>L2_Typo</ability>
      <abilityName>字词错误</abilityName>
      <candidateList>
        <item>人提</item>
      </candidateList>
      <explain/>
      <paraID>74E233E5</paraID>
      <start>153</start>
      <end>154</end>
      <status>unmodified</status>
      <modifiedWord/>
      <trackRevisions>false</trackRevisions>
    </reviewItem>
    <reviewItem>
      <errorID>61accebe-bf9f-41a8-8bb3-4b7062c08787</errorID>
      <errorWord>解</errorWord>
      <group>L1_Word</group>
      <groupName>字词问题</groupName>
      <ability>L2_Typo</ability>
      <abilityName>字词错误</abilityName>
      <candidateList>
        <item>解决</item>
      </candidateList>
      <explain>〈动〉❶处理问题使有结果：～困难｜～问题｜～矛盾。❷消灭（坏人）：残余匪徒全给～了。</explain>
      <paraID>6A97CC4E</paraID>
      <start>32</start>
      <end>35</end>
      <status>modified</status>
      <modifiedWord>解决</modifiedWord>
      <trackRevisions>true</trackRevisions>
    </reviewItem>
    <reviewItem>
      <errorID>4a842012-73d4-4952-8502-6976358a9bad</errorID>
      <errorWord>其它</errorWord>
      <group>L1_Word</group>
      <groupName>字词问题</groupName>
      <ability>L2_Alias</ability>
      <abilityName>也作/曾用词</abilityName>
      <candidateList>
        <item>其他</item>
      </candidateList>
      <explain>词汇[其它]为不规范表述或旧称，其规范书面表述为[其他]。</explain>
      <paraID>14600202</paraID>
      <start>42</start>
      <end>44</end>
      <status>unmodified</status>
      <modifiedWord/>
      <trackRevisions>false</trackRevisions>
    </reviewItem>
    <reviewItem>
      <errorID>ae90081c-e8a8-4312-a35e-5fe7c30abc0a</errorID>
      <errorWord>(</errorWord>
      <group>L1_Format</group>
      <groupName>格式问题</groupName>
      <ability>L2_HalfPunc</ability>
      <abilityName>全半角检查</abilityName>
      <candidateList>
        <item>（</item>
      </candidateList>
      <explain>文本全半角错误。</explain>
      <paraID>66D99723</paraID>
      <start>15</start>
      <end>16</end>
      <status>unmodified</status>
      <modifiedWord/>
      <trackRevisions>false</trackRevisions>
    </reviewItem>
    <reviewItem>
      <errorID>cf8bee75-4c1f-4c69-b03e-b8f63dcea436</errorID>
      <errorWord>)</errorWord>
      <group>L1_Format</group>
      <groupName>格式问题</groupName>
      <ability>L2_HalfPunc</ability>
      <abilityName>全半角检查</abilityName>
      <candidateList>
        <item>）</item>
      </candidateList>
      <explain>文本全半角错误。</explain>
      <paraID>66D99723</paraID>
      <start>26</start>
      <end>27</end>
      <status>unmodified</status>
      <modifiedWord/>
      <trackRevisions>false</trackRevisions>
    </reviewItem>
    <reviewItem>
      <errorID>18fd4257-dfbe-4f04-96e3-f80695baa295</errorID>
      <errorWord>(</errorWord>
      <group>L1_Format</group>
      <groupName>格式问题</groupName>
      <ability>L2_HalfPunc</ability>
      <abilityName>全半角检查</abilityName>
      <candidateList>
        <item>（</item>
      </candidateList>
      <explain>文本全半角错误。</explain>
      <paraID>3016000E</paraID>
      <start>15</start>
      <end>16</end>
      <status>unmodified</status>
      <modifiedWord/>
      <trackRevisions>false</trackRevisions>
    </reviewItem>
    <reviewItem>
      <errorID>7ade8029-120e-4daa-939a-00b19fa3ea1d</errorID>
      <errorWord>)</errorWord>
      <group>L1_Format</group>
      <groupName>格式问题</groupName>
      <ability>L2_HalfPunc</ability>
      <abilityName>全半角检查</abilityName>
      <candidateList>
        <item>）</item>
      </candidateList>
      <explain>文本全半角错误。</explain>
      <paraID>3016000E</paraID>
      <start>26</start>
      <end>27</end>
      <status>unmodified</status>
      <modifiedWord/>
      <trackRevisions>false</trackRevisions>
    </reviewItem>
    <reviewItem>
      <errorID>01028a1d-29af-4e33-94ff-a514c7a091e1</errorID>
      <errorWord>＜</errorWord>
      <group>L1_Format</group>
      <groupName>格式问题</groupName>
      <ability>L2_HalfPunc</ability>
      <abilityName>全半角检查</abilityName>
      <candidateList>
        <item>&lt;</item>
      </candidateList>
      <explain>文本全半角错误。</explain>
      <paraID>33350643</paraID>
      <start>5</start>
      <end>6</end>
      <status>unmodified</status>
      <modifiedWord/>
      <trackRevisions>false</trackRevisions>
    </reviewItem>
    <reviewItem>
      <errorID>aecf9d89-d8c1-4fcb-85a6-a27433400126</errorID>
      <errorWord>＜</errorWord>
      <group>L1_Format</group>
      <groupName>格式问题</groupName>
      <ability>L2_HalfPunc</ability>
      <abilityName>全半角检查</abilityName>
      <candidateList>
        <item>&lt;</item>
      </candidateList>
      <explain>文本全半角错误。</explain>
      <paraID>5395C89B</paraID>
      <start>4</start>
      <end>5</end>
      <status>unmodified</status>
      <modifiedWord/>
      <trackRevisions>false</trackRevisions>
    </reviewItem>
    <reviewItem>
      <errorID>0d382b26-0013-4fb9-95b6-188580d3a1d2</errorID>
      <errorWord>＜</errorWord>
      <group>L1_Format</group>
      <groupName>格式问题</groupName>
      <ability>L2_HalfPunc</ability>
      <abilityName>全半角检查</abilityName>
      <candidateList>
        <item>&lt;</item>
      </candidateList>
      <explain>文本全半角错误。</explain>
      <paraID> 6FE56ED</paraID>
      <start>1</start>
      <end>2</end>
      <status>unmodified</status>
      <modifiedWord/>
      <trackRevisions>false</trackRevisions>
    </reviewItem>
    <reviewItem>
      <errorID>14ef1eb5-d3bd-4f69-bd35-f75fd7385ac2</errorID>
      <errorWord>＜</errorWord>
      <group>L1_Format</group>
      <groupName>格式问题</groupName>
      <ability>L2_HalfPunc</ability>
      <abilityName>全半角检查</abilityName>
      <candidateList>
        <item>&lt;</item>
      </candidateList>
      <explain>文本全半角错误。</explain>
      <paraID>15BE5860</paraID>
      <start>5</start>
      <end>6</end>
      <status>unmodified</status>
      <modifiedWord/>
      <trackRevisions>false</trackRevisions>
    </reviewItem>
    <reviewItem>
      <errorID>533da763-579f-44c0-b2b0-50ff532745fb</errorID>
      <errorWord>＜</errorWord>
      <group>L1_Format</group>
      <groupName>格式问题</groupName>
      <ability>L2_HalfPunc</ability>
      <abilityName>全半角检查</abilityName>
      <candidateList>
        <item>&lt;</item>
      </candidateList>
      <explain>文本全半角错误。</explain>
      <paraID>5E77848F</paraID>
      <start>4</start>
      <end>5</end>
      <status>unmodified</status>
      <modifiedWord/>
      <trackRevisions>false</trackRevisions>
    </reviewItem>
    <reviewItem>
      <errorID>451f3939-b9d2-47e0-b845-523700664ee6</errorID>
      <errorWord>＜</errorWord>
      <group>L1_Format</group>
      <groupName>格式问题</groupName>
      <ability>L2_HalfPunc</ability>
      <abilityName>全半角检查</abilityName>
      <candidateList>
        <item>&lt;</item>
      </candidateList>
      <explain>文本全半角错误。</explain>
      <paraID> 5DA02D4</paraID>
      <start>1</start>
      <end>2</end>
      <status>unmodified</status>
      <modifiedWord/>
      <trackRevisions>false</trackRevisions>
    </reviewItem>
    <reviewItem>
      <errorID>e774aa82-f655-40d6-b68d-1c025f407ae9</errorID>
      <errorWord>＜</errorWord>
      <group>L1_Format</group>
      <groupName>格式问题</groupName>
      <ability>L2_HalfPunc</ability>
      <abilityName>全半角检查</abilityName>
      <candidateList>
        <item>&lt;</item>
      </candidateList>
      <explain>文本全半角错误。</explain>
      <paraID>49AFF3B8</paraID>
      <start>6</start>
      <end>7</end>
      <status>unmodified</status>
      <modifiedWord/>
      <trackRevisions>false</trackRevisions>
    </reviewItem>
    <reviewItem>
      <errorID>a3955126-5240-4828-a078-a0381e3d4016</errorID>
      <errorWord>＜</errorWord>
      <group>L1_Format</group>
      <groupName>格式问题</groupName>
      <ability>L2_HalfPunc</ability>
      <abilityName>全半角检查</abilityName>
      <candidateList>
        <item>&lt;</item>
      </candidateList>
      <explain>文本全半角错误。</explain>
      <paraID>7B62B4EE</paraID>
      <start>5</start>
      <end>6</end>
      <status>unmodified</status>
      <modifiedWord/>
      <trackRevisions>false</trackRevisions>
    </reviewItem>
    <reviewItem>
      <errorID>3db04e30-e2ce-445f-8aed-eca33d7dd715</errorID>
      <errorWord>＜</errorWord>
      <group>L1_Format</group>
      <groupName>格式问题</groupName>
      <ability>L2_HalfPunc</ability>
      <abilityName>全半角检查</abilityName>
      <candidateList>
        <item>&lt;</item>
      </candidateList>
      <explain>文本全半角错误。</explain>
      <paraID>522BF6D2</paraID>
      <start>1</start>
      <end>2</end>
      <status>unmodified</status>
      <modifiedWord/>
      <trackRevisions>false</trackRevisions>
    </reviewItem>
    <reviewItem>
      <errorID>2bba56cc-f88b-42bb-affb-36ff89c2e6a8</errorID>
      <errorWord>＜</errorWord>
      <group>L1_Format</group>
      <groupName>格式问题</groupName>
      <ability>L2_HalfPunc</ability>
      <abilityName>全半角检查</abilityName>
      <candidateList>
        <item>&lt;</item>
      </candidateList>
      <explain>文本全半角错误。</explain>
      <paraID>7F789262</paraID>
      <start>6</start>
      <end>7</end>
      <status>unmodified</status>
      <modifiedWord/>
      <trackRevisions>false</trackRevisions>
    </reviewItem>
    <reviewItem>
      <errorID>9f7a7244-1380-4cb5-9c90-dc33970036df</errorID>
      <errorWord>＜</errorWord>
      <group>L1_Format</group>
      <groupName>格式问题</groupName>
      <ability>L2_HalfPunc</ability>
      <abilityName>全半角检查</abilityName>
      <candidateList>
        <item>&lt;</item>
      </candidateList>
      <explain>文本全半角错误。</explain>
      <paraID>7BBC2A2C</paraID>
      <start>5</start>
      <end>6</end>
      <status>unmodified</status>
      <modifiedWord/>
      <trackRevisions>false</trackRevisions>
    </reviewItem>
    <reviewItem>
      <errorID>21dbfa98-b19e-40a6-8d8d-f01b0c35ea6e</errorID>
      <errorWord>＜</errorWord>
      <group>L1_Format</group>
      <groupName>格式问题</groupName>
      <ability>L2_HalfPunc</ability>
      <abilityName>全半角检查</abilityName>
      <candidateList>
        <item>&lt;</item>
      </candidateList>
      <explain>文本全半角错误。</explain>
      <paraID> F265238</paraID>
      <start>1</start>
      <end>2</end>
      <status>unmodified</status>
      <modifiedWord/>
      <trackRevisions>false</trackRevisions>
    </reviewItem>
    <reviewItem>
      <errorID>f12b2693-7267-4613-89da-ee30f192d394</errorID>
      <errorWord>＜</errorWord>
      <group>L1_Format</group>
      <groupName>格式问题</groupName>
      <ability>L2_HalfPunc</ability>
      <abilityName>全半角检查</abilityName>
      <candidateList>
        <item>&lt;</item>
      </candidateList>
      <explain>文本全半角错误。</explain>
      <paraID> 564D34B</paraID>
      <start>6</start>
      <end>7</end>
      <status>unmodified</status>
      <modifiedWord/>
      <trackRevisions>false</trackRevisions>
    </reviewItem>
    <reviewItem>
      <errorID>cab28494-8c63-4903-8f92-d2fcf61f6f40</errorID>
      <errorWord>＜</errorWord>
      <group>L1_Format</group>
      <groupName>格式问题</groupName>
      <ability>L2_HalfPunc</ability>
      <abilityName>全半角检查</abilityName>
      <candidateList>
        <item>&lt;</item>
      </candidateList>
      <explain>文本全半角错误。</explain>
      <paraID>62EDCB7A</paraID>
      <start>5</start>
      <end>6</end>
      <status>unmodified</status>
      <modifiedWord/>
      <trackRevisions>false</trackRevisions>
    </reviewItem>
    <reviewItem>
      <errorID>5d2fa13b-ab9f-49e3-8109-9b8aa8daec50</errorID>
      <errorWord>＜</errorWord>
      <group>L1_Format</group>
      <groupName>格式问题</groupName>
      <ability>L2_HalfPunc</ability>
      <abilityName>全半角检查</abilityName>
      <candidateList>
        <item>&lt;</item>
      </candidateList>
      <explain>文本全半角错误。</explain>
      <paraID>470607CD</paraID>
      <start>1</start>
      <end>2</end>
      <status>unmodified</status>
      <modifiedWord/>
      <trackRevisions>false</trackRevisions>
    </reviewItem>
    <reviewItem>
      <errorID>c902bf4d-b87f-425d-ad95-7a7f04de02ec</errorID>
      <errorWord>＜</errorWord>
      <group>L1_Format</group>
      <groupName>格式问题</groupName>
      <ability>L2_HalfPunc</ability>
      <abilityName>全半角检查</abilityName>
      <candidateList>
        <item>&lt;</item>
      </candidateList>
      <explain>文本全半角错误。</explain>
      <paraID>16B11AFE</paraID>
      <start>4</start>
      <end>5</end>
      <status>unmodified</status>
      <modifiedWord/>
      <trackRevisions>false</trackRevisions>
    </reviewItem>
    <reviewItem>
      <errorID>bec939ed-e8b0-4bf8-8dd2-fd4ebd326eca</errorID>
      <errorWord>＜</errorWord>
      <group>L1_Format</group>
      <groupName>格式问题</groupName>
      <ability>L2_HalfPunc</ability>
      <abilityName>全半角检查</abilityName>
      <candidateList>
        <item>&lt;</item>
      </candidateList>
      <explain>文本全半角错误。</explain>
      <paraID>38277519</paraID>
      <start>3</start>
      <end>4</end>
      <status>unmodified</status>
      <modifiedWord/>
      <trackRevisions>false</trackRevisions>
    </reviewItem>
    <reviewItem>
      <errorID>c7704e96-c9de-4678-87c6-748b2e3d732b</errorID>
      <errorWord>＜</errorWord>
      <group>L1_Format</group>
      <groupName>格式问题</groupName>
      <ability>L2_HalfPunc</ability>
      <abilityName>全半角检查</abilityName>
      <candidateList>
        <item>&lt;</item>
      </candidateList>
      <explain>文本全半角错误。</explain>
      <paraID> 56FC2D1</paraID>
      <start>1</start>
      <end>2</end>
      <status>unmodified</status>
      <modifiedWord/>
      <trackRevisions>false</trackRevisions>
    </reviewItem>
    <reviewItem>
      <errorID>f42ef0e0-ced0-439a-a95a-b7486b8d48ff</errorID>
      <errorWord>＜</errorWord>
      <group>L1_Format</group>
      <groupName>格式问题</groupName>
      <ability>L2_HalfPunc</ability>
      <abilityName>全半角检查</abilityName>
      <candidateList>
        <item>&lt;</item>
      </candidateList>
      <explain>文本全半角错误。</explain>
      <paraID>49ACD4BB</paraID>
      <start>6</start>
      <end>7</end>
      <status>unmodified</status>
      <modifiedWord/>
      <trackRevisions>false</trackRevisions>
    </reviewItem>
    <reviewItem>
      <errorID>bba2d880-20bd-4602-a4fb-dc600e8bba33</errorID>
      <errorWord>＜</errorWord>
      <group>L1_Format</group>
      <groupName>格式问题</groupName>
      <ability>L2_HalfPunc</ability>
      <abilityName>全半角检查</abilityName>
      <candidateList>
        <item>&lt;</item>
      </candidateList>
      <explain>文本全半角错误。</explain>
      <paraID>1528AF3D</paraID>
      <start>6</start>
      <end>7</end>
      <status>unmodified</status>
      <modifiedWord/>
      <trackRevisions>false</trackRevisions>
    </reviewItem>
    <reviewItem>
      <errorID>9e73dd25-06f3-42ff-a992-8ef20f82fa1b</errorID>
      <errorWord>＜</errorWord>
      <group>L1_Format</group>
      <groupName>格式问题</groupName>
      <ability>L2_HalfPunc</ability>
      <abilityName>全半角检查</abilityName>
      <candidateList>
        <item>&lt;</item>
      </candidateList>
      <explain>文本全半角错误。</explain>
      <paraID>74EE8026</paraID>
      <start>1</start>
      <end>2</end>
      <status>unmodified</status>
      <modifiedWord/>
      <trackRevisions>false</trackRevisions>
    </reviewItem>
    <reviewItem>
      <errorID>4e5d3599-dd11-4c6f-a69c-7393d479cca4</errorID>
      <errorWord>＜</errorWord>
      <group>L1_Format</group>
      <groupName>格式问题</groupName>
      <ability>L2_HalfPunc</ability>
      <abilityName>全半角检查</abilityName>
      <candidateList>
        <item>&lt;</item>
      </candidateList>
      <explain>文本全半角错误。</explain>
      <paraID>3943DEF0</paraID>
      <start>4</start>
      <end>5</end>
      <status>unmodified</status>
      <modifiedWord/>
      <trackRevisions>false</trackRevisions>
    </reviewItem>
    <reviewItem>
      <errorID>459bd55f-fcc9-46c0-9c90-6d42e6fb0f08</errorID>
      <errorWord>＜</errorWord>
      <group>L1_Format</group>
      <groupName>格式问题</groupName>
      <ability>L2_HalfPunc</ability>
      <abilityName>全半角检查</abilityName>
      <candidateList>
        <item>&lt;</item>
      </candidateList>
      <explain>文本全半角错误。</explain>
      <paraID> DC393AE</paraID>
      <start>4</start>
      <end>5</end>
      <status>unmodified</status>
      <modifiedWord/>
      <trackRevisions>false</trackRevisions>
    </reviewItem>
    <reviewItem>
      <errorID>550dad62-1f56-4549-92fe-cd0200777c4a</errorID>
      <errorWord>＜</errorWord>
      <group>L1_Format</group>
      <groupName>格式问题</groupName>
      <ability>L2_HalfPunc</ability>
      <abilityName>全半角检查</abilityName>
      <candidateList>
        <item>&lt;</item>
      </candidateList>
      <explain>文本全半角错误。</explain>
      <paraID>2650B4A0</paraID>
      <start>1</start>
      <end>2</end>
      <status>unmodified</status>
      <modifiedWord/>
      <trackRevisions>false</trackRevisions>
    </reviewItem>
    <reviewItem>
      <errorID>e8c84809-077b-45c9-9718-49632cbd595f</errorID>
      <errorWord>＜</errorWord>
      <group>L1_Format</group>
      <groupName>格式问题</groupName>
      <ability>L2_HalfPunc</ability>
      <abilityName>全半角检查</abilityName>
      <candidateList>
        <item>&lt;</item>
      </candidateList>
      <explain>文本全半角错误。</explain>
      <paraID>1E663F40</paraID>
      <start>5</start>
      <end>6</end>
      <status>unmodified</status>
      <modifiedWord/>
      <trackRevisions>false</trackRevisions>
    </reviewItem>
    <reviewItem>
      <errorID>0bf860fd-6fbe-44da-a3d4-d8464cc011dd</errorID>
      <errorWord>＜</errorWord>
      <group>L1_Format</group>
      <groupName>格式问题</groupName>
      <ability>L2_HalfPunc</ability>
      <abilityName>全半角检查</abilityName>
      <candidateList>
        <item>&lt;</item>
      </candidateList>
      <explain>文本全半角错误。</explain>
      <paraID>48762E8B</paraID>
      <start>5</start>
      <end>6</end>
      <status>unmodified</status>
      <modifiedWord/>
      <trackRevisions>false</trackRevisions>
    </reviewItem>
    <reviewItem>
      <errorID>78c04c95-354d-481e-be41-522dd494bc08</errorID>
      <errorWord>＜</errorWord>
      <group>L1_Format</group>
      <groupName>格式问题</groupName>
      <ability>L2_HalfPunc</ability>
      <abilityName>全半角检查</abilityName>
      <candidateList>
        <item>&lt;</item>
      </candidateList>
      <explain>文本全半角错误。</explain>
      <paraID>63B485AA</paraID>
      <start>1</start>
      <end>2</end>
      <status>unmodified</status>
      <modifiedWord/>
      <trackRevisions>false</trackRevisions>
    </reviewItem>
    <reviewItem>
      <errorID>3755e51d-8e1a-4ab6-8b60-993982b05951</errorID>
      <errorWord>＜</errorWord>
      <group>L1_Format</group>
      <groupName>格式问题</groupName>
      <ability>L2_HalfPunc</ability>
      <abilityName>全半角检查</abilityName>
      <candidateList>
        <item>&lt;</item>
      </candidateList>
      <explain>文本全半角错误。</explain>
      <paraID>1E2FE63E</paraID>
      <start>5</start>
      <end>6</end>
      <status>unmodified</status>
      <modifiedWord/>
      <trackRevisions>false</trackRevisions>
    </reviewItem>
    <reviewItem>
      <errorID>be035aa6-0700-480b-b3f9-4e84212c3168</errorID>
      <errorWord>＜</errorWord>
      <group>L1_Format</group>
      <groupName>格式问题</groupName>
      <ability>L2_HalfPunc</ability>
      <abilityName>全半角检查</abilityName>
      <candidateList>
        <item>&lt;</item>
      </candidateList>
      <explain>文本全半角错误。</explain>
      <paraID>1CA8940B</paraID>
      <start>4</start>
      <end>5</end>
      <status>unmodified</status>
      <modifiedWord/>
      <trackRevisions>false</trackRevisions>
    </reviewItem>
    <reviewItem>
      <errorID>40532087-c97b-4c53-9eb3-2f58ca33e47d</errorID>
      <errorWord>＜</errorWord>
      <group>L1_Format</group>
      <groupName>格式问题</groupName>
      <ability>L2_HalfPunc</ability>
      <abilityName>全半角检查</abilityName>
      <candidateList>
        <item>&lt;</item>
      </candidateList>
      <explain>文本全半角错误。</explain>
      <paraID>1F253504</paraID>
      <start>1</start>
      <end>2</end>
      <status>unmodified</status>
      <modifiedWord/>
      <trackRevisions>false</trackRevisions>
    </reviewItem>
    <reviewItem>
      <errorID>39ce030a-0256-47af-81c8-a561432d0e05</errorID>
      <errorWord>＜</errorWord>
      <group>L1_Format</group>
      <groupName>格式问题</groupName>
      <ability>L2_HalfPunc</ability>
      <abilityName>全半角检查</abilityName>
      <candidateList>
        <item>&lt;</item>
      </candidateList>
      <explain>文本全半角错误。</explain>
      <paraID>777F0280</paraID>
      <start>6</start>
      <end>7</end>
      <status>unmodified</status>
      <modifiedWord/>
      <trackRevisions>false</trackRevisions>
    </reviewItem>
    <reviewItem>
      <errorID>39d9d017-58eb-43de-9110-5815937986dd</errorID>
      <errorWord>＜</errorWord>
      <group>L1_Format</group>
      <groupName>格式问题</groupName>
      <ability>L2_HalfPunc</ability>
      <abilityName>全半角检查</abilityName>
      <candidateList>
        <item>&lt;</item>
      </candidateList>
      <explain>文本全半角错误。</explain>
      <paraID>7C950EBE</paraID>
      <start>5</start>
      <end>6</end>
      <status>unmodified</status>
      <modifiedWord/>
      <trackRevisions>false</trackRevisions>
    </reviewItem>
    <reviewItem>
      <errorID>98266c0f-828e-43ea-b9ed-3a9438f12a93</errorID>
      <errorWord>＜</errorWord>
      <group>L1_Format</group>
      <groupName>格式问题</groupName>
      <ability>L2_HalfPunc</ability>
      <abilityName>全半角检查</abilityName>
      <candidateList>
        <item>&lt;</item>
      </candidateList>
      <explain>文本全半角错误。</explain>
      <paraID>426669B2</paraID>
      <start>1</start>
      <end>2</end>
      <status>unmodified</status>
      <modifiedWord/>
      <trackRevisions>false</trackRevisions>
    </reviewItem>
    <reviewItem>
      <errorID>0a5b6287-d2af-4efa-80c0-d8ba5448e70c</errorID>
      <errorWord>＜</errorWord>
      <group>L1_Format</group>
      <groupName>格式问题</groupName>
      <ability>L2_HalfPunc</ability>
      <abilityName>全半角检查</abilityName>
      <candidateList>
        <item>&lt;</item>
      </candidateList>
      <explain>文本全半角错误。</explain>
      <paraID>1A751FF8</paraID>
      <start>5</start>
      <end>6</end>
      <status>unmodified</status>
      <modifiedWord/>
      <trackRevisions>false</trackRevisions>
    </reviewItem>
    <reviewItem>
      <errorID>a72b8a5a-35f7-4fad-a9dc-278aa7677dc5</errorID>
      <errorWord>＜</errorWord>
      <group>L1_Format</group>
      <groupName>格式问题</groupName>
      <ability>L2_HalfPunc</ability>
      <abilityName>全半角检查</abilityName>
      <candidateList>
        <item>&lt;</item>
      </candidateList>
      <explain>文本全半角错误。</explain>
      <paraID>7A80089E</paraID>
      <start>4</start>
      <end>5</end>
      <status>unmodified</status>
      <modifiedWord/>
      <trackRevisions>false</trackRevisions>
    </reviewItem>
    <reviewItem>
      <errorID>411dc100-5648-4607-9e9a-bf1bebc12547</errorID>
      <errorWord>＜</errorWord>
      <group>L1_Format</group>
      <groupName>格式问题</groupName>
      <ability>L2_HalfPunc</ability>
      <abilityName>全半角检查</abilityName>
      <candidateList>
        <item>&lt;</item>
      </candidateList>
      <explain>文本全半角错误。</explain>
      <paraID>1B2B0AFF</paraID>
      <start>1</start>
      <end>2</end>
      <status>unmodified</status>
      <modifiedWord/>
      <trackRevisions>false</trackRevisions>
    </reviewItem>
    <reviewItem>
      <errorID>55cbdcec-a9f0-43d0-a56a-74b62e340e76</errorID>
      <errorWord>＜</errorWord>
      <group>L1_Format</group>
      <groupName>格式问题</groupName>
      <ability>L2_HalfPunc</ability>
      <abilityName>全半角检查</abilityName>
      <candidateList>
        <item>&lt;</item>
      </candidateList>
      <explain>文本全半角错误。</explain>
      <paraID>3DBB9069</paraID>
      <start>6</start>
      <end>7</end>
      <status>unmodified</status>
      <modifiedWord/>
      <trackRevisions>false</trackRevisions>
    </reviewItem>
    <reviewItem>
      <errorID>7167f825-9da6-4323-8f0b-94782f0d1aac</errorID>
      <errorWord>＜</errorWord>
      <group>L1_Format</group>
      <groupName>格式问题</groupName>
      <ability>L2_HalfPunc</ability>
      <abilityName>全半角检查</abilityName>
      <candidateList>
        <item>&lt;</item>
      </candidateList>
      <explain>文本全半角错误。</explain>
      <paraID>7240D84C</paraID>
      <start>5</start>
      <end>6</end>
      <status>unmodified</status>
      <modifiedWord/>
      <trackRevisions>false</trackRevisions>
    </reviewItem>
    <reviewItem>
      <errorID>19af00d3-3bb2-4605-a51d-777433fb41ee</errorID>
      <errorWord>＜</errorWord>
      <group>L1_Format</group>
      <groupName>格式问题</groupName>
      <ability>L2_HalfPunc</ability>
      <abilityName>全半角检查</abilityName>
      <candidateList>
        <item>&lt;</item>
      </candidateList>
      <explain>文本全半角错误。</explain>
      <paraID>5F04BD95</paraID>
      <start>1</start>
      <end>2</end>
      <status>unmodified</status>
      <modifiedWord/>
      <trackRevisions>false</trackRevisions>
    </reviewItem>
    <reviewItem>
      <errorID>cb56685c-e15a-4163-aa26-f385c7900ece</errorID>
      <errorWord>＜</errorWord>
      <group>L1_Format</group>
      <groupName>格式问题</groupName>
      <ability>L2_HalfPunc</ability>
      <abilityName>全半角检查</abilityName>
      <candidateList>
        <item>&lt;</item>
      </candidateList>
      <explain>文本全半角错误。</explain>
      <paraID>6E2FD0A7</paraID>
      <start>5</start>
      <end>6</end>
      <status>unmodified</status>
      <modifiedWord/>
      <trackRevisions>false</trackRevisions>
    </reviewItem>
    <reviewItem>
      <errorID>ae2b615a-7ce4-47fb-bf00-f96ec54b735e</errorID>
      <errorWord>＜</errorWord>
      <group>L1_Format</group>
      <groupName>格式问题</groupName>
      <ability>L2_HalfPunc</ability>
      <abilityName>全半角检查</abilityName>
      <candidateList>
        <item>&lt;</item>
      </candidateList>
      <explain>文本全半角错误。</explain>
      <paraID>264FEAF8</paraID>
      <start>4</start>
      <end>5</end>
      <status>unmodified</status>
      <modifiedWord/>
      <trackRevisions>false</trackRevisions>
    </reviewItem>
    <reviewItem>
      <errorID>b9ca8fcd-99b2-42e5-b193-de0295aec7b0</errorID>
      <errorWord>＜</errorWord>
      <group>L1_Format</group>
      <groupName>格式问题</groupName>
      <ability>L2_HalfPunc</ability>
      <abilityName>全半角检查</abilityName>
      <candidateList>
        <item>&lt;</item>
      </candidateList>
      <explain>文本全半角错误。</explain>
      <paraID>75149026</paraID>
      <start>1</start>
      <end>2</end>
      <status>unmodified</status>
      <modifiedWord/>
      <trackRevisions>false</trackRevisions>
    </reviewItem>
    <reviewItem>
      <errorID>a9f3c425-5741-4dc2-ba35-96932758fb6a</errorID>
      <errorWord>＜</errorWord>
      <group>L1_Format</group>
      <groupName>格式问题</groupName>
      <ability>L2_HalfPunc</ability>
      <abilityName>全半角检查</abilityName>
      <candidateList>
        <item>&lt;</item>
      </candidateList>
      <explain>文本全半角错误。</explain>
      <paraID>285E4023</paraID>
      <start>6</start>
      <end>7</end>
      <status>unmodified</status>
      <modifiedWord/>
      <trackRevisions>false</trackRevisions>
    </reviewItem>
    <reviewItem>
      <errorID>90dde1fe-5bed-44f3-a978-bda860a782da</errorID>
      <errorWord>＜</errorWord>
      <group>L1_Format</group>
      <groupName>格式问题</groupName>
      <ability>L2_HalfPunc</ability>
      <abilityName>全半角检查</abilityName>
      <candidateList>
        <item>&lt;</item>
      </candidateList>
      <explain>文本全半角错误。</explain>
      <paraID>6BE93A7B</paraID>
      <start>5</start>
      <end>6</end>
      <status>unmodified</status>
      <modifiedWord/>
      <trackRevisions>false</trackRevisions>
    </reviewItem>
    <reviewItem>
      <errorID>e7d57d86-8f7d-4008-a956-214a5c7cf64a</errorID>
      <errorWord>＜</errorWord>
      <group>L1_Format</group>
      <groupName>格式问题</groupName>
      <ability>L2_HalfPunc</ability>
      <abilityName>全半角检查</abilityName>
      <candidateList>
        <item>&lt;</item>
      </candidateList>
      <explain>文本全半角错误。</explain>
      <paraID>140E84D0</paraID>
      <start>1</start>
      <end>2</end>
      <status>unmodified</status>
      <modifiedWord/>
      <trackRevisions>false</trackRevisions>
    </reviewItem>
    <reviewItem>
      <errorID>5ae6643e-e3e1-47d5-b33c-63da5ffe3dfa</errorID>
      <errorWord>＜</errorWord>
      <group>L1_Format</group>
      <groupName>格式问题</groupName>
      <ability>L2_HalfPunc</ability>
      <abilityName>全半角检查</abilityName>
      <candidateList>
        <item>&lt;</item>
      </candidateList>
      <explain>文本全半角错误。</explain>
      <paraID>31C3F92C</paraID>
      <start>5</start>
      <end>6</end>
      <status>unmodified</status>
      <modifiedWord/>
      <trackRevisions>false</trackRevisions>
    </reviewItem>
    <reviewItem>
      <errorID>4ad0a459-79d4-43d6-a2e3-4c6990d48a5e</errorID>
      <errorWord>＜</errorWord>
      <group>L1_Format</group>
      <groupName>格式问题</groupName>
      <ability>L2_HalfPunc</ability>
      <abilityName>全半角检查</abilityName>
      <candidateList>
        <item>&lt;</item>
      </candidateList>
      <explain>文本全半角错误。</explain>
      <paraID>39022065</paraID>
      <start>4</start>
      <end>5</end>
      <status>unmodified</status>
      <modifiedWord/>
      <trackRevisions>false</trackRevisions>
    </reviewItem>
    <reviewItem>
      <errorID>5a1e51db-b773-461b-be18-11892c0e7a6d</errorID>
      <errorWord>＜</errorWord>
      <group>L1_Format</group>
      <groupName>格式问题</groupName>
      <ability>L2_HalfPunc</ability>
      <abilityName>全半角检查</abilityName>
      <candidateList>
        <item>&lt;</item>
      </candidateList>
      <explain>文本全半角错误。</explain>
      <paraID>2E3B60C5</paraID>
      <start>1</start>
      <end>2</end>
      <status>unmodified</status>
      <modifiedWord/>
      <trackRevisions>false</trackRevisions>
    </reviewItem>
    <reviewItem>
      <errorID>efe1e78a-ed93-427f-b0b9-f84553e63382</errorID>
      <errorWord>＜</errorWord>
      <group>L1_Format</group>
      <groupName>格式问题</groupName>
      <ability>L2_HalfPunc</ability>
      <abilityName>全半角检查</abilityName>
      <candidateList>
        <item>&lt;</item>
      </candidateList>
      <explain>文本全半角错误。</explain>
      <paraID> 6A4511E</paraID>
      <start>6</start>
      <end>7</end>
      <status>unmodified</status>
      <modifiedWord/>
      <trackRevisions>false</trackRevisions>
    </reviewItem>
    <reviewItem>
      <errorID>46061d63-3e18-4c77-b0ea-03ceda0c31e4</errorID>
      <errorWord>＜</errorWord>
      <group>L1_Format</group>
      <groupName>格式问题</groupName>
      <ability>L2_HalfPunc</ability>
      <abilityName>全半角检查</abilityName>
      <candidateList>
        <item>&lt;</item>
      </candidateList>
      <explain>文本全半角错误。</explain>
      <paraID>1C14DED1</paraID>
      <start>5</start>
      <end>6</end>
      <status>unmodified</status>
      <modifiedWord/>
      <trackRevisions>false</trackRevisions>
    </reviewItem>
    <reviewItem>
      <errorID>bb63ae66-2705-428b-a324-0213bbe1b816</errorID>
      <errorWord>＜</errorWord>
      <group>L1_Format</group>
      <groupName>格式问题</groupName>
      <ability>L2_HalfPunc</ability>
      <abilityName>全半角检查</abilityName>
      <candidateList>
        <item>&lt;</item>
      </candidateList>
      <explain>文本全半角错误。</explain>
      <paraID> 2BDC3E0</paraID>
      <start>1</start>
      <end>2</end>
      <status>unmodified</status>
      <modifiedWord/>
      <trackRevisions>false</trackRevisions>
    </reviewItem>
    <reviewItem>
      <errorID>15f2f943-b8ec-4ef4-a580-e5a98423d39c</errorID>
      <errorWord>＜</errorWord>
      <group>L1_Format</group>
      <groupName>格式问题</groupName>
      <ability>L2_HalfPunc</ability>
      <abilityName>全半角检查</abilityName>
      <candidateList>
        <item>&lt;</item>
      </candidateList>
      <explain>文本全半角错误。</explain>
      <paraID>4E9B21D3</paraID>
      <start>5</start>
      <end>6</end>
      <status>unmodified</status>
      <modifiedWord/>
      <trackRevisions>false</trackRevisions>
    </reviewItem>
    <reviewItem>
      <errorID>ccd636c2-f551-49a5-a16e-a566461da64b</errorID>
      <errorWord>＜</errorWord>
      <group>L1_Format</group>
      <groupName>格式问题</groupName>
      <ability>L2_HalfPunc</ability>
      <abilityName>全半角检查</abilityName>
      <candidateList>
        <item>&lt;</item>
      </candidateList>
      <explain>文本全半角错误。</explain>
      <paraID>42B8CFBE</paraID>
      <start>4</start>
      <end>5</end>
      <status>unmodified</status>
      <modifiedWord/>
      <trackRevisions>false</trackRevisions>
    </reviewItem>
    <reviewItem>
      <errorID>dabf3f11-27de-4d02-b43a-c3a0f9209b2a</errorID>
      <errorWord>＜</errorWord>
      <group>L1_Format</group>
      <groupName>格式问题</groupName>
      <ability>L2_HalfPunc</ability>
      <abilityName>全半角检查</abilityName>
      <candidateList>
        <item>&lt;</item>
      </candidateList>
      <explain>文本全半角错误。</explain>
      <paraID>3AD41D6E</paraID>
      <start>1</start>
      <end>2</end>
      <status>unmodified</status>
      <modifiedWord/>
      <trackRevisions>false</trackRevisions>
    </reviewItem>
    <reviewItem>
      <errorID>d575f632-ecb8-43f7-a086-0e1d0b36e988</errorID>
      <errorWord>＜</errorWord>
      <group>L1_Format</group>
      <groupName>格式问题</groupName>
      <ability>L2_HalfPunc</ability>
      <abilityName>全半角检查</abilityName>
      <candidateList>
        <item>&lt;</item>
      </candidateList>
      <explain>文本全半角错误。</explain>
      <paraID>5474A970</paraID>
      <start>6</start>
      <end>7</end>
      <status>unmodified</status>
      <modifiedWord/>
      <trackRevisions>false</trackRevisions>
    </reviewItem>
    <reviewItem>
      <errorID>273689a5-b6a0-426e-9997-8952811510f6</errorID>
      <errorWord>＜</errorWord>
      <group>L1_Format</group>
      <groupName>格式问题</groupName>
      <ability>L2_HalfPunc</ability>
      <abilityName>全半角检查</abilityName>
      <candidateList>
        <item>&lt;</item>
      </candidateList>
      <explain>文本全半角错误。</explain>
      <paraID>14AFEB4A</paraID>
      <start>5</start>
      <end>6</end>
      <status>unmodified</status>
      <modifiedWord/>
      <trackRevisions>false</trackRevisions>
    </reviewItem>
    <reviewItem>
      <errorID>6d0a9723-07c5-495c-a256-856321430788</errorID>
      <errorWord>＜</errorWord>
      <group>L1_Format</group>
      <groupName>格式问题</groupName>
      <ability>L2_HalfPunc</ability>
      <abilityName>全半角检查</abilityName>
      <candidateList>
        <item>&lt;</item>
      </candidateList>
      <explain>文本全半角错误。</explain>
      <paraID>40C467BA</paraID>
      <start>1</start>
      <end>2</end>
      <status>unmodified</status>
      <modifiedWord/>
      <trackRevisions>false</trackRevisions>
    </reviewItem>
    <reviewItem>
      <errorID>ed232f4a-fd20-4fff-af46-f50bdf912c1a</errorID>
      <errorWord>＜</errorWord>
      <group>L1_Format</group>
      <groupName>格式问题</groupName>
      <ability>L2_HalfPunc</ability>
      <abilityName>全半角检查</abilityName>
      <candidateList>
        <item>&lt;</item>
      </candidateList>
      <explain>文本全半角错误。</explain>
      <paraID>2FE931B4</paraID>
      <start>5</start>
      <end>6</end>
      <status>unmodified</status>
      <modifiedWord/>
      <trackRevisions>false</trackRevisions>
    </reviewItem>
    <reviewItem>
      <errorID>2d3a303b-58c9-4532-b5bc-d21dc09a4fed</errorID>
      <errorWord>＜</errorWord>
      <group>L1_Format</group>
      <groupName>格式问题</groupName>
      <ability>L2_HalfPunc</ability>
      <abilityName>全半角检查</abilityName>
      <candidateList>
        <item>&lt;</item>
      </candidateList>
      <explain>文本全半角错误。</explain>
      <paraID>23125498</paraID>
      <start>4</start>
      <end>5</end>
      <status>unmodified</status>
      <modifiedWord/>
      <trackRevisions>false</trackRevisions>
    </reviewItem>
    <reviewItem>
      <errorID>91ed6cb1-d069-44d8-b5bd-a2c02aa80168</errorID>
      <errorWord>＜</errorWord>
      <group>L1_Format</group>
      <groupName>格式问题</groupName>
      <ability>L2_HalfPunc</ability>
      <abilityName>全半角检查</abilityName>
      <candidateList>
        <item>&lt;</item>
      </candidateList>
      <explain>文本全半角错误。</explain>
      <paraID>15681398</paraID>
      <start>1</start>
      <end>2</end>
      <status>unmodified</status>
      <modifiedWord/>
      <trackRevisions>false</trackRevisions>
    </reviewItem>
    <reviewItem>
      <errorID>cb1fa318-9504-4630-a675-6a623423ac55</errorID>
      <errorWord>＜</errorWord>
      <group>L1_Format</group>
      <groupName>格式问题</groupName>
      <ability>L2_HalfPunc</ability>
      <abilityName>全半角检查</abilityName>
      <candidateList>
        <item>&lt;</item>
      </candidateList>
      <explain>文本全半角错误。</explain>
      <paraID>6CE93E3B</paraID>
      <start>6</start>
      <end>7</end>
      <status>unmodified</status>
      <modifiedWord/>
      <trackRevisions>false</trackRevisions>
    </reviewItem>
    <reviewItem>
      <errorID>d45cab53-b99c-4bcf-ad90-58e5d3866d62</errorID>
      <errorWord>＜</errorWord>
      <group>L1_Format</group>
      <groupName>格式问题</groupName>
      <ability>L2_HalfPunc</ability>
      <abilityName>全半角检查</abilityName>
      <candidateList>
        <item>&lt;</item>
      </candidateList>
      <explain>文本全半角错误。</explain>
      <paraID>57209124</paraID>
      <start>5</start>
      <end>6</end>
      <status>unmodified</status>
      <modifiedWord/>
      <trackRevisions>false</trackRevisions>
    </reviewItem>
    <reviewItem>
      <errorID>bab89d10-5dac-4d34-8a64-0828ebc4e25e</errorID>
      <errorWord>＜</errorWord>
      <group>L1_Format</group>
      <groupName>格式问题</groupName>
      <ability>L2_HalfPunc</ability>
      <abilityName>全半角检查</abilityName>
      <candidateList>
        <item>&lt;</item>
      </candidateList>
      <explain>文本全半角错误。</explain>
      <paraID>29A2144D</paraID>
      <start>1</start>
      <end>2</end>
      <status>unmodified</status>
      <modifiedWord/>
      <trackRevisions>false</trackRevisions>
    </reviewItem>
    <reviewItem>
      <errorID>74e71d84-21e7-454f-b967-fcf40f1f1d20</errorID>
      <errorWord>＜</errorWord>
      <group>L1_Format</group>
      <groupName>格式问题</groupName>
      <ability>L2_HalfPunc</ability>
      <abilityName>全半角检查</abilityName>
      <candidateList>
        <item>&lt;</item>
      </candidateList>
      <explain>文本全半角错误。</explain>
      <paraID>52E96E0B</paraID>
      <start>5</start>
      <end>6</end>
      <status>unmodified</status>
      <modifiedWord/>
      <trackRevisions>false</trackRevisions>
    </reviewItem>
    <reviewItem>
      <errorID>c5c7ed67-569a-4b96-be47-85a8e3b66cfd</errorID>
      <errorWord>＜</errorWord>
      <group>L1_Format</group>
      <groupName>格式问题</groupName>
      <ability>L2_HalfPunc</ability>
      <abilityName>全半角检查</abilityName>
      <candidateList>
        <item>&lt;</item>
      </candidateList>
      <explain>文本全半角错误。</explain>
      <paraID>  9B07A2</paraID>
      <start>4</start>
      <end>5</end>
      <status>unmodified</status>
      <modifiedWord/>
      <trackRevisions>false</trackRevisions>
    </reviewItem>
    <reviewItem>
      <errorID>cb56cbae-1257-4fe5-b730-ebf73ade41e7</errorID>
      <errorWord>＜</errorWord>
      <group>L1_Format</group>
      <groupName>格式问题</groupName>
      <ability>L2_HalfPunc</ability>
      <abilityName>全半角检查</abilityName>
      <candidateList>
        <item>&lt;</item>
      </candidateList>
      <explain>文本全半角错误。</explain>
      <paraID>6BB6D45A</paraID>
      <start>1</start>
      <end>2</end>
      <status>unmodified</status>
      <modifiedWord/>
      <trackRevisions>false</trackRevisions>
    </reviewItem>
    <reviewItem>
      <errorID>edabff04-e879-4899-aa88-87d414cb5843</errorID>
      <errorWord>＜</errorWord>
      <group>L1_Format</group>
      <groupName>格式问题</groupName>
      <ability>L2_HalfPunc</ability>
      <abilityName>全半角检查</abilityName>
      <candidateList>
        <item>&lt;</item>
      </candidateList>
      <explain>文本全半角错误。</explain>
      <paraID> 56C16D2</paraID>
      <start>6</start>
      <end>7</end>
      <status>unmodified</status>
      <modifiedWord/>
      <trackRevisions>false</trackRevisions>
    </reviewItem>
    <reviewItem>
      <errorID>de1a4134-b328-4470-ace6-603ba708e12e</errorID>
      <errorWord>＜</errorWord>
      <group>L1_Format</group>
      <groupName>格式问题</groupName>
      <ability>L2_HalfPunc</ability>
      <abilityName>全半角检查</abilityName>
      <candidateList>
        <item>&lt;</item>
      </candidateList>
      <explain>文本全半角错误。</explain>
      <paraID> 6E15744</paraID>
      <start>4</start>
      <end>5</end>
      <status>unmodified</status>
      <modifiedWord/>
      <trackRevisions>false</trackRevisions>
    </reviewItem>
    <reviewItem>
      <errorID>b1ea56ea-66da-4ee5-a2c5-fd67e016152f</errorID>
      <errorWord>＜</errorWord>
      <group>L1_Format</group>
      <groupName>格式问题</groupName>
      <ability>L2_HalfPunc</ability>
      <abilityName>全半角检查</abilityName>
      <candidateList>
        <item>&lt;</item>
      </candidateList>
      <explain>文本全半角错误。</explain>
      <paraID> 89F0C22</paraID>
      <start>1</start>
      <end>2</end>
      <status>unmodified</status>
      <modifiedWord/>
      <trackRevisions>false</trackRevisions>
    </reviewItem>
    <reviewItem>
      <errorID>279cb6d8-dfbc-4642-b652-9b0d5c0b19cf</errorID>
      <errorWord>＜</errorWord>
      <group>L1_Format</group>
      <groupName>格式问题</groupName>
      <ability>L2_HalfPunc</ability>
      <abilityName>全半角检查</abilityName>
      <candidateList>
        <item>&lt;</item>
      </candidateList>
      <explain>文本全半角错误。</explain>
      <paraID>2B2BCB2B</paraID>
      <start>6</start>
      <end>7</end>
      <status>unmodified</status>
      <modifiedWord/>
      <trackRevisions>false</trackRevisions>
    </reviewItem>
    <reviewItem>
      <errorID>b59dba91-a364-4eff-adad-a83408da8d0a</errorID>
      <errorWord>＜</errorWord>
      <group>L1_Format</group>
      <groupName>格式问题</groupName>
      <ability>L2_HalfPunc</ability>
      <abilityName>全半角检查</abilityName>
      <candidateList>
        <item>&lt;</item>
      </candidateList>
      <explain>文本全半角错误。</explain>
      <paraID>7BFDDA45</paraID>
      <start>5</start>
      <end>6</end>
      <status>unmodified</status>
      <modifiedWord/>
      <trackRevisions>false</trackRevisions>
    </reviewItem>
    <reviewItem>
      <errorID>f6412896-3975-489c-962e-0a50366ed109</errorID>
      <errorWord>＜</errorWord>
      <group>L1_Format</group>
      <groupName>格式问题</groupName>
      <ability>L2_HalfPunc</ability>
      <abilityName>全半角检查</abilityName>
      <candidateList>
        <item>&lt;</item>
      </candidateList>
      <explain>文本全半角错误。</explain>
      <paraID>31C52F81</paraID>
      <start>1</start>
      <end>2</end>
      <status>unmodified</status>
      <modifiedWord/>
      <trackRevisions>false</trackRevisions>
    </reviewItem>
    <reviewItem>
      <errorID>7fda4185-ba61-4bfb-aa3a-e06ca1d13102</errorID>
      <errorWord>＜</errorWord>
      <group>L1_Format</group>
      <groupName>格式问题</groupName>
      <ability>L2_HalfPunc</ability>
      <abilityName>全半角检查</abilityName>
      <candidateList>
        <item>&lt;</item>
      </candidateList>
      <explain>文本全半角错误。</explain>
      <paraID> 4AD57E8</paraID>
      <start>6</start>
      <end>7</end>
      <status>unmodified</status>
      <modifiedWord/>
      <trackRevisions>false</trackRevisions>
    </reviewItem>
    <reviewItem>
      <errorID>d1f902d5-7961-46da-98d2-d1316444c2b9</errorID>
      <errorWord>＜</errorWord>
      <group>L1_Format</group>
      <groupName>格式问题</groupName>
      <ability>L2_HalfPunc</ability>
      <abilityName>全半角检查</abilityName>
      <candidateList>
        <item>&lt;</item>
      </candidateList>
      <explain>文本全半角错误。</explain>
      <paraID>35F19D27</paraID>
      <start>6</start>
      <end>7</end>
      <status>unmodified</status>
      <modifiedWord/>
      <trackRevisions>false</trackRevisions>
    </reviewItem>
    <reviewItem>
      <errorID>4ecc8023-08a6-4147-a49c-e8cdb92645b5</errorID>
      <errorWord>＜</errorWord>
      <group>L1_Format</group>
      <groupName>格式问题</groupName>
      <ability>L2_HalfPunc</ability>
      <abilityName>全半角检查</abilityName>
      <candidateList>
        <item>&lt;</item>
      </candidateList>
      <explain>文本全半角错误。</explain>
      <paraID> 423F30D</paraID>
      <start>1</start>
      <end>2</end>
      <status>unmodified</status>
      <modifiedWord/>
      <trackRevisions>false</trackRevisions>
    </reviewItem>
    <reviewItem>
      <errorID>2190921e-e6a3-4bf2-be72-4f1f63698390</errorID>
      <errorWord>＜</errorWord>
      <group>L1_Format</group>
      <groupName>格式问题</groupName>
      <ability>L2_HalfPunc</ability>
      <abilityName>全半角检查</abilityName>
      <candidateList>
        <item>&lt;</item>
      </candidateList>
      <explain>文本全半角错误。</explain>
      <paraID>1DFFD8BF</paraID>
      <start>5</start>
      <end>6</end>
      <status>unmodified</status>
      <modifiedWord/>
      <trackRevisions>false</trackRevisions>
    </reviewItem>
    <reviewItem>
      <errorID>d3de9b3d-2fb0-420e-b447-a4cf3444a323</errorID>
      <errorWord>＜</errorWord>
      <group>L1_Format</group>
      <groupName>格式问题</groupName>
      <ability>L2_HalfPunc</ability>
      <abilityName>全半角检查</abilityName>
      <candidateList>
        <item>&lt;</item>
      </candidateList>
      <explain>文本全半角错误。</explain>
      <paraID> E7749E4</paraID>
      <start>5</start>
      <end>6</end>
      <status>unmodified</status>
      <modifiedWord/>
      <trackRevisions>false</trackRevisions>
    </reviewItem>
    <reviewItem>
      <errorID>8d7b98b0-eb67-4fa8-8583-9f69fe84dba1</errorID>
      <errorWord>＜</errorWord>
      <group>L1_Format</group>
      <groupName>格式问题</groupName>
      <ability>L2_HalfPunc</ability>
      <abilityName>全半角检查</abilityName>
      <candidateList>
        <item>&lt;</item>
      </candidateList>
      <explain>文本全半角错误。</explain>
      <paraID>31B6B6E2</paraID>
      <start>1</start>
      <end>2</end>
      <status>unmodified</status>
      <modifiedWord/>
      <trackRevisions>false</trackRevisions>
    </reviewItem>
    <reviewItem>
      <errorID>64ed7233-ed12-4bc0-9532-06eeafe9a4ce</errorID>
      <errorWord>＜</errorWord>
      <group>L1_Format</group>
      <groupName>格式问题</groupName>
      <ability>L2_HalfPunc</ability>
      <abilityName>全半角检查</abilityName>
      <candidateList>
        <item>&lt;</item>
      </candidateList>
      <explain>文本全半角错误。</explain>
      <paraID>6A43F103</paraID>
      <start>6</start>
      <end>7</end>
      <status>unmodified</status>
      <modifiedWord/>
      <trackRevisions>false</trackRevisions>
    </reviewItem>
    <reviewItem>
      <errorID>ac0f3c34-9b46-4938-a5f4-1c585fd89328</errorID>
      <errorWord>＜</errorWord>
      <group>L1_Format</group>
      <groupName>格式问题</groupName>
      <ability>L2_HalfPunc</ability>
      <abilityName>全半角检查</abilityName>
      <candidateList>
        <item>&lt;</item>
      </candidateList>
      <explain>文本全半角错误。</explain>
      <paraID>67D6A50F</paraID>
      <start>5</start>
      <end>6</end>
      <status>unmodified</status>
      <modifiedWord/>
      <trackRevisions>false</trackRevisions>
    </reviewItem>
    <reviewItem>
      <errorID>900da26a-720c-44be-aecc-156edd4710e2</errorID>
      <errorWord>＜</errorWord>
      <group>L1_Format</group>
      <groupName>格式问题</groupName>
      <ability>L2_HalfPunc</ability>
      <abilityName>全半角检查</abilityName>
      <candidateList>
        <item>&lt;</item>
      </candidateList>
      <explain>文本全半角错误。</explain>
      <paraID> 986B278</paraID>
      <start>1</start>
      <end>2</end>
      <status>unmodified</status>
      <modifiedWord/>
      <trackRevisions>false</trackRevisions>
    </reviewItem>
    <reviewItem>
      <errorID>4588b73e-e00b-48af-8ea0-b8af254d88ff</errorID>
      <errorWord>＜</errorWord>
      <group>L1_Format</group>
      <groupName>格式问题</groupName>
      <ability>L2_HalfPunc</ability>
      <abilityName>全半角检查</abilityName>
      <candidateList>
        <item>&lt;</item>
      </candidateList>
      <explain>文本全半角错误。</explain>
      <paraID> 82A7AC2</paraID>
      <start>5</start>
      <end>6</end>
      <status>unmodified</status>
      <modifiedWord/>
      <trackRevisions>false</trackRevisions>
    </reviewItem>
    <reviewItem>
      <errorID>47d1e514-e249-4baa-910b-4369abca75f9</errorID>
      <errorWord>＜</errorWord>
      <group>L1_Format</group>
      <groupName>格式问题</groupName>
      <ability>L2_HalfPunc</ability>
      <abilityName>全半角检查</abilityName>
      <candidateList>
        <item>&lt;</item>
      </candidateList>
      <explain>文本全半角错误。</explain>
      <paraID>6C3F9CF2</paraID>
      <start>4</start>
      <end>5</end>
      <status>unmodified</status>
      <modifiedWord/>
      <trackRevisions>false</trackRevisions>
    </reviewItem>
    <reviewItem>
      <errorID>391e0cfd-d082-4ccf-928b-1b2b7d30788d</errorID>
      <errorWord>＜</errorWord>
      <group>L1_Format</group>
      <groupName>格式问题</groupName>
      <ability>L2_HalfPunc</ability>
      <abilityName>全半角检查</abilityName>
      <candidateList>
        <item>&lt;</item>
      </candidateList>
      <explain>文本全半角错误。</explain>
      <paraID>5AAEEC4D</paraID>
      <start>1</start>
      <end>2</end>
      <status>unmodified</status>
      <modifiedWord/>
      <trackRevisions>false</trackRevisions>
    </reviewItem>
    <reviewItem>
      <errorID>4da53cb9-45bb-4a65-9646-f07e3ed6e70c</errorID>
      <errorWord>＜</errorWord>
      <group>L1_Format</group>
      <groupName>格式问题</groupName>
      <ability>L2_HalfPunc</ability>
      <abilityName>全半角检查</abilityName>
      <candidateList>
        <item>&lt;</item>
      </candidateList>
      <explain>文本全半角错误。</explain>
      <paraID>3E792182</paraID>
      <start>6</start>
      <end>7</end>
      <status>unmodified</status>
      <modifiedWord/>
      <trackRevisions>false</trackRevisions>
    </reviewItem>
    <reviewItem>
      <errorID>a8c2e77c-57a0-4a6f-8722-60b41a9c3b89</errorID>
      <errorWord>＜</errorWord>
      <group>L1_Format</group>
      <groupName>格式问题</groupName>
      <ability>L2_HalfPunc</ability>
      <abilityName>全半角检查</abilityName>
      <candidateList>
        <item>&lt;</item>
      </candidateList>
      <explain>文本全半角错误。</explain>
      <paraID>234FA6AB</paraID>
      <start>5</start>
      <end>6</end>
      <status>unmodified</status>
      <modifiedWord/>
      <trackRevisions>false</trackRevisions>
    </reviewItem>
    <reviewItem>
      <errorID>9d55727d-d5c3-4923-b961-925ec8499ea0</errorID>
      <errorWord>＜</errorWord>
      <group>L1_Format</group>
      <groupName>格式问题</groupName>
      <ability>L2_HalfPunc</ability>
      <abilityName>全半角检查</abilityName>
      <candidateList>
        <item>&lt;</item>
      </candidateList>
      <explain>文本全半角错误。</explain>
      <paraID>68AA6F18</paraID>
      <start>1</start>
      <end>2</end>
      <status>unmodified</status>
      <modifiedWord/>
      <trackRevisions>false</trackRevisions>
    </reviewItem>
    <reviewItem>
      <errorID>51746074-5bc6-4f40-8df3-6e2e8f5afe36</errorID>
      <errorWord>＜</errorWord>
      <group>L1_Format</group>
      <groupName>格式问题</groupName>
      <ability>L2_HalfPunc</ability>
      <abilityName>全半角检查</abilityName>
      <candidateList>
        <item>&lt;</item>
      </candidateList>
      <explain>文本全半角错误。</explain>
      <paraID>6E39643E</paraID>
      <start>5</start>
      <end>6</end>
      <status>unmodified</status>
      <modifiedWord/>
      <trackRevisions>false</trackRevisions>
    </reviewItem>
    <reviewItem>
      <errorID>4fef2333-d9a1-4f92-acfe-acf303c9af9e</errorID>
      <errorWord>＜</errorWord>
      <group>L1_Format</group>
      <groupName>格式问题</groupName>
      <ability>L2_HalfPunc</ability>
      <abilityName>全半角检查</abilityName>
      <candidateList>
        <item>&lt;</item>
      </candidateList>
      <explain>文本全半角错误。</explain>
      <paraID> 78CF269</paraID>
      <start>4</start>
      <end>5</end>
      <status>unmodified</status>
      <modifiedWord/>
      <trackRevisions>false</trackRevisions>
    </reviewItem>
    <reviewItem>
      <errorID>25ca03a4-5dd1-4f8b-81b2-4dfee2d7a3e6</errorID>
      <errorWord>＜</errorWord>
      <group>L1_Format</group>
      <groupName>格式问题</groupName>
      <ability>L2_HalfPunc</ability>
      <abilityName>全半角检查</abilityName>
      <candidateList>
        <item>&lt;</item>
      </candidateList>
      <explain>文本全半角错误。</explain>
      <paraID>61CB838A</paraID>
      <start>1</start>
      <end>2</end>
      <status>unmodified</status>
      <modifiedWord/>
      <trackRevisions>false</trackRevisions>
    </reviewItem>
    <reviewItem>
      <errorID>2dbab788-02ce-4a06-bc02-4298286be4de</errorID>
      <errorWord>须</errorWord>
      <group>L1_Word</group>
      <groupName>字词问题</groupName>
      <ability>L2_Typo</ability>
      <abilityName>字词错误</abilityName>
      <candidateList>
        <item>需</item>
      </candidateList>
      <explain>存在发音相同字词的误用。</explain>
      <paraID>64B8DD30</paraID>
      <start>82</start>
      <end>83</end>
      <status>unmodified</status>
      <modifiedWord/>
      <trackRevisions>false</trackRevisions>
    </reviewItem>
    <reviewItem>
      <errorID>9c54c9e1-4d57-4f56-ba2d-352f321954af</errorID>
      <errorWord>(</errorWord>
      <group>L1_Format</group>
      <groupName>格式问题</groupName>
      <ability>L2_HalfPunc</ability>
      <abilityName>全半角检查</abilityName>
      <candidateList>
        <item>（</item>
      </candidateList>
      <explain>文本全半角错误。</explain>
      <paraID>692DB6D7</paraID>
      <start>18</start>
      <end>19</end>
      <status>unmodified</status>
      <modifiedWord/>
      <trackRevisions>false</trackRevisions>
    </reviewItem>
    <reviewItem>
      <errorID>6320fde6-9e5c-4f3a-90ae-223c3cf5f099</errorID>
      <errorWord>)</errorWord>
      <group>L1_Format</group>
      <groupName>格式问题</groupName>
      <ability>L2_HalfPunc</ability>
      <abilityName>全半角检查</abilityName>
      <candidateList>
        <item>）</item>
      </candidateList>
      <explain>文本全半角错误。</explain>
      <paraID>692DB6D7</paraID>
      <start>28</start>
      <end>29</end>
      <status>unmodified</status>
      <modifiedWord/>
      <trackRevisions>false</trackRevisions>
    </reviewItem>
    <reviewItem>
      <errorID>1222fa32-0ea4-41d8-8351-cf202fbcce57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57154C37</paraID>
      <start>184</start>
      <end>185</end>
      <status>unmodified</status>
      <modifiedWord/>
      <trackRevisions>false</trackRevisions>
    </reviewItem>
    <reviewItem>
      <errorID>6aab7118-0ad3-445a-8fac-04acb2268923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69D81843</paraID>
      <start>64</start>
      <end>65</end>
      <status>unmodified</status>
      <modifiedWord/>
      <trackRevisions>false</trackRevisions>
    </reviewItem>
    <reviewItem>
      <errorID>c9ca4c72-5475-4683-8cc7-0b5d7f395b4d</errorID>
      <errorWord>(</errorWord>
      <group>L1_Format</group>
      <groupName>格式问题</groupName>
      <ability>L2_HalfPunc</ability>
      <abilityName>全半角检查</abilityName>
      <candidateList>
        <item>（</item>
      </candidateList>
      <explain>文本全半角错误。</explain>
      <paraID> AADB390</paraID>
      <start>18</start>
      <end>19</end>
      <status>unmodified</status>
      <modifiedWord/>
      <trackRevisions>false</trackRevisions>
    </reviewItem>
    <reviewItem>
      <errorID>8c3bdcab-62dd-45a8-ac04-e2f5a26e518e</errorID>
      <errorWord>)</errorWord>
      <group>L1_Format</group>
      <groupName>格式问题</groupName>
      <ability>L2_HalfPunc</ability>
      <abilityName>全半角检查</abilityName>
      <candidateList>
        <item>）</item>
      </candidateList>
      <explain>文本全半角错误。</explain>
      <paraID> AADB390</paraID>
      <start>28</start>
      <end>29</end>
      <status>unmodified</status>
      <modifiedWord/>
      <trackRevisions>false</trackRevisions>
    </reviewItem>
    <reviewItem>
      <errorID>a5cfa5c5-248a-4107-8ee7-f33ce7e5e5f4</errorID>
      <errorWord>（</errorWord>
      <group>L1_Punc</group>
      <groupName>标点问题</groupName>
      <ability>L2_Punc</ability>
      <abilityName>标点符号检查</abilityName>
      <candidateList/>
      <explain>同一形式括号套用。</explain>
      <paraID>7341A0FD</paraID>
      <start>151</start>
      <end>152</end>
      <status>unmodified</status>
      <modifiedWord/>
      <trackRevisions>false</trackRevisions>
    </reviewItem>
    <reviewItem>
      <errorID>8181168e-750d-4563-bcfb-21233b548dab</errorID>
      <errorWord>）</errorWord>
      <group>L1_Punc</group>
      <groupName>标点问题</groupName>
      <ability>L2_Punc</ability>
      <abilityName>标点符号检查</abilityName>
      <candidateList/>
      <explain>同一形式括号套用。</explain>
      <paraID>7341A0FD</paraID>
      <start>182</start>
      <end>183</end>
      <status>unmodified</status>
      <modifiedWord/>
      <trackRevisions>false</trackRevisions>
    </reviewItem>
    <reviewItem>
      <errorID>0a1aa885-196e-46f3-a012-5f723729c716</errorID>
      <errorWord>（</errorWord>
      <group>L1_Format</group>
      <groupName>格式问题</groupName>
      <ability>L2_HalfPunc</ability>
      <abilityName>全半角检查</abilityName>
      <candidateList>
        <item>(</item>
      </candidateList>
      <explain>文本全半角错误。</explain>
      <paraID>62298EFB</paraID>
      <start>4</start>
      <end>5</end>
      <status>unmodified</status>
      <modifiedWord/>
      <trackRevisions>false</trackRevisions>
    </reviewItem>
    <reviewItem>
      <errorID>64adaee7-866c-406f-b515-2c76be04a17f</errorID>
      <errorWord>）</errorWord>
      <group>L1_Format</group>
      <groupName>格式问题</groupName>
      <ability>L2_HalfPunc</ability>
      <abilityName>全半角检查</abilityName>
      <candidateList>
        <item>)</item>
      </candidateList>
      <explain>文本全半角错误。</explain>
      <paraID>62298EFB</paraID>
      <start>6</start>
      <end>7</end>
      <status>unmodified</status>
      <modifiedWord/>
      <trackRevisions>false</trackRevisions>
    </reviewItem>
    <reviewItem>
      <errorID>c1d5d102-802e-4815-9302-eca3105ef5bd</errorID>
      <errorWord>(</errorWord>
      <group>L1_Format</group>
      <groupName>格式问题</groupName>
      <ability>L2_HalfPunc</ability>
      <abilityName>全半角检查</abilityName>
      <candidateList>
        <item>（</item>
      </candidateList>
      <explain>文本全半角错误。</explain>
      <paraID>1C6C25B9</paraID>
      <start>70</start>
      <end>71</end>
      <status>unmodified</status>
      <modifiedWord/>
      <trackRevisions>false</trackRevisions>
    </reviewItem>
    <reviewItem>
      <errorID>01c29d87-3c0e-426d-93cc-894ce4f4b558</errorID>
      <errorWord>)</errorWord>
      <group>L1_Format</group>
      <groupName>格式问题</groupName>
      <ability>L2_HalfPunc</ability>
      <abilityName>全半角检查</abilityName>
      <candidateList>
        <item>）</item>
      </candidateList>
      <explain>文本全半角错误。</explain>
      <paraID>1C6C25B9</paraID>
      <start>93</start>
      <end>94</end>
      <status>unmodified</status>
      <modifiedWord/>
      <trackRevisions>false</trackRevisions>
    </reviewItem>
    <reviewItem>
      <errorID>9905c3d4-b19e-4750-9db6-6f5bd3e7f9bf</errorID>
      <errorWord>(</errorWord>
      <group>L1_Format</group>
      <groupName>格式问题</groupName>
      <ability>L2_HalfPunc</ability>
      <abilityName>全半角检查</abilityName>
      <candidateList>
        <item>（</item>
      </candidateList>
      <explain>文本全半角错误。</explain>
      <paraID>1C6C25B9</paraID>
      <start>102</start>
      <end>103</end>
      <status>unmodified</status>
      <modifiedWord/>
      <trackRevisions>false</trackRevisions>
    </reviewItem>
    <reviewItem>
      <errorID>faebefd5-bec2-4fcf-aa88-b70117361c25</errorID>
      <errorWord>)</errorWord>
      <group>L1_Format</group>
      <groupName>格式问题</groupName>
      <ability>L2_HalfPunc</ability>
      <abilityName>全半角检查</abilityName>
      <candidateList>
        <item>）</item>
      </candidateList>
      <explain>文本全半角错误。</explain>
      <paraID>1C6C25B9</paraID>
      <start>118</start>
      <end>119</end>
      <status>unmodified</status>
      <modifiedWord/>
      <trackRevisions>false</trackRevisions>
    </reviewItem>
    <reviewItem>
      <errorID>fc9c6ddd-a89a-44bd-844d-45b21f6841a6</errorID>
      <errorWord>，</errorWord>
      <group>L1_Word</group>
      <groupName>字词问题</groupName>
      <ability>L2_Typo</ability>
      <abilityName>字词错误</abilityName>
      <candidateList>
        <item>，在</item>
      </candidateList>
      <explain/>
      <paraID> C0FEEF2</paraID>
      <start>38</start>
      <end>39</end>
      <status>unmodified</status>
      <modifiedWord/>
      <trackRevisions>false</trackRevisions>
    </reviewItem>
    <reviewItem>
      <errorID>71ca2f83-3a64-4365-acec-c23f3c9cf2ff</errorID>
      <errorWord>，</errorWord>
      <group>L1_Word</group>
      <groupName>字词问题</groupName>
      <ability>L2_Typo</ability>
      <abilityName>字词错误</abilityName>
      <candidateList>
        <item>，使</item>
      </candidateList>
      <explain/>
      <paraID>1E584A3C</paraID>
      <start>32</start>
      <end>33</end>
      <status>unmodified</status>
      <modifiedWord/>
      <trackRevisions>false</trackRevisions>
    </reviewItem>
    <reviewItem>
      <errorID>309c708e-43fb-4dda-9514-1b25f3f4e59f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CA7EE13</paraID>
      <start>15</start>
      <end>18</end>
      <status>unmodified</status>
      <modifiedWord/>
      <trackRevisions>false</trackRevisions>
    </reviewItem>
    <reviewItem>
      <errorID>8ac57313-d143-4e4e-a32d-d5b9c9cc2161</errorID>
      <errorWord>法律、法规</errorWord>
      <group>L1_Word</group>
      <groupName>字词问题</groupName>
      <ability>L2_Typo</ability>
      <abilityName>字词错误</abilityName>
      <candidateList>
        <item>法律法规</item>
      </candidateList>
      <explain/>
      <paraID>  B4236B</paraID>
      <start>25</start>
      <end>30</end>
      <status>unmodified</status>
      <modifiedWord/>
      <trackRevisions>false</trackRevisions>
    </reviewItem>
    <reviewItem>
      <errorID>0c6f9190-ab27-486f-b133-90e09b17f795</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7F84D14C</paraID>
      <start>159</start>
      <end>164</end>
      <status>unmodified</status>
      <modifiedWord/>
      <trackRevisions>false</trackRevisions>
    </reviewItem>
    <reviewItem>
      <errorID>cb3b93fc-ca1c-4b58-a599-0760e2a5069d</errorID>
      <errorWord>操作合</errorWord>
      <group>L1_Word</group>
      <groupName>字词问题</groupName>
      <ability>L2_Typo</ability>
      <abilityName>字词错误</abilityName>
      <candidateList>
        <item>操作台</item>
      </candidateList>
      <explain/>
      <paraID>1AD51927</paraID>
      <start>9</start>
      <end>12</end>
      <status>unmodified</status>
      <modifiedWord/>
      <trackRevisions>false</trackRevisions>
    </reviewItem>
    <reviewItem>
      <errorID>70dae3e3-6008-48e7-a97b-7c5b9695264e</errorID>
      <errorWord>会</errorWord>
      <group>L1_Word</group>
      <groupName>字词问题</groupName>
      <ability>L2_Typo</ability>
      <abilityName>字词错误</abilityName>
      <candidateList>
        <item>会在</item>
      </candidateList>
      <explain/>
      <paraID>2850F8AE</paraID>
      <start>13</start>
      <end>14</end>
      <status>unmodified</status>
      <modifiedWord/>
      <trackRevisions>false</trackRevisions>
    </reviewItem>
    <reviewItem>
      <errorID>8c9d2c7e-bd47-4d28-bad8-345351ce2a01</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3C1543DF</paraID>
      <start>0</start>
      <end>8</end>
      <status>unmodified</status>
      <modifiedWord/>
      <trackRevisions>false</trackRevisions>
    </reviewItem>
    <reviewItem>
      <errorID>69034e5d-8c2a-4687-9e0a-25ed409ab4d5</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4132044F</paraID>
      <start>0</start>
      <end>9</end>
      <status>unmodified</status>
      <modifiedWord/>
      <trackRevisions>false</trackRevisions>
    </reviewItem>
    <reviewItem>
      <errorID>4ffa033a-51c5-4ba2-bb64-f80d976fa5c9</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603A918D</paraID>
      <start>0</start>
      <end>10</end>
      <status>unmodified</status>
      <modifiedWord/>
      <trackRevisions>false</trackRevisions>
    </reviewItem>
    <reviewItem>
      <errorID>49ae99a0-94f5-4bff-8028-2ec164ed8b52</errorID>
      <errorWord>法律、法规</errorWord>
      <group>L1_Word</group>
      <groupName>字词问题</groupName>
      <ability>L2_Typo</ability>
      <abilityName>字词错误</abilityName>
      <candidateList>
        <item>法律法规</item>
      </candidateList>
      <explain/>
      <paraID>3097DBF3</paraID>
      <start>0</start>
      <end>5</end>
      <status>unmodified</status>
      <modifiedWord/>
      <trackRevisions>false</trackRevisions>
    </reviewItem>
    <reviewItem>
      <errorID>17758b7e-df40-46df-9678-b26c67e21d10</errorID>
      <errorWord>-</errorWord>
      <group>L1_Format</group>
      <groupName>格式问题</groupName>
      <ability>L2_HalfPunc</ability>
      <abilityName>全半角检查</abilityName>
      <candidateList>
        <item>－</item>
      </candidateList>
      <explain>文本全半角错误。</explain>
      <paraID>1F63A92C</paraID>
      <start>20</start>
      <end>21</end>
      <status>unmodified</status>
      <modifiedWord/>
      <trackRevisions>false</trackRevisions>
    </reviewItem>
    <reviewItem>
      <errorID>d1101e1b-690c-410e-bcbf-477170f5a86b</errorID>
      <errorWord>做出</errorWord>
      <group>L1_Word</group>
      <groupName>字词问题</groupName>
      <ability>L2_Typo</ability>
      <abilityName>字词错误</abilityName>
      <candidateList>
        <item>作出</item>
      </candidateList>
      <explain/>
      <paraID>3D819740</paraID>
      <start>116</start>
      <end>118</end>
      <status>unmodified</status>
      <modifiedWord/>
      <trackRevisions>false</trackRevisions>
    </reviewItem>
    <reviewItem>
      <errorID>dc0154b8-4db1-43a1-92bc-474541aa261e</errorID>
      <errorWord>-</errorWord>
      <group>L1_Format</group>
      <groupName>格式问题</groupName>
      <ability>L2_HalfPunc</ability>
      <abilityName>全半角检查</abilityName>
      <candidateList>
        <item>－</item>
      </candidateList>
      <explain>文本全半角错误。</explain>
      <paraID>1F3493E9</paraID>
      <start>20</start>
      <end>21</end>
      <status>unmodified</status>
      <modifiedWord/>
      <trackRevisions>false</trackRevisions>
    </reviewItem>
    <reviewItem>
      <errorID>7e32fe0a-aef2-43c1-85ac-6b574a587d8d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42BAFDD1</paraID>
      <start>24</start>
      <end>25</end>
      <status>unmodified</status>
      <modifiedWord/>
      <trackRevisions>false</trackRevisions>
    </reviewItem>
    <reviewItem>
      <errorID>acb21673-477b-41e6-b650-6891b6cc6f9f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42BAFDD1</paraID>
      <start>63</start>
      <end>64</end>
      <status>unmodified</status>
      <modifiedWord/>
      <trackRevisions>false</trackRevisions>
    </reviewItem>
    <reviewItem>
      <errorID>082504aa-dc22-48ef-a98c-8aef875e997f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42BAFDD1</paraID>
      <start>103</start>
      <end>104</end>
      <status>unmodified</status>
      <modifiedWord/>
      <trackRevisions>false</trackRevisions>
    </reviewItem>
    <reviewItem>
      <errorID>0b12ae8c-0619-45d4-8ec8-1ccabba51dbc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11B2831B</paraID>
      <start>52</start>
      <end>53</end>
      <status>unmodified</status>
      <modifiedWord/>
      <trackRevisions>false</trackRevisions>
    </reviewItem>
    <reviewItem>
      <errorID>e0a6e9b0-4a94-4bc9-b234-5f909af37c7e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11B2831B</paraID>
      <start>94</start>
      <end>97</end>
      <status>unmodified</status>
      <modifiedWord/>
      <trackRevisions>false</trackRevisions>
    </reviewItem>
    <reviewItem>
      <errorID>8d4b1ba5-9ebd-475c-9ddb-535e9dcec9fd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11B2831B</paraID>
      <start>102</start>
      <end>105</end>
      <status>unmodified</status>
      <modifiedWord/>
      <trackRevisions>false</trackRevisions>
    </reviewItem>
    <reviewItem>
      <errorID>416534b2-7516-45fe-863e-c23dc0242dfe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11B2831B</paraID>
      <start>136</start>
      <end>139</end>
      <status>unmodified</status>
      <modifiedWord/>
      <trackRevisions>false</trackRevisions>
    </reviewItem>
    <reviewItem>
      <errorID>67f63707-b0f0-4ea3-944a-dc9d3b8c872d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11B2831B</paraID>
      <start>144</start>
      <end>147</end>
      <status>unmodified</status>
      <modifiedWord/>
      <trackRevisions>false</trackRevisions>
    </reviewItem>
    <reviewItem>
      <errorID>5a6d29fa-9114-4685-b2fa-2d86b3479291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11B2831B</paraID>
      <start>148</start>
      <end>149</end>
      <status>unmodified</status>
      <modifiedWord/>
      <trackRevisions>false</trackRevisions>
    </reviewItem>
    <reviewItem>
      <errorID>d5c456d1-7408-4288-aaa0-c0b9729534eb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11B2831B</paraID>
      <start>153</start>
      <end>156</end>
      <status>unmodified</status>
      <modifiedWord/>
      <trackRevisions>false</trackRevisions>
    </reviewItem>
    <reviewItem>
      <errorID>954d8b60-37de-4499-9c1a-4d19a3e0bea3</errorID>
      <errorWord>(</errorWord>
      <group>L1_Format</group>
      <groupName>格式问题</groupName>
      <ability>L2_HalfPunc</ability>
      <abilityName>全半角检查</abilityName>
      <candidateList>
        <item>（</item>
      </candidateList>
      <explain>文本全半角错误。</explain>
      <paraID>79250B5A</paraID>
      <start>4</start>
      <end>5</end>
      <status>unmodified</status>
      <modifiedWord/>
      <trackRevisions>false</trackRevisions>
    </reviewItem>
    <reviewItem>
      <errorID>9ffb36c3-6a64-47d0-960a-ad5f974a7e50</errorID>
      <errorWord>)</errorWord>
      <group>L1_Format</group>
      <groupName>格式问题</groupName>
      <ability>L2_HalfPunc</ability>
      <abilityName>全半角检查</abilityName>
      <candidateList>
        <item>）</item>
      </candidateList>
      <explain>文本全半角错误。</explain>
      <paraID>79250B5A</paraID>
      <start>15</start>
      <end>16</end>
      <status>unmodified</status>
      <modifiedWord/>
      <trackRevisions>false</trackRevisions>
    </reviewItem>
    <reviewItem>
      <errorID>c03e980f-a181-4989-8605-0cc682f288cc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550BA9B5</paraID>
      <start>13</start>
      <end>16</end>
      <status>unmodified</status>
      <modifiedWord/>
      <trackRevisions>false</trackRevisions>
    </reviewItem>
    <reviewItem>
      <errorID>550904a5-fc95-4946-833d-8560db293e77</errorID>
      <errorWord>包含有</errorWord>
      <group>L1_Word</group>
      <groupName>字词问题</groupName>
      <ability>L2_Typo</ability>
      <abilityName>字词错误</abilityName>
      <candidateList>
        <item>包含</item>
      </candidateList>
      <explain>〈动〉里边含有：这句话～好几层意思。</explain>
      <paraID>3BB80B53</paraID>
      <start>16</start>
      <end>19</end>
      <status>unmodified</status>
      <modifiedWord/>
      <trackRevisions>false</trackRevisions>
    </reviewItem>
    <reviewItem>
      <errorID>d1d9e9ad-74b9-44d6-8bcb-9d94e7182ac9</errorID>
      <errorWord>,</errorWord>
      <group>L1_Format</group>
      <groupName>格式问题</groupName>
      <ability>L2_HalfPunc</ability>
      <abilityName>全半角检查</abilityName>
      <candidateList>
        <item>，</item>
      </candidateList>
      <explain>文本全半角错误。</explain>
      <paraID>  6D62C3</paraID>
      <start>90</start>
      <end>91</end>
      <status>unmodified</status>
      <modifiedWord/>
      <trackRevisions>false</trackRevisions>
    </reviewItem>
    <reviewItem>
      <errorID>24d7e594-119e-42f6-a4aa-25e75b1f9e13</errorID>
      <errorWord>应</errorWord>
      <group>L1_Word</group>
      <groupName>字词问题</groupName>
      <ability>L2_Typo</ability>
      <abilityName>字词错误</abilityName>
      <candidateList>
        <item>应在</item>
      </candidateList>
      <explain/>
      <paraID>  6D62C3</paraID>
      <start>120</start>
      <end>121</end>
      <status>unmodified</status>
      <modifiedWord/>
      <trackRevisions>false</trackRevisions>
    </reviewItem>
    <reviewItem>
      <errorID>1783b6ea-1d27-4ee8-95b3-145d4ccd3df5</errorID>
      <errorWord>,</errorWord>
      <group>L1_Format</group>
      <groupName>格式问题</groupName>
      <ability>L2_HalfPunc</ability>
      <abilityName>全半角检查</abilityName>
      <candidateList>
        <item>，</item>
      </candidateList>
      <explain>文本全半角错误。</explain>
      <paraID>1A4B825C</paraID>
      <start>99</start>
      <end>100</end>
      <status>unmodified</status>
      <modifiedWord/>
      <trackRevisions>false</trackRevisions>
    </reviewItem>
    <reviewItem>
      <errorID>1a3d952c-e539-4eef-95e3-d6d5d7c19078</errorID>
      <errorWord>[</errorWord>
      <group>L1_Word</group>
      <groupName>字词问题</groupName>
      <ability>L2_Typo</ability>
      <abilityName>字词错误</abilityName>
      <candidateList>
        <item>[在</item>
      </candidateList>
      <explain/>
      <paraID>1BFA599D</paraID>
      <start>44</start>
      <end>45</end>
      <status>unmodified</status>
      <modifiedWord/>
      <trackRevisions>false</trackRevisions>
    </reviewItem>
    <reviewItem>
      <errorID>f89c4d31-653a-476d-8223-9b6550148a0b</errorID>
      <errorWord>,</errorWord>
      <group>L1_Format</group>
      <groupName>格式问题</groupName>
      <ability>L2_HalfPunc</ability>
      <abilityName>全半角检查</abilityName>
      <candidateList>
        <item>，</item>
      </candidateList>
      <explain>文本全半角错误。</explain>
      <paraID>5E97AEF8</paraID>
      <start>12</start>
      <end>13</end>
      <status>unmodified</status>
      <modifiedWord/>
      <trackRevisions>false</trackRevisions>
    </reviewItem>
    <reviewItem>
      <errorID>825fb3a2-642f-41e7-9eaa-d7cb2199ea29</errorID>
      <errorWord>,</errorWord>
      <group>L1_Format</group>
      <groupName>格式问题</groupName>
      <ability>L2_HalfPunc</ability>
      <abilityName>全半角检查</abilityName>
      <candidateList>
        <item>，</item>
      </candidateList>
      <explain>文本全半角错误。</explain>
      <paraID>4FF67E2E</paraID>
      <start>24</start>
      <end>25</end>
      <status>unmodified</status>
      <modifiedWord/>
      <trackRevisions>false</trackRevisions>
    </reviewItem>
    <reviewItem>
      <errorID>25254638-b577-457e-876c-425d22cfee8c</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33C5B531</paraID>
      <start>31</start>
      <end>33</end>
      <status>unmodified</status>
      <modifiedWord/>
      <trackRevisions>false</trackRevisions>
    </reviewItem>
    <reviewItem>
      <errorID>4059ab8e-d1cf-4a1f-8d85-dd35b682a6ac</errorID>
      <errorWord>(</errorWord>
      <group>L1_Format</group>
      <groupName>格式问题</groupName>
      <ability>L2_HalfPunc</ability>
      <abilityName>全半角检查</abilityName>
      <candidateList>
        <item>（</item>
      </candidateList>
      <explain>文本全半角错误。</explain>
      <paraID> FF00B70</paraID>
      <start>4</start>
      <end>5</end>
      <status>unmodified</status>
      <modifiedWord/>
      <trackRevisions>false</trackRevisions>
    </reviewItem>
    <reviewItem>
      <errorID>e6896662-1e0a-41bd-96c4-b7a4ae7b5262</errorID>
      <errorWord>)</errorWord>
      <group>L1_Format</group>
      <groupName>格式问题</groupName>
      <ability>L2_HalfPunc</ability>
      <abilityName>全半角检查</abilityName>
      <candidateList>
        <item>）</item>
      </candidateList>
      <explain>文本全半角错误。</explain>
      <paraID> FF00B70</paraID>
      <start>15</start>
      <end>16</end>
      <status>unmodified</status>
      <modifiedWord/>
      <trackRevisions>false</trackRevisions>
    </reviewItem>
    <reviewItem>
      <errorID>64c1e8c1-2b02-40a9-994f-6a7b47e9d481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F0678B8</paraID>
      <start>13</start>
      <end>16</end>
      <status>unmodified</status>
      <modifiedWord/>
      <trackRevisions>false</trackRevisions>
    </reviewItem>
    <reviewItem>
      <errorID>54b83518-cca1-42a4-8a37-14ee5bb769af</errorID>
      <errorWord>包含有</errorWord>
      <group>L1_Word</group>
      <groupName>字词问题</groupName>
      <ability>L2_Typo</ability>
      <abilityName>字词错误</abilityName>
      <candidateList>
        <item>包含</item>
      </candidateList>
      <explain>〈动〉里边含有：这句话～好几层意思。</explain>
      <paraID>1DD83548</paraID>
      <start>16</start>
      <end>19</end>
      <status>unmodified</status>
      <modifiedWord/>
      <trackRevisions>false</trackRevisions>
    </reviewItem>
    <reviewItem>
      <errorID>d7d29011-a818-477a-8c62-1a33aaea125f</errorID>
      <errorWord>,</errorWord>
      <group>L1_Format</group>
      <groupName>格式问题</groupName>
      <ability>L2_HalfPunc</ability>
      <abilityName>全半角检查</abilityName>
      <candidateList>
        <item>，</item>
      </candidateList>
      <explain>文本全半角错误。</explain>
      <paraID>3ECE85C5</paraID>
      <start>90</start>
      <end>91</end>
      <status>unmodified</status>
      <modifiedWord/>
      <trackRevisions>false</trackRevisions>
    </reviewItem>
    <reviewItem>
      <errorID>ec0e2953-d521-4a27-893f-e9adab46fd11</errorID>
      <errorWord>应</errorWord>
      <group>L1_Word</group>
      <groupName>字词问题</groupName>
      <ability>L2_Typo</ability>
      <abilityName>字词错误</abilityName>
      <candidateList>
        <item>应在</item>
      </candidateList>
      <explain/>
      <paraID>3ECE85C5</paraID>
      <start>120</start>
      <end>121</end>
      <status>unmodified</status>
      <modifiedWord/>
      <trackRevisions>false</trackRevisions>
    </reviewItem>
    <reviewItem>
      <errorID>a60b4bff-1048-40c1-a31e-3b3850094dda</errorID>
      <errorWord>,</errorWord>
      <group>L1_Format</group>
      <groupName>格式问题</groupName>
      <ability>L2_HalfPunc</ability>
      <abilityName>全半角检查</abilityName>
      <candidateList>
        <item>，</item>
      </candidateList>
      <explain>文本全半角错误。</explain>
      <paraID>73CB9197</paraID>
      <start>99</start>
      <end>100</end>
      <status>unmodified</status>
      <modifiedWord/>
      <trackRevisions>false</trackRevisions>
    </reviewItem>
    <reviewItem>
      <errorID>024a9ca7-497e-48e0-956a-dbf486666d45</errorID>
      <errorWord>[</errorWord>
      <group>L1_Word</group>
      <groupName>字词问题</groupName>
      <ability>L2_Typo</ability>
      <abilityName>字词错误</abilityName>
      <candidateList>
        <item>[在</item>
      </candidateList>
      <explain/>
      <paraID>56381817</paraID>
      <start>44</start>
      <end>45</end>
      <status>unmodified</status>
      <modifiedWord/>
      <trackRevisions>false</trackRevisions>
    </reviewItem>
    <reviewItem>
      <errorID>88980c60-b828-44cc-b730-d10ab00e6fb7</errorID>
      <errorWord>(</errorWord>
      <group>L1_Format</group>
      <groupName>格式问题</groupName>
      <ability>L2_HalfPunc</ability>
      <abilityName>全半角检查</abilityName>
      <candidateList>
        <item>（</item>
      </candidateList>
      <explain>文本全半角错误。</explain>
      <paraID>5C4AA2C0</paraID>
      <start>16</start>
      <end>17</end>
      <status>unmodified</status>
      <modifiedWord/>
      <trackRevisions>false</trackRevisions>
    </reviewItem>
    <reviewItem>
      <errorID>f20d4a4a-ff7b-492f-a067-ef8364772363</errorID>
      <errorWord>)</errorWord>
      <group>L1_Format</group>
      <groupName>格式问题</groupName>
      <ability>L2_HalfPunc</ability>
      <abilityName>全半角检查</abilityName>
      <candidateList>
        <item>）</item>
      </candidateList>
      <explain>文本全半角错误。</explain>
      <paraID>5C4AA2C0</paraID>
      <start>29</start>
      <end>30</end>
      <status>unmodified</status>
      <modifiedWord/>
      <trackRevisions>false</trackRevisions>
    </reviewItem>
    <reviewItem>
      <errorID>30aedeb0-3f2c-4bd6-9be7-c564ad4257c7</errorID>
      <errorWord>0-90%</errorWord>
      <group>L1_Knowledge</group>
      <groupName>知识性问题</groupName>
      <ability>L2_Knowledge</ability>
      <abilityName>其他知识</abilityName>
      <candidateList>
        <item>0—90%</item>
      </candidateList>
      <explain>1. “0-90%”中的单位“%”仅出现在后一个数字上，容易引起歧义；根据《现代汉语标点符号数字用法规范手册》，数字表示范围两边需要使用统一的格式。2. 根据标点国标 4.13 中的规则，数字、时间或地域连接符应使用（视觉上更长的）“—”或“～”。</explain>
      <paraID>76C406F4</paraID>
      <start>16</start>
      <end>21</end>
      <status>unmodified</status>
      <modifiedWord/>
      <trackRevisions>false</trackRevisions>
    </reviewItem>
    <reviewItem>
      <errorID>b48d894d-ac52-4584-a40d-56e8aeab2533</errorID>
      <errorWord>,</errorWord>
      <group>L1_Format</group>
      <groupName>格式问题</groupName>
      <ability>L2_HalfPunc</ability>
      <abilityName>全半角检查</abilityName>
      <candidateList>
        <item>，</item>
      </candidateList>
      <explain>文本全半角错误。</explain>
      <paraID>37C12A42</paraID>
      <start>43</start>
      <end>44</end>
      <status>unmodified</status>
      <modifiedWord/>
      <trackRevisions>false</trackRevisions>
    </reviewItem>
    <reviewItem>
      <errorID>8227ef78-ecf3-4d7f-bcad-2b615c4b0637</errorID>
      <errorWord>(</errorWord>
      <group>L1_Format</group>
      <groupName>格式问题</groupName>
      <ability>L2_HalfPunc</ability>
      <abilityName>全半角检查</abilityName>
      <candidateList>
        <item>（</item>
      </candidateList>
      <explain>文本全半角错误。</explain>
      <paraID>28790161</paraID>
      <start>19</start>
      <end>20</end>
      <status>unmodified</status>
      <modifiedWord/>
      <trackRevisions>false</trackRevisions>
    </reviewItem>
    <reviewItem>
      <errorID>0962cae4-25fe-4765-8f95-8b4560690f7a</errorID>
      <errorWord>)</errorWord>
      <group>L1_Format</group>
      <groupName>格式问题</groupName>
      <ability>L2_HalfPunc</ability>
      <abilityName>全半角检查</abilityName>
      <candidateList>
        <item>）</item>
      </candidateList>
      <explain>文本全半角错误。</explain>
      <paraID>28790161</paraID>
      <start>42</start>
      <end>43</end>
      <status>unmodified</status>
      <modifiedWord/>
      <trackRevisions>false</trackRevisions>
    </reviewItem>
    <reviewItem>
      <errorID>7c57b0bf-0aa8-4661-b9a3-c032cc6e20c0</errorID>
      <errorWord>rpm</errorWord>
      <group>L1_Word</group>
      <groupName>字词问题</groupName>
      <ability>L2_Typo</ability>
      <abilityName>字词错误</abilityName>
      <candidateList/>
      <explain>非法定单位</explain>
      <paraID> 2CE8E92</paraID>
      <start>30</start>
      <end>33</end>
      <status>unmodified</status>
      <modifiedWord/>
      <trackRevisions>false</trackRevisions>
    </reviewItem>
    <reviewItem>
      <errorID>0a3c003a-af52-456c-a0c3-cc5bbb1537ba</errorID>
      <errorWord>(</errorWord>
      <group>L1_Format</group>
      <groupName>格式问题</groupName>
      <ability>L2_HalfPunc</ability>
      <abilityName>全半角检查</abilityName>
      <candidateList>
        <item>（</item>
      </candidateList>
      <explain>文本全半角错误。</explain>
      <paraID>5663F2F4</paraID>
      <start>11</start>
      <end>12</end>
      <status>unmodified</status>
      <modifiedWord/>
      <trackRevisions>false</trackRevisions>
    </reviewItem>
    <reviewItem>
      <errorID>68b51d0e-dcba-4910-82a0-120e01ddad3a</errorID>
      <errorWord>)</errorWord>
      <group>L1_Format</group>
      <groupName>格式问题</groupName>
      <ability>L2_HalfPunc</ability>
      <abilityName>全半角检查</abilityName>
      <candidateList>
        <item>）</item>
      </candidateList>
      <explain>文本全半角错误。</explain>
      <paraID>5663F2F4</paraID>
      <start>27</start>
      <end>28</end>
      <status>unmodified</status>
      <modifiedWord/>
      <trackRevisions>false</trackRevisions>
    </reviewItem>
    <reviewItem>
      <errorID>7e072482-4747-4659-974e-a1f1816fb993</errorID>
      <errorWord>(</errorWord>
      <group>L1_Format</group>
      <groupName>格式问题</groupName>
      <ability>L2_HalfPunc</ability>
      <abilityName>全半角检查</abilityName>
      <candidateList>
        <item>（</item>
      </candidateList>
      <explain>文本全半角错误。</explain>
      <paraID>5663F2F4</paraID>
      <start>36</start>
      <end>37</end>
      <status>unmodified</status>
      <modifiedWord/>
      <trackRevisions>false</trackRevisions>
    </reviewItem>
    <reviewItem>
      <errorID>d6f477fb-9a24-4226-80dc-3e036bbc5ae7</errorID>
      <errorWord>)</errorWord>
      <group>L1_Format</group>
      <groupName>格式问题</groupName>
      <ability>L2_HalfPunc</ability>
      <abilityName>全半角检查</abilityName>
      <candidateList>
        <item>）</item>
      </candidateList>
      <explain>文本全半角错误。</explain>
      <paraID>5663F2F4</paraID>
      <start>47</start>
      <end>48</end>
      <status>unmodified</status>
      <modifiedWord/>
      <trackRevisions>false</trackRevisions>
    </reviewItem>
    <reviewItem>
      <errorID>76b7e012-b8c1-46e3-8aa9-d9ca3de91474</errorID>
      <errorWord>;</errorWord>
      <group>L1_Format</group>
      <groupName>格式问题</groupName>
      <ability>L2_HalfPunc</ability>
      <abilityName>全半角检查</abilityName>
      <candidateList>
        <item>；</item>
      </candidateList>
      <explain>文本全半角错误。</explain>
      <paraID>23E3D7E9</paraID>
      <start>38</start>
      <end>39</end>
      <status>unmodified</status>
      <modifiedWord/>
      <trackRevisions>false</trackRevisions>
    </reviewItem>
    <reviewItem>
      <errorID>2f227d97-eee4-4b60-9058-35d8de347bf1</errorID>
      <errorWord>系统联接</errorWord>
      <group>L1_Word</group>
      <groupName>字词问题</groupName>
      <ability>L2_Variant</ability>
      <abilityName>异形词</abilityName>
      <candidateList>
        <item>系统连接</item>
      </candidateList>
      <explain>词汇[系统联接]的规范词形写作[系统连接]。</explain>
      <paraID>759D196D</paraID>
      <start>17</start>
      <end>21</end>
      <status>unmodified</status>
      <modifiedWord/>
      <trackRevisions>false</trackRevisions>
    </reviewItem>
    <reviewItem>
      <errorID>00f1e58b-91da-45ee-8f3d-313a03edb6a0</errorID>
      <errorWord>(</errorWord>
      <group>L1_Format</group>
      <groupName>格式问题</groupName>
      <ability>L2_HalfPunc</ability>
      <abilityName>全半角检查</abilityName>
      <candidateList>
        <item>（</item>
      </candidateList>
      <explain>文本全半角错误。</explain>
      <paraID>18223E8C</paraID>
      <start>36</start>
      <end>37</end>
      <status>unmodified</status>
      <modifiedWord/>
      <trackRevisions>false</trackRevisions>
    </reviewItem>
    <reviewItem>
      <errorID>bf5d4e62-7427-46fa-83ca-e02b73e99f38</errorID>
      <errorWord>)</errorWord>
      <group>L1_Format</group>
      <groupName>格式问题</groupName>
      <ability>L2_HalfPunc</ability>
      <abilityName>全半角检查</abilityName>
      <candidateList>
        <item>）</item>
      </candidateList>
      <explain>文本全半角错误。</explain>
      <paraID>18223E8C</paraID>
      <start>106</start>
      <end>107</end>
      <status>unmodified</status>
      <modifiedWord/>
      <trackRevisions>false</trackRevisions>
    </reviewItem>
    <reviewItem>
      <errorID>fe7b087f-ba9d-4ed6-9c97-e9c5245f633f</errorID>
      <errorWord>噪音</errorWord>
      <group>L1_Word</group>
      <groupName>字词问题</groupName>
      <ability>L2_Alias</ability>
      <abilityName>也作/曾用词</abilityName>
      <candidateList>
        <item>噪声</item>
      </candidateList>
      <explain>词汇[噪音]为不规范表述或旧称，其规范书面表述为[噪声]。</explain>
      <paraID>492C7464</paraID>
      <start>54</start>
      <end>56</end>
      <status>unmodified</status>
      <modifiedWord/>
      <trackRevisions>false</trackRevisions>
    </reviewItem>
    <reviewItem>
      <errorID>57067e2e-e5f1-4ecc-acbc-0484bd93229b</errorID>
      <errorWord>不同锥</errorWord>
      <group>L1_Word</group>
      <groupName>字词问题</groupName>
      <ability>L2_Typo</ability>
      <abilityName>字词错误</abilityName>
      <candidateList>
        <item>不同</item>
      </candidateList>
      <explain/>
      <paraID>565882B0</paraID>
      <start>1</start>
      <end>4</end>
      <status>unmodified</status>
      <modifiedWord/>
      <trackRevisions>false</trackRevisions>
    </reviewItem>
    <reviewItem>
      <errorID>8975fa87-cbc1-4fa6-ac7c-ee2121737845</errorID>
      <errorWord>)</errorWord>
      <group>L1_Format</group>
      <groupName>格式问题</groupName>
      <ability>L2_HalfPunc</ability>
      <abilityName>全半角检查</abilityName>
      <candidateList>
        <item>）</item>
      </candidateList>
      <explain>文本全半角错误。</explain>
      <paraID>565882B0</paraID>
      <start>23</start>
      <end>24</end>
      <status>unmodified</status>
      <modifiedWord/>
      <trackRevisions>false</trackRevisions>
    </reviewItem>
    <reviewItem>
      <errorID>dfee6bbf-124e-45d1-9593-e10e09f35239</errorID>
      <errorWord>,</errorWord>
      <group>L1_Format</group>
      <groupName>格式问题</groupName>
      <ability>L2_HalfPunc</ability>
      <abilityName>全半角检查</abilityName>
      <candidateList>
        <item>，</item>
      </candidateList>
      <explain>文本全半角错误。</explain>
      <paraID>271AB11B</paraID>
      <start>26</start>
      <end>27</end>
      <status>unmodified</status>
      <modifiedWord/>
      <trackRevisions>false</trackRevisions>
    </reviewItem>
    <reviewItem>
      <errorID>0230ca98-2708-4da6-a1c9-57c68080f7c1</errorID>
      <errorWord>噪音</errorWord>
      <group>L1_Word</group>
      <groupName>字词问题</groupName>
      <ability>L2_Alias</ability>
      <abilityName>也作/曾用词</abilityName>
      <candidateList>
        <item>噪声</item>
      </candidateList>
      <explain>词汇[噪音]为不规范表述或旧称，其规范书面表述为[噪声]。</explain>
      <paraID>66AEC6C4</paraID>
      <start>5</start>
      <end>7</end>
      <status>unmodified</status>
      <modifiedWord/>
      <trackRevisions>false</trackRevisions>
    </reviewItem>
    <reviewItem>
      <errorID>2a54b50c-f76e-4b2c-8b61-5411006316a2</errorID>
      <errorWord>；</errorWord>
      <group>L1_Format</group>
      <groupName>格式问题</groupName>
      <ability>L2_HalfPunc</ability>
      <abilityName>全半角检查</abilityName>
      <candidateList>
        <item>; </item>
      </candidateList>
      <explain>文本全半角错误。</explain>
      <paraID> 1015E8C</paraID>
      <start>5</start>
      <end>6</end>
      <status>unmodified</status>
      <modifiedWord/>
      <trackRevisions>false</trackRevisions>
    </reviewItem>
    <reviewItem>
      <errorID>8e265fe1-6368-4419-83d9-a08c30f03df2</errorID>
      <errorWord>；</errorWord>
      <group>L1_Format</group>
      <groupName>格式问题</groupName>
      <ability>L2_HalfPunc</ability>
      <abilityName>全半角检查</abilityName>
      <candidateList>
        <item>; </item>
      </candidateList>
      <explain>文本全半角错误。</explain>
      <paraID> 1015E8C</paraID>
      <start>15</start>
      <end>16</end>
      <status>unmodified</status>
      <modifiedWord/>
      <trackRevisions>false</trackRevisions>
    </reviewItem>
    <reviewItem>
      <errorID>cc19330b-2aa1-4e3f-84e6-155037990dba</errorID>
      <errorWord>；</errorWord>
      <group>L1_Format</group>
      <groupName>格式问题</groupName>
      <ability>L2_HalfPunc</ability>
      <abilityName>全半角检查</abilityName>
      <candidateList>
        <item>; </item>
      </candidateList>
      <explain>文本全半角错误。</explain>
      <paraID> 1015E8C</paraID>
      <start>21</start>
      <end>22</end>
      <status>unmodified</status>
      <modifiedWord/>
      <trackRevisions>false</trackRevisions>
    </reviewItem>
    <reviewItem>
      <errorID>8ce95be9-1753-4e3a-b763-49c28da15430</errorID>
      <errorWord>；</errorWord>
      <group>L1_Format</group>
      <groupName>格式问题</groupName>
      <ability>L2_HalfPunc</ability>
      <abilityName>全半角检查</abilityName>
      <candidateList>
        <item>; </item>
      </candidateList>
      <explain>文本全半角错误。</explain>
      <paraID> 1015E8C</paraID>
      <start>27</start>
      <end>28</end>
      <status>unmodified</status>
      <modifiedWord/>
      <trackRevisions>false</trackRevisions>
    </reviewItem>
    <reviewItem>
      <errorID>23f1a7f7-dfbb-4e46-b385-42fd52b5135e</errorID>
      <errorWord>；</errorWord>
      <group>L1_Format</group>
      <groupName>格式问题</groupName>
      <ability>L2_HalfPunc</ability>
      <abilityName>全半角检查</abilityName>
      <candidateList>
        <item>; </item>
      </candidateList>
      <explain>文本全半角错误。</explain>
      <paraID> 1015E8C</paraID>
      <start>33</start>
      <end>34</end>
      <status>unmodified</status>
      <modifiedWord/>
      <trackRevisions>false</trackRevisions>
    </reviewItem>
    <reviewItem>
      <errorID>f0d0bf4b-d912-4e95-9a67-80d4b8fe941d</errorID>
      <errorWord>；</errorWord>
      <group>L1_Format</group>
      <groupName>格式问题</groupName>
      <ability>L2_HalfPunc</ability>
      <abilityName>全半角检查</abilityName>
      <candidateList>
        <item>; </item>
      </candidateList>
      <explain>文本全半角错误。</explain>
      <paraID> 1015E8C</paraID>
      <start>39</start>
      <end>40</end>
      <status>unmodified</status>
      <modifiedWord/>
      <trackRevisions>false</trackRevisions>
    </reviewItem>
    <reviewItem>
      <errorID>4b93d898-7ca5-48f5-bd4b-8078c1ce9ebb</errorID>
      <errorWord>；</errorWord>
      <group>L1_Format</group>
      <groupName>格式问题</groupName>
      <ability>L2_HalfPunc</ability>
      <abilityName>全半角检查</abilityName>
      <candidateList>
        <item>;</item>
      </candidateList>
      <explain>文本全半角错误。</explain>
      <paraID> 1015E8C</paraID>
      <start>44</start>
      <end>45</end>
      <status>unmodified</status>
      <modifiedWord/>
      <trackRevisions>false</trackRevisions>
    </reviewItem>
    <reviewItem>
      <errorID>5d235391-d3e1-4310-bbeb-3e4ba21b4697</errorID>
      <errorWord>；</errorWord>
      <group>L1_Format</group>
      <groupName>格式问题</groupName>
      <ability>L2_HalfPunc</ability>
      <abilityName>全半角检查</abilityName>
      <candidateList>
        <item>; </item>
      </candidateList>
      <explain>文本全半角错误。</explain>
      <paraID> 7EBD06D</paraID>
      <start>6</start>
      <end>7</end>
      <status>unmodified</status>
      <modifiedWord/>
      <trackRevisions>false</trackRevisions>
    </reviewItem>
    <reviewItem>
      <errorID>5c4197db-ef0a-4746-aa9f-230c855c90d3</errorID>
      <errorWord>；</errorWord>
      <group>L1_Format</group>
      <groupName>格式问题</groupName>
      <ability>L2_HalfPunc</ability>
      <abilityName>全半角检查</abilityName>
      <candidateList>
        <item>; </item>
      </candidateList>
      <explain>文本全半角错误。</explain>
      <paraID> 7EBD06D</paraID>
      <start>12</start>
      <end>13</end>
      <status>unmodified</status>
      <modifiedWord/>
      <trackRevisions>false</trackRevisions>
    </reviewItem>
    <reviewItem>
      <errorID>b7ba52a2-42a1-4383-83a5-2c72badeb8f2</errorID>
      <errorWord>；</errorWord>
      <group>L1_Format</group>
      <groupName>格式问题</groupName>
      <ability>L2_HalfPunc</ability>
      <abilityName>全半角检查</abilityName>
      <candidateList>
        <item>; </item>
      </candidateList>
      <explain>文本全半角错误。</explain>
      <paraID> 7EBD06D</paraID>
      <start>19</start>
      <end>20</end>
      <status>unmodified</status>
      <modifiedWord/>
      <trackRevisions>false</trackRevisions>
    </reviewItem>
    <reviewItem>
      <errorID>37119651-f784-48bd-b5c2-14edf10641cf</errorID>
      <errorWord>；</errorWord>
      <group>L1_Format</group>
      <groupName>格式问题</groupName>
      <ability>L2_HalfPunc</ability>
      <abilityName>全半角检查</abilityName>
      <candidateList>
        <item>; </item>
      </candidateList>
      <explain>文本全半角错误。</explain>
      <paraID> 7EBD06D</paraID>
      <start>26</start>
      <end>27</end>
      <status>unmodified</status>
      <modifiedWord/>
      <trackRevisions>false</trackRevisions>
    </reviewItem>
    <reviewItem>
      <errorID>07e6d488-b46d-4d63-b46d-c38b2d7fcf08</errorID>
      <errorWord>；</errorWord>
      <group>L1_Format</group>
      <groupName>格式问题</groupName>
      <ability>L2_HalfPunc</ability>
      <abilityName>全半角检查</abilityName>
      <candidateList>
        <item>; </item>
      </candidateList>
      <explain>文本全半角错误。</explain>
      <paraID> 7EBD06D</paraID>
      <start>34</start>
      <end>35</end>
      <status>unmodified</status>
      <modifiedWord/>
      <trackRevisions>false</trackRevisions>
    </reviewItem>
    <reviewItem>
      <errorID>707ea25c-911b-41a1-80f5-7b782edcebbf</errorID>
      <errorWord>；</errorWord>
      <group>L1_Format</group>
      <groupName>格式问题</groupName>
      <ability>L2_HalfPunc</ability>
      <abilityName>全半角检查</abilityName>
      <candidateList>
        <item>; </item>
      </candidateList>
      <explain>文本全半角错误。</explain>
      <paraID> 7EBD06D</paraID>
      <start>42</start>
      <end>43</end>
      <status>unmodified</status>
      <modifiedWord/>
      <trackRevisions>false</trackRevisions>
    </reviewItem>
    <reviewItem>
      <errorID>0d604d7f-65a9-429f-9c8c-a5ef0f376fe4</errorID>
      <errorWord>；</errorWord>
      <group>L1_Format</group>
      <groupName>格式问题</groupName>
      <ability>L2_HalfPunc</ability>
      <abilityName>全半角检查</abilityName>
      <candidateList>
        <item>;</item>
      </candidateList>
      <explain>文本全半角错误。</explain>
      <paraID> 7EBD06D</paraID>
      <start>49</start>
      <end>50</end>
      <status>unmodified</status>
      <modifiedWord/>
      <trackRevisions>false</trackRevisions>
    </reviewItem>
    <reviewItem>
      <errorID>46b0639e-b45d-4af2-a422-c5846a957ea3</errorID>
      <errorWord>(</errorWord>
      <group>L1_Format</group>
      <groupName>格式问题</groupName>
      <ability>L2_HalfPunc</ability>
      <abilityName>全半角检查</abilityName>
      <candidateList>
        <item>（</item>
      </candidateList>
      <explain>文本全半角错误。</explain>
      <paraID>4A99A395</paraID>
      <start>96</start>
      <end>97</end>
      <status>unmodified</status>
      <modifiedWord/>
      <trackRevisions>false</trackRevisions>
    </reviewItem>
    <reviewItem>
      <errorID>cfa60100-4ea8-4ea8-83c6-169909b7e371</errorID>
      <errorWord>)</errorWord>
      <group>L1_Format</group>
      <groupName>格式问题</groupName>
      <ability>L2_HalfPunc</ability>
      <abilityName>全半角检查</abilityName>
      <candidateList>
        <item>）</item>
      </candidateList>
      <explain>文本全半角错误。</explain>
      <paraID>4A99A395</paraID>
      <start>105</start>
      <end>106</end>
      <status>unmodified</status>
      <modifiedWord/>
      <trackRevisions>false</trackRevisions>
    </reviewItem>
    <reviewItem>
      <errorID>addac776-f2da-4e07-87fe-bc668066be7d</errorID>
      <errorWord>)</errorWord>
      <group>L1_Format</group>
      <groupName>格式问题</groupName>
      <ability>L2_HalfPunc</ability>
      <abilityName>全半角检查</abilityName>
      <candidateList>
        <item>）</item>
      </candidateList>
      <explain>文本全半角错误。</explain>
      <paraID>4762B120</paraID>
      <start>20</start>
      <end>21</end>
      <status>unmodified</status>
      <modifiedWord/>
      <trackRevisions>false</trackRevisions>
    </reviewItem>
    <reviewItem>
      <errorID>70848e44-5767-4250-862b-042044273833</errorID>
      <errorWord>(</errorWord>
      <group>L1_Format</group>
      <groupName>格式问题</groupName>
      <ability>L2_HalfPunc</ability>
      <abilityName>全半角检查</abilityName>
      <candidateList>
        <item>（</item>
      </candidateList>
      <explain>文本全半角错误。</explain>
      <paraID>4762B120</paraID>
      <start>28</start>
      <end>29</end>
      <status>unmodified</status>
      <modifiedWord/>
      <trackRevisions>false</trackRevisions>
    </reviewItem>
    <reviewItem>
      <errorID>98879437-703d-4b14-a583-5677dfe4d658</errorID>
      <errorWord>；</errorWord>
      <group>L1_Format</group>
      <groupName>格式问题</groupName>
      <ability>L2_HalfPunc</ability>
      <abilityName>全半角检查</abilityName>
      <candidateList>
        <item>;</item>
      </candidateList>
      <explain>文本全半角错误。</explain>
      <paraID>6FDD5AF1</paraID>
      <start>35</start>
      <end>36</end>
      <status>unmodified</status>
      <modifiedWord/>
      <trackRevisions>false</trackRevisions>
    </reviewItem>
    <reviewItem>
      <errorID>4e064f76-8866-4590-883e-79280d66bb3e</errorID>
      <errorWord>；</errorWord>
      <group>L1_Format</group>
      <groupName>格式问题</groupName>
      <ability>L2_HalfPunc</ability>
      <abilityName>全半角检查</abilityName>
      <candidateList>
        <item>;</item>
      </candidateList>
      <explain>文本全半角错误。</explain>
      <paraID>61225474</paraID>
      <start>38</start>
      <end>39</end>
      <status>unmodified</status>
      <modifiedWord/>
      <trackRevisions>false</trackRevisions>
    </reviewItem>
    <reviewItem>
      <errorID>ca33687e-b92d-4174-a1c4-0bfeab802684</errorID>
      <errorWord>；</errorWord>
      <group>L1_Format</group>
      <groupName>格式问题</groupName>
      <ability>L2_HalfPunc</ability>
      <abilityName>全半角检查</abilityName>
      <candidateList>
        <item>;</item>
      </candidateList>
      <explain>文本全半角错误。</explain>
      <paraID>24513295</paraID>
      <start>38</start>
      <end>39</end>
      <status>unmodified</status>
      <modifiedWord/>
      <trackRevisions>false</trackRevisions>
    </reviewItem>
    <reviewItem>
      <errorID>4d6bda50-f616-4530-aa19-f0b0f7ced124</errorID>
      <errorWord>；</errorWord>
      <group>L1_Format</group>
      <groupName>格式问题</groupName>
      <ability>L2_HalfPunc</ability>
      <abilityName>全半角检查</abilityName>
      <candidateList>
        <item>;</item>
      </candidateList>
      <explain>文本全半角错误。</explain>
      <paraID>6915F474</paraID>
      <start>43</start>
      <end>44</end>
      <status>unmodified</status>
      <modifiedWord/>
      <trackRevisions>false</trackRevisions>
    </reviewItem>
    <reviewItem>
      <errorID>c7b4c917-7771-4cf2-bfbc-4f5eacc80048</errorID>
      <errorWord>；</errorWord>
      <group>L1_Format</group>
      <groupName>格式问题</groupName>
      <ability>L2_HalfPunc</ability>
      <abilityName>全半角检查</abilityName>
      <candidateList>
        <item>;</item>
      </candidateList>
      <explain>文本全半角错误。</explain>
      <paraID>42046B4C</paraID>
      <start>43</start>
      <end>44</end>
      <status>unmodified</status>
      <modifiedWord/>
      <trackRevisions>false</trackRevisions>
    </reviewItem>
    <reviewItem>
      <errorID>1c40e43b-55cf-489b-9a25-dda3e61e2a55</errorID>
      <errorWord>；</errorWord>
      <group>L1_Format</group>
      <groupName>格式问题</groupName>
      <ability>L2_HalfPunc</ability>
      <abilityName>全半角检查</abilityName>
      <candidateList>
        <item>;</item>
      </candidateList>
      <explain>文本全半角错误。</explain>
      <paraID>  882718</paraID>
      <start>43</start>
      <end>44</end>
      <status>unmodified</status>
      <modifiedWord/>
      <trackRevisions>false</trackRevisions>
    </reviewItem>
    <reviewItem>
      <errorID>249a71c9-1feb-44f7-b007-cbf5276104a4</errorID>
      <errorWord>(</errorWord>
      <group>L1_Format</group>
      <groupName>格式问题</groupName>
      <ability>L2_HalfPunc</ability>
      <abilityName>全半角检查</abilityName>
      <candidateList>
        <item>（</item>
      </candidateList>
      <explain>文本全半角错误。</explain>
      <paraID>   7DA00</paraID>
      <start>9</start>
      <end>10</end>
      <status>unmodified</status>
      <modifiedWord/>
      <trackRevisions>false</trackRevisions>
    </reviewItem>
    <reviewItem>
      <errorID>33cd6eef-9691-49b9-ae4f-f77a8eb751c9</errorID>
      <errorWord>)</errorWord>
      <group>L1_Format</group>
      <groupName>格式问题</groupName>
      <ability>L2_HalfPunc</ability>
      <abilityName>全半角检查</abilityName>
      <candidateList>
        <item>）</item>
      </candidateList>
      <explain>文本全半角错误。</explain>
      <paraID>   7DA00</paraID>
      <start>30</start>
      <end>31</end>
      <status>unmodified</status>
      <modifiedWord/>
      <trackRevisions>false</trackRevisions>
    </reviewItem>
    <reviewItem>
      <errorID>1e043674-670b-4ac3-8b7b-e1395d3fb395</errorID>
      <errorWord>(</errorWord>
      <group>L1_Format</group>
      <groupName>格式问题</groupName>
      <ability>L2_HalfPunc</ability>
      <abilityName>全半角检查</abilityName>
      <candidateList>
        <item>（</item>
      </candidateList>
      <explain>文本全半角错误。</explain>
      <paraID>258BD6F0</paraID>
      <start>9</start>
      <end>10</end>
      <status>unmodified</status>
      <modifiedWord/>
      <trackRevisions>false</trackRevisions>
    </reviewItem>
    <reviewItem>
      <errorID>ffb905ef-0f3e-4dfa-b5de-bb816a7f77be</errorID>
      <errorWord>)</errorWord>
      <group>L1_Format</group>
      <groupName>格式问题</groupName>
      <ability>L2_HalfPunc</ability>
      <abilityName>全半角检查</abilityName>
      <candidateList>
        <item>）</item>
      </candidateList>
      <explain>文本全半角错误。</explain>
      <paraID>258BD6F0</paraID>
      <start>16</start>
      <end>17</end>
      <status>unmodified</status>
      <modifiedWord/>
      <trackRevisions>false</trackRevisions>
    </reviewItem>
    <reviewItem>
      <errorID>5098bacd-04f6-418c-a0b9-e98476190058</errorID>
      <errorWord>至少10个以上</errorWord>
      <group>L1_Grammar</group>
      <groupName>语法问题</groupName>
      <ability>L2_Grammar</ability>
      <abilityName>语法错误</abilityName>
      <candidateList>
        <item>至少10个</item>
      </candidateList>
      <explain/>
      <paraID>1BF28E05</paraID>
      <start>3</start>
      <end>10</end>
      <status>unmodified</status>
      <modifiedWord/>
      <trackRevisions>false</trackRevisions>
    </reviewItem>
    <reviewItem>
      <errorID>6c7b1e78-65da-4d0b-a2fc-909505fa6404</errorID>
      <errorWord>)</errorWord>
      <group>L1_Format</group>
      <groupName>格式问题</groupName>
      <ability>L2_HalfPunc</ability>
      <abilityName>全半角检查</abilityName>
      <candidateList>
        <item>）</item>
      </candidateList>
      <explain>文本全半角错误。</explain>
      <paraID>15B79072</paraID>
      <start>22</start>
      <end>23</end>
      <status>unmodified</status>
      <modifiedWord/>
      <trackRevisions>false</trackRevisions>
    </reviewItem>
    <reviewItem>
      <errorID>890f43ae-8e25-4332-b1d5-46b5a5b3618f</errorID>
      <errorWord>)</errorWord>
      <group>L1_Format</group>
      <groupName>格式问题</groupName>
      <ability>L2_HalfPunc</ability>
      <abilityName>全半角检查</abilityName>
      <candidateList>
        <item>）</item>
      </candidateList>
      <explain>文本全半角错误。</explain>
      <paraID>7B7B67A7</paraID>
      <start>86</start>
      <end>87</end>
      <status>unmodified</status>
      <modifiedWord/>
      <trackRevisions>false</trackRevisions>
    </reviewItem>
    <reviewItem>
      <errorID>02e54686-7754-4ef7-92bb-6cb06db4040f</errorID>
      <errorWord>(</errorWord>
      <group>L1_Format</group>
      <groupName>格式问题</groupName>
      <ability>L2_HalfPunc</ability>
      <abilityName>全半角检查</abilityName>
      <candidateList>
        <item>（</item>
      </candidateList>
      <explain>文本全半角错误。</explain>
      <paraID>28603DF2</paraID>
      <start>10</start>
      <end>11</end>
      <status>unmodified</status>
      <modifiedWord/>
      <trackRevisions>false</trackRevisions>
    </reviewItem>
    <reviewItem>
      <errorID>1099b8ae-5cf8-4180-a81f-be4ff184a251</errorID>
      <errorWord>)</errorWord>
      <group>L1_Format</group>
      <groupName>格式问题</groupName>
      <ability>L2_HalfPunc</ability>
      <abilityName>全半角检查</abilityName>
      <candidateList>
        <item>）</item>
      </candidateList>
      <explain>文本全半角错误。</explain>
      <paraID>28603DF2</paraID>
      <start>42</start>
      <end>43</end>
      <status>unmodified</status>
      <modifiedWord/>
      <trackRevisions>false</trackRevisions>
    </reviewItem>
    <reviewItem>
      <errorID>5a18ba62-077e-40ed-9545-5a13dfb55de8</errorID>
      <errorWord>及可</errorWord>
      <group>L1_Word</group>
      <groupName>字词问题</groupName>
      <ability>L2_Typo</ability>
      <abilityName>字词错误</abilityName>
      <candidateList>
        <item>即可</item>
      </candidateList>
      <explain/>
      <paraID>  AE4A44</paraID>
      <start>189</start>
      <end>191</end>
      <status>unmodified</status>
      <modifiedWord/>
      <trackRevisions>false</trackRevisions>
    </reviewItem>
    <reviewItem>
      <errorID>834be9a5-afef-48ea-8a22-c5c9ce30056d</errorID>
      <errorWord>(</errorWord>
      <group>L1_Format</group>
      <groupName>格式问题</groupName>
      <ability>L2_HalfPunc</ability>
      <abilityName>全半角检查</abilityName>
      <candidateList>
        <item>（</item>
      </candidateList>
      <explain>文本全半角错误。</explain>
      <paraID>43E6EE71</paraID>
      <start>55</start>
      <end>56</end>
      <status>unmodified</status>
      <modifiedWord/>
      <trackRevisions>false</trackRevisions>
    </reviewItem>
    <reviewItem>
      <errorID>3f0917a2-2176-4bcd-b61e-3f8bab686c38</errorID>
      <errorWord>)</errorWord>
      <group>L1_Format</group>
      <groupName>格式问题</groupName>
      <ability>L2_HalfPunc</ability>
      <abilityName>全半角检查</abilityName>
      <candidateList>
        <item>）</item>
      </candidateList>
      <explain>文本全半角错误。</explain>
      <paraID>43E6EE71</paraID>
      <start>59</start>
      <end>60</end>
      <status>unmodified</status>
      <modifiedWord/>
      <trackRevisions>false</trackRevisions>
    </reviewItem>
    <reviewItem>
      <errorID>d4f96cce-4434-4504-a79b-5cb2ba6434e1</errorID>
      <errorWord>，</errorWord>
      <group>L1_Punc</group>
      <groupName>标点问题</groupName>
      <ability>L2_Punc</ability>
      <abilityName>标点符号检查</abilityName>
      <candidateList>
        <item/>
      </candidateList>
      <explain>括号内行文末尾一般不加标点。</explain>
      <paraID>224DAF18</paraID>
      <start>66</start>
      <end>67</end>
      <status>unmodified</status>
      <modifiedWord/>
      <trackRevisions>false</trackRevisions>
    </reviewItem>
    <reviewItem>
      <errorID>0c898a77-b78a-459e-ae18-e64bd2a584af</errorID>
      <errorWord>(</errorWord>
      <group>L1_Format</group>
      <groupName>格式问题</groupName>
      <ability>L2_HalfPunc</ability>
      <abilityName>全半角检查</abilityName>
      <candidateList>
        <item>（</item>
      </candidateList>
      <explain>文本全半角错误。</explain>
      <paraID>4EF2EC4F</paraID>
      <start>11</start>
      <end>12</end>
      <status>unmodified</status>
      <modifiedWord/>
      <trackRevisions>false</trackRevisions>
    </reviewItem>
    <reviewItem>
      <errorID>b120f87b-3dbf-4893-81dc-31fe5a5b21a3</errorID>
      <errorWord>(</errorWord>
      <group>L1_Format</group>
      <groupName>格式问题</groupName>
      <ability>L2_HalfPunc</ability>
      <abilityName>全半角检查</abilityName>
      <candidateList>
        <item>（</item>
      </candidateList>
      <explain>文本全半角错误。</explain>
      <paraID>67121376</paraID>
      <start>4</start>
      <end>5</end>
      <status>unmodified</status>
      <modifiedWord/>
      <trackRevisions>false</trackRevisions>
    </reviewItem>
    <reviewItem>
      <errorID>1d4dea6d-c224-485c-b77c-45507e12612e</errorID>
      <errorWord>)</errorWord>
      <group>L1_Format</group>
      <groupName>格式问题</groupName>
      <ability>L2_HalfPunc</ability>
      <abilityName>全半角检查</abilityName>
      <candidateList>
        <item>）</item>
      </candidateList>
      <explain>文本全半角错误。</explain>
      <paraID>67121376</paraID>
      <start>15</start>
      <end>16</end>
      <status>unmodified</status>
      <modifiedWord/>
      <trackRevisions>false</trackRevisions>
    </reviewItem>
    <reviewItem>
      <errorID>0c8d3395-beb3-48f4-bde1-846e14fdc863</errorID>
      <errorWord>包含有</errorWord>
      <group>L1_Word</group>
      <groupName>字词问题</groupName>
      <ability>L2_Typo</ability>
      <abilityName>字词错误</abilityName>
      <candidateList>
        <item>包含</item>
      </candidateList>
      <explain>〈动〉里边含有：这句话～好几层意思。</explain>
      <paraID> 1E85BC4</paraID>
      <start>16</start>
      <end>19</end>
      <status>unmodified</status>
      <modifiedWord/>
      <trackRevisions>false</trackRevisions>
    </reviewItem>
    <reviewItem>
      <errorID>34871c29-f94d-4a51-aaed-12ce755cbd46</errorID>
      <errorWord>,</errorWord>
      <group>L1_Format</group>
      <groupName>格式问题</groupName>
      <ability>L2_HalfPunc</ability>
      <abilityName>全半角检查</abilityName>
      <candidateList>
        <item>，</item>
      </candidateList>
      <explain>文本全半角错误。</explain>
      <paraID>765E35A5</paraID>
      <start>90</start>
      <end>91</end>
      <status>unmodified</status>
      <modifiedWord/>
      <trackRevisions>false</trackRevisions>
    </reviewItem>
    <reviewItem>
      <errorID>acd79442-5456-46d2-92db-4dbe824c18f6</errorID>
      <errorWord>应</errorWord>
      <group>L1_Word</group>
      <groupName>字词问题</groupName>
      <ability>L2_Typo</ability>
      <abilityName>字词错误</abilityName>
      <candidateList>
        <item>应在</item>
      </candidateList>
      <explain/>
      <paraID>765E35A5</paraID>
      <start>120</start>
      <end>121</end>
      <status>unmodified</status>
      <modifiedWord/>
      <trackRevisions>false</trackRevisions>
    </reviewItem>
    <reviewItem>
      <errorID>1b6257a0-631f-47ec-8d92-fef698180494</errorID>
      <errorWord>,</errorWord>
      <group>L1_Format</group>
      <groupName>格式问题</groupName>
      <ability>L2_HalfPunc</ability>
      <abilityName>全半角检查</abilityName>
      <candidateList>
        <item>，</item>
      </candidateList>
      <explain>文本全半角错误。</explain>
      <paraID>709A65D0</paraID>
      <start>99</start>
      <end>100</end>
      <status>unmodified</status>
      <modifiedWord/>
      <trackRevisions>false</trackRevisions>
    </reviewItem>
    <reviewItem>
      <errorID>43c28e1e-f24e-4fab-a74c-6b4a164533c8</errorID>
      <errorWord>[</errorWord>
      <group>L1_Word</group>
      <groupName>字词问题</groupName>
      <ability>L2_Typo</ability>
      <abilityName>字词错误</abilityName>
      <candidateList>
        <item>[在</item>
      </candidateList>
      <explain/>
      <paraID>6BC4839C</paraID>
      <start>44</start>
      <end>45</end>
      <status>unmodified</status>
      <modifiedWord/>
      <trackRevisions>false</trackRevisions>
    </reviewItem>
    <reviewItem>
      <errorID>b5ec6ab2-b620-4d18-b107-7cd390ff9e0d</errorID>
      <errorWord>,</errorWord>
      <group>L1_Format</group>
      <groupName>格式问题</groupName>
      <ability>L2_HalfPunc</ability>
      <abilityName>全半角检查</abilityName>
      <candidateList>
        <item>，</item>
      </candidateList>
      <explain>文本全半角错误。</explain>
      <paraID>19BF04BE</paraID>
      <start>47</start>
      <end>48</end>
      <status>unmodified</status>
      <modifiedWord/>
      <trackRevisions>false</trackRevisions>
    </reviewItem>
    <reviewItem>
      <errorID>d7cecefc-9078-4ff7-af03-5483e1cc4034</errorID>
      <errorWord>kw</errorWord>
      <group>L1_Word</group>
      <groupName>字词问题</groupName>
      <ability>L2_Typo</ability>
      <abilityName>字词错误</abilityName>
      <candidateList>
        <item>kW</item>
      </candidateList>
      <explain/>
      <paraID>7A8DF32C</paraID>
      <start>20</start>
      <end>22</end>
      <status>unmodified</status>
      <modifiedWord/>
      <trackRevisions>false</trackRevisions>
    </reviewItem>
    <reviewItem>
      <errorID>0e1d999a-582d-416f-934e-8b07e9d27d88</errorID>
      <errorWord>存贮</errorWord>
      <group>L1_Word</group>
      <groupName>字词问题</groupName>
      <ability>L2_Typo</ability>
      <abilityName>字词错误</abilityName>
      <candidateList>
        <item>存储</item>
      </candidateList>
      <explain/>
      <paraID> F9248A3</paraID>
      <start>3</start>
      <end>5</end>
      <status>unmodified</status>
      <modifiedWord/>
      <trackRevisions>false</trackRevisions>
    </reviewItem>
    <reviewItem>
      <errorID>24a3d891-0e1d-4fea-b697-4fd52740d0a5</errorID>
      <errorWord>（</errorWord>
      <group>L1_Punc</group>
      <groupName>标点问题</groupName>
      <ability>L2_Punc</ability>
      <abilityName>标点符号检查</abilityName>
      <candidateList/>
      <explain>同一形式括号套用。</explain>
      <paraID>43B238B4</paraID>
      <start>27</start>
      <end>28</end>
      <status>unmodified</status>
      <modifiedWord/>
      <trackRevisions>false</trackRevisions>
    </reviewItem>
    <reviewItem>
      <errorID>9ecd6faa-fc3f-42ab-a56a-32f7a1e862e6</errorID>
      <errorWord>）</errorWord>
      <group>L1_Punc</group>
      <groupName>标点问题</groupName>
      <ability>L2_Punc</ability>
      <abilityName>标点符号检查</abilityName>
      <candidateList/>
      <explain>同一形式括号套用。</explain>
      <paraID>43B238B4</paraID>
      <start>32</start>
      <end>33</end>
      <status>unmodified</status>
      <modifiedWord/>
      <trackRevisions>false</trackRevisions>
    </reviewItem>
    <reviewItem>
      <errorID>e847385d-c2c4-4243-b5bb-146014297523</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5DC85340</paraID>
      <start>31</start>
      <end>33</end>
      <status>unmodified</status>
      <modifiedWord/>
      <trackRevisions>false</trackRevisions>
    </reviewItem>
    <reviewItem>
      <errorID>98deb00f-de9c-4d8e-a6db-3354436934e8</errorID>
      <errorWord>(</errorWord>
      <group>L1_Format</group>
      <groupName>格式问题</groupName>
      <ability>L2_HalfPunc</ability>
      <abilityName>全半角检查</abilityName>
      <candidateList>
        <item>（</item>
      </candidateList>
      <explain>文本全半角错误。</explain>
      <paraID>5F0B1ACF</paraID>
      <start>4</start>
      <end>5</end>
      <status>unmodified</status>
      <modifiedWord/>
      <trackRevisions>false</trackRevisions>
    </reviewItem>
    <reviewItem>
      <errorID>3296a1b9-6d40-44e3-863f-9c654d767e08</errorID>
      <errorWord>)</errorWord>
      <group>L1_Format</group>
      <groupName>格式问题</groupName>
      <ability>L2_HalfPunc</ability>
      <abilityName>全半角检查</abilityName>
      <candidateList>
        <item>）</item>
      </candidateList>
      <explain>文本全半角错误。</explain>
      <paraID>5F0B1ACF</paraID>
      <start>15</start>
      <end>16</end>
      <status>unmodified</status>
      <modifiedWord/>
      <trackRevisions>false</trackRevisions>
    </reviewItem>
    <reviewItem>
      <errorID>1a557c9c-827f-4ffd-8921-dccda832b364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20B3AE3</paraID>
      <start>15</start>
      <end>18</end>
      <status>unmodified</status>
      <modifiedWord/>
      <trackRevisions>false</trackRevisions>
    </reviewItem>
    <reviewItem>
      <errorID>2f5ded1a-c95f-4c80-9100-11bc58506e89</errorID>
      <errorWord>包含有</errorWord>
      <group>L1_Word</group>
      <groupName>字词问题</groupName>
      <ability>L2_Typo</ability>
      <abilityName>字词错误</abilityName>
      <candidateList>
        <item>包含</item>
      </candidateList>
      <explain>〈动〉里边含有：这句话～好几层意思。</explain>
      <paraID>5DD2A3E4</paraID>
      <start>16</start>
      <end>19</end>
      <status>unmodified</status>
      <modifiedWord/>
      <trackRevisions>false</trackRevisions>
    </reviewItem>
    <reviewItem>
      <errorID>5dcf0d1b-cd97-4020-9458-e885b1c55161</errorID>
      <errorWord>,</errorWord>
      <group>L1_Format</group>
      <groupName>格式问题</groupName>
      <ability>L2_HalfPunc</ability>
      <abilityName>全半角检查</abilityName>
      <candidateList>
        <item>，</item>
      </candidateList>
      <explain>文本全半角错误。</explain>
      <paraID>7A8E0A15</paraID>
      <start>90</start>
      <end>91</end>
      <status>unmodified</status>
      <modifiedWord/>
      <trackRevisions>false</trackRevisions>
    </reviewItem>
    <reviewItem>
      <errorID>baa02b64-3c26-465b-bfc4-bdfc88cfcdd6</errorID>
      <errorWord>应</errorWord>
      <group>L1_Word</group>
      <groupName>字词问题</groupName>
      <ability>L2_Typo</ability>
      <abilityName>字词错误</abilityName>
      <candidateList>
        <item>应在</item>
      </candidateList>
      <explain/>
      <paraID>7A8E0A15</paraID>
      <start>120</start>
      <end>121</end>
      <status>unmodified</status>
      <modifiedWord/>
      <trackRevisions>false</trackRevisions>
    </reviewItem>
    <reviewItem>
      <errorID>8ce3da5b-5585-4ccc-8fa8-d4b909b8d992</errorID>
      <errorWord>,</errorWord>
      <group>L1_Format</group>
      <groupName>格式问题</groupName>
      <ability>L2_HalfPunc</ability>
      <abilityName>全半角检查</abilityName>
      <candidateList>
        <item>，</item>
      </candidateList>
      <explain>文本全半角错误。</explain>
      <paraID>33E85A9F</paraID>
      <start>99</start>
      <end>100</end>
      <status>unmodified</status>
      <modifiedWord/>
      <trackRevisions>false</trackRevisions>
    </reviewItem>
    <reviewItem>
      <errorID>38ea1693-3c53-4319-b2dc-013091b6e144</errorID>
      <errorWord>[</errorWord>
      <group>L1_Word</group>
      <groupName>字词问题</groupName>
      <ability>L2_Typo</ability>
      <abilityName>字词错误</abilityName>
      <candidateList>
        <item>[在</item>
      </candidateList>
      <explain/>
      <paraID>48192245</paraID>
      <start>44</start>
      <end>45</end>
      <status>unmodified</status>
      <modifiedWord/>
      <trackRevisions>false</trackRevisions>
    </reviewItem>
    <reviewItem>
      <errorID>ccb04e2f-0a6d-42fc-b281-943c6ade6c6b</errorID>
      <errorWord>样品的</errorWord>
      <group>L1_Word</group>
      <groupName>字词问题</groupName>
      <ability>L2_Typo</ability>
      <abilityName>字词错误</abilityName>
      <candidateList>
        <item>样品</item>
      </candidateList>
      <explain/>
      <paraID>5A441B44</paraID>
      <start>45</start>
      <end>48</end>
      <status>unmodified</status>
      <modifiedWord/>
      <trackRevisions>false</trackRevisions>
    </reviewItem>
    <reviewItem>
      <errorID>bf120bff-2c24-443d-a767-3445c2a94a4d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62C4D705</paraID>
      <start>31</start>
      <end>32</end>
      <status>unmodified</status>
      <modifiedWord/>
      <trackRevisions>false</trackRevisions>
    </reviewItem>
    <reviewItem>
      <errorID>112b8e4d-2321-4291-a8d9-0bd2fdd79151</errorID>
      <errorWord>(</errorWord>
      <group>L1_Format</group>
      <groupName>格式问题</groupName>
      <ability>L2_HalfPunc</ability>
      <abilityName>全半角检查</abilityName>
      <candidateList>
        <item>（</item>
      </candidateList>
      <explain>文本全半角错误。</explain>
      <paraID>1DCE82BD</paraID>
      <start>10</start>
      <end>11</end>
      <status>unmodified</status>
      <modifiedWord/>
      <trackRevisions>false</trackRevisions>
    </reviewItem>
    <reviewItem>
      <errorID>66ba45dc-a046-4b84-906e-1325d765c79f</errorID>
      <errorWord>)</errorWord>
      <group>L1_Format</group>
      <groupName>格式问题</groupName>
      <ability>L2_HalfPunc</ability>
      <abilityName>全半角检查</abilityName>
      <candidateList>
        <item>）</item>
      </candidateList>
      <explain>文本全半角错误。</explain>
      <paraID>1DCE82BD</paraID>
      <start>14</start>
      <end>15</end>
      <status>unmodified</status>
      <modifiedWord/>
      <trackRevisions>false</trackRevisions>
    </reviewItem>
    <reviewItem>
      <errorID>16c37c22-f085-49ef-b154-6ede33bda781</errorID>
      <errorWord>(</errorWord>
      <group>L1_Format</group>
      <groupName>格式问题</groupName>
      <ability>L2_HalfPunc</ability>
      <abilityName>全半角检查</abilityName>
      <candidateList>
        <item>（</item>
      </candidateList>
      <explain>文本全半角错误。</explain>
      <paraID>73EA92E7</paraID>
      <start>10</start>
      <end>11</end>
      <status>unmodified</status>
      <modifiedWord/>
      <trackRevisions>false</trackRevisions>
    </reviewItem>
    <reviewItem>
      <errorID>179edd41-4a5e-4865-964f-66f64b068cfa</errorID>
      <errorWord>)</errorWord>
      <group>L1_Format</group>
      <groupName>格式问题</groupName>
      <ability>L2_HalfPunc</ability>
      <abilityName>全半角检查</abilityName>
      <candidateList>
        <item>）</item>
      </candidateList>
      <explain>文本全半角错误。</explain>
      <paraID>73EA92E7</paraID>
      <start>14</start>
      <end>15</end>
      <status>unmodified</status>
      <modifiedWord/>
      <trackRevisions>false</trackRevisions>
    </reviewItem>
    <reviewItem>
      <errorID>37f37c58-3994-4316-80f2-d91bc5cb9437</errorID>
      <errorWord>(</errorWord>
      <group>L1_Format</group>
      <groupName>格式问题</groupName>
      <ability>L2_HalfPunc</ability>
      <abilityName>全半角检查</abilityName>
      <candidateList>
        <item>（</item>
      </candidateList>
      <explain>文本全半角错误。</explain>
      <paraID>665B391E</paraID>
      <start>11</start>
      <end>12</end>
      <status>unmodified</status>
      <modifiedWord/>
      <trackRevisions>false</trackRevisions>
    </reviewItem>
    <reviewItem>
      <errorID>5126998f-346a-4bda-bf12-85a56f4c00be</errorID>
      <errorWord>)</errorWord>
      <group>L1_Format</group>
      <groupName>格式问题</groupName>
      <ability>L2_HalfPunc</ability>
      <abilityName>全半角检查</abilityName>
      <candidateList>
        <item>）</item>
      </candidateList>
      <explain>文本全半角错误。</explain>
      <paraID>665B391E</paraID>
      <start>16</start>
      <end>17</end>
      <status>unmodified</status>
      <modifiedWord/>
      <trackRevisions>false</trackRevisions>
    </reviewItem>
    <reviewItem>
      <errorID>aacbef42-c795-49b8-9c28-300e2ca0822a</errorID>
      <errorWord>(</errorWord>
      <group>L1_Format</group>
      <groupName>格式问题</groupName>
      <ability>L2_HalfPunc</ability>
      <abilityName>全半角检查</abilityName>
      <candidateList>
        <item>（</item>
      </candidateList>
      <explain>文本全半角错误。</explain>
      <paraID>2B5E1755</paraID>
      <start>11</start>
      <end>12</end>
      <status>unmodified</status>
      <modifiedWord/>
      <trackRevisions>false</trackRevisions>
    </reviewItem>
    <reviewItem>
      <errorID>821f00f6-e0d2-423a-b625-854b15720e09</errorID>
      <errorWord>)</errorWord>
      <group>L1_Format</group>
      <groupName>格式问题</groupName>
      <ability>L2_HalfPunc</ability>
      <abilityName>全半角检查</abilityName>
      <candidateList>
        <item>）</item>
      </candidateList>
      <explain>文本全半角错误。</explain>
      <paraID>2B5E1755</paraID>
      <start>16</start>
      <end>17</end>
      <status>unmodified</status>
      <modifiedWord/>
      <trackRevisions>false</trackRevisions>
    </reviewItem>
    <reviewItem>
      <errorID>90531da7-9d5f-4343-8c0f-46f53624c6fb</errorID>
      <errorWord>晰</errorWord>
      <group>L1_Word</group>
      <groupName>字词问题</groupName>
      <ability>L2_Typo</ability>
      <abilityName>字词错误</abilityName>
      <candidateList>
        <item>晰地</item>
      </candidateList>
      <explain/>
      <paraID>134EB094</paraID>
      <start>119</start>
      <end>120</end>
      <status>unmodified</status>
      <modifiedWord/>
      <trackRevisions>false</trackRevisions>
    </reviewItem>
    <reviewItem>
      <errorID>052be57e-9f1c-4b3c-aa77-d9965fb1bcf6</errorID>
      <errorWord>材料材料</errorWord>
      <group>L1_Word</group>
      <groupName>字词问题</groupName>
      <ability>L2_Typo</ability>
      <abilityName>字词错误</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134EB094</paraID>
      <start>203</start>
      <end>207</end>
      <status>unmodified</status>
      <modifiedWord/>
      <trackRevisions>false</trackRevisions>
    </reviewItem>
    <reviewItem>
      <errorID>eedc95b8-fff7-4370-a6ad-744e29558234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9DF2198</paraID>
      <start>16</start>
      <end>17</end>
      <status>unmodified</status>
      <modifiedWord/>
      <trackRevisions>false</trackRevisions>
    </reviewItem>
    <reviewItem>
      <errorID>4a666e60-8cb7-4b17-ad6c-36986bfdfd10</errorID>
      <errorWord>之间的</errorWord>
      <group>L1_Word</group>
      <groupName>字词问题</groupName>
      <ability>L2_Typo</ability>
      <abilityName>字词错误</abilityName>
      <candidateList>
        <item>之间</item>
      </candidateList>
      <explain/>
      <paraID>69BD6E66</paraID>
      <start>20</start>
      <end>23</end>
      <status>unmodified</status>
      <modifiedWord/>
      <trackRevisions>false</trackRevisions>
    </reviewItem>
    <reviewItem>
      <errorID>abe725ef-6f23-4e13-8131-48511e1f71f1</errorID>
      <errorWord>（</errorWord>
      <group>L1_Punc</group>
      <groupName>标点问题</groupName>
      <ability>L2_Punc</ability>
      <abilityName>标点符号检查</abilityName>
      <candidateList/>
      <explain>同一形式括号套用。</explain>
      <paraID>2030195A</paraID>
      <start>39</start>
      <end>40</end>
      <status>unmodified</status>
      <modifiedWord/>
      <trackRevisions>false</trackRevisions>
    </reviewItem>
    <reviewItem>
      <errorID>34d0c095-dac8-42f2-94bc-930c786fae01</errorID>
      <errorWord>）</errorWord>
      <group>L1_Punc</group>
      <groupName>标点问题</groupName>
      <ability>L2_Punc</ability>
      <abilityName>标点符号检查</abilityName>
      <candidateList/>
      <explain>同一形式括号套用。</explain>
      <paraID>2030195A</paraID>
      <start>42</start>
      <end>43</end>
      <status>unmodified</status>
      <modifiedWord/>
      <trackRevisions>false</trackRevisions>
    </reviewItem>
    <reviewItem>
      <errorID>d2467c99-9a83-4409-967b-61e9ad563e4f</errorID>
      <errorWord>(</errorWord>
      <group>L1_Format</group>
      <groupName>格式问题</groupName>
      <ability>L2_HalfPunc</ability>
      <abilityName>全半角检查</abilityName>
      <candidateList>
        <item>（</item>
      </candidateList>
      <explain>文本全半角错误。</explain>
      <paraID>53C6AC8A</paraID>
      <start>30</start>
      <end>31</end>
      <status>unmodified</status>
      <modifiedWord/>
      <trackRevisions>false</trackRevisions>
    </reviewItem>
    <reviewItem>
      <errorID>07a59515-9161-4dcf-879f-0816f9f8e6c9</errorID>
      <errorWord>)</errorWord>
      <group>L1_Format</group>
      <groupName>格式问题</groupName>
      <ability>L2_HalfPunc</ability>
      <abilityName>全半角检查</abilityName>
      <candidateList>
        <item>）</item>
      </candidateList>
      <explain>文本全半角错误。</explain>
      <paraID>53C6AC8A</paraID>
      <start>39</start>
      <end>40</end>
      <status>unmodified</status>
      <modifiedWord/>
      <trackRevisions>false</trackRevisions>
    </reviewItem>
    <reviewItem>
      <errorID>9614e5dd-fcc0-4e14-b5bb-4e4dc0d689f5</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11C8791C</paraID>
      <start>46</start>
      <end>49</end>
      <status>unmodified</status>
      <modifiedWord/>
      <trackRevisions>false</trackRevisions>
    </reviewItem>
    <reviewItem>
      <errorID>65953aa0-5ef3-45a0-af4d-1c4181d3ab46</errorID>
      <errorWord>Kg</errorWord>
      <group>L1_Word</group>
      <groupName>字词问题</groupName>
      <ability>L2_Typo</ability>
      <abilityName>字词错误</abilityName>
      <candidateList>
        <item>kg</item>
      </candidateList>
      <explain/>
      <paraID>3A53DD9A</paraID>
      <start>40</start>
      <end>42</end>
      <status>unmodified</status>
      <modifiedWord/>
      <trackRevisions>false</trackRevisions>
    </reviewItem>
    <reviewItem>
      <errorID>b429ef37-27ef-454a-8c68-415b2470b055</errorID>
      <errorWord>(</errorWord>
      <group>L1_Format</group>
      <groupName>格式问题</groupName>
      <ability>L2_HalfPunc</ability>
      <abilityName>全半角检查</abilityName>
      <candidateList>
        <item>（</item>
      </candidateList>
      <explain>文本全半角错误。</explain>
      <paraID>737C955D</paraID>
      <start>4</start>
      <end>5</end>
      <status>unmodified</status>
      <modifiedWord/>
      <trackRevisions>false</trackRevisions>
    </reviewItem>
    <reviewItem>
      <errorID>e4fb0878-1aa0-4f4c-a566-49e76ce77cac</errorID>
      <errorWord>)</errorWord>
      <group>L1_Format</group>
      <groupName>格式问题</groupName>
      <ability>L2_HalfPunc</ability>
      <abilityName>全半角检查</abilityName>
      <candidateList>
        <item>）</item>
      </candidateList>
      <explain>文本全半角错误。</explain>
      <paraID>737C955D</paraID>
      <start>15</start>
      <end>16</end>
      <status>unmodified</status>
      <modifiedWord/>
      <trackRevisions>false</trackRevisions>
    </reviewItem>
    <reviewItem>
      <errorID>f0386187-cca7-42c5-b788-c6383af1f065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2F1746FC</paraID>
      <start>15</start>
      <end>18</end>
      <status>unmodified</status>
      <modifiedWord/>
      <trackRevisions>false</trackRevisions>
    </reviewItem>
    <reviewItem>
      <errorID>88d3717e-f0ba-43f0-8c40-844162f56bcc</errorID>
      <errorWord>包含有</errorWord>
      <group>L1_Word</group>
      <groupName>字词问题</groupName>
      <ability>L2_Typo</ability>
      <abilityName>字词错误</abilityName>
      <candidateList>
        <item>包含</item>
      </candidateList>
      <explain>〈动〉里边含有：这句话～好几层意思。</explain>
      <paraID>5659DEA8</paraID>
      <start>16</start>
      <end>19</end>
      <status>unmodified</status>
      <modifiedWord/>
      <trackRevisions>false</trackRevisions>
    </reviewItem>
    <reviewItem>
      <errorID>9eae9067-5a52-4c19-ba22-8b6a1b581f1c</errorID>
      <errorWord>,</errorWord>
      <group>L1_Format</group>
      <groupName>格式问题</groupName>
      <ability>L2_HalfPunc</ability>
      <abilityName>全半角检查</abilityName>
      <candidateList>
        <item>，</item>
      </candidateList>
      <explain>文本全半角错误。</explain>
      <paraID>3EF139BF</paraID>
      <start>90</start>
      <end>91</end>
      <status>unmodified</status>
      <modifiedWord/>
      <trackRevisions>false</trackRevisions>
    </reviewItem>
    <reviewItem>
      <errorID>6b2f6a98-2768-4f45-aa71-9c9558a16c23</errorID>
      <errorWord>应</errorWord>
      <group>L1_Word</group>
      <groupName>字词问题</groupName>
      <ability>L2_Typo</ability>
      <abilityName>字词错误</abilityName>
      <candidateList>
        <item>应在</item>
      </candidateList>
      <explain/>
      <paraID>3EF139BF</paraID>
      <start>120</start>
      <end>121</end>
      <status>unmodified</status>
      <modifiedWord/>
      <trackRevisions>false</trackRevisions>
    </reviewItem>
    <reviewItem>
      <errorID>3df9a590-6a3c-4417-8c93-e4271c70eb02</errorID>
      <errorWord>,</errorWord>
      <group>L1_Format</group>
      <groupName>格式问题</groupName>
      <ability>L2_HalfPunc</ability>
      <abilityName>全半角检查</abilityName>
      <candidateList>
        <item>，</item>
      </candidateList>
      <explain>文本全半角错误。</explain>
      <paraID>58EA65FB</paraID>
      <start>99</start>
      <end>100</end>
      <status>unmodified</status>
      <modifiedWord/>
      <trackRevisions>false</trackRevisions>
    </reviewItem>
    <reviewItem>
      <errorID>9e5ada50-6fb9-4d74-99a8-c1ec1d23c07f</errorID>
      <errorWord>[</errorWord>
      <group>L1_Word</group>
      <groupName>字词问题</groupName>
      <ability>L2_Typo</ability>
      <abilityName>字词错误</abilityName>
      <candidateList>
        <item>[在</item>
      </candidateList>
      <explain/>
      <paraID>1B1C9315</paraID>
      <start>44</start>
      <end>45</end>
      <status>unmodified</status>
      <modifiedWord/>
      <trackRevisions>false</trackRevisions>
    </reviewItem>
    <reviewItem>
      <errorID>ac6fd0c4-c975-4a68-a2b8-9f3a8d8dccfb</errorID>
      <errorWord>(</errorWord>
      <group>L1_Format</group>
      <groupName>格式问题</groupName>
      <ability>L2_HalfPunc</ability>
      <abilityName>全半角检查</abilityName>
      <candidateList>
        <item>（</item>
      </candidateList>
      <explain>文本全半角错误。</explain>
      <paraID>3BB83A3D</paraID>
      <start>11</start>
      <end>12</end>
      <status>unmodified</status>
      <modifiedWord/>
      <trackRevisions>false</trackRevisions>
    </reviewItem>
    <reviewItem>
      <errorID>a040fe48-f03e-4434-a278-9d915e027c49</errorID>
      <errorWord>)</errorWord>
      <group>L1_Format</group>
      <groupName>格式问题</groupName>
      <ability>L2_HalfPunc</ability>
      <abilityName>全半角检查</abilityName>
      <candidateList>
        <item>）</item>
      </candidateList>
      <explain>文本全半角错误。</explain>
      <paraID>3BB83A3D</paraID>
      <start>18</start>
      <end>19</end>
      <status>unmodified</status>
      <modifiedWord/>
      <trackRevisions>false</trackRevisions>
    </reviewItem>
    <reviewItem>
      <errorID>85e9d57a-ffe2-4093-83c9-5b2b3377ad5f</errorID>
      <errorWord>:</errorWord>
      <group>L1_Format</group>
      <groupName>格式问题</groupName>
      <ability>L2_HalfPunc</ability>
      <abilityName>全半角检查</abilityName>
      <candidateList>
        <item>：</item>
      </candidateList>
      <explain>文本全半角错误。</explain>
      <paraID>6EA8F65A</paraID>
      <start>8</start>
      <end>9</end>
      <status>unmodified</status>
      <modifiedWord/>
      <trackRevisions>false</trackRevisions>
    </reviewItem>
    <reviewItem>
      <errorID>9d05da54-ec41-4ea2-b2c7-3f65b9477e73</errorID>
      <errorWord>:</errorWord>
      <group>L1_Format</group>
      <groupName>格式问题</groupName>
      <ability>L2_HalfPunc</ability>
      <abilityName>全半角检查</abilityName>
      <candidateList>
        <item>：</item>
      </candidateList>
      <explain>文本全半角错误。</explain>
      <paraID>1765544D</paraID>
      <start>8</start>
      <end>9</end>
      <status>unmodified</status>
      <modifiedWord/>
      <trackRevisions>false</trackRevisions>
    </reviewItem>
    <reviewItem>
      <errorID>23449435-08e1-4c4f-ab15-9a7702d68f9a</errorID>
      <errorWord>:</errorWord>
      <group>L1_Format</group>
      <groupName>格式问题</groupName>
      <ability>L2_HalfPunc</ability>
      <abilityName>全半角检查</abilityName>
      <candidateList>
        <item>：</item>
      </candidateList>
      <explain>文本全半角错误。</explain>
      <paraID>61635E56</paraID>
      <start>7</start>
      <end>8</end>
      <status>unmodified</status>
      <modifiedWord/>
      <trackRevisions>false</trackRevisions>
    </reviewItem>
    <reviewItem>
      <errorID>33e98ed8-b8ee-47f9-8977-e2d1720714e4</errorID>
      <errorWord>:</errorWord>
      <group>L1_Format</group>
      <groupName>格式问题</groupName>
      <ability>L2_HalfPunc</ability>
      <abilityName>全半角检查</abilityName>
      <candidateList>
        <item>：</item>
      </candidateList>
      <explain>文本全半角错误。</explain>
      <paraID>511833B7</paraID>
      <start>13</start>
      <end>14</end>
      <status>unmodified</status>
      <modifiedWord/>
      <trackRevisions>false</trackRevisions>
    </reviewItem>
    <reviewItem>
      <errorID>5cbaaa93-7b9c-44be-924a-e66bc3cb7d73</errorID>
      <errorWord>(</errorWord>
      <group>L1_Format</group>
      <groupName>格式问题</groupName>
      <ability>L2_HalfPunc</ability>
      <abilityName>全半角检查</abilityName>
      <candidateList>
        <item>（</item>
      </candidateList>
      <explain>文本全半角错误。</explain>
      <paraID>511833B7</paraID>
      <start>17</start>
      <end>18</end>
      <status>unmodified</status>
      <modifiedWord/>
      <trackRevisions>false</trackRevisions>
    </reviewItem>
    <reviewItem>
      <errorID>33f2b413-dfe4-496a-a734-385218f0eca5</errorID>
      <errorWord>)</errorWord>
      <group>L1_Format</group>
      <groupName>格式问题</groupName>
      <ability>L2_HalfPunc</ability>
      <abilityName>全半角检查</abilityName>
      <candidateList>
        <item>）</item>
      </candidateList>
      <explain>文本全半角错误。</explain>
      <paraID>511833B7</paraID>
      <start>27</start>
      <end>28</end>
      <status>unmodified</status>
      <modifiedWord/>
      <trackRevisions>false</trackRevisions>
    </reviewItem>
    <reviewItem>
      <errorID>bf9187ef-af51-4f6a-af25-64d0f88b19f3</errorID>
      <errorWord>(</errorWord>
      <group>L1_Format</group>
      <groupName>格式问题</groupName>
      <ability>L2_HalfPunc</ability>
      <abilityName>全半角检查</abilityName>
      <candidateList>
        <item>（</item>
      </candidateList>
      <explain>文本全半角错误。</explain>
      <paraID>5AAF3A70</paraID>
      <start>6</start>
      <end>7</end>
      <status>unmodified</status>
      <modifiedWord/>
      <trackRevisions>false</trackRevisions>
    </reviewItem>
    <reviewItem>
      <errorID>e1f5cc2c-3b1b-4e50-9794-13851bc09e73</errorID>
      <errorWord>)</errorWord>
      <group>L1_Format</group>
      <groupName>格式问题</groupName>
      <ability>L2_HalfPunc</ability>
      <abilityName>全半角检查</abilityName>
      <candidateList>
        <item>）</item>
      </candidateList>
      <explain>文本全半角错误。</explain>
      <paraID>5AAF3A70</paraID>
      <start>15</start>
      <end>16</end>
      <status>unmodified</status>
      <modifiedWord/>
      <trackRevisions>false</trackRevisions>
    </reviewItem>
    <reviewItem>
      <errorID>f7893554-7e3b-46ae-9325-e918427934fa</errorID>
      <errorWord>(</errorWord>
      <group>L1_Format</group>
      <groupName>格式问题</groupName>
      <ability>L2_HalfPunc</ability>
      <abilityName>全半角检查</abilityName>
      <candidateList>
        <item>（</item>
      </candidateList>
      <explain>文本全半角错误。</explain>
      <paraID>38761E36</paraID>
      <start>7</start>
      <end>8</end>
      <status>unmodified</status>
      <modifiedWord/>
      <trackRevisions>false</trackRevisions>
    </reviewItem>
    <reviewItem>
      <errorID>a41b5ef1-de50-4bdd-a903-641de734f676</errorID>
      <errorWord>)</errorWord>
      <group>L1_Format</group>
      <groupName>格式问题</groupName>
      <ability>L2_HalfPunc</ability>
      <abilityName>全半角检查</abilityName>
      <candidateList>
        <item>）</item>
      </candidateList>
      <explain>文本全半角错误。</explain>
      <paraID>38761E36</paraID>
      <start>19</start>
      <end>20</end>
      <status>unmodified</status>
      <modifiedWord/>
      <trackRevisions>false</trackRevisions>
    </reviewItem>
    <reviewItem>
      <errorID>63d765ca-37c3-4edb-b4a9-ec126ad8748c</errorID>
      <errorWord>(</errorWord>
      <group>L1_Format</group>
      <groupName>格式问题</groupName>
      <ability>L2_HalfPunc</ability>
      <abilityName>全半角检查</abilityName>
      <candidateList>
        <item>（</item>
      </candidateList>
      <explain>文本全半角错误。</explain>
      <paraID>797A5D6B</paraID>
      <start>8</start>
      <end>9</end>
      <status>unmodified</status>
      <modifiedWord/>
      <trackRevisions>false</trackRevisions>
    </reviewItem>
    <reviewItem>
      <errorID>1add7749-df11-4c36-909a-94323866f61a</errorID>
      <errorWord>)</errorWord>
      <group>L1_Format</group>
      <groupName>格式问题</groupName>
      <ability>L2_HalfPunc</ability>
      <abilityName>全半角检查</abilityName>
      <candidateList>
        <item>）</item>
      </candidateList>
      <explain>文本全半角错误。</explain>
      <paraID>797A5D6B</paraID>
      <start>17</start>
      <end>18</end>
      <status>unmodified</status>
      <modifiedWord/>
      <trackRevisions>false</trackRevisions>
    </reviewItem>
    <reviewItem>
      <errorID>a9e0240c-7a68-4fa2-9578-0bf7f9a7944e</errorID>
      <errorWord>(</errorWord>
      <group>L1_Format</group>
      <groupName>格式问题</groupName>
      <ability>L2_HalfPunc</ability>
      <abilityName>全半角检查</abilityName>
      <candidateList>
        <item>（</item>
      </candidateList>
      <explain>文本全半角错误。</explain>
      <paraID>4C381CBF</paraID>
      <start>8</start>
      <end>9</end>
      <status>unmodified</status>
      <modifiedWord/>
      <trackRevisions>false</trackRevisions>
    </reviewItem>
    <reviewItem>
      <errorID>5f07a692-b028-4cf2-933c-7470cc1fd490</errorID>
      <errorWord>)</errorWord>
      <group>L1_Format</group>
      <groupName>格式问题</groupName>
      <ability>L2_HalfPunc</ability>
      <abilityName>全半角检查</abilityName>
      <candidateList>
        <item>）</item>
      </candidateList>
      <explain>文本全半角错误。</explain>
      <paraID>4C381CBF</paraID>
      <start>17</start>
      <end>18</end>
      <status>unmodified</status>
      <modifiedWord/>
      <trackRevisions>false</trackRevisions>
    </reviewItem>
    <reviewItem>
      <errorID>daee6f8c-1e3f-461e-bb5a-86ccf9757834</errorID>
      <errorWord>(</errorWord>
      <group>L1_Format</group>
      <groupName>格式问题</groupName>
      <ability>L2_HalfPunc</ability>
      <abilityName>全半角检查</abilityName>
      <candidateList>
        <item>（</item>
      </candidateList>
      <explain>文本全半角错误。</explain>
      <paraID>7538F388</paraID>
      <start>8</start>
      <end>9</end>
      <status>unmodified</status>
      <modifiedWord/>
      <trackRevisions>false</trackRevisions>
    </reviewItem>
    <reviewItem>
      <errorID>bd47dd65-b0c3-4293-80f2-39611201cbf5</errorID>
      <errorWord>)</errorWord>
      <group>L1_Format</group>
      <groupName>格式问题</groupName>
      <ability>L2_HalfPunc</ability>
      <abilityName>全半角检查</abilityName>
      <candidateList>
        <item>）</item>
      </candidateList>
      <explain>文本全半角错误。</explain>
      <paraID>7538F388</paraID>
      <start>12</start>
      <end>13</end>
      <status>unmodified</status>
      <modifiedWord/>
      <trackRevisions>false</trackRevisions>
    </reviewItem>
    <reviewItem>
      <errorID>a7236efe-56d3-4f7d-a5c9-c2edfc192d5c</errorID>
      <errorWord>(</errorWord>
      <group>L1_Format</group>
      <groupName>格式问题</groupName>
      <ability>L2_HalfPunc</ability>
      <abilityName>全半角检查</abilityName>
      <candidateList>
        <item>（</item>
      </candidateList>
      <explain>文本全半角错误。</explain>
      <paraID>7538F388</paraID>
      <start>28</start>
      <end>29</end>
      <status>unmodified</status>
      <modifiedWord/>
      <trackRevisions>false</trackRevisions>
    </reviewItem>
    <reviewItem>
      <errorID>7cfbce43-5405-45a7-ab84-b7bc12b0f8c3</errorID>
      <errorWord>)</errorWord>
      <group>L1_Format</group>
      <groupName>格式问题</groupName>
      <ability>L2_HalfPunc</ability>
      <abilityName>全半角检查</abilityName>
      <candidateList>
        <item>）</item>
      </candidateList>
      <explain>文本全半角错误。</explain>
      <paraID>7538F388</paraID>
      <start>43</start>
      <end>44</end>
      <status>unmodified</status>
      <modifiedWord/>
      <trackRevisions>false</trackRevisions>
    </reviewItem>
    <reviewItem>
      <errorID>1322a96e-0e17-4053-ba61-15dcc87d9295</errorID>
      <errorWord>(</errorWord>
      <group>L1_Format</group>
      <groupName>格式问题</groupName>
      <ability>L2_HalfPunc</ability>
      <abilityName>全半角检查</abilityName>
      <candidateList>
        <item>（</item>
      </candidateList>
      <explain>文本全半角错误。</explain>
      <paraID>51CE2A72</paraID>
      <start>8</start>
      <end>9</end>
      <status>unmodified</status>
      <modifiedWord/>
      <trackRevisions>false</trackRevisions>
    </reviewItem>
    <reviewItem>
      <errorID>43cadd1b-c9a9-41ff-be85-ef36be1489a8</errorID>
      <errorWord>)</errorWord>
      <group>L1_Format</group>
      <groupName>格式问题</groupName>
      <ability>L2_HalfPunc</ability>
      <abilityName>全半角检查</abilityName>
      <candidateList>
        <item>）</item>
      </candidateList>
      <explain>文本全半角错误。</explain>
      <paraID>51CE2A72</paraID>
      <start>12</start>
      <end>13</end>
      <status>unmodified</status>
      <modifiedWord/>
      <trackRevisions>false</trackRevisions>
    </reviewItem>
    <reviewItem>
      <errorID>51151712-a4d6-4ff3-8ec5-aa26d7ccfa21</errorID>
      <errorWord>(</errorWord>
      <group>L1_Format</group>
      <groupName>格式问题</groupName>
      <ability>L2_HalfPunc</ability>
      <abilityName>全半角检查</abilityName>
      <candidateList>
        <item>（</item>
      </candidateList>
      <explain>文本全半角错误。</explain>
      <paraID>51CE2A72</paraID>
      <start>26</start>
      <end>27</end>
      <status>unmodified</status>
      <modifiedWord/>
      <trackRevisions>false</trackRevisions>
    </reviewItem>
    <reviewItem>
      <errorID>3c89ef50-3685-4fab-943c-2e435461ece6</errorID>
      <errorWord>)</errorWord>
      <group>L1_Format</group>
      <groupName>格式问题</groupName>
      <ability>L2_HalfPunc</ability>
      <abilityName>全半角检查</abilityName>
      <candidateList>
        <item>）</item>
      </candidateList>
      <explain>文本全半角错误。</explain>
      <paraID>51CE2A72</paraID>
      <start>41</start>
      <end>42</end>
      <status>unmodified</status>
      <modifiedWord/>
      <trackRevisions>false</trackRevisions>
    </reviewItem>
    <reviewItem>
      <errorID>36dd23e4-f1bb-4018-9e91-cb82d6259e8d</errorID>
      <errorWord>(</errorWord>
      <group>L1_Format</group>
      <groupName>格式问题</groupName>
      <ability>L2_HalfPunc</ability>
      <abilityName>全半角检查</abilityName>
      <candidateList>
        <item>（</item>
      </candidateList>
      <explain>文本全半角错误。</explain>
      <paraID> 165044E</paraID>
      <start>14</start>
      <end>15</end>
      <status>unmodified</status>
      <modifiedWord/>
      <trackRevisions>false</trackRevisions>
    </reviewItem>
    <reviewItem>
      <errorID>e176f82a-3a2c-4049-b638-c12fcac2b692</errorID>
      <errorWord>,</errorWord>
      <group>L1_Format</group>
      <groupName>格式问题</groupName>
      <ability>L2_HalfPunc</ability>
      <abilityName>全半角检查</abilityName>
      <candidateList>
        <item>，</item>
      </candidateList>
      <explain>文本全半角错误。</explain>
      <paraID> 165044E</paraID>
      <start>44</start>
      <end>45</end>
      <status>unmodified</status>
      <modifiedWord/>
      <trackRevisions>false</trackRevisions>
    </reviewItem>
    <reviewItem>
      <errorID>1c7c9a9d-9791-4cf9-ae79-865352961cf3</errorID>
      <errorWord>,</errorWord>
      <group>L1_Format</group>
      <groupName>格式问题</groupName>
      <ability>L2_HalfPunc</ability>
      <abilityName>全半角检查</abilityName>
      <candidateList>
        <item>，</item>
      </candidateList>
      <explain>文本全半角错误。</explain>
      <paraID> 165044E</paraID>
      <start>50</start>
      <end>51</end>
      <status>unmodified</status>
      <modifiedWord/>
      <trackRevisions>false</trackRevisions>
    </reviewItem>
    <reviewItem>
      <errorID>1f77cbf1-8577-44bc-b521-08a57ce7555c</errorID>
      <errorWord>,</errorWord>
      <group>L1_Format</group>
      <groupName>格式问题</groupName>
      <ability>L2_HalfPunc</ability>
      <abilityName>全半角检查</abilityName>
      <candidateList>
        <item>，</item>
      </candidateList>
      <explain>文本全半角错误。</explain>
      <paraID> 165044E</paraID>
      <start>57</start>
      <end>58</end>
      <status>unmodified</status>
      <modifiedWord/>
      <trackRevisions>false</trackRevisions>
    </reviewItem>
    <reviewItem>
      <errorID>e2170369-ab10-4380-9ce4-62d8cacc8185</errorID>
      <errorWord>,</errorWord>
      <group>L1_Format</group>
      <groupName>格式问题</groupName>
      <ability>L2_HalfPunc</ability>
      <abilityName>全半角检查</abilityName>
      <candidateList>
        <item>，</item>
      </candidateList>
      <explain>文本全半角错误。</explain>
      <paraID> 165044E</paraID>
      <start>62</start>
      <end>63</end>
      <status>unmodified</status>
      <modifiedWord/>
      <trackRevisions>false</trackRevisions>
    </reviewItem>
    <reviewItem>
      <errorID>0d8ad646-2ff0-41ba-bcf3-d14d5ed16910</errorID>
      <errorWord>,</errorWord>
      <group>L1_Format</group>
      <groupName>格式问题</groupName>
      <ability>L2_HalfPunc</ability>
      <abilityName>全半角检查</abilityName>
      <candidateList>
        <item>，</item>
      </candidateList>
      <explain>文本全半角错误。</explain>
      <paraID> 165044E</paraID>
      <start>67</start>
      <end>68</end>
      <status>unmodified</status>
      <modifiedWord/>
      <trackRevisions>false</trackRevisions>
    </reviewItem>
    <reviewItem>
      <errorID>ece79ff5-16ba-4f99-8ce1-3e633053da3b</errorID>
      <errorWord>)</errorWord>
      <group>L1_Format</group>
      <groupName>格式问题</groupName>
      <ability>L2_HalfPunc</ability>
      <abilityName>全半角检查</abilityName>
      <candidateList>
        <item>）</item>
      </candidateList>
      <explain>文本全半角错误。</explain>
      <paraID> 165044E</paraID>
      <start>85</start>
      <end>86</end>
      <status>unmodified</status>
      <modifiedWord/>
      <trackRevisions>false</trackRevisions>
    </reviewItem>
    <reviewItem>
      <errorID>55480174-24df-4f89-8789-481f859155fb</errorID>
      <errorWord>,</errorWord>
      <group>L1_Format</group>
      <groupName>格式问题</groupName>
      <ability>L2_HalfPunc</ability>
      <abilityName>全半角检查</abilityName>
      <candidateList>
        <item>，</item>
      </candidateList>
      <explain>文本全半角错误。</explain>
      <paraID>18415709</paraID>
      <start>14</start>
      <end>15</end>
      <status>unmodified</status>
      <modifiedWord/>
      <trackRevisions>false</trackRevisions>
    </reviewItem>
    <reviewItem>
      <errorID>1eac6bb9-4652-4970-9dfe-a8fdde1921a7</errorID>
      <errorWord>矩</errorWord>
      <group>L1_Word</group>
      <groupName>字词问题</groupName>
      <ability>L2_Typo</ability>
      <abilityName>字词错误</abilityName>
      <candidateList>
        <item>炬</item>
      </candidateList>
      <explain>存在发音相同字词的误用。</explain>
      <paraID>12C60F12</paraID>
      <start>2</start>
      <end>3</end>
      <status>unmodified</status>
      <modifiedWord/>
      <trackRevisions>false</trackRevisions>
    </reviewItem>
    <reviewItem>
      <errorID>269c8ff9-88b6-4e79-b0e1-607fe434cee0</errorID>
      <errorWord>(</errorWord>
      <group>L1_Format</group>
      <groupName>格式问题</groupName>
      <ability>L2_HalfPunc</ability>
      <abilityName>全半角检查</abilityName>
      <candidateList>
        <item>（</item>
      </candidateList>
      <explain>文本全半角错误。</explain>
      <paraID>400A584C</paraID>
      <start>18</start>
      <end>19</end>
      <status>unmodified</status>
      <modifiedWord/>
      <trackRevisions>false</trackRevisions>
    </reviewItem>
    <reviewItem>
      <errorID>aae0c806-c9ce-4e95-83fc-51f03d86c7b6</errorID>
      <errorWord>)</errorWord>
      <group>L1_Format</group>
      <groupName>格式问题</groupName>
      <ability>L2_HalfPunc</ability>
      <abilityName>全半角检查</abilityName>
      <candidateList>
        <item>）</item>
      </candidateList>
      <explain>文本全半角错误。</explain>
      <paraID>400A584C</paraID>
      <start>41</start>
      <end>42</end>
      <status>unmodified</status>
      <modifiedWord/>
      <trackRevisions>false</trackRevisions>
    </reviewItem>
    <reviewItem>
      <errorID>ae5d6356-1df1-4d3a-bf85-4f5f76dc9203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3ECA9BF0</paraID>
      <start>9</start>
      <end>10</end>
      <status>unmodified</status>
      <modifiedWord/>
      <trackRevisions>false</trackRevisions>
    </reviewItem>
    <reviewItem>
      <errorID>126ebc02-dbb6-4a3d-b867-169b25abfd37</errorID>
      <errorWord>调档位</errorWord>
      <group>L1_Word</group>
      <groupName>字词问题</groupName>
      <ability>L2_Typo</ability>
      <abilityName>字词错误</abilityName>
      <candidateList>
        <item>调挡位</item>
      </candidateList>
      <explain/>
      <paraID>4D8333F3</paraID>
      <start>15</start>
      <end>18</end>
      <status>unmodified</status>
      <modifiedWord/>
      <trackRevisions>false</trackRevisions>
    </reviewItem>
    <reviewItem>
      <errorID>ec124f55-1ed3-427f-b4d3-55364f545290</errorID>
      <errorWord>20%-80%</errorWord>
      <group>L1_Knowledge</group>
      <groupName>知识性问题</groupName>
      <ability>L2_Knowledge</ability>
      <abilityName>其他知识</abilityName>
      <candidateList>
        <item>20%—80%</item>
      </candidateList>
      <explain>1. “20%-80%”中的单位“%”仅出现在后一个数字上，容易引起歧义；根据《现代汉语标点符号数字用法规范手册》，数字表示范围两边需要使用统一的格式。2. 根据标点国标 4.13 中的规则，数字、时间或地域连接符应使用（视觉上更长的）“—”或“～”。</explain>
      <paraID>2219E8C4</paraID>
      <start>8</start>
      <end>15</end>
      <status>unmodified</status>
      <modifiedWord/>
      <trackRevisions>false</trackRevisions>
    </reviewItem>
    <reviewItem>
      <errorID>48c39a7c-ee43-4796-9a88-1f8c706cfd67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72283D6F</paraID>
      <start>39</start>
      <end>40</end>
      <status>unmodified</status>
      <modifiedWord/>
      <trackRevisions>false</trackRevisions>
    </reviewItem>
    <reviewItem>
      <errorID>e7716cd3-98b1-46c3-bb57-439a5d6ead26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651AAC5F</paraID>
      <start>11</start>
      <end>12</end>
      <status>unmodified</status>
      <modifiedWord/>
      <trackRevisions>false</trackRevisions>
    </reviewItem>
    <reviewItem>
      <errorID>491e8cdd-b51c-4d79-8e5f-cf47faee0525</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654AA49F</paraID>
      <start>31</start>
      <end>33</end>
      <status>unmodified</status>
      <modifiedWord/>
      <trackRevisions>false</trackRevisions>
    </reviewItem>
    <reviewItem>
      <errorID>26e97857-e255-4846-8947-db55f56a0445</errorID>
      <errorWord>(</errorWord>
      <group>L1_Format</group>
      <groupName>格式问题</groupName>
      <ability>L2_HalfPunc</ability>
      <abilityName>全半角检查</abilityName>
      <candidateList>
        <item>（</item>
      </candidateList>
      <explain>文本全半角错误。</explain>
      <paraID> EB55551</paraID>
      <start>4</start>
      <end>5</end>
      <status>unmodified</status>
      <modifiedWord/>
      <trackRevisions>false</trackRevisions>
    </reviewItem>
    <reviewItem>
      <errorID>a5cd02c2-aed1-4c5b-85e5-7fb1d14732e2</errorID>
      <errorWord>)</errorWord>
      <group>L1_Format</group>
      <groupName>格式问题</groupName>
      <ability>L2_HalfPunc</ability>
      <abilityName>全半角检查</abilityName>
      <candidateList>
        <item>）</item>
      </candidateList>
      <explain>文本全半角错误。</explain>
      <paraID> EB55551</paraID>
      <start>15</start>
      <end>16</end>
      <status>unmodified</status>
      <modifiedWord/>
      <trackRevisions>false</trackRevisions>
    </reviewItem>
    <reviewItem>
      <errorID>d32f1054-6a8d-4abe-8860-e10badddd2c6</errorID>
      <errorWord>包含有</errorWord>
      <group>L1_Word</group>
      <groupName>字词问题</groupName>
      <ability>L2_Typo</ability>
      <abilityName>字词错误</abilityName>
      <candidateList>
        <item>包含</item>
      </candidateList>
      <explain>〈动〉里边含有：这句话～好几层意思。</explain>
      <paraID>2BDF6066</paraID>
      <start>16</start>
      <end>19</end>
      <status>unmodified</status>
      <modifiedWord/>
      <trackRevisions>false</trackRevisions>
    </reviewItem>
    <reviewItem>
      <errorID>8c35cee0-862a-44f6-9293-0c8e999447f3</errorID>
      <errorWord>,</errorWord>
      <group>L1_Format</group>
      <groupName>格式问题</groupName>
      <ability>L2_HalfPunc</ability>
      <abilityName>全半角检查</abilityName>
      <candidateList>
        <item>，</item>
      </candidateList>
      <explain>文本全半角错误。</explain>
      <paraID> 1B6E85F</paraID>
      <start>90</start>
      <end>91</end>
      <status>unmodified</status>
      <modifiedWord/>
      <trackRevisions>false</trackRevisions>
    </reviewItem>
    <reviewItem>
      <errorID>54105218-12dc-4fbc-bf67-2347e43de94b</errorID>
      <errorWord>应</errorWord>
      <group>L1_Word</group>
      <groupName>字词问题</groupName>
      <ability>L2_Typo</ability>
      <abilityName>字词错误</abilityName>
      <candidateList>
        <item>应在</item>
      </candidateList>
      <explain/>
      <paraID> 1B6E85F</paraID>
      <start>120</start>
      <end>121</end>
      <status>unmodified</status>
      <modifiedWord/>
      <trackRevisions>false</trackRevisions>
    </reviewItem>
    <reviewItem>
      <errorID>12d9e287-da4e-4bee-81b6-bdec5267aeb5</errorID>
      <errorWord>,</errorWord>
      <group>L1_Format</group>
      <groupName>格式问题</groupName>
      <ability>L2_HalfPunc</ability>
      <abilityName>全半角检查</abilityName>
      <candidateList>
        <item>，</item>
      </candidateList>
      <explain>文本全半角错误。</explain>
      <paraID>6D520554</paraID>
      <start>99</start>
      <end>100</end>
      <status>unmodified</status>
      <modifiedWord/>
      <trackRevisions>false</trackRevisions>
    </reviewItem>
    <reviewItem>
      <errorID>605e823a-6c95-4b7a-98ca-de2067b1a21b</errorID>
      <errorWord>[</errorWord>
      <group>L1_Word</group>
      <groupName>字词问题</groupName>
      <ability>L2_Typo</ability>
      <abilityName>字词错误</abilityName>
      <candidateList>
        <item>[在</item>
      </candidateList>
      <explain/>
      <paraID> D8DF514</paraID>
      <start>44</start>
      <end>45</end>
      <status>unmodified</status>
      <modifiedWord/>
      <trackRevisions>false</trackRevisions>
    </reviewItem>
    <reviewItem>
      <errorID>1df58838-57e4-4ffc-90a5-d5a762a49bc6</errorID>
      <errorWord>MV</errorWord>
      <group>L1_Official</group>
      <groupName>公文问题</groupName>
      <ability>L2_Official</ability>
      <abilityName>公文问题</abilityName>
      <candidateList/>
      <explain>公文中禁止出现该词语</explain>
      <paraID>3204BB27</paraID>
      <start>22</start>
      <end>24</end>
      <status>unmodified</status>
      <modifiedWord/>
      <trackRevisions>false</trackRevisions>
    </reviewItem>
    <reviewItem>
      <errorID>42e0facd-b0e2-42ad-b8a4-af23d2be870a</errorID>
      <errorWord>需具备</errorWord>
      <group>L1_Word</group>
      <groupName>字词问题</groupName>
      <ability>L2_Typo</ability>
      <abilityName>字词错误</abilityName>
      <candidateList>
        <item>须具备</item>
      </candidateList>
      <explain/>
      <paraID>78602FD5</paraID>
      <start>11</start>
      <end>14</end>
      <status>unmodified</status>
      <modifiedWord/>
      <trackRevisions>false</trackRevisions>
    </reviewItem>
    <reviewItem>
      <errorID>fe84053c-2ee4-4dab-b29a-bb7383b68ac2</errorID>
      <errorWord>》</errorWord>
      <group>L1_Word</group>
      <groupName>字词问题</groupName>
      <ability>L2_Typo</ability>
      <abilityName>字词错误</abilityName>
      <candidateList>
        <item>》和</item>
      </candidateList>
      <explain/>
      <paraID>6F309E76</paraID>
      <start>15</start>
      <end>16</end>
      <status>unmodified</status>
      <modifiedWord/>
      <trackRevisions>false</trackRevisions>
    </reviewItem>
    <reviewItem>
      <errorID>0e409de5-7c82-4d66-98b4-7e751eb8a3b7</errorID>
      <errorWord>法律、法规</errorWord>
      <group>L1_Word</group>
      <groupName>字词问题</groupName>
      <ability>L2_Typo</ability>
      <abilityName>字词错误</abilityName>
      <candidateList>
        <item>法律法规</item>
      </candidateList>
      <explain/>
      <paraID>6F309E76</paraID>
      <start>29</start>
      <end>34</end>
      <status>unmodified</status>
      <modifiedWord/>
      <trackRevisions>false</trackRevisions>
    </reviewItem>
    <reviewItem>
      <errorID>20e73701-1022-4793-baa5-bcc9ba42cdf9</errorID>
      <errorWord>需要</errorWord>
      <group>L1_Word</group>
      <groupName>字词问题</groupName>
      <ability>L2_Typo</ability>
      <abilityName>字词错误</abilityName>
      <candidateList>
        <item>需</item>
      </candidateList>
      <explain>❶〈动〉需要：～求｜按～分配｜完成任务还～五天时间。❷需用的东西：军～。</explain>
      <paraID>588B6E01</paraID>
      <start>52</start>
      <end>54</end>
      <status>unmodified</status>
      <modifiedWord/>
      <trackRevisions>false</trackRevisions>
    </reviewItem>
    <reviewItem>
      <errorID>db91b869-267d-4f0b-b5f4-5a7b68d45a61</errorID>
      <errorWord>作出</errorWord>
      <group>L1_Word</group>
      <groupName>字词问题</groupName>
      <ability>L2_Typo</ability>
      <abilityName>字词错误</abilityName>
      <candidateList>
        <item>做出</item>
      </candidateList>
      <explain/>
      <paraID>2CB4C0A6</paraID>
      <start>38</start>
      <end>40</end>
      <status>unmodified</status>
      <modifiedWord/>
      <trackRevisions>false</trackRevisions>
    </reviewItem>
    <reviewItem>
      <errorID>139e7346-551f-4c05-b416-a0f067f20cdf</errorID>
      <errorWord>其它</errorWord>
      <group>L1_Word</group>
      <groupName>字词问题</groupName>
      <ability>L2_Alias</ability>
      <abilityName>也作/曾用词</abilityName>
      <candidateList>
        <item>其他</item>
      </candidateList>
      <explain>词汇[其它]为不规范表述或旧称，其规范书面表述为[其他]。</explain>
      <paraID>17FD2F74</paraID>
      <start>3</start>
      <end>5</end>
      <status>unmodified</status>
      <modifiedWord/>
      <trackRevisions>false</trackRevisions>
    </reviewItem>
    <reviewItem>
      <errorID>aa064b33-cee3-45f9-bba4-3c40dd8a0896</errorID>
      <errorWord>完</errorWord>
      <group>L1_Word</group>
      <groupName>字词问题</groupName>
      <ability>L2_Typo</ability>
      <abilityName>字词错误</abilityName>
      <candidateList>
        <item>完成</item>
      </candidateList>
      <explain>〈动〉按照预期的目的结束；做成：～任务｜～作业｜计划完得成。</explain>
      <paraID>795437E6</paraID>
      <start>15</start>
      <end>16</end>
      <status>unmodified</status>
      <modifiedWord/>
      <trackRevisions>false</trackRevisions>
    </reviewItem>
    <reviewItem>
      <errorID>f6501bf7-f960-44c6-ab60-5295c68648c2</errorID>
      <errorWord>保修</errorWord>
      <group>L1_Word</group>
      <groupName>字词问题</groupName>
      <ability>L2_Typo</ability>
      <abilityName>字词错误</abilityName>
      <candidateList>
        <item>报修</item>
      </candidateList>
      <explain/>
      <paraID>50C60CE2</paraID>
      <start>38</start>
      <end>40</end>
      <status>unmodified</status>
      <modifiedWord/>
      <trackRevisions>false</trackRevisions>
    </reviewItem>
    <reviewItem>
      <errorID>54751229-0c6e-473b-8f55-4c839e557424</errorID>
      <errorWord>)</errorWord>
      <group>L1_Format</group>
      <groupName>格式问题</groupName>
      <ability>L2_HalfPunc</ability>
      <abilityName>全半角检查</abilityName>
      <candidateList>
        <item>）</item>
      </candidateList>
      <explain>文本全半角错误。</explain>
      <paraID>1C17B72E</paraID>
      <start>25</start>
      <end>26</end>
      <status>unmodified</status>
      <modifiedWord/>
      <trackRevisions>false</trackRevisions>
    </reviewItem>
    <reviewItem>
      <errorID>183b7142-39c1-4e58-8d3d-309786ccdaa0</errorID>
      <errorWord>(</errorWord>
      <group>L1_Format</group>
      <groupName>格式问题</groupName>
      <ability>L2_HalfPunc</ability>
      <abilityName>全半角检查</abilityName>
      <candidateList>
        <item>（</item>
      </candidateList>
      <explain>文本全半角错误。</explain>
      <paraID> 9313682</paraID>
      <start>37</start>
      <end>38</end>
      <status>unmodified</status>
      <modifiedWord/>
      <trackRevisions>false</trackRevisions>
    </reviewItem>
    <reviewItem>
      <errorID>409f2df8-3027-4533-8081-ed0ae92fb74b</errorID>
      <errorWord>)</errorWord>
      <group>L1_Format</group>
      <groupName>格式问题</groupName>
      <ability>L2_HalfPunc</ability>
      <abilityName>全半角检查</abilityName>
      <candidateList>
        <item>）</item>
      </candidateList>
      <explain>文本全半角错误。</explain>
      <paraID> 9313682</paraID>
      <start>45</start>
      <end>46</end>
      <status>unmodified</status>
      <modifiedWord/>
      <trackRevisions>false</trackRevisions>
    </reviewItem>
    <reviewItem>
      <errorID>9d699dc7-8953-483b-a3b5-71e78bc9cfd6</errorID>
      <errorWord>(</errorWord>
      <group>L1_Format</group>
      <groupName>格式问题</groupName>
      <ability>L2_HalfPunc</ability>
      <abilityName>全半角检查</abilityName>
      <candidateList>
        <item>（</item>
      </candidateList>
      <explain>文本全半角错误。</explain>
      <paraID>7A67FA3A</paraID>
      <start>43</start>
      <end>44</end>
      <status>unmodified</status>
      <modifiedWord/>
      <trackRevisions>false</trackRevisions>
    </reviewItem>
    <reviewItem>
      <errorID>22df857d-1b2f-427f-a515-ebc4738f9cd1</errorID>
      <errorWord>)</errorWord>
      <group>L1_Format</group>
      <groupName>格式问题</groupName>
      <ability>L2_HalfPunc</ability>
      <abilityName>全半角检查</abilityName>
      <candidateList>
        <item>）</item>
      </candidateList>
      <explain>文本全半角错误。</explain>
      <paraID>7A67FA3A</paraID>
      <start>50</start>
      <end>51</end>
      <status>unmodified</status>
      <modifiedWord/>
      <trackRevisions>false</trackRevisions>
    </reviewItem>
    <reviewItem>
      <errorID>c67c5b4d-cd9c-49b1-8f86-167d9addddfd</errorID>
      <errorWord>(</errorWord>
      <group>L1_Format</group>
      <groupName>格式问题</groupName>
      <ability>L2_HalfPunc</ability>
      <abilityName>全半角检查</abilityName>
      <candidateList>
        <item>（</item>
      </candidateList>
      <explain>文本全半角错误。</explain>
      <paraID>17CC3886</paraID>
      <start>56</start>
      <end>57</end>
      <status>unmodified</status>
      <modifiedWord/>
      <trackRevisions>false</trackRevisions>
    </reviewItem>
    <reviewItem>
      <errorID>8364370c-e845-41dd-b993-7b06ba38e5cf</errorID>
      <errorWord>)</errorWord>
      <group>L1_Format</group>
      <groupName>格式问题</groupName>
      <ability>L2_HalfPunc</ability>
      <abilityName>全半角检查</abilityName>
      <candidateList>
        <item>）</item>
      </candidateList>
      <explain>文本全半角错误。</explain>
      <paraID>17CC3886</paraID>
      <start>64</start>
      <end>65</end>
      <status>unmodified</status>
      <modifiedWord/>
      <trackRevisions>false</trackRevisions>
    </reviewItem>
    <reviewItem>
      <errorID>165d9301-5e9a-47e1-b4b6-373796e18176</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 CDCCBA1</paraID>
      <start>11</start>
      <end>13</end>
      <status>unmodified</status>
      <modifiedWord/>
      <trackRevisions>false</trackRevisions>
    </reviewItem>
    <reviewItem>
      <errorID>4071e5d3-150b-4fac-9156-6d23c142031a</errorID>
      <errorWord>票</errorWord>
      <group>L1_Word</group>
      <groupName>字词问题</groupName>
      <ability>L2_Typo</ability>
      <abilityName>字词错误</abilityName>
      <candidateList>
        <item>票后</item>
      </candidateList>
      <explain/>
      <paraID>281136D1</paraID>
      <start>117</start>
      <end>118</end>
      <status>unmodified</status>
      <modifiedWord/>
      <trackRevisions>false</trackRevisions>
    </reviewItem>
    <reviewItem>
      <errorID>f90fe1ed-835a-4b4c-9db7-c1185b583d7c</errorID>
      <errorWord>其它</errorWord>
      <group>L1_Word</group>
      <groupName>字词问题</groupName>
      <ability>L2_Alias</ability>
      <abilityName>也作/曾用词</abilityName>
      <candidateList>
        <item>其他</item>
      </candidateList>
      <explain>词汇[其它]为不规范表述或旧称，其规范书面表述为[其他]。</explain>
      <paraID>6E292C34</paraID>
      <start>31</start>
      <end>33</end>
      <status>unmodified</status>
      <modifiedWord/>
      <trackRevisions>false</trackRevisions>
    </reviewItem>
    <reviewItem>
      <errorID>da00bfb6-855d-40d6-9fc2-676e69634eb3</errorID>
      <errorWord>签</errorWord>
      <group>L1_Word</group>
      <groupName>字词问题</groupName>
      <ability>L2_Typo</ability>
      <abilityName>字词错误</abilityName>
      <candidateList>
        <item>签订</item>
      </candidateList>
      <explain>〈动〉订立条约或合同并签字：两国～了贸易议定书和支付协定。</explain>
      <paraID>4B6CB44A</paraID>
      <start>40</start>
      <end>41</end>
      <status>unmodified</status>
      <modifiedWord/>
      <trackRevisions>false</trackRevisions>
    </reviewItem>
    <reviewItem>
      <errorID>58b48bac-17b9-459e-a75a-698e59ba0ae4</errorID>
      <errorWord>法律、法规</errorWord>
      <group>L1_Word</group>
      <groupName>字词问题</groupName>
      <ability>L2_Typo</ability>
      <abilityName>字词错误</abilityName>
      <candidateList>
        <item>法律法规</item>
      </candidateList>
      <explain/>
      <paraID> A8667D6</paraID>
      <start>26</start>
      <end>31</end>
      <status>unmodified</status>
      <modifiedWord/>
      <trackRevisions>false</trackRevisions>
    </reviewItem>
    <reviewItem>
      <errorID>e60e5bbc-97fa-47da-9ec6-493365ed4988</errorID>
      <errorWord>法律、法规</errorWord>
      <group>L1_Word</group>
      <groupName>字词问题</groupName>
      <ability>L2_Typo</ability>
      <abilityName>字词错误</abilityName>
      <candidateList>
        <item>法律法规</item>
      </candidateList>
      <explain/>
      <paraID>5E85DD67</paraID>
      <start>43</start>
      <end>48</end>
      <status>unmodified</status>
      <modifiedWord/>
      <trackRevisions>false</trackRevisions>
    </reviewItem>
    <reviewItem>
      <errorID>57df368d-4f96-4352-adaa-45d283c0551b</errorID>
      <errorWord>本</errorWord>
      <group>L1_Word</group>
      <groupName>字词问题</groupName>
      <ability>L2_Typo</ability>
      <abilityName>字词错误</abilityName>
      <candidateList>
        <item>本次</item>
      </candidateList>
      <explain/>
      <paraID>34CFABEE</paraID>
      <start>3</start>
      <end>4</end>
      <status>unmodified</status>
      <modifiedWord/>
      <trackRevisions>false</trackRevisions>
    </reviewItem>
    <reviewItem>
      <errorID>45b5ff22-54a7-48c4-93a0-3c5b3be983f0</errorID>
      <errorWord>股东大会</errorWord>
      <group>L1_Word</group>
      <groupName>字词问题</groupName>
      <ability>L2_Typo</ability>
      <abilityName>字词错误</abilityName>
      <candidateList>
        <item>股东会</item>
      </candidateList>
      <explain/>
      <paraID>714859ED</paraID>
      <start>114</start>
      <end>118</end>
      <status>unmodified</status>
      <modifiedWord/>
      <trackRevisions>false</trackRevisions>
    </reviewItem>
    <reviewItem>
      <errorID>e515c22c-025c-4923-91a2-84cddcc41661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4A938966</paraID>
      <start>37</start>
      <end>40</end>
      <status>unmodified</status>
      <modifiedWord/>
      <trackRevisions>false</trackRevisions>
    </reviewItem>
    <reviewItem>
      <errorID>38d3c32a-9eeb-4314-a289-8693053fff2f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4BFBEE6</paraID>
      <start>43</start>
      <end>46</end>
      <status>unmodified</status>
      <modifiedWord/>
      <trackRevisions>false</trackRevisions>
    </reviewItem>
    <reviewItem>
      <errorID>d6cf5534-8793-45b4-9404-faabfeff6fab</errorID>
      <errorWord>清单清单</errorWord>
      <group>L1_Word</group>
      <groupName>字词问题</groupName>
      <ability>L2_Typo</ability>
      <abilityName>字词错误</abilityName>
      <candidateList>
        <item>清单</item>
      </candidateList>
      <explain/>
      <paraID> 18A49B7</paraID>
      <start>4</start>
      <end>8</end>
      <status>unmodified</status>
      <modifiedWord/>
      <trackRevisions>false</trackRevisions>
    </reviewItem>
    <reviewItem>
      <errorID>72c71c2c-c8ff-4c59-a56d-0108e01a13b6</errorID>
      <errorWord>《民法典》</errorWord>
      <group>L1_Word</group>
      <groupName>字词问题</groupName>
      <ability>L2_Typo</ability>
      <abilityName>字词错误</abilityName>
      <candidateList>
        <item>《中华人民共和国民法典》</item>
      </candidateList>
      <explain/>
      <paraID>2B6BB3F6</paraID>
      <start>25</start>
      <end>42</end>
      <status>modified</status>
      <modifiedWord>《中华人民共和国民法典》</modifiedWord>
      <trackRevisions>true</trackRevisions>
    </reviewItem>
    <reviewItem>
      <errorID>b0f660fd-35f4-4699-bcf1-a1eb3c882b13</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2B6BB3F6</paraID>
      <start>43</start>
      <end>56</end>
      <status>modified</status>
      <modifiedWord>中华人民共和国公司法</modifiedWord>
      <trackRevisions>true</trackRevisions>
    </reviewItem>
    <reviewItem>
      <errorID>4475c427-f757-46a4-8909-319b19775119</errorID>
      <errorWord>（</errorWord>
      <group>L1_Punc</group>
      <groupName>标点问题</groupName>
      <ability>L2_Punc</ability>
      <abilityName>标点符号检查</abilityName>
      <candidateList/>
      <explain>同一形式括号套用。</explain>
      <paraID>6F80A079</paraID>
      <start>78</start>
      <end>79</end>
      <status>unmodified</status>
      <modifiedWord/>
      <trackRevisions>false</trackRevisions>
    </reviewItem>
    <reviewItem>
      <errorID>8869aafe-2e39-4dc1-b762-b2f05e87f0ae</errorID>
      <errorWord>）</errorWord>
      <group>L1_Punc</group>
      <groupName>标点问题</groupName>
      <ability>L2_Punc</ability>
      <abilityName>标点符号检查</abilityName>
      <candidateList/>
      <explain>同一形式括号套用。</explain>
      <paraID>6F80A079</paraID>
      <start>91</start>
      <end>92</end>
      <status>unmodified</status>
      <modifiedWord/>
      <trackRevisions>false</trackRevisions>
    </reviewItem>
    <reviewItem>
      <errorID>d45bdead-646d-44b3-8a7c-06f50f9d216c</errorID>
      <errorWord>(</errorWord>
      <group>L1_Format</group>
      <groupName>格式问题</groupName>
      <ability>L2_HalfPunc</ability>
      <abilityName>全半角检查</abilityName>
      <candidateList>
        <item>（</item>
      </candidateList>
      <explain>文本全半角错误。</explain>
      <paraID>79BC307F</paraID>
      <start>3</start>
      <end>4</end>
      <status>unmodified</status>
      <modifiedWord/>
      <trackRevisions>false</trackRevisions>
    </reviewItem>
    <reviewItem>
      <errorID>fdb6eed4-04f9-4576-9d17-c72d5b2bc78a</errorID>
      <errorWord>)</errorWord>
      <group>L1_Format</group>
      <groupName>格式问题</groupName>
      <ability>L2_HalfPunc</ability>
      <abilityName>全半角检查</abilityName>
      <candidateList>
        <item>）</item>
      </candidateList>
      <explain>文本全半角错误。</explain>
      <paraID>79BC307F</paraID>
      <start>6</start>
      <end>7</end>
      <status>unmodified</status>
      <modifiedWord/>
      <trackRevisions>false</trackRevisions>
    </reviewItem>
    <reviewItem>
      <errorID>8b74651a-80fd-4956-b38b-abc22dc41809</errorID>
      <errorWord>(</errorWord>
      <group>L1_Format</group>
      <groupName>格式问题</groupName>
      <ability>L2_HalfPunc</ability>
      <abilityName>全半角检查</abilityName>
      <candidateList>
        <item>（</item>
      </candidateList>
      <explain>文本全半角错误。</explain>
      <paraID>79BC307F</paraID>
      <start>46</start>
      <end>47</end>
      <status>unmodified</status>
      <modifiedWord/>
      <trackRevisions>false</trackRevisions>
    </reviewItem>
    <reviewItem>
      <errorID>24980f9f-6fca-41da-b865-8a1ee89d3758</errorID>
      <errorWord>)</errorWord>
      <group>L1_Format</group>
      <groupName>格式问题</groupName>
      <ability>L2_HalfPunc</ability>
      <abilityName>全半角检查</abilityName>
      <candidateList>
        <item>）</item>
      </candidateList>
      <explain>文本全半角错误。</explain>
      <paraID>79BC307F</paraID>
      <start>59</start>
      <end>60</end>
      <status>unmodified</status>
      <modifiedWord/>
      <trackRevisions>false</trackRevisions>
    </reviewItem>
    <reviewItem>
      <errorID>330f6aea-5a46-4415-ac06-0a5df37943a9</errorID>
      <errorWord>(</errorWord>
      <group>L1_Format</group>
      <groupName>格式问题</groupName>
      <ability>L2_HalfPunc</ability>
      <abilityName>全半角检查</abilityName>
      <candidateList>
        <item>（</item>
      </candidateList>
      <explain>文本全半角错误。</explain>
      <paraID>79BC307F</paraID>
      <start>67</start>
      <end>68</end>
      <status>unmodified</status>
      <modifiedWord/>
      <trackRevisions>false</trackRevisions>
    </reviewItem>
    <reviewItem>
      <errorID>b853b3b2-4e08-40b8-8758-dddd87219bc4</errorID>
      <errorWord>)</errorWord>
      <group>L1_Format</group>
      <groupName>格式问题</groupName>
      <ability>L2_HalfPunc</ability>
      <abilityName>全半角检查</abilityName>
      <candidateList>
        <item>）</item>
      </candidateList>
      <explain>文本全半角错误。</explain>
      <paraID>79BC307F</paraID>
      <start>70</start>
      <end>71</end>
      <status>unmodified</status>
      <modifiedWord/>
      <trackRevisions>false</trackRevisions>
    </reviewItem>
    <reviewItem>
      <errorID>d6133b00-8122-4430-9b93-150f17e84063</errorID>
      <errorWord>(</errorWord>
      <group>L1_Format</group>
      <groupName>格式问题</groupName>
      <ability>L2_HalfPunc</ability>
      <abilityName>全半角检查</abilityName>
      <candidateList>
        <item>（</item>
      </candidateList>
      <explain>文本全半角错误。</explain>
      <paraID>6B7706F5</paraID>
      <start>2</start>
      <end>3</end>
      <status>unmodified</status>
      <modifiedWord/>
      <trackRevisions>false</trackRevisions>
    </reviewItem>
    <reviewItem>
      <errorID>20df1574-b9a8-415c-a27c-0b6163828672</errorID>
      <errorWord>)</errorWord>
      <group>L1_Format</group>
      <groupName>格式问题</groupName>
      <ability>L2_HalfPunc</ability>
      <abilityName>全半角检查</abilityName>
      <candidateList>
        <item>）</item>
      </candidateList>
      <explain>文本全半角错误。</explain>
      <paraID>6B7706F5</paraID>
      <start>8</start>
      <end>9</end>
      <status>unmodified</status>
      <modifiedWord/>
      <trackRevisions>false</trackRevisions>
    </reviewItem>
    <reviewItem>
      <errorID>e7af52b7-b924-4a09-84f2-0e823747c531</errorID>
      <errorWord>(</errorWord>
      <group>L1_Format</group>
      <groupName>格式问题</groupName>
      <ability>L2_HalfPunc</ability>
      <abilityName>全半角检查</abilityName>
      <candidateList>
        <item>（</item>
      </candidateList>
      <explain>文本全半角错误。</explain>
      <paraID>6B7706F5</paraID>
      <start>15</start>
      <end>16</end>
      <status>unmodified</status>
      <modifiedWord/>
      <trackRevisions>false</trackRevisions>
    </reviewItem>
    <reviewItem>
      <errorID>ce87fd84-2149-428e-8241-1d6c64075534</errorID>
      <errorWord>)</errorWord>
      <group>L1_Format</group>
      <groupName>格式问题</groupName>
      <ability>L2_HalfPunc</ability>
      <abilityName>全半角检查</abilityName>
      <candidateList>
        <item>）</item>
      </candidateList>
      <explain>文本全半角错误。</explain>
      <paraID>6B7706F5</paraID>
      <start>18</start>
      <end>19</end>
      <status>unmodified</status>
      <modifiedWord/>
      <trackRevisions>false</trackRevisions>
    </reviewItem>
    <reviewItem>
      <errorID>51eb6fce-b0e5-4a62-9095-6152cc676585</errorID>
      <errorWord>(</errorWord>
      <group>L1_Format</group>
      <groupName>格式问题</groupName>
      <ability>L2_HalfPunc</ability>
      <abilityName>全半角检查</abilityName>
      <candidateList>
        <item>（</item>
      </candidateList>
      <explain>文本全半角错误。</explain>
      <paraID>6B7706F5</paraID>
      <start>24</start>
      <end>25</end>
      <status>unmodified</status>
      <modifiedWord/>
      <trackRevisions>false</trackRevisions>
    </reviewItem>
    <reviewItem>
      <errorID>40e2a543-28a7-4c26-9ef5-44c9528c1bd8</errorID>
      <errorWord>)</errorWord>
      <group>L1_Format</group>
      <groupName>格式问题</groupName>
      <ability>L2_HalfPunc</ability>
      <abilityName>全半角检查</abilityName>
      <candidateList>
        <item>）</item>
      </candidateList>
      <explain>文本全半角错误。</explain>
      <paraID>6B7706F5</paraID>
      <start>29</start>
      <end>30</end>
      <status>unmodified</status>
      <modifiedWord/>
      <trackRevisions>false</trackRevisions>
    </reviewItem>
    <reviewItem>
      <errorID>fee7f4bd-8720-419d-a695-87bbd9bfac0d</errorID>
      <errorWord>(</errorWord>
      <group>L1_Format</group>
      <groupName>格式问题</groupName>
      <ability>L2_HalfPunc</ability>
      <abilityName>全半角检查</abilityName>
      <candidateList>
        <item>（</item>
      </candidateList>
      <explain>文本全半角错误。</explain>
      <paraID>6B7706F5</paraID>
      <start>31</start>
      <end>32</end>
      <status>unmodified</status>
      <modifiedWord/>
      <trackRevisions>false</trackRevisions>
    </reviewItem>
    <reviewItem>
      <errorID>f98385ea-3359-4c3c-8913-e9074a4e6880</errorID>
      <errorWord>)</errorWord>
      <group>L1_Format</group>
      <groupName>格式问题</groupName>
      <ability>L2_HalfPunc</ability>
      <abilityName>全半角检查</abilityName>
      <candidateList>
        <item>）</item>
      </candidateList>
      <explain>文本全半角错误。</explain>
      <paraID>6B7706F5</paraID>
      <start>37</start>
      <end>38</end>
      <status>unmodified</status>
      <modifiedWord/>
      <trackRevisions>false</trackRevisions>
    </reviewItem>
    <reviewItem>
      <errorID>2edd98dc-85ee-4baa-8237-9976e6498c32</errorID>
      <errorWord>(</errorWord>
      <group>L1_Format</group>
      <groupName>格式问题</groupName>
      <ability>L2_HalfPunc</ability>
      <abilityName>全半角检查</abilityName>
      <candidateList>
        <item>（</item>
      </candidateList>
      <explain>文本全半角错误。</explain>
      <paraID>6B7706F5</paraID>
      <start>53</start>
      <end>54</end>
      <status>unmodified</status>
      <modifiedWord/>
      <trackRevisions>false</trackRevisions>
    </reviewItem>
    <reviewItem>
      <errorID>5413f93a-695d-4ade-bb94-39d10336e6de</errorID>
      <errorWord>)</errorWord>
      <group>L1_Format</group>
      <groupName>格式问题</groupName>
      <ability>L2_HalfPunc</ability>
      <abilityName>全半角检查</abilityName>
      <candidateList>
        <item>）</item>
      </candidateList>
      <explain>文本全半角错误。</explain>
      <paraID>6B7706F5</paraID>
      <start>58</start>
      <end>59</end>
      <status>unmodified</status>
      <modifiedWord/>
      <trackRevisions>false</trackRevisions>
    </reviewItem>
    <reviewItem>
      <errorID>00a9399b-6ae0-46a6-a9ee-df106e06085f</errorID>
      <errorWord>(</errorWord>
      <group>L1_Format</group>
      <groupName>格式问题</groupName>
      <ability>L2_HalfPunc</ability>
      <abilityName>全半角检查</abilityName>
      <candidateList>
        <item>（</item>
      </candidateList>
      <explain>文本全半角错误。</explain>
      <paraID>6B7706F5</paraID>
      <start>61</start>
      <end>62</end>
      <status>unmodified</status>
      <modifiedWord/>
      <trackRevisions>false</trackRevisions>
    </reviewItem>
    <reviewItem>
      <errorID>4d3e1bb4-ed61-4ac6-8355-201153c08aec</errorID>
      <errorWord>)</errorWord>
      <group>L1_Format</group>
      <groupName>格式问题</groupName>
      <ability>L2_HalfPunc</ability>
      <abilityName>全半角检查</abilityName>
      <candidateList>
        <item>）</item>
      </candidateList>
      <explain>文本全半角错误。</explain>
      <paraID>6B7706F5</paraID>
      <start>67</start>
      <end>68</end>
      <status>unmodified</status>
      <modifiedWord/>
      <trackRevisions>false</trackRevisions>
    </reviewItem>
    <reviewItem>
      <errorID>ff24bb8e-c038-4a99-adb3-a07a9f3b43fa</errorID>
      <errorWord>(</errorWord>
      <group>L1_Format</group>
      <groupName>格式问题</groupName>
      <ability>L2_HalfPunc</ability>
      <abilityName>全半角检查</abilityName>
      <candidateList>
        <item>（</item>
      </candidateList>
      <explain>文本全半角错误。</explain>
      <paraID>6B7706F5</paraID>
      <start>69</start>
      <end>70</end>
      <status>unmodified</status>
      <modifiedWord/>
      <trackRevisions>false</trackRevisions>
    </reviewItem>
    <reviewItem>
      <errorID>22ad94a0-b5e1-4477-a24e-94fcc6d53387</errorID>
      <errorWord>)</errorWord>
      <group>L1_Format</group>
      <groupName>格式问题</groupName>
      <ability>L2_HalfPunc</ability>
      <abilityName>全半角检查</abilityName>
      <candidateList>
        <item>）</item>
      </candidateList>
      <explain>文本全半角错误。</explain>
      <paraID>6B7706F5</paraID>
      <start>74</start>
      <end>75</end>
      <status>unmodified</status>
      <modifiedWord/>
      <trackRevisions>false</trackRevisions>
    </reviewItem>
    <reviewItem>
      <errorID>6ef044a6-1474-4a15-a2ed-bd1cfd882127</errorID>
      <errorWord>(</errorWord>
      <group>L1_Format</group>
      <groupName>格式问题</groupName>
      <ability>L2_HalfPunc</ability>
      <abilityName>全半角检查</abilityName>
      <candidateList>
        <item>（</item>
      </candidateList>
      <explain>文本全半角错误。</explain>
      <paraID>6B7706F5</paraID>
      <start>84</start>
      <end>85</end>
      <status>unmodified</status>
      <modifiedWord/>
      <trackRevisions>false</trackRevisions>
    </reviewItem>
    <reviewItem>
      <errorID>d94195a4-2cf3-43d6-a6d1-cdd3a2024eb3</errorID>
      <errorWord>)</errorWord>
      <group>L1_Format</group>
      <groupName>格式问题</groupName>
      <ability>L2_HalfPunc</ability>
      <abilityName>全半角检查</abilityName>
      <candidateList>
        <item>）</item>
      </candidateList>
      <explain>文本全半角错误。</explain>
      <paraID>6B7706F5</paraID>
      <start>90</start>
      <end>91</end>
      <status>unmodified</status>
      <modifiedWord/>
      <trackRevisions>false</trackRevisions>
    </reviewItem>
    <reviewItem>
      <errorID>7318fd66-0def-42a5-bda0-036dd1ef6262</errorID>
      <errorWord>(</errorWord>
      <group>L1_Format</group>
      <groupName>格式问题</groupName>
      <ability>L2_HalfPunc</ability>
      <abilityName>全半角检查</abilityName>
      <candidateList>
        <item>（</item>
      </candidateList>
      <explain>文本全半角错误。</explain>
      <paraID>6B7706F5</paraID>
      <start>92</start>
      <end>93</end>
      <status>unmodified</status>
      <modifiedWord/>
      <trackRevisions>false</trackRevisions>
    </reviewItem>
    <reviewItem>
      <errorID>5b6bb313-2cf1-4d18-b973-44aef8a2af3d</errorID>
      <errorWord>)</errorWord>
      <group>L1_Format</group>
      <groupName>格式问题</groupName>
      <ability>L2_HalfPunc</ability>
      <abilityName>全半角检查</abilityName>
      <candidateList>
        <item>）</item>
      </candidateList>
      <explain>文本全半角错误。</explain>
      <paraID>6B7706F5</paraID>
      <start>97</start>
      <end>98</end>
      <status>unmodified</status>
      <modifiedWord/>
      <trackRevisions>false</trackRevisions>
    </reviewItem>
    <reviewItem>
      <errorID>06c23561-cf66-4717-b616-8438be7aac4a</errorID>
      <errorWord>(</errorWord>
      <group>L1_Format</group>
      <groupName>格式问题</groupName>
      <ability>L2_HalfPunc</ability>
      <abilityName>全半角检查</abilityName>
      <candidateList>
        <item>（</item>
      </candidateList>
      <explain>文本全半角错误。</explain>
      <paraID>1BB65768</paraID>
      <start>2</start>
      <end>3</end>
      <status>unmodified</status>
      <modifiedWord/>
      <trackRevisions>false</trackRevisions>
    </reviewItem>
    <reviewItem>
      <errorID>f6475c2a-4882-4ff5-ab95-14cb786937d8</errorID>
      <errorWord>)</errorWord>
      <group>L1_Format</group>
      <groupName>格式问题</groupName>
      <ability>L2_HalfPunc</ability>
      <abilityName>全半角检查</abilityName>
      <candidateList>
        <item>）</item>
      </candidateList>
      <explain>文本全半角错误。</explain>
      <paraID>1BB65768</paraID>
      <start>8</start>
      <end>9</end>
      <status>unmodified</status>
      <modifiedWord/>
      <trackRevisions>false</trackRevisions>
    </reviewItem>
    <reviewItem>
      <errorID>79ddeb75-0bc5-455d-976a-3dd19149f4d2</errorID>
      <errorWord>(</errorWord>
      <group>L1_Format</group>
      <groupName>格式问题</groupName>
      <ability>L2_HalfPunc</ability>
      <abilityName>全半角检查</abilityName>
      <candidateList>
        <item>（</item>
      </candidateList>
      <explain>文本全半角错误。</explain>
      <paraID>1BB65768</paraID>
      <start>14</start>
      <end>15</end>
      <status>unmodified</status>
      <modifiedWord/>
      <trackRevisions>false</trackRevisions>
    </reviewItem>
    <reviewItem>
      <errorID>60e67a90-241d-410f-ad77-721f9ede91e6</errorID>
      <errorWord>)</errorWord>
      <group>L1_Format</group>
      <groupName>格式问题</groupName>
      <ability>L2_HalfPunc</ability>
      <abilityName>全半角检查</abilityName>
      <candidateList>
        <item>）</item>
      </candidateList>
      <explain>文本全半角错误。</explain>
      <paraID>1BB65768</paraID>
      <start>17</start>
      <end>18</end>
      <status>unmodified</status>
      <modifiedWord/>
      <trackRevisions>false</trackRevisions>
    </reviewItem>
    <reviewItem>
      <errorID>a860ca7c-a2d8-44bd-9991-1f2381f26e97</errorID>
      <errorWord>(</errorWord>
      <group>L1_Format</group>
      <groupName>格式问题</groupName>
      <ability>L2_HalfPunc</ability>
      <abilityName>全半角检查</abilityName>
      <candidateList>
        <item>（</item>
      </candidateList>
      <explain>文本全半角错误。</explain>
      <paraID>1BB65768</paraID>
      <start>22</start>
      <end>23</end>
      <status>unmodified</status>
      <modifiedWord/>
      <trackRevisions>false</trackRevisions>
    </reviewItem>
    <reviewItem>
      <errorID>0a77e54f-18d8-4318-bb7c-b377075efb66</errorID>
      <errorWord>)</errorWord>
      <group>L1_Format</group>
      <groupName>格式问题</groupName>
      <ability>L2_HalfPunc</ability>
      <abilityName>全半角检查</abilityName>
      <candidateList>
        <item>）</item>
      </candidateList>
      <explain>文本全半角错误。</explain>
      <paraID>1BB65768</paraID>
      <start>27</start>
      <end>28</end>
      <status>unmodified</status>
      <modifiedWord/>
      <trackRevisions>false</trackRevisions>
    </reviewItem>
    <reviewItem>
      <errorID>f3a3b34e-3eb5-487e-8ec7-27acbc92ff5f</errorID>
      <errorWord>(</errorWord>
      <group>L1_Format</group>
      <groupName>格式问题</groupName>
      <ability>L2_HalfPunc</ability>
      <abilityName>全半角检查</abilityName>
      <candidateList>
        <item>（</item>
      </candidateList>
      <explain>文本全半角错误。</explain>
      <paraID>1BB65768</paraID>
      <start>29</start>
      <end>30</end>
      <status>unmodified</status>
      <modifiedWord/>
      <trackRevisions>false</trackRevisions>
    </reviewItem>
    <reviewItem>
      <errorID>bde6c76f-afa3-4b72-af39-b950bb034a60</errorID>
      <errorWord>)</errorWord>
      <group>L1_Format</group>
      <groupName>格式问题</groupName>
      <ability>L2_HalfPunc</ability>
      <abilityName>全半角检查</abilityName>
      <candidateList>
        <item>）</item>
      </candidateList>
      <explain>文本全半角错误。</explain>
      <paraID>1BB65768</paraID>
      <start>35</start>
      <end>36</end>
      <status>unmodified</status>
      <modifiedWord/>
      <trackRevisions>false</trackRevisions>
    </reviewItem>
    <reviewItem>
      <errorID>02fc7591-db6a-468f-bc55-a7b121b0d9f2</errorID>
      <errorWord>(</errorWord>
      <group>L1_Format</group>
      <groupName>格式问题</groupName>
      <ability>L2_HalfPunc</ability>
      <abilityName>全半角检查</abilityName>
      <candidateList>
        <item>（</item>
      </candidateList>
      <explain>文本全半角错误。</explain>
      <paraID>1BB65768</paraID>
      <start>51</start>
      <end>52</end>
      <status>unmodified</status>
      <modifiedWord/>
      <trackRevisions>false</trackRevisions>
    </reviewItem>
    <reviewItem>
      <errorID>6999b002-e426-434a-9d29-4a6734dfc3b5</errorID>
      <errorWord>)</errorWord>
      <group>L1_Format</group>
      <groupName>格式问题</groupName>
      <ability>L2_HalfPunc</ability>
      <abilityName>全半角检查</abilityName>
      <candidateList>
        <item>）</item>
      </candidateList>
      <explain>文本全半角错误。</explain>
      <paraID>1BB65768</paraID>
      <start>56</start>
      <end>57</end>
      <status>unmodified</status>
      <modifiedWord/>
      <trackRevisions>false</trackRevisions>
    </reviewItem>
    <reviewItem>
      <errorID>427dea1f-0ab8-4a79-8c02-cf9cf1681217</errorID>
      <errorWord>(</errorWord>
      <group>L1_Format</group>
      <groupName>格式问题</groupName>
      <ability>L2_HalfPunc</ability>
      <abilityName>全半角检查</abilityName>
      <candidateList>
        <item>（</item>
      </candidateList>
      <explain>文本全半角错误。</explain>
      <paraID>1BB65768</paraID>
      <start>58</start>
      <end>59</end>
      <status>unmodified</status>
      <modifiedWord/>
      <trackRevisions>false</trackRevisions>
    </reviewItem>
    <reviewItem>
      <errorID>f91c5e95-730e-4c8c-87f5-743104b12714</errorID>
      <errorWord>)</errorWord>
      <group>L1_Format</group>
      <groupName>格式问题</groupName>
      <ability>L2_HalfPunc</ability>
      <abilityName>全半角检查</abilityName>
      <candidateList>
        <item>）</item>
      </candidateList>
      <explain>文本全半角错误。</explain>
      <paraID>1BB65768</paraID>
      <start>64</start>
      <end>65</end>
      <status>unmodified</status>
      <modifiedWord/>
      <trackRevisions>false</trackRevisions>
    </reviewItem>
    <reviewItem>
      <errorID>80524e81-d53f-47bf-bda8-2c4cfa23b89e</errorID>
      <errorWord>(</errorWord>
      <group>L1_Format</group>
      <groupName>格式问题</groupName>
      <ability>L2_HalfPunc</ability>
      <abilityName>全半角检查</abilityName>
      <candidateList>
        <item>（</item>
      </candidateList>
      <explain>文本全半角错误。</explain>
      <paraID>1BB65768</paraID>
      <start>66</start>
      <end>67</end>
      <status>unmodified</status>
      <modifiedWord/>
      <trackRevisions>false</trackRevisions>
    </reviewItem>
    <reviewItem>
      <errorID>cc7bd504-c3be-4c38-92c9-8b0832580bf5</errorID>
      <errorWord>)</errorWord>
      <group>L1_Format</group>
      <groupName>格式问题</groupName>
      <ability>L2_HalfPunc</ability>
      <abilityName>全半角检查</abilityName>
      <candidateList>
        <item>）</item>
      </candidateList>
      <explain>文本全半角错误。</explain>
      <paraID>1BB65768</paraID>
      <start>71</start>
      <end>72</end>
      <status>unmodified</status>
      <modifiedWord/>
      <trackRevisions>false</trackRevisions>
    </reviewItem>
    <reviewItem>
      <errorID>3e2e2847-aae0-4025-911e-f2d9e7ddccb7</errorID>
      <errorWord>(</errorWord>
      <group>L1_Format</group>
      <groupName>格式问题</groupName>
      <ability>L2_HalfPunc</ability>
      <abilityName>全半角检查</abilityName>
      <candidateList>
        <item>（</item>
      </candidateList>
      <explain>文本全半角错误。</explain>
      <paraID>1BB65768</paraID>
      <start>80</start>
      <end>81</end>
      <status>unmodified</status>
      <modifiedWord/>
      <trackRevisions>false</trackRevisions>
    </reviewItem>
    <reviewItem>
      <errorID>f080af85-922f-4921-87e2-170f0b834a9e</errorID>
      <errorWord>)</errorWord>
      <group>L1_Format</group>
      <groupName>格式问题</groupName>
      <ability>L2_HalfPunc</ability>
      <abilityName>全半角检查</abilityName>
      <candidateList>
        <item>）</item>
      </candidateList>
      <explain>文本全半角错误。</explain>
      <paraID>1BB65768</paraID>
      <start>86</start>
      <end>87</end>
      <status>unmodified</status>
      <modifiedWord/>
      <trackRevisions>false</trackRevisions>
    </reviewItem>
    <reviewItem>
      <errorID>380e1370-06ef-4134-b785-7480e9371067</errorID>
      <errorWord>(</errorWord>
      <group>L1_Format</group>
      <groupName>格式问题</groupName>
      <ability>L2_HalfPunc</ability>
      <abilityName>全半角检查</abilityName>
      <candidateList>
        <item>（</item>
      </candidateList>
      <explain>文本全半角错误。</explain>
      <paraID>1BB65768</paraID>
      <start>88</start>
      <end>89</end>
      <status>unmodified</status>
      <modifiedWord/>
      <trackRevisions>false</trackRevisions>
    </reviewItem>
    <reviewItem>
      <errorID>21382863-ce1e-449a-9bfe-b6fb27d8b66d</errorID>
      <errorWord>)</errorWord>
      <group>L1_Format</group>
      <groupName>格式问题</groupName>
      <ability>L2_HalfPunc</ability>
      <abilityName>全半角检查</abilityName>
      <candidateList>
        <item>）</item>
      </candidateList>
      <explain>文本全半角错误。</explain>
      <paraID>1BB65768</paraID>
      <start>93</start>
      <end>94</end>
      <status>unmodified</status>
      <modifiedWord/>
      <trackRevisions>false</trackRevisions>
    </reviewItem>
    <reviewItem>
      <errorID>6c3efb02-f8eb-43c9-afa0-22166257bc40</errorID>
      <errorWord>(</errorWord>
      <group>L1_Format</group>
      <groupName>格式问题</groupName>
      <ability>L2_HalfPunc</ability>
      <abilityName>全半角检查</abilityName>
      <candidateList>
        <item>（</item>
      </candidateList>
      <explain>文本全半角错误。</explain>
      <paraID>3AA33A84</paraID>
      <start>3</start>
      <end>4</end>
      <status>unmodified</status>
      <modifiedWord/>
      <trackRevisions>false</trackRevisions>
    </reviewItem>
    <reviewItem>
      <errorID>446d522a-28b0-42af-9c82-582a5bce7529</errorID>
      <errorWord>)</errorWord>
      <group>L1_Format</group>
      <groupName>格式问题</groupName>
      <ability>L2_HalfPunc</ability>
      <abilityName>全半角检查</abilityName>
      <candidateList>
        <item>）</item>
      </candidateList>
      <explain>文本全半角错误。</explain>
      <paraID>3AA33A84</paraID>
      <start>6</start>
      <end>7</end>
      <status>unmodified</status>
      <modifiedWord/>
      <trackRevisions>false</trackRevisions>
    </reviewItem>
    <reviewItem>
      <errorID>dc1d9a0c-248e-440e-b21f-b29c84de7ce4</errorID>
      <errorWord>(</errorWord>
      <group>L1_Format</group>
      <groupName>格式问题</groupName>
      <ability>L2_HalfPunc</ability>
      <abilityName>全半角检查</abilityName>
      <candidateList>
        <item>（</item>
      </candidateList>
      <explain>文本全半角错误。</explain>
      <paraID>3B8C9FC0</paraID>
      <start>2</start>
      <end>3</end>
      <status>unmodified</status>
      <modifiedWord/>
      <trackRevisions>false</trackRevisions>
    </reviewItem>
    <reviewItem>
      <errorID>35be36f3-44a8-47d5-aeda-3b4fd604a719</errorID>
      <errorWord>)</errorWord>
      <group>L1_Format</group>
      <groupName>格式问题</groupName>
      <ability>L2_HalfPunc</ability>
      <abilityName>全半角检查</abilityName>
      <candidateList>
        <item>）</item>
      </candidateList>
      <explain>文本全半角错误。</explain>
      <paraID>3B8C9FC0</paraID>
      <start>5</start>
      <end>6</end>
      <status>unmodified</status>
      <modifiedWord/>
      <trackRevisions>false</trackRevisions>
    </reviewItem>
    <reviewItem>
      <errorID>3603ceda-9678-4674-8864-d0a03307532b</errorID>
      <errorWord>(</errorWord>
      <group>L1_Format</group>
      <groupName>格式问题</groupName>
      <ability>L2_HalfPunc</ability>
      <abilityName>全半角检查</abilityName>
      <candidateList>
        <item>（</item>
      </candidateList>
      <explain>文本全半角错误。</explain>
      <paraID>3B8C9FC0</paraID>
      <start>8</start>
      <end>9</end>
      <status>unmodified</status>
      <modifiedWord/>
      <trackRevisions>false</trackRevisions>
    </reviewItem>
    <reviewItem>
      <errorID>f6586105-5648-458c-9080-c356aff61cc5</errorID>
      <errorWord>)</errorWord>
      <group>L1_Format</group>
      <groupName>格式问题</groupName>
      <ability>L2_HalfPunc</ability>
      <abilityName>全半角检查</abilityName>
      <candidateList>
        <item>）</item>
      </candidateList>
      <explain>文本全半角错误。</explain>
      <paraID>3B8C9FC0</paraID>
      <start>11</start>
      <end>12</end>
      <status>unmodified</status>
      <modifiedWord/>
      <trackRevisions>false</trackRevisions>
    </reviewItem>
    <reviewItem>
      <errorID>19570ba2-5bfd-4034-bc72-eec299fab666</errorID>
      <errorWord>提出质疑</errorWord>
      <group>L1_Grammar</group>
      <groupName>语法问题</groupName>
      <ability>L2_Grammar</ability>
      <abilityName>语法错误</abilityName>
      <candidateList>
        <item>质疑</item>
      </candidateList>
      <explain>〈动〉提出疑问：～问难。</explain>
      <paraID>4DD150D9</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fa2f7c-f609-4812-98ae-536fcb96a08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228</Pages>
  <Words>29574</Words>
  <Characters>34545</Characters>
  <Lines>602</Lines>
  <Paragraphs>169</Paragraphs>
  <TotalTime>1</TotalTime>
  <ScaleCrop>false</ScaleCrop>
  <LinksUpToDate>false</LinksUpToDate>
  <CharactersWithSpaces>34979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2023-12-01T09:42:00Z</dcterms:created>
  <dc:creator>广西国泰招标</dc:creator>
  <cp:lastModifiedBy>Z</cp:lastModifiedBy>
  <cp:lastPrinted>2026-05-21T06:58:36Z</cp:lastPrinted>
  <dcterms:modified xsi:type="dcterms:W3CDTF">2026-05-21T08:31:51Z</dcterms:modified>
  <dc:title>公开招标采购文件范本</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69BECF8ED0914E3BB5937E83558131D0_13</vt:lpwstr>
  </property>
  <property fmtid="{D5CDD505-2E9C-101B-9397-08002B2CF9AE}" pid="4" name="KSOTemplateDocerSaveRecord">
    <vt:lpwstr>eyJoZGlkIjoiMzEwNTM5NzYwMDRjMzkwZTVkZjY2ODkwMGIxNGU0OTUiLCJ1c2VySWQiOiIzODI0OTUxNDYifQ==</vt:lpwstr>
  </property>
</Properties>
</file>