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8C" w:rsidRDefault="00AD5B8C" w:rsidP="00AD5B8C">
      <w:pPr>
        <w:pStyle w:val="1"/>
        <w:keepNext w:val="0"/>
        <w:keepLines w:val="0"/>
        <w:tabs>
          <w:tab w:val="left" w:pos="0"/>
          <w:tab w:val="left" w:pos="3165"/>
          <w:tab w:val="center" w:pos="4153"/>
        </w:tabs>
        <w:autoSpaceDE w:val="0"/>
        <w:autoSpaceDN w:val="0"/>
        <w:adjustRightInd w:val="0"/>
        <w:spacing w:before="0" w:after="0" w:line="360" w:lineRule="auto"/>
        <w:jc w:val="center"/>
        <w:rPr>
          <w:color w:val="000000"/>
        </w:rPr>
      </w:pPr>
      <w:r>
        <w:rPr>
          <w:rFonts w:hint="eastAsia"/>
          <w:color w:val="000000"/>
        </w:rPr>
        <w:t>采购需求</w:t>
      </w:r>
    </w:p>
    <w:p w:rsidR="00AD5B8C" w:rsidRDefault="00AD5B8C" w:rsidP="00AD5B8C">
      <w:pPr>
        <w:spacing w:line="360" w:lineRule="auto"/>
        <w:jc w:val="left"/>
        <w:rPr>
          <w:rFonts w:ascii="宋体" w:hAnsi="宋体" w:cs="宋体"/>
          <w:color w:val="000000"/>
          <w:szCs w:val="21"/>
        </w:rPr>
      </w:pPr>
      <w:bookmarkStart w:id="0" w:name="_Toc254970490"/>
      <w:bookmarkStart w:id="1" w:name="_Toc254970631"/>
    </w:p>
    <w:p w:rsidR="00AD5B8C" w:rsidRDefault="00AD5B8C" w:rsidP="00AD5B8C">
      <w:pPr>
        <w:spacing w:line="360" w:lineRule="auto"/>
        <w:jc w:val="left"/>
        <w:rPr>
          <w:rFonts w:ascii="宋体" w:hAnsi="宋体" w:cs="宋体" w:hint="eastAsia"/>
          <w:color w:val="000000"/>
          <w:szCs w:val="21"/>
        </w:rPr>
      </w:pPr>
      <w:r>
        <w:rPr>
          <w:rFonts w:ascii="宋体" w:hAnsi="宋体" w:cs="宋体" w:hint="eastAsia"/>
          <w:color w:val="000000"/>
          <w:szCs w:val="21"/>
        </w:rPr>
        <w:t>说明：</w:t>
      </w:r>
    </w:p>
    <w:p w:rsidR="00AD5B8C" w:rsidRDefault="00AD5B8C" w:rsidP="00AD5B8C">
      <w:pPr>
        <w:spacing w:line="360" w:lineRule="auto"/>
        <w:ind w:firstLineChars="200" w:firstLine="420"/>
        <w:jc w:val="left"/>
        <w:rPr>
          <w:rFonts w:hint="eastAsia"/>
          <w:color w:val="000000"/>
        </w:rPr>
      </w:pPr>
      <w:r>
        <w:rPr>
          <w:color w:val="000000"/>
        </w:rPr>
        <w:t xml:space="preserve">1. </w:t>
      </w:r>
      <w:r>
        <w:rPr>
          <w:rFonts w:hint="eastAsia"/>
          <w:color w:val="000000"/>
        </w:rPr>
        <w:t>为落实政府采购政策需满足的要求</w:t>
      </w:r>
    </w:p>
    <w:p w:rsidR="00AD5B8C" w:rsidRDefault="00AD5B8C" w:rsidP="00AD5B8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（1）本招标文件所称中小企业必须符合《政府采购促进中小企业发展管理办法》（财库〔2020〕46号）的规定。</w:t>
      </w:r>
    </w:p>
    <w:p w:rsidR="00AD5B8C" w:rsidRDefault="00AD5B8C" w:rsidP="00AD5B8C">
      <w:pPr>
        <w:spacing w:line="360" w:lineRule="auto"/>
        <w:ind w:firstLineChars="200" w:firstLine="420"/>
        <w:jc w:val="left"/>
        <w:rPr>
          <w:rFonts w:ascii="宋体" w:hAnsi="宋体" w:cs="宋体" w:hint="eastAsia"/>
          <w:color w:val="000000"/>
          <w:szCs w:val="21"/>
        </w:rPr>
      </w:pPr>
      <w:r>
        <w:rPr>
          <w:rFonts w:ascii="宋体" w:hAnsi="宋体" w:cs="宋体" w:hint="eastAsia"/>
          <w:color w:val="000000"/>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AD5B8C" w:rsidRDefault="00AD5B8C" w:rsidP="00AD5B8C">
      <w:pPr>
        <w:spacing w:line="360" w:lineRule="auto"/>
        <w:ind w:firstLineChars="200" w:firstLine="420"/>
        <w:jc w:val="left"/>
        <w:rPr>
          <w:rFonts w:ascii="宋体" w:hAnsi="宋体" w:cs="宋体" w:hint="eastAsia"/>
          <w:color w:val="000000"/>
          <w:szCs w:val="21"/>
        </w:rPr>
      </w:pPr>
      <w:r>
        <w:rPr>
          <w:rFonts w:ascii="宋体" w:hAnsi="宋体" w:cs="宋体" w:hint="eastAsia"/>
          <w:color w:val="000000"/>
          <w:szCs w:val="21"/>
        </w:rPr>
        <w:t>（3）根据《关于在政府采购活动中对有关美国企业采取相关措施的通知》（财库〔2026〕10号）规定，供应商提供的产品不能为通知附件内46家美国企业（不包括在华美资企业）生产的产品。</w:t>
      </w:r>
      <w:r>
        <w:rPr>
          <w:rFonts w:ascii="宋体" w:hAnsi="宋体" w:cs="宋体" w:hint="eastAsia"/>
          <w:b/>
          <w:color w:val="000000"/>
          <w:szCs w:val="21"/>
        </w:rPr>
        <w:t>投标产品有此类产品的，投标无效</w:t>
      </w:r>
      <w:r>
        <w:rPr>
          <w:rFonts w:ascii="宋体" w:hAnsi="宋体" w:cs="宋体" w:hint="eastAsia"/>
          <w:color w:val="000000"/>
          <w:szCs w:val="21"/>
        </w:rPr>
        <w:t>。</w:t>
      </w:r>
    </w:p>
    <w:p w:rsidR="00AD5B8C" w:rsidRDefault="00AD5B8C" w:rsidP="00AD5B8C">
      <w:pPr>
        <w:spacing w:line="360" w:lineRule="auto"/>
        <w:ind w:firstLineChars="202" w:firstLine="424"/>
        <w:jc w:val="left"/>
        <w:rPr>
          <w:rFonts w:ascii="宋体" w:hAnsi="宋体" w:cs="宋体" w:hint="eastAsia"/>
          <w:color w:val="000000"/>
          <w:szCs w:val="21"/>
        </w:rPr>
      </w:pPr>
      <w:r>
        <w:rPr>
          <w:rFonts w:ascii="宋体" w:hAnsi="宋体" w:cs="宋体" w:hint="eastAsia"/>
          <w:color w:val="000000"/>
          <w:szCs w:val="21"/>
        </w:rPr>
        <w:t>2.“实质性要求”是指招标文件中已经指明不满足则投标无效的条款，或者不能负偏离的条款，或者采购需求中带“▲”的条款。</w:t>
      </w:r>
    </w:p>
    <w:p w:rsidR="00AD5B8C" w:rsidRDefault="00AD5B8C" w:rsidP="00AD5B8C">
      <w:pPr>
        <w:spacing w:line="360" w:lineRule="auto"/>
        <w:ind w:firstLineChars="202" w:firstLine="424"/>
        <w:jc w:val="left"/>
        <w:rPr>
          <w:rFonts w:ascii="宋体" w:hAnsi="宋体" w:cs="宋体" w:hint="eastAsia"/>
          <w:color w:val="000000"/>
          <w:szCs w:val="21"/>
        </w:rPr>
      </w:pPr>
      <w:r>
        <w:rPr>
          <w:rFonts w:ascii="宋体" w:hAnsi="宋体" w:cs="宋体" w:hint="eastAsia"/>
          <w:color w:val="000000"/>
          <w:szCs w:val="21"/>
        </w:rPr>
        <w:t>3.采购需求中出现的品牌、型号或者生产厂家仅起参考作用，不属于指定品牌、型号或者生产厂家的情形。投标人可参照或者选用其他相当的品牌、型号或者生产厂家替代。</w:t>
      </w:r>
    </w:p>
    <w:p w:rsidR="00AD5B8C" w:rsidRDefault="00AD5B8C" w:rsidP="00AD5B8C">
      <w:pPr>
        <w:spacing w:line="360" w:lineRule="auto"/>
        <w:ind w:firstLineChars="202" w:firstLine="424"/>
        <w:jc w:val="left"/>
        <w:rPr>
          <w:rStyle w:val="aff0"/>
          <w:rFonts w:hint="eastAsia"/>
        </w:rPr>
      </w:pPr>
      <w:r>
        <w:rPr>
          <w:rFonts w:ascii="宋体" w:hAnsi="宋体" w:cs="宋体" w:hint="eastAsia"/>
          <w:color w:val="000000"/>
          <w:szCs w:val="21"/>
        </w:rPr>
        <w:t>4. 投标人应根据自身实际情况如实响应招标文件</w:t>
      </w:r>
      <w:r>
        <w:rPr>
          <w:rFonts w:ascii="宋体" w:hAnsi="宋体" w:hint="eastAsia"/>
          <w:color w:val="000000"/>
          <w:szCs w:val="21"/>
        </w:rPr>
        <w:t>，</w:t>
      </w:r>
      <w:r>
        <w:rPr>
          <w:rFonts w:ascii="宋体" w:hAnsi="宋体" w:hint="eastAsia"/>
          <w:color w:val="000000"/>
          <w:sz w:val="22"/>
          <w:szCs w:val="22"/>
        </w:rPr>
        <w:t>对招标文件提出的要求和条件作出明确响应，</w:t>
      </w:r>
      <w:r>
        <w:rPr>
          <w:rFonts w:ascii="宋体" w:hAnsi="宋体" w:hint="eastAsia"/>
          <w:b/>
          <w:bCs/>
          <w:color w:val="000000"/>
          <w:szCs w:val="21"/>
        </w:rPr>
        <w:t>否则将作无效响应处理</w:t>
      </w:r>
      <w:r>
        <w:rPr>
          <w:rFonts w:ascii="宋体" w:hAnsi="宋体" w:hint="eastAsia"/>
          <w:color w:val="000000"/>
          <w:szCs w:val="21"/>
        </w:rPr>
        <w:t>。</w:t>
      </w:r>
      <w:r>
        <w:rPr>
          <w:rFonts w:hint="eastAsia"/>
          <w:color w:val="000000"/>
        </w:rPr>
        <w:t>对于重要技术条款或技术参数应当在投标文件中提供技术支持资料，技术支持资料以招标文件中规定的形式为准，</w:t>
      </w:r>
      <w:r>
        <w:rPr>
          <w:rFonts w:hint="eastAsia"/>
          <w:b/>
          <w:bCs/>
          <w:color w:val="000000"/>
        </w:rPr>
        <w:t>否则将视为无效技术支持资料</w:t>
      </w:r>
      <w:r>
        <w:rPr>
          <w:rFonts w:hint="eastAsia"/>
          <w:color w:val="000000"/>
        </w:rPr>
        <w:t>。</w:t>
      </w:r>
    </w:p>
    <w:p w:rsidR="00AD5B8C" w:rsidRDefault="00AD5B8C" w:rsidP="00AD5B8C">
      <w:pPr>
        <w:spacing w:line="360" w:lineRule="auto"/>
        <w:ind w:firstLineChars="147" w:firstLine="309"/>
        <w:jc w:val="left"/>
      </w:pPr>
      <w:r>
        <w:rPr>
          <w:rFonts w:ascii="宋体" w:hAnsi="宋体" w:cs="宋体" w:hint="eastAsia"/>
          <w:color w:val="000000"/>
          <w:szCs w:val="21"/>
        </w:rPr>
        <w:t>5.</w:t>
      </w:r>
      <w:r>
        <w:rPr>
          <w:rFonts w:hint="eastAsia"/>
          <w:color w:val="000000"/>
        </w:rPr>
        <w:t>投标人必须自行为其投标产品侵犯他人的知识产权或者专利成果的行为承担相应法律责任。</w:t>
      </w:r>
    </w:p>
    <w:p w:rsidR="00AD5B8C" w:rsidRDefault="00AD5B8C" w:rsidP="00AD5B8C">
      <w:pPr>
        <w:spacing w:line="360" w:lineRule="auto"/>
        <w:ind w:firstLineChars="147" w:firstLine="309"/>
        <w:jc w:val="left"/>
        <w:rPr>
          <w:color w:val="000000"/>
        </w:rPr>
      </w:pPr>
      <w:r>
        <w:rPr>
          <w:color w:val="000000"/>
        </w:rPr>
        <w:t>6.</w:t>
      </w:r>
      <w:r>
        <w:rPr>
          <w:rFonts w:hint="eastAsia"/>
          <w:color w:val="000000"/>
        </w:rPr>
        <w:t>项目背景：“十四五”时期是我国“两个一百年”奋斗目标的历史交汇期，也是全面开启建设社会主义现代化国家新征程的第一个五年。随着国内经济快速发展和国际环境的深刻变化，公安机关维护社会稳定的任务更加繁重艰巨。公安交管工作作为公安机关履行好新时期新时代职责使命的一项重要基础性、专门性工作，地位重要、意义重大。</w:t>
      </w:r>
    </w:p>
    <w:p w:rsidR="00AD5B8C" w:rsidRDefault="00AD5B8C" w:rsidP="00AD5B8C">
      <w:pPr>
        <w:spacing w:line="360" w:lineRule="auto"/>
        <w:ind w:firstLineChars="147" w:firstLine="309"/>
        <w:jc w:val="left"/>
        <w:rPr>
          <w:color w:val="000000"/>
        </w:rPr>
      </w:pPr>
      <w:r>
        <w:rPr>
          <w:rFonts w:hint="eastAsia"/>
          <w:color w:val="000000"/>
        </w:rPr>
        <w:t>近年来高速公路管理支队在信息化方面建成了一批项目，使得道路交通安全管理工作得到了较好的开展，但也存在一些建设的已经超过质保期，而又没有再采购行动维护服务，使得前期建成的项目存在无运维状态，经综合考虑及部门论证后认为应对已经过保的项目采购</w:t>
      </w:r>
      <w:r>
        <w:rPr>
          <w:rFonts w:hint="eastAsia"/>
          <w:color w:val="000000"/>
        </w:rPr>
        <w:lastRenderedPageBreak/>
        <w:t>运维服务。</w:t>
      </w:r>
    </w:p>
    <w:p w:rsidR="00AD5B8C" w:rsidRDefault="00AD5B8C" w:rsidP="00AD5B8C">
      <w:pPr>
        <w:spacing w:line="360" w:lineRule="auto"/>
        <w:ind w:firstLineChars="147" w:firstLine="309"/>
        <w:jc w:val="left"/>
        <w:rPr>
          <w:color w:val="000000"/>
        </w:rPr>
      </w:pPr>
      <w:r>
        <w:rPr>
          <w:rFonts w:hint="eastAsia"/>
          <w:color w:val="000000"/>
        </w:rPr>
        <w:t>高速公路监控系统设施设备运维服务包括：桂海高速公路全程监控系统一期光数字传输网络项目、桂海高速公路全程监控系统光传输网络（二期</w:t>
      </w:r>
      <w:r>
        <w:rPr>
          <w:color w:val="000000"/>
        </w:rPr>
        <w:t>)</w:t>
      </w:r>
      <w:r>
        <w:rPr>
          <w:rFonts w:hint="eastAsia"/>
          <w:color w:val="000000"/>
        </w:rPr>
        <w:t>系统建设工程项目、</w:t>
      </w:r>
      <w:r>
        <w:rPr>
          <w:color w:val="000000"/>
        </w:rPr>
        <w:t>G80</w:t>
      </w:r>
      <w:r>
        <w:rPr>
          <w:rFonts w:hint="eastAsia"/>
          <w:color w:val="000000"/>
        </w:rPr>
        <w:t>广昆高速公路兴六段光传输网络系统采购项目、广西桂海高速公路智能监控及指挥中心系统集成采购项目、</w:t>
      </w:r>
      <w:r>
        <w:rPr>
          <w:color w:val="000000"/>
        </w:rPr>
        <w:t>G72</w:t>
      </w:r>
      <w:r>
        <w:rPr>
          <w:rFonts w:hint="eastAsia"/>
          <w:color w:val="000000"/>
        </w:rPr>
        <w:t>泉南高速桂南段</w:t>
      </w:r>
      <w:r>
        <w:rPr>
          <w:color w:val="000000"/>
        </w:rPr>
        <w:t>G80</w:t>
      </w:r>
      <w:r>
        <w:rPr>
          <w:rFonts w:hint="eastAsia"/>
          <w:color w:val="000000"/>
        </w:rPr>
        <w:t>广昆高速兴六段增建过车抓拍、视频监控设备采购及安装项目、</w:t>
      </w:r>
      <w:r>
        <w:rPr>
          <w:color w:val="000000"/>
        </w:rPr>
        <w:t>G75</w:t>
      </w:r>
      <w:r>
        <w:rPr>
          <w:rFonts w:hint="eastAsia"/>
          <w:color w:val="000000"/>
        </w:rPr>
        <w:t>兰海高速南宁到北海段增建过车抓拍视频监控项目、广昆高速兴业到六景段增建科技信息化设备采购项目、广西高速公路管理支队部分大队分控中心建设项目、广西区交警总队高速公路管理支队部分大队分控中心项目、信息研判室设备采购项目、研判室显控系统升级改造项目、交警总队高速公路管理支队部分信息化基础设施及系统增改扩建项目等建设的系统设施设备运维服务。</w:t>
      </w:r>
    </w:p>
    <w:p w:rsidR="00AD5B8C" w:rsidRDefault="00AD5B8C" w:rsidP="00AD5B8C">
      <w:pPr>
        <w:spacing w:line="360" w:lineRule="auto"/>
        <w:ind w:firstLineChars="147" w:firstLine="309"/>
        <w:jc w:val="left"/>
        <w:rPr>
          <w:rFonts w:ascii="宋体" w:hAnsi="宋体" w:cs="Arial"/>
          <w:bCs/>
          <w:color w:val="000000"/>
          <w:szCs w:val="21"/>
          <w:u w:val="single"/>
        </w:rPr>
      </w:pPr>
      <w:r>
        <w:rPr>
          <w:rFonts w:ascii="宋体" w:hAnsi="宋体" w:cs="Arial" w:hint="eastAsia"/>
          <w:bCs/>
          <w:color w:val="000000"/>
          <w:szCs w:val="21"/>
          <w:u w:val="single"/>
        </w:rPr>
        <w:t>/</w:t>
      </w:r>
      <w:r>
        <w:rPr>
          <w:rFonts w:ascii="宋体" w:hAnsi="宋体" w:hint="eastAsia"/>
          <w:b/>
          <w:color w:val="000000"/>
          <w:szCs w:val="21"/>
        </w:rPr>
        <w:t>分标      采购预算：</w:t>
      </w:r>
      <w:r>
        <w:rPr>
          <w:rFonts w:ascii="宋体" w:hAnsi="宋体" w:cs="Arial" w:hint="eastAsia"/>
          <w:bCs/>
          <w:color w:val="000000"/>
          <w:szCs w:val="21"/>
          <w:u w:val="single"/>
        </w:rPr>
        <w:t xml:space="preserve">详见招标公告   </w:t>
      </w: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380"/>
        <w:gridCol w:w="46"/>
        <w:gridCol w:w="426"/>
        <w:gridCol w:w="426"/>
        <w:gridCol w:w="9361"/>
      </w:tblGrid>
      <w:tr w:rsidR="00AD5B8C" w:rsidTr="00AD5B8C">
        <w:trPr>
          <w:trHeight w:val="824"/>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rsidR="00AD5B8C" w:rsidRDefault="00AD5B8C">
            <w:pPr>
              <w:tabs>
                <w:tab w:val="left" w:pos="180"/>
                <w:tab w:val="left" w:pos="1620"/>
              </w:tabs>
              <w:spacing w:line="360" w:lineRule="auto"/>
              <w:jc w:val="center"/>
              <w:rPr>
                <w:rFonts w:ascii="宋体" w:hAnsi="宋体" w:cs="宋体"/>
                <w:color w:val="000000"/>
                <w:szCs w:val="21"/>
              </w:rPr>
            </w:pPr>
            <w:r>
              <w:rPr>
                <w:rFonts w:ascii="宋体" w:hAnsi="宋体" w:cs="宋体" w:hint="eastAsia"/>
                <w:color w:val="000000"/>
                <w:szCs w:val="21"/>
              </w:rPr>
              <w:t>序号</w:t>
            </w:r>
          </w:p>
        </w:tc>
        <w:tc>
          <w:tcPr>
            <w:tcW w:w="426" w:type="dxa"/>
            <w:gridSpan w:val="2"/>
            <w:tcBorders>
              <w:top w:val="single" w:sz="4" w:space="0" w:color="000000"/>
              <w:left w:val="single" w:sz="4" w:space="0" w:color="000000"/>
              <w:bottom w:val="single" w:sz="4" w:space="0" w:color="000000"/>
              <w:right w:val="single" w:sz="4" w:space="0" w:color="000000"/>
            </w:tcBorders>
            <w:vAlign w:val="center"/>
            <w:hideMark/>
          </w:tcPr>
          <w:p w:rsidR="00AD5B8C" w:rsidRDefault="00AD5B8C">
            <w:pPr>
              <w:tabs>
                <w:tab w:val="left" w:pos="180"/>
                <w:tab w:val="left" w:pos="1620"/>
              </w:tabs>
              <w:spacing w:line="360" w:lineRule="auto"/>
              <w:jc w:val="center"/>
              <w:rPr>
                <w:rFonts w:ascii="宋体" w:hAnsi="宋体" w:cs="宋体"/>
                <w:color w:val="000000"/>
                <w:szCs w:val="21"/>
              </w:rPr>
            </w:pPr>
            <w:r>
              <w:rPr>
                <w:rFonts w:ascii="宋体" w:hAnsi="宋体" w:cs="宋体" w:hint="eastAsia"/>
                <w:color w:val="000000"/>
                <w:szCs w:val="21"/>
              </w:rPr>
              <w:t>标的的名称</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AD5B8C" w:rsidRDefault="00AD5B8C">
            <w:pPr>
              <w:tabs>
                <w:tab w:val="left" w:pos="180"/>
                <w:tab w:val="left" w:pos="1620"/>
              </w:tabs>
              <w:spacing w:line="360" w:lineRule="auto"/>
              <w:jc w:val="center"/>
              <w:rPr>
                <w:rFonts w:ascii="宋体" w:hAnsi="宋体" w:cs="宋体"/>
                <w:color w:val="000000"/>
                <w:szCs w:val="21"/>
              </w:rPr>
            </w:pPr>
            <w:r>
              <w:rPr>
                <w:rFonts w:ascii="宋体" w:hAnsi="宋体" w:cs="宋体" w:hint="eastAsia"/>
                <w:color w:val="000000"/>
                <w:szCs w:val="21"/>
              </w:rPr>
              <w:t>数量及</w:t>
            </w:r>
          </w:p>
          <w:p w:rsidR="00AD5B8C" w:rsidRDefault="00AD5B8C">
            <w:pPr>
              <w:tabs>
                <w:tab w:val="left" w:pos="180"/>
                <w:tab w:val="left" w:pos="1620"/>
              </w:tabs>
              <w:spacing w:line="360" w:lineRule="auto"/>
              <w:jc w:val="center"/>
              <w:rPr>
                <w:rFonts w:ascii="宋体" w:hAnsi="宋体" w:cs="宋体"/>
                <w:color w:val="000000"/>
                <w:szCs w:val="21"/>
              </w:rPr>
            </w:pPr>
            <w:r>
              <w:rPr>
                <w:rFonts w:ascii="宋体" w:hAnsi="宋体" w:cs="宋体" w:hint="eastAsia"/>
                <w:color w:val="000000"/>
                <w:szCs w:val="21"/>
              </w:rPr>
              <w:t>单位</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AD5B8C" w:rsidRDefault="00AD5B8C">
            <w:pPr>
              <w:tabs>
                <w:tab w:val="left" w:pos="180"/>
                <w:tab w:val="left" w:pos="1620"/>
              </w:tabs>
              <w:spacing w:line="360" w:lineRule="auto"/>
              <w:jc w:val="center"/>
              <w:rPr>
                <w:rFonts w:ascii="宋体" w:hAnsi="宋体" w:cs="宋体"/>
                <w:color w:val="000000"/>
                <w:szCs w:val="21"/>
              </w:rPr>
            </w:pPr>
            <w:r>
              <w:rPr>
                <w:rFonts w:ascii="宋体" w:hAnsi="宋体" w:cs="Arial" w:hint="eastAsia"/>
                <w:color w:val="000000"/>
                <w:szCs w:val="21"/>
              </w:rPr>
              <w:t>所属行业</w:t>
            </w:r>
          </w:p>
        </w:tc>
        <w:tc>
          <w:tcPr>
            <w:tcW w:w="9361" w:type="dxa"/>
            <w:tcBorders>
              <w:top w:val="single" w:sz="4" w:space="0" w:color="000000"/>
              <w:left w:val="single" w:sz="4" w:space="0" w:color="000000"/>
              <w:bottom w:val="single" w:sz="4" w:space="0" w:color="000000"/>
              <w:right w:val="single" w:sz="4" w:space="0" w:color="000000"/>
            </w:tcBorders>
            <w:vAlign w:val="center"/>
            <w:hideMark/>
          </w:tcPr>
          <w:p w:rsidR="00AD5B8C" w:rsidRDefault="00AD5B8C">
            <w:pPr>
              <w:tabs>
                <w:tab w:val="left" w:pos="180"/>
                <w:tab w:val="left" w:pos="1620"/>
              </w:tabs>
              <w:spacing w:line="360" w:lineRule="auto"/>
              <w:jc w:val="center"/>
              <w:rPr>
                <w:rFonts w:ascii="宋体" w:hAnsi="宋体" w:cs="宋体"/>
                <w:color w:val="000000"/>
                <w:szCs w:val="21"/>
              </w:rPr>
            </w:pPr>
            <w:r>
              <w:rPr>
                <w:rFonts w:ascii="宋体" w:hAnsi="宋体" w:cs="宋体" w:hint="eastAsia"/>
                <w:color w:val="000000"/>
                <w:szCs w:val="21"/>
              </w:rPr>
              <w:t>▲</w:t>
            </w:r>
            <w:r>
              <w:rPr>
                <w:rFonts w:ascii="宋体" w:hAnsi="宋体" w:hint="eastAsia"/>
                <w:color w:val="000000"/>
                <w:szCs w:val="21"/>
              </w:rPr>
              <w:t>技术要求</w:t>
            </w:r>
          </w:p>
        </w:tc>
      </w:tr>
      <w:tr w:rsidR="00AD5B8C" w:rsidTr="00AD5B8C">
        <w:trPr>
          <w:trHeight w:val="178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rsidR="00AD5B8C" w:rsidRDefault="00AD5B8C">
            <w:pPr>
              <w:tabs>
                <w:tab w:val="left" w:pos="180"/>
                <w:tab w:val="left" w:pos="1620"/>
              </w:tabs>
              <w:spacing w:line="360" w:lineRule="auto"/>
              <w:rPr>
                <w:rFonts w:ascii="宋体" w:hAnsi="宋体" w:cs="宋体"/>
                <w:color w:val="000000"/>
                <w:szCs w:val="21"/>
              </w:rPr>
            </w:pPr>
            <w:r>
              <w:rPr>
                <w:rFonts w:ascii="宋体" w:hAnsi="宋体" w:cs="宋体" w:hint="eastAsia"/>
                <w:color w:val="000000"/>
                <w:szCs w:val="21"/>
              </w:rPr>
              <w:t>1</w:t>
            </w:r>
          </w:p>
        </w:tc>
        <w:tc>
          <w:tcPr>
            <w:tcW w:w="426" w:type="dxa"/>
            <w:gridSpan w:val="2"/>
            <w:tcBorders>
              <w:top w:val="single" w:sz="4" w:space="0" w:color="000000"/>
              <w:left w:val="single" w:sz="4" w:space="0" w:color="000000"/>
              <w:bottom w:val="single" w:sz="4" w:space="0" w:color="000000"/>
              <w:right w:val="single" w:sz="4" w:space="0" w:color="000000"/>
            </w:tcBorders>
            <w:vAlign w:val="center"/>
            <w:hideMark/>
          </w:tcPr>
          <w:p w:rsidR="00AD5B8C" w:rsidRDefault="00AD5B8C">
            <w:pPr>
              <w:tabs>
                <w:tab w:val="left" w:pos="180"/>
                <w:tab w:val="left" w:pos="1620"/>
              </w:tabs>
              <w:spacing w:line="360" w:lineRule="auto"/>
              <w:rPr>
                <w:rFonts w:ascii="宋体" w:hAnsi="宋体" w:cs="宋体"/>
                <w:color w:val="000000"/>
                <w:szCs w:val="21"/>
              </w:rPr>
            </w:pPr>
            <w:r>
              <w:rPr>
                <w:rFonts w:ascii="宋体" w:hAnsi="宋体" w:cs="宋体" w:hint="eastAsia"/>
                <w:color w:val="000000"/>
                <w:szCs w:val="21"/>
              </w:rPr>
              <w:t>高速公路监控系统设施设备运</w:t>
            </w:r>
            <w:r>
              <w:rPr>
                <w:rFonts w:ascii="宋体" w:hAnsi="宋体" w:cs="宋体" w:hint="eastAsia"/>
                <w:color w:val="000000"/>
                <w:szCs w:val="21"/>
              </w:rPr>
              <w:lastRenderedPageBreak/>
              <w:t>维服务</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AD5B8C" w:rsidRDefault="00AD5B8C">
            <w:pPr>
              <w:tabs>
                <w:tab w:val="left" w:pos="180"/>
                <w:tab w:val="left" w:pos="1620"/>
              </w:tabs>
              <w:spacing w:line="360" w:lineRule="auto"/>
              <w:rPr>
                <w:rFonts w:ascii="宋体" w:hAnsi="宋体" w:cs="宋体"/>
                <w:color w:val="000000"/>
                <w:szCs w:val="21"/>
              </w:rPr>
            </w:pPr>
            <w:r>
              <w:rPr>
                <w:rFonts w:ascii="宋体" w:hAnsi="宋体" w:cs="宋体" w:hint="eastAsia"/>
                <w:color w:val="000000"/>
                <w:szCs w:val="21"/>
              </w:rPr>
              <w:lastRenderedPageBreak/>
              <w:t>1项</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AD5B8C" w:rsidRDefault="00AD5B8C">
            <w:pPr>
              <w:pStyle w:val="a9"/>
              <w:spacing w:line="360" w:lineRule="auto"/>
              <w:rPr>
                <w:rFonts w:ascii="宋体" w:hAnsi="宋体" w:cs="Arial"/>
                <w:color w:val="000000"/>
                <w:szCs w:val="21"/>
              </w:rPr>
            </w:pPr>
            <w:r>
              <w:rPr>
                <w:rFonts w:ascii="宋体" w:hAnsi="宋体" w:cs="Arial" w:hint="eastAsia"/>
                <w:color w:val="000000"/>
                <w:szCs w:val="21"/>
              </w:rPr>
              <w:t>软件和信息技术服务业</w:t>
            </w:r>
          </w:p>
        </w:tc>
        <w:tc>
          <w:tcPr>
            <w:tcW w:w="9361" w:type="dxa"/>
            <w:tcBorders>
              <w:top w:val="single" w:sz="4" w:space="0" w:color="000000"/>
              <w:left w:val="single" w:sz="4" w:space="0" w:color="000000"/>
              <w:bottom w:val="single" w:sz="4" w:space="0" w:color="000000"/>
              <w:right w:val="single" w:sz="4" w:space="0" w:color="000000"/>
            </w:tcBorders>
            <w:vAlign w:val="center"/>
          </w:tcPr>
          <w:p w:rsidR="00AD5B8C" w:rsidRDefault="00AD5B8C">
            <w:pPr>
              <w:pStyle w:val="a9"/>
              <w:spacing w:line="360" w:lineRule="auto"/>
              <w:rPr>
                <w:rFonts w:ascii="宋体" w:hAnsi="宋体" w:cs="Arial"/>
                <w:color w:val="000000"/>
                <w:szCs w:val="21"/>
              </w:rPr>
            </w:pPr>
            <w:r>
              <w:rPr>
                <w:rFonts w:ascii="宋体" w:hAnsi="宋体" w:cs="Arial" w:hint="eastAsia"/>
                <w:color w:val="000000"/>
                <w:szCs w:val="21"/>
              </w:rPr>
              <w:t>1. 服务提供形式</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高速公路监控系统设施设备运维服务的提供形式以采购运维服务方式体现。</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（1）运维服务需安排1名非驻场项目经理对项目进行管理，制定维护计划，对驻场工程师、高速公路机电维护技术员的工作进行统筹管理和督导。</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安排不少于3名驻场维护工程师派驻高速公路管理一、二、三、四各支队提供服务（二、三支队共用一名驻场人员），包括：日常维护、设备与系统监控、设备与系统巡检、支队光传输系统平台维护、网络及网络安全维护、故障处置、应急保障、资产与配置维护、性能优化、培训及知识管理、运维报告及其他技术支持等服务工作。</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3）安排不少于22名高速公路机电维护技术员提供外场运维服务，服务包括：高速公路户外监控设备维护、电力系统维护、卡口杆件基础维护、光传输系统外场设备维护、通信管道及光缆维护、新产品测试服务、系统设备意外受损运维管理等。</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（4）内场运维服务所需的计算机由中标人自行配备，所配备计算机必须符合信创要求。因处理故障需要更换的设备归各支队所有，运维过程所需要的工具及检测设备由中标人提供并有归属权，服务期</w:t>
            </w:r>
            <w:r>
              <w:rPr>
                <w:rFonts w:ascii="宋体" w:hAnsi="宋体" w:cs="Arial" w:hint="eastAsia"/>
                <w:color w:val="000000"/>
                <w:szCs w:val="21"/>
              </w:rPr>
              <w:lastRenderedPageBreak/>
              <w:t>满后运维过程数据存储组件要移交</w:t>
            </w:r>
            <w:r>
              <w:rPr>
                <w:rFonts w:hint="eastAsia"/>
                <w:color w:val="000000"/>
              </w:rPr>
              <w:t>广西壮族自治区公安厅</w:t>
            </w:r>
            <w:r>
              <w:rPr>
                <w:rFonts w:ascii="宋体" w:hAnsi="宋体" w:cs="Arial" w:hint="eastAsia"/>
                <w:color w:val="000000"/>
                <w:szCs w:val="21"/>
              </w:rPr>
              <w:t>后方可撤场。</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2.服务内容</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本运维项目服务内容包括通用服务及专项服务两部分：</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通用服务：日常维护、设备与系统监控、设备与系统巡检、各支队光传输系统平台维护、各支队光传输系统平台维护、光传输系统外场设备维护、通信管道及光缆维护、网络及网络安全维护、故障处置、应急保障、资产与配置维护、性能优化、培训及知识管理、建转运移交、运维报告及其他技术支持、增值服务等。</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专项服务：平台服务器及存储维护、高速公路户外监控设备维护、电力系统维护、卡口杆件基础维护、支队分控中心维护、分控中心平台服务器及软件维护、研判室及机房维护、新产品测试服务、系统设备意外受损运维管理等。</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2.1 通用服务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1410"/>
              <w:gridCol w:w="2454"/>
              <w:gridCol w:w="4568"/>
            </w:tblGrid>
            <w:tr w:rsidR="00AD5B8C">
              <w:trPr>
                <w:trHeight w:val="630"/>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序号</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服务</w:t>
                  </w:r>
                </w:p>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名称</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服务目标</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服务内容</w:t>
                  </w:r>
                </w:p>
              </w:tc>
            </w:tr>
            <w:tr w:rsidR="00AD5B8C">
              <w:trPr>
                <w:trHeight w:val="1543"/>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日常维护</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完成日志备份、异常进程处理、每季度重启等日常维护操作，确保系统的正常运行。</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日常维护内容包括但不仅限于以下内容：</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对设备或系统进行日志备份；</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对异常进程进行终止等操作；</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对设备或系统进行重启操作；</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对设备或系统垃圾数据进行清除；</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一年内提供不少于4次分析工作；</w:t>
                  </w:r>
                </w:p>
              </w:tc>
            </w:tr>
            <w:tr w:rsidR="00AD5B8C">
              <w:trPr>
                <w:trHeight w:val="1808"/>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2</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设备与系统监控</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利用监控工具，对具备监控条件的设备及其附属软件、系统、平台、数据库、机房环境等开展运行情况实时监控，发现异常、告警信息及时汇报、处理，确保设备与系统隐患、故障获得第一时间解决。</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实时监测各维护对象的运行状态；</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发现异常和告警信息时，30分钟内向上汇报，处理；</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每季度分析异常、告警信息，找到问题根源，形成解决方案。每年不少于4次分析工作；</w:t>
                  </w:r>
                </w:p>
              </w:tc>
            </w:tr>
            <w:tr w:rsidR="00AD5B8C">
              <w:trPr>
                <w:trHeight w:val="1255"/>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3</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设备与系统巡检</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每日检查设备运行状态，从而及时发现隐患或故障，确保设备安全、稳定运行。</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日常巡检：按照巡检方案定期开展设备与系统巡检，每天不少于1次。</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特巡特维：重大活动、会议、工作检查等特殊时期按采购人要求执行特别巡视和维护。</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巡检内容包括但不限于以下内容：</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a.机房环境状态和周边设备的安全检查；</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b.服务器的外观、温度、有无故障指示灯、硬件运行状况、系统日志、系统补丁和病毒库的检查；</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c.网络设备的外观、温度、工作指示灯状况、端口网络状况、测试设备的数据通信功能等检查；</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编制巡检记录及巡检报告；</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lastRenderedPageBreak/>
                    <w:t>定期开展隐患排查，制定隐患处理措施。每年不少于1次排查工作；</w:t>
                  </w:r>
                </w:p>
              </w:tc>
            </w:tr>
            <w:tr w:rsidR="00AD5B8C">
              <w:trPr>
                <w:trHeight w:val="1255"/>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lastRenderedPageBreak/>
                    <w:t>4</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故障处置</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响应服务台的派单，对用户报障/服务请求、系统告警或巡检发现的设备故障进行分析、处理，确保应用尽快恢复。</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响应服务台的派单；</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对故障进行分析；</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配合采购人开展故障定位，制定故障解决方案；</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配合采购人开展故障处理，协调沟通和协助指挥。</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按维护服务响应要求保证系统恢复；</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编制故障分析及处置报告；</w:t>
                  </w:r>
                </w:p>
              </w:tc>
            </w:tr>
            <w:tr w:rsidR="00AD5B8C">
              <w:trPr>
                <w:trHeight w:val="274"/>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5</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应急保障</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应急情况发生时及时响应、特殊时期应急保障支持。</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编制或修订应急处置预案；</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编制应急演练方案，每年至少开展1次应急演练；</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按照应急处置预案响应和处置；</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重大活动、会议、工作检查等特殊时期提供应急保障支持。</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编制应急处置总结报告；</w:t>
                  </w:r>
                </w:p>
              </w:tc>
            </w:tr>
            <w:tr w:rsidR="00AD5B8C">
              <w:trPr>
                <w:trHeight w:val="1255"/>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6</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资产与配置维护</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协助对资产信息进行梳理、维护、管理、统计。对相关配置信息进行维护及管理，满足设备与系统运行过程中配置管理的需要。</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协助采购人梳理资产信息，分析资产之间关联关系；</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协助采购人维护、管理资产信息、统计相关数据；</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协助采购人系统配置信息录入和修改；</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配置项及配置信息统计；</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配置过程记录；</w:t>
                  </w:r>
                </w:p>
              </w:tc>
            </w:tr>
            <w:tr w:rsidR="00AD5B8C">
              <w:trPr>
                <w:trHeight w:val="1553"/>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7</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性能优化</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对设备、系统、平台、数据库等性能进行诊断分析、性能调优，确保设备在最佳状态下运行。</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定期开展性能诊断分析，每年不少于2次；</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编制设备性能调优技术方案，开展性能调优实施工作；</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技术性文档的完善和更新工作；</w:t>
                  </w:r>
                </w:p>
              </w:tc>
            </w:tr>
            <w:tr w:rsidR="00AD5B8C">
              <w:trPr>
                <w:trHeight w:val="562"/>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8</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培训及知识管理</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提供培训、协助知识库维护，确保相关人员技能掌握和知识沉淀、传承。</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每年提供不少于2次的技术培训，具体要求如下：</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协助采购人编制培训计划；</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编制培训课件；</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协助采购人搭建培训环境；</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开展技术培训；</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协助知识库维护；</w:t>
                  </w:r>
                </w:p>
              </w:tc>
            </w:tr>
            <w:tr w:rsidR="00AD5B8C">
              <w:trPr>
                <w:trHeight w:val="312"/>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9</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建转运移交</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完成设备建转运工作，确保设备维护资料齐全，工作开展有序。</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根据《运维中心建转运管理办法》完成基础设施移交，材料齐全。</w:t>
                  </w:r>
                </w:p>
              </w:tc>
            </w:tr>
            <w:tr w:rsidR="00AD5B8C">
              <w:trPr>
                <w:trHeight w:val="562"/>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10</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运维报告及其他技术支持</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以项目/合同为单位提供周期性的运维分析报告、其他技术文档，确保运维服务不断改进、提升服务品质。</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编制运维分析月报；</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编制运维分析年报；</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根据采购人要求提供项目所需的其他技术文档。</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配合采购人开展设施改造、设备搬迁；系统、平台、数据库等迁移工作；</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配合采购人开展如基础设施规划、设备及系统架构升级优化方案编制、运维体系规范化建设等工作。</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lastRenderedPageBreak/>
                    <w:t>参与采购人在建及新建与其服务范围内的系统相关联的子项目，配合相关工作。</w:t>
                  </w:r>
                </w:p>
              </w:tc>
            </w:tr>
            <w:tr w:rsidR="00AD5B8C">
              <w:trPr>
                <w:trHeight w:val="202"/>
                <w:jc w:val="center"/>
              </w:trPr>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lastRenderedPageBreak/>
                    <w:t>11</w:t>
                  </w:r>
                </w:p>
              </w:tc>
              <w:tc>
                <w:tcPr>
                  <w:tcW w:w="77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增值服务</w:t>
                  </w:r>
                </w:p>
              </w:tc>
              <w:tc>
                <w:tcPr>
                  <w:tcW w:w="13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基于通用的维护需求外，提供具有针对性且个性化的服务内容。</w:t>
                  </w:r>
                </w:p>
              </w:tc>
              <w:tc>
                <w:tcPr>
                  <w:tcW w:w="25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运维工具配备：中标人须自行配备运维驻场人员（含一线信息化业务服务保障人员）办公所需的运维工具，包含每人互联网与公安网办公电脑各一台以及打印外设一套（按采购人要求做好安全措施与安全警示标签）；需配备包括但不仅限于以下维保工具：测试仪器、板级维修上门工具箱、笔式可视故障测试仪、标签机、网络测线仪等专业常用工具。</w:t>
                  </w:r>
                </w:p>
              </w:tc>
            </w:tr>
          </w:tbl>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2.2专项服务</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1251"/>
              <w:gridCol w:w="1361"/>
              <w:gridCol w:w="5793"/>
            </w:tblGrid>
            <w:tr w:rsidR="00AD5B8C">
              <w:trPr>
                <w:trHeight w:val="522"/>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序号</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维护类别</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维护对象</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专项维护内容</w:t>
                  </w:r>
                </w:p>
              </w:tc>
            </w:tr>
            <w:tr w:rsidR="00AD5B8C">
              <w:trPr>
                <w:trHeight w:val="50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1</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业务系统平台服务</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全程监控系统视频及高清卡口（综合应用）平台软件、服务器、存储、磁盘阵列等设备及其附带软件</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（1）视频及高清卡口（综合应用）平台的软件维护</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（2）业务系统软件的安装、升级，合理性拓展；</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（3）视频和卡口综合应用数据库维护；</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（4）定期检查服务器运行情况，对操作进行补丁升级；主机病毒查杀；主机系统安全漏洞处理；</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 xml:space="preserve">（5）存储管理软件的维护和存储资源的划分； </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（6）解决主机及存储上的应用系统出现紧急问题，如性能问题，死机，异常等问题；</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（7）对存储网络性能状态的监控和技术支持；</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（8）定期检查存储设备的运行情况，监测存储系统的运行状态，确保数据存储正常。</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（9）技术培训:提供满足用户需求的设备日常操作、简单的维护和错误处理等等具体的培训方案。</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（10）建立相应的备件库、确保设备一旦出现故障导致系统不能正常运行，按服务响应要求更换，保证系统正常运行。</w:t>
                  </w:r>
                </w:p>
              </w:tc>
            </w:tr>
            <w:tr w:rsidR="00AD5B8C">
              <w:trPr>
                <w:trHeight w:val="90"/>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2</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高速公路户外监控设备维护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卡口抓拍相机、高清球机，LED频闪、诱导屏、测速设备等高速公路野外监控设备及安装附件</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widowControl/>
                    <w:spacing w:line="440" w:lineRule="exact"/>
                    <w:jc w:val="left"/>
                    <w:rPr>
                      <w:rFonts w:ascii="宋体" w:hAnsi="宋体" w:cs="等线"/>
                      <w:bCs/>
                      <w:color w:val="000000"/>
                      <w:szCs w:val="21"/>
                    </w:rPr>
                  </w:pPr>
                  <w:r>
                    <w:rPr>
                      <w:rFonts w:ascii="宋体" w:hAnsi="宋体" w:cs="等线" w:hint="eastAsia"/>
                      <w:bCs/>
                      <w:color w:val="000000"/>
                      <w:szCs w:val="21"/>
                    </w:rPr>
                    <w:t>(1)每日巡检，对监控系统及设备的运行情况进行监控，分析运行情况，按</w:t>
                  </w:r>
                  <w:r>
                    <w:rPr>
                      <w:rFonts w:ascii="宋体" w:hAnsi="宋体" w:hint="eastAsia"/>
                      <w:bCs/>
                      <w:color w:val="000000"/>
                      <w:szCs w:val="21"/>
                    </w:rPr>
                    <w:t>服务响应要求</w:t>
                  </w:r>
                  <w:r>
                    <w:rPr>
                      <w:rFonts w:ascii="宋体" w:hAnsi="宋体" w:cs="等线" w:hint="eastAsia"/>
                      <w:bCs/>
                      <w:color w:val="000000"/>
                      <w:szCs w:val="21"/>
                    </w:rPr>
                    <w:t>发现并排除故障，要求抓拍机和视频监控在线率达到95%以上，因不可抗力导致的除外。</w:t>
                  </w:r>
                </w:p>
                <w:p w:rsidR="00AD5B8C" w:rsidRDefault="00AD5B8C">
                  <w:pPr>
                    <w:widowControl/>
                    <w:spacing w:line="440" w:lineRule="exact"/>
                    <w:jc w:val="left"/>
                    <w:rPr>
                      <w:rFonts w:ascii="宋体" w:hAnsi="宋体" w:cs="等线" w:hint="eastAsia"/>
                      <w:bCs/>
                      <w:color w:val="000000"/>
                      <w:szCs w:val="21"/>
                    </w:rPr>
                  </w:pPr>
                  <w:r>
                    <w:rPr>
                      <w:rFonts w:ascii="宋体" w:hAnsi="宋体" w:cs="等线" w:hint="eastAsia"/>
                      <w:bCs/>
                      <w:color w:val="000000"/>
                      <w:szCs w:val="21"/>
                    </w:rPr>
                    <w:t>(2)根据每日巡检的故障派单，对高速公路沿线抓拍机、球机、LED屏的故障排查，故障维修。</w:t>
                  </w:r>
                </w:p>
                <w:p w:rsidR="00AD5B8C" w:rsidRDefault="00AD5B8C">
                  <w:pPr>
                    <w:widowControl/>
                    <w:spacing w:line="440" w:lineRule="exact"/>
                    <w:jc w:val="left"/>
                    <w:rPr>
                      <w:rFonts w:ascii="宋体" w:hAnsi="宋体" w:cs="等线" w:hint="eastAsia"/>
                      <w:bCs/>
                      <w:color w:val="000000"/>
                      <w:szCs w:val="21"/>
                    </w:rPr>
                  </w:pPr>
                  <w:r>
                    <w:rPr>
                      <w:rFonts w:ascii="宋体" w:hAnsi="宋体" w:cs="等线" w:hint="eastAsia"/>
                      <w:bCs/>
                      <w:color w:val="000000"/>
                      <w:szCs w:val="21"/>
                    </w:rPr>
                    <w:t>(3)建立相应的备件库、确保设备一旦出现故障无法修复，按</w:t>
                  </w:r>
                  <w:r>
                    <w:rPr>
                      <w:rFonts w:ascii="宋体" w:hAnsi="宋体" w:hint="eastAsia"/>
                      <w:bCs/>
                      <w:color w:val="000000"/>
                      <w:szCs w:val="21"/>
                    </w:rPr>
                    <w:t>服务响应要求</w:t>
                  </w:r>
                  <w:r>
                    <w:rPr>
                      <w:rFonts w:ascii="宋体" w:hAnsi="宋体" w:cs="等线" w:hint="eastAsia"/>
                      <w:bCs/>
                      <w:color w:val="000000"/>
                      <w:szCs w:val="21"/>
                    </w:rPr>
                    <w:t>更换，保证前端数据采集正常运行。</w:t>
                  </w:r>
                </w:p>
                <w:p w:rsidR="00AD5B8C" w:rsidRDefault="00AD5B8C">
                  <w:pPr>
                    <w:widowControl/>
                    <w:spacing w:line="440" w:lineRule="exact"/>
                    <w:jc w:val="left"/>
                    <w:rPr>
                      <w:rFonts w:ascii="宋体" w:hAnsi="宋体" w:cs="等线" w:hint="eastAsia"/>
                      <w:bCs/>
                      <w:color w:val="000000"/>
                      <w:szCs w:val="21"/>
                    </w:rPr>
                  </w:pPr>
                  <w:r>
                    <w:rPr>
                      <w:rFonts w:ascii="宋体" w:hAnsi="宋体" w:cs="等线" w:hint="eastAsia"/>
                      <w:bCs/>
                      <w:color w:val="000000"/>
                      <w:szCs w:val="21"/>
                    </w:rPr>
                    <w:t>(4)对容易老化的监控设备部件每月一次进行全面检查，一旦发现老化现象应按服务响应要求更换、维修，如视频头等。</w:t>
                  </w:r>
                </w:p>
                <w:p w:rsidR="00AD5B8C" w:rsidRDefault="00AD5B8C">
                  <w:pPr>
                    <w:widowControl/>
                    <w:spacing w:line="440" w:lineRule="exact"/>
                    <w:jc w:val="left"/>
                    <w:rPr>
                      <w:rFonts w:ascii="宋体" w:hAnsi="宋体" w:cs="等线" w:hint="eastAsia"/>
                      <w:bCs/>
                      <w:color w:val="000000"/>
                      <w:szCs w:val="21"/>
                    </w:rPr>
                  </w:pPr>
                  <w:r>
                    <w:rPr>
                      <w:rFonts w:ascii="宋体" w:hAnsi="宋体" w:cs="等线" w:hint="eastAsia"/>
                      <w:bCs/>
                      <w:color w:val="000000"/>
                      <w:szCs w:val="21"/>
                    </w:rPr>
                    <w:t>(5)每季度对监控系统和设备进行优化：合理安排监控中心的监控网络需求，如带宽、IP地址等。</w:t>
                  </w:r>
                </w:p>
                <w:p w:rsidR="00AD5B8C" w:rsidRDefault="00AD5B8C">
                  <w:pPr>
                    <w:widowControl/>
                    <w:spacing w:line="440" w:lineRule="exact"/>
                    <w:jc w:val="left"/>
                    <w:rPr>
                      <w:rFonts w:ascii="宋体" w:hAnsi="宋体" w:cs="等线" w:hint="eastAsia"/>
                      <w:bCs/>
                      <w:color w:val="000000"/>
                      <w:szCs w:val="21"/>
                    </w:rPr>
                  </w:pPr>
                  <w:r>
                    <w:rPr>
                      <w:rFonts w:ascii="宋体" w:hAnsi="宋体" w:cs="等线" w:hint="eastAsia"/>
                      <w:bCs/>
                      <w:color w:val="000000"/>
                      <w:szCs w:val="21"/>
                    </w:rPr>
                    <w:lastRenderedPageBreak/>
                    <w:t>(6)当采购人业务场景变化需要更换抓拍机位置时，5条车道以内由中标人提供迁移服务。</w:t>
                  </w:r>
                </w:p>
                <w:p w:rsidR="00AD5B8C" w:rsidRDefault="00AD5B8C">
                  <w:pPr>
                    <w:widowControl/>
                    <w:spacing w:line="440" w:lineRule="exact"/>
                    <w:jc w:val="left"/>
                    <w:rPr>
                      <w:rFonts w:ascii="宋体" w:hAnsi="宋体" w:cs="等线" w:hint="eastAsia"/>
                      <w:bCs/>
                      <w:color w:val="000000"/>
                      <w:szCs w:val="21"/>
                    </w:rPr>
                  </w:pPr>
                  <w:r>
                    <w:rPr>
                      <w:rFonts w:ascii="宋体" w:hAnsi="宋体" w:cs="等线" w:hint="eastAsia"/>
                      <w:bCs/>
                      <w:color w:val="000000"/>
                      <w:szCs w:val="21"/>
                    </w:rPr>
                    <w:t>(7)对辖区内部分补光灯及闪光灯安装遮光灯罩。</w:t>
                  </w:r>
                </w:p>
                <w:p w:rsidR="00AD5B8C" w:rsidRDefault="00AD5B8C">
                  <w:pPr>
                    <w:widowControl/>
                    <w:spacing w:line="440" w:lineRule="exact"/>
                    <w:jc w:val="left"/>
                    <w:rPr>
                      <w:rFonts w:ascii="宋体" w:hAnsi="宋体" w:cs="等线" w:hint="eastAsia"/>
                      <w:bCs/>
                      <w:color w:val="000000"/>
                      <w:szCs w:val="21"/>
                    </w:rPr>
                  </w:pPr>
                  <w:r>
                    <w:rPr>
                      <w:rFonts w:ascii="宋体" w:hAnsi="宋体" w:cs="等线" w:hint="eastAsia"/>
                      <w:bCs/>
                      <w:color w:val="000000"/>
                      <w:szCs w:val="21"/>
                    </w:rPr>
                    <w:t>(8)将原太阳能供电不稳定监控点位改成为市电供电方式，以确保供电的稳定性。</w:t>
                  </w:r>
                </w:p>
                <w:p w:rsidR="00AD5B8C" w:rsidRDefault="00AD5B8C">
                  <w:pPr>
                    <w:widowControl/>
                    <w:spacing w:line="440" w:lineRule="exact"/>
                    <w:jc w:val="left"/>
                    <w:rPr>
                      <w:rFonts w:ascii="宋体" w:hAnsi="宋体" w:cs="等线" w:hint="eastAsia"/>
                      <w:bCs/>
                      <w:color w:val="000000"/>
                      <w:szCs w:val="21"/>
                    </w:rPr>
                  </w:pPr>
                  <w:r>
                    <w:rPr>
                      <w:rFonts w:ascii="宋体" w:hAnsi="宋体" w:cs="等线" w:hint="eastAsia"/>
                      <w:bCs/>
                      <w:color w:val="000000"/>
                      <w:szCs w:val="21"/>
                    </w:rPr>
                    <w:t>(9)在南宁南收费站增设一台不低于400万像素32倍光学变焦红外高清球机设备，支持事件检测功能。满足监控无盲区的要求。</w:t>
                  </w:r>
                </w:p>
                <w:p w:rsidR="00AD5B8C" w:rsidRDefault="00AD5B8C">
                  <w:pPr>
                    <w:widowControl/>
                    <w:spacing w:line="440" w:lineRule="exact"/>
                    <w:jc w:val="left"/>
                    <w:rPr>
                      <w:rFonts w:ascii="宋体" w:hAnsi="宋体" w:cs="等线" w:hint="eastAsia"/>
                      <w:bCs/>
                      <w:color w:val="000000"/>
                      <w:szCs w:val="21"/>
                    </w:rPr>
                  </w:pPr>
                  <w:r>
                    <w:rPr>
                      <w:rFonts w:ascii="宋体" w:hAnsi="宋体" w:cs="等线" w:hint="eastAsia"/>
                      <w:bCs/>
                      <w:color w:val="000000"/>
                      <w:szCs w:val="21"/>
                    </w:rPr>
                    <w:t>(10)在四支队辖区钦州西收费站路口增设预警卡口设备，完善四支队卡口数据。</w:t>
                  </w:r>
                </w:p>
                <w:p w:rsidR="00AD5B8C" w:rsidRDefault="00AD5B8C">
                  <w:pPr>
                    <w:widowControl/>
                    <w:spacing w:line="440" w:lineRule="exact"/>
                    <w:jc w:val="left"/>
                    <w:rPr>
                      <w:rFonts w:ascii="宋体" w:hAnsi="宋体" w:cs="等线" w:hint="eastAsia"/>
                      <w:bCs/>
                      <w:color w:val="000000"/>
                      <w:szCs w:val="21"/>
                    </w:rPr>
                  </w:pPr>
                  <w:r>
                    <w:rPr>
                      <w:rFonts w:ascii="宋体" w:hAnsi="宋体" w:cs="等线" w:hint="eastAsia"/>
                      <w:bCs/>
                      <w:color w:val="000000"/>
                      <w:szCs w:val="21"/>
                    </w:rPr>
                    <w:t>(11)补充建设一支队辖区永福、池头卡口往南宁方向的卡口抓拍设备，满足卡口全车道覆盖的要求。</w:t>
                  </w:r>
                </w:p>
                <w:p w:rsidR="00AD5B8C" w:rsidRDefault="00AD5B8C">
                  <w:pPr>
                    <w:widowControl/>
                    <w:spacing w:line="440" w:lineRule="exact"/>
                    <w:jc w:val="left"/>
                    <w:rPr>
                      <w:rFonts w:ascii="宋体" w:hAnsi="宋体"/>
                      <w:color w:val="000000"/>
                      <w:szCs w:val="21"/>
                    </w:rPr>
                  </w:pPr>
                  <w:r>
                    <w:rPr>
                      <w:rFonts w:ascii="宋体" w:hAnsi="宋体" w:hint="eastAsia"/>
                      <w:color w:val="000000"/>
                      <w:szCs w:val="21"/>
                    </w:rPr>
                    <w:t>(12)每月巡检：每月指派技术工程师到前端卡口及指挥中心现场进行硬件设备和软件系统的预防性检查与维护，排除系统的隐患，并提供服务报告。每半年组织公司总工在现场对设备运行状态进行评估，分析相关硬件运行维护报告并对改善系统运行质量提出合理化建议。</w:t>
                  </w:r>
                </w:p>
              </w:tc>
            </w:tr>
            <w:tr w:rsidR="00AD5B8C">
              <w:trPr>
                <w:trHeight w:val="50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lastRenderedPageBreak/>
                    <w:t>3</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电力系统维护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对监控点的电力设备及电力线路进行维护</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（1）日常巡检，对容易损坏，已经老化的电力设备和电力线路进行提前更换，维修。检查UPS蓄电池组的性能指标，各个电池电压是否正常，接线端子有无氧化，线路绝缘层有无破损，有无其他安全隐患。</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（2）每个季度对机房机柜、通信站点、电子卡口、视频监控、诱导屏等信息点的电源，风扇，防雷器等基本硬件进行观察和检测，并进行维护保养。</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（3）因电力故障引起的信息点数据采集暂停，立即派外场工作人员对电力线缆进行摸排抢修。直到恢复该信息点的数据采集并能够回传至各中心。</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4）季度巡检：每个季度驱车至各个野外监控点处检查电力供应情况一次，检查线路是否有损伤或老化，接触是否良好，接线端子是否松动氧化，线路保护层，隔离防雷设备是否完好无损，及时进行保养，及时修复隐患，清除蛇鼠蚁等隐患。适当拧紧接线端子。每个季度检查一次UPS、蓄电池电压、电量，及时更换损坏的电池，检查UPS设备功能性能情况，按服务响应要求修复故障。每个季度检查一次各个监控点取电接入点和电缆敷设的路由，对管道敷设和直埋敷设的电缆进行沿线检查，检查出异常状况的必须加以保护措施，预防电路中断。</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维护与保持各个取电点的所属权属的关键人的关系，预防因各</w:t>
                  </w:r>
                  <w:r>
                    <w:rPr>
                      <w:rFonts w:ascii="宋体" w:eastAsia="宋体" w:hAnsi="宋体" w:hint="eastAsia"/>
                      <w:color w:val="000000"/>
                      <w:sz w:val="21"/>
                      <w:szCs w:val="21"/>
                    </w:rPr>
                    <w:lastRenderedPageBreak/>
                    <w:t>种特殊原因而不能接入供电。</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（5）因电力故障引起的信息点数据采集暂停，按服务响应要求派外场工作人员对电力线缆进行摸排抢修。直到恢复该信息点的数据采集并能够回传至各中心。</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（6）野外通信站点和电子卡口点、视频监控点，诱导屏等野外信息点的用电报装，电费支付。确保各信息点的供电正常。</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（7）宾阳东卡口、小平阳卡口、那容卡口、桂林西卡口、池头卡口、永福卡口、黄冕卡口需升级供电配套设施，承担升级所产生的一切费用及运维期间产生的电费。</w:t>
                  </w:r>
                </w:p>
              </w:tc>
            </w:tr>
            <w:tr w:rsidR="00AD5B8C">
              <w:trPr>
                <w:trHeight w:val="50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lastRenderedPageBreak/>
                    <w:t>4</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卡口杆件基础维护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龙门架、T型卡口杆，L型卡口杆，以及基础，通信维修井</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（1）T型杆件、L型杆件、龙门架及附属基础所导致的隐患故障，在接到故障通报后按服务响应要求派外场工作人员进行现场处置，维护维修。</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每个季度检查一次杆件、基础、地脚螺钉等有无倾斜、有无被车辆撞击或人为破坏，如有必须立即采取措施进行维修。检查户外通信箱及其基础，外表、门限等有无被车辆撞击或人为破坏，如有必须立即采取措施进行处理。检查杆件的螺丝、法兰、大样焊接点是否有生锈、开裂、腐蚀等现象，如有必须立即采取措施进行处理。</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（3）根据采购人要求对杆件的外观和标签等进行刷新保养，美观处理。保持杆件的整洁和规范。</w:t>
                  </w:r>
                </w:p>
              </w:tc>
            </w:tr>
            <w:tr w:rsidR="00AD5B8C">
              <w:trPr>
                <w:trHeight w:val="50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5</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支队分控中心维护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大屏、服务器、供电、机房综合布线等</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(1)分控中心分屏图像控制系统等日常维护管理</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(2)机房、机柜、主机环境的维护；</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(3)机房及设备的清洁工作，每季度一次，清洁范围包括空调室外机、机房环境、新风系统、设备；</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(4)日常巡检，对容易损坏，已经老化的电力设备和电力线路进行提前更换，维修。检查UPS蓄电池组的性能指标，各个电池电压是否正常，接线端子有无氧化，线路绝缘层有无破损，有无其他安全隐患。</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(5)每个季度对机房机柜、通信站点、电子卡口、视频监控、诱导屏等信息点的电源，风扇，防雷器等基本硬件进行观察和检测，并进行维护保养。</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(6)因电力故障引起的信息点数据采集暂停，立即派外场工作人员对电力线缆进行摸排抢修。直到恢复该信息点的数据采集并能够回传至各中心。</w:t>
                  </w:r>
                </w:p>
              </w:tc>
            </w:tr>
            <w:tr w:rsidR="00AD5B8C">
              <w:trPr>
                <w:trHeight w:val="50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6</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分控中心平台服务器及软件维护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全程监控系统视频及高清卡口（综合应用）平台支队分控中心软件、服务器等设备及其附带软件</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（1）视频及高清卡口（综合应用）平台</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（2）业务系统软件的安装、升级，合理性拓展，</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（3）视频和卡口综合应用数据库维护；</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（4）每天检查服务器运行情况，对操作进行补丁升级；主机病毒查杀；主机系统安全漏洞处理；</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 xml:space="preserve">（5）存储管理软件的维护和存储资源的划分； </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（6）解决主机及存储上的应用系统出现紧急问题，如性能问题，死机，异常等问题；</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（7）对存储网络性能状态的监控和技术支持；</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（8）每天检查存储设备的运行情况，监测存储系统的运行状态，</w:t>
                  </w:r>
                  <w:r>
                    <w:rPr>
                      <w:rFonts w:ascii="宋体" w:eastAsia="宋体" w:hAnsi="宋体" w:hint="eastAsia"/>
                      <w:color w:val="000000"/>
                      <w:sz w:val="21"/>
                      <w:szCs w:val="21"/>
                    </w:rPr>
                    <w:lastRenderedPageBreak/>
                    <w:t>确保数据存储正常。</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（9）技术培训:提供满足用户需求的设备日常操作、简单的维护和错误处理等等的出具体的培训方案。</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（10）建立相应的备件库、确保设备一旦出现故障导致系统不能正常运行，及时更换，保证系统正常运行。</w:t>
                  </w:r>
                </w:p>
              </w:tc>
            </w:tr>
            <w:tr w:rsidR="00AD5B8C">
              <w:trPr>
                <w:trHeight w:val="50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lastRenderedPageBreak/>
                    <w:t>7</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各支队研判室及机房维护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大屏、空调、机柜、综合布线等</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(1)研判室分屏图像控制系统等日常维护管理</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(2)机房、机柜、主机环境的维护；</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(3)机房及设备的清洁工作，每季度一次，清洁范围包括空调室外机、机房环境、新风系统、设备；</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(4)日常巡检，对容易损坏，已经老化的电力设备和电力线路进行提前更换，维修。检查UPS蓄电池组的性能指标，各个电池电压是否正常，接线端子有无氧化，线路绝缘层有无破损，有无其他安全隐患。</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(5)每个季度对机房机柜、通信站点、电子卡口、视频监控、诱导屏等信息点的电源，风扇，防雷器等基本硬件进行观察和检测，并进行维护保养。</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因电力故障引起的信息点数据采集暂停，立即派外场工作人员对电力线缆进行摸排抢修。直到恢复该信息点的数据采集并能够回传至各中心。</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（6）高速公路管理四支队中继机房需迁移至新办公地址，承担迁移所产生的一切费用。</w:t>
                  </w:r>
                </w:p>
              </w:tc>
            </w:tr>
            <w:tr w:rsidR="00AD5B8C">
              <w:trPr>
                <w:trHeight w:val="50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8</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支队光传输系统平台维护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支队光传输系统总平台运维管理</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（1）每天登录光传输网管系统，对设备在线情况进行检查，并做好详实记录，确保网络通信传输畅通。对运行关键业务的主要设备配备相应的备份设备，定期对备份设备通电检查。</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（2）每天登录光传输网管系统对各个监控点野外通信站状态进行主动巡检。发现故障立即通知外场维护人员到场维修。</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（3）当监控平台出现业务数据中断的时候，通过光传输网管系统远程核查通信节点状态，对业务中断的故障进行判断和定位，立即通知相关责任方派单维修，并配合技术人员进行联调联试，直至业务恢复正常。</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（4）每个季度统计接入网络的设备运行情况，对用户的网络使用需求变更作出及时响应。及时处理软硬件故障，发现故障后立即上报客户并组织维护团队尽快排除故障。</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（5）运维报告：编制运维分析月报；编制运维分析年报；</w:t>
                  </w:r>
                </w:p>
              </w:tc>
            </w:tr>
            <w:tr w:rsidR="00AD5B8C">
              <w:trPr>
                <w:trHeight w:val="4595"/>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lastRenderedPageBreak/>
                    <w:t>9</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光传输系统外场设备维护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野外通信站点运维管理</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合理安排网络需求，如带宽、IP地址等限制。对网络性能进行检测，包括网络的连通性、稳定性及带宽的利用率等；实时检测所有可能影响监控网络因素。对异常情况，进行核查，并进行相关的处理。根据用户需要及时进行监控网络的规划、优化。</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每个季度查野外监控点MSTP设备功能性能指标，及时清除设备上的蚁窝、蜘蛛网等杂物。按服务响应要求修复或更换有故障隐患的设备。对容易老化的监控设备部件进行全面检查，一旦发现老化现象应按服务响应要求保养、更换。</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检查户外通信箱中光跳纤是否完好，检查光纤接线盒法兰盘等是否保持洁净完好，及时清除法兰中的灰尘。检查以太网防雷器、电源防雷器等功能是否正常。适当插拔设备光纤接头、适当拧紧各个接线端子等，清除接线端子处的氧化物和除尘清洁处理。</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（4）接到故障报告按服务响应要求派外场工作人员前往维修，在服务响应要求时间内排除通信站点的故障，恢复正常通信。</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（5）运维报告：编制运维分析月报；编制运维分析年报；</w:t>
                  </w:r>
                </w:p>
              </w:tc>
            </w:tr>
            <w:tr w:rsidR="00AD5B8C">
              <w:trPr>
                <w:trHeight w:val="50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10</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通信管道及光缆维护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骨干光缆，支线光缆的维护保养，抗损抢通。</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每个季度对680公里的主干72/36芯光缆进行检测，及时发现处理隐患，排除故障，并进行保养。对光缆衰减、损耗等技术指标进行测量并记录。平均损耗必须低于国际电信联盟（ITU）电信标准【G.657（12/2006）】的要求，找出光缆损耗点，并将其修复，保证整条光缆纤芯的平均损耗达标。</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每个季度对32公里的监控点支线16/8芯光缆进行检查，及时发现、处理隐患并进行维护保养，并对光缆衰减、损耗等技术指标进行测量并记录。找出光缆损耗点，并将其修复，保证整条光缆纤芯的平均损耗达标。</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（3）对坍塌的光缆管道进行疏通加固，防鼠防虫处理，确保线路管道或者架空、直埋路由的通畅，对断损的光缆进行熔接修复，保持通信线路稳定。</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（4）在高速公路改扩建施工期内需要对干线及支线光缆做好防护措施，以免通信传输受到改扩建施工的影响。</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（5）运维报告：编制运维分析月报；编制运维分析年报；</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（6）完善桂林西卡口网络通信设施及承担运维期间产生的网络租赁费用。</w:t>
                  </w:r>
                </w:p>
              </w:tc>
            </w:tr>
            <w:tr w:rsidR="00AD5B8C">
              <w:trPr>
                <w:trHeight w:val="50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11</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网络及网络安全维护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路由器、交换机等网络设备及其附带软件</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（1）信息网络整体架构配置规划、调整、升级；</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（2）新增设备网络参数规划、入网；</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（3）架构变动时的设备迁移；</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（4）建立相应的备件库、确保设备一旦出现故障导致系统不能正常运行，及时更换，保证系统正常运行。</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（5）技术培训:提供满足用户需求的设备日常操作、简单的维护和错误处理等等具体的培训方案。</w:t>
                  </w:r>
                </w:p>
              </w:tc>
            </w:tr>
            <w:tr w:rsidR="00AD5B8C">
              <w:trPr>
                <w:trHeight w:val="3710"/>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lastRenderedPageBreak/>
                    <w:t>12</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支队光传输系统平台维护</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支队光传输系统总平台运维管理</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（1）每天登录光传输网管系统，对设备在线情况进行检查，并做好详实记录，确保网络通信传输畅通。对运行关键业务的主要设备配备相应的备份设备，定期对备份设备通电检查。</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（2）每天登录光传输网管系统对各个监控点野外通信站状态进行主动巡检。发现故障立即通知外场维护人员到场维修。</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（3）当监控平台出现业务数据中断的时候，通过光传输网管系统远程核查通信节点状态，对业务中断的故障进行判断和定位，立即通知相关责任方派单维修，并配合技术人员进行联调联试，直至业务恢复正常。</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（4）每个季度计接入网络的设备运行情况，对用户的网络使用需求变更作出及时响应。及时处理软硬件故障，发现故障后立即上报客户并组织维护团队尽快排除故障。</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（5）运维报告：编制运维分析月报；编制运维分析年报。</w:t>
                  </w:r>
                </w:p>
              </w:tc>
            </w:tr>
            <w:tr w:rsidR="00AD5B8C">
              <w:trPr>
                <w:trHeight w:val="50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13</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新产品测试服务</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新设备和新系统的测试。</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（1）为配合采购人持续改进和优化监控系统，进行新产品和新系统的应用测试，中标人要提供技术服务，为新设备，新系统的测试提供网络接入，保障其测试期间的数据传输。</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（2）实地踏勘，方案设计，技术实施。</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（3）设备安装调试，电力安装调试，网络安装调试，系统联调联试。</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（4）根据采购人的实际需求，人工费，车辆费，过路费，传输设备，辅材，由中标人承担。</w:t>
                  </w:r>
                </w:p>
              </w:tc>
            </w:tr>
            <w:tr w:rsidR="00AD5B8C">
              <w:trPr>
                <w:trHeight w:val="3533"/>
                <w:jc w:val="center"/>
              </w:trPr>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14</w:t>
                  </w:r>
                </w:p>
              </w:tc>
              <w:tc>
                <w:tcPr>
                  <w:tcW w:w="1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系统设备意外受损运维管理</w:t>
                  </w:r>
                </w:p>
              </w:tc>
              <w:tc>
                <w:tcPr>
                  <w:tcW w:w="1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先行恢复服务</w:t>
                  </w:r>
                </w:p>
              </w:tc>
              <w:tc>
                <w:tcPr>
                  <w:tcW w:w="5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（1）外场设备部署于高速公路沿线，都是野外安装环境，立杆安装在路中央隔离带，光缆电缆敷设于中央隔离带管道之内。</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（2）当交通事故、人为破坏、偷盗等引起系统硬件或线路受损造成系统运行不正常时，首先采取措施及时恢复系统的正常运行。</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采购人及时开据授权书，协助调查取证，报案，协调，由中标人代表采购人对责任肇事方追讨损失赔偿事宜，所得赔偿款由中标人支配。</w:t>
                  </w:r>
                </w:p>
              </w:tc>
            </w:tr>
          </w:tbl>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2.3 运维备件要求</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本次项目的运维备件由中标人提供，备件费用及保存由中标人自行承担，中标后由采购人安排人员对备件情况进行检查。运维过程中如发生设备损坏情况，应及时从备件库中取用，使用后应及时补充备件数量。</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所提供的备件或更换的设备参数不能低于原项目的参数要求，并保证更换的设备能接原有系统正常使用。</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备件或更换的设备费用已经包含在本次运维服务费中，不再另行支付。</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主要备品备件有抓拍机20台、补光灯20台、闪光灯20台、球机10台、终端服务器10台、拼接屏</w:t>
            </w:r>
            <w:r>
              <w:rPr>
                <w:rFonts w:ascii="宋体" w:hAnsi="宋体" w:cs="Arial" w:hint="eastAsia"/>
                <w:color w:val="000000"/>
                <w:szCs w:val="21"/>
              </w:rPr>
              <w:lastRenderedPageBreak/>
              <w:t>3块、光端机20台、光模块60块、光缆5000米、电缆2000米，其他备件由中标人根据项目情况优化提供。</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2.4 服务交付要求</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(一)按照《广西壮族自治区公安厅厅机关政府采购项目履约验收管理办法》、双方合同、投标文件验收。</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二)若在签署最终验收文件后12周内，由于中标人的原因，该项目有一条及以上达不到本项目招标文件规定的技术及服务要求时，中标人应在4周内采取有效措施，使该项目完全达到规定的技术及服务要求，在此期间的一切费用由中标人承担，如在此期间内仍达不到规定的技术性及服务要求时，将按合同中相应条款执行。</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（三）按服务指标要求需要达到以下服务成果：</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1）日常维护：完成日志备份、异常进程处理、定期重启等日常维护操作，每年提供不少于4次维护报告；</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2）解决方案：定期分析异常、告警信息，找到问题根源，形成解决方案，每年提供不少于4次分析工作。</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3）日常巡检：按照巡检方案定期开展设备与系统巡检，每天不少于1次。</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4）特巡特维：重大活动、会议、工作检查等特殊时期按采购人要求执行特别巡视和维护。</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5）高速公路户外监控设备维护：每日巡检，对监控系统及设备的运行情况进行监控，分析运行情况，及时发现并排除故障，要求抓拍机和视频监控在线率达到95%以上，</w:t>
            </w:r>
            <w:r>
              <w:rPr>
                <w:rFonts w:ascii="宋体" w:hAnsi="宋体" w:cs="等线" w:hint="eastAsia"/>
                <w:bCs/>
                <w:color w:val="000000"/>
                <w:szCs w:val="21"/>
              </w:rPr>
              <w:t>因不可抗力导致的除外</w:t>
            </w:r>
            <w:r>
              <w:rPr>
                <w:rFonts w:ascii="宋体" w:hAnsi="宋体" w:cs="Arial" w:hint="eastAsia"/>
                <w:color w:val="000000"/>
                <w:szCs w:val="21"/>
              </w:rPr>
              <w:t>。</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6）每天登录光传输网管系统，对设备运行况进行检查，并做好详实记录。按月份及年终编制运维分析年报。对光传输及电力系统进行检查时就做好记录，并按月份及年度编制运维分析月报及年报。</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7）除不可抗力外网络设备故障修复不得超过24小时，光路故障修复不得超过48小时。</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8）除不可抗力外电力设备故障修复不得超过24小时，电路故障修复不得超过48小时（对道路改扩建点位不做规定）。</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9）性能优化：开展性能诊断分析，每年不少于2次</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10）培训：每年提供不少于4次的技术培训。</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2.5 服务人员要求</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2.5.1 人员数量及资质</w:t>
            </w:r>
          </w:p>
          <w:tbl>
            <w:tblPr>
              <w:tblW w:w="90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698"/>
              <w:gridCol w:w="747"/>
              <w:gridCol w:w="5311"/>
              <w:gridCol w:w="816"/>
              <w:gridCol w:w="1503"/>
            </w:tblGrid>
            <w:tr w:rsidR="00AD5B8C">
              <w:trPr>
                <w:jc w:val="center"/>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岗位名称</w:t>
                  </w:r>
                </w:p>
              </w:tc>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数量（人）</w:t>
                  </w:r>
                </w:p>
              </w:tc>
              <w:tc>
                <w:tcPr>
                  <w:tcW w:w="543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人员资质、工作经验、工作要求</w:t>
                  </w:r>
                </w:p>
              </w:tc>
              <w:tc>
                <w:tcPr>
                  <w:tcW w:w="829"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是否驻场</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c"/>
                    <w:rPr>
                      <w:rFonts w:ascii="宋体" w:eastAsia="宋体" w:hAnsi="宋体"/>
                      <w:color w:val="000000"/>
                      <w:sz w:val="21"/>
                      <w:szCs w:val="21"/>
                    </w:rPr>
                  </w:pPr>
                  <w:r>
                    <w:rPr>
                      <w:rFonts w:ascii="宋体" w:eastAsia="宋体" w:hAnsi="宋体" w:hint="eastAsia"/>
                      <w:color w:val="000000"/>
                      <w:sz w:val="21"/>
                      <w:szCs w:val="21"/>
                    </w:rPr>
                    <w:t>工作时间</w:t>
                  </w:r>
                </w:p>
              </w:tc>
            </w:tr>
            <w:tr w:rsidR="00AD5B8C">
              <w:trPr>
                <w:jc w:val="center"/>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项目</w:t>
                  </w:r>
                  <w:r>
                    <w:rPr>
                      <w:rFonts w:ascii="宋体" w:eastAsia="宋体" w:hAnsi="宋体" w:hint="eastAsia"/>
                      <w:color w:val="000000"/>
                      <w:sz w:val="21"/>
                      <w:szCs w:val="21"/>
                    </w:rPr>
                    <w:lastRenderedPageBreak/>
                    <w:t>经理</w:t>
                  </w:r>
                </w:p>
              </w:tc>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lastRenderedPageBreak/>
                    <w:t>1</w:t>
                  </w:r>
                </w:p>
              </w:tc>
              <w:tc>
                <w:tcPr>
                  <w:tcW w:w="543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1、学历及工作年限要求：要求大学本科以上计算机、通</w:t>
                  </w:r>
                  <w:r>
                    <w:rPr>
                      <w:rFonts w:ascii="宋体" w:eastAsia="宋体" w:hAnsi="宋体" w:hint="eastAsia"/>
                      <w:color w:val="000000"/>
                      <w:sz w:val="21"/>
                      <w:szCs w:val="21"/>
                    </w:rPr>
                    <w:lastRenderedPageBreak/>
                    <w:t>信、电子类专业学历或同等学历，工作经验要求3年以上。</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2、认证要求：要求为信息系统集成及服务项目经理同级别或以上认证（投标文件中请提供证书复印件）。</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3、工作经验要求：要求熟悉服务器、光传输、网络、网络安全、存储、路由器、交换机等；有视频监控平台及网络管理维护经验。</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工作职责：按用户需求提供项目管理，制定详细维护计划，对驻场工程师、驻场值班人员、外场维修施工人员的工作进行统筹管理和督导。</w:t>
                  </w:r>
                </w:p>
              </w:tc>
              <w:tc>
                <w:tcPr>
                  <w:tcW w:w="829"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lastRenderedPageBreak/>
                    <w:t>否</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rsidR="00AD5B8C" w:rsidRDefault="00AD5B8C">
                  <w:pPr>
                    <w:pStyle w:val="afd"/>
                    <w:rPr>
                      <w:rFonts w:ascii="宋体" w:eastAsia="宋体" w:hAnsi="宋体"/>
                      <w:color w:val="000000"/>
                      <w:sz w:val="21"/>
                      <w:szCs w:val="21"/>
                    </w:rPr>
                  </w:pPr>
                </w:p>
              </w:tc>
            </w:tr>
            <w:tr w:rsidR="00AD5B8C">
              <w:trPr>
                <w:jc w:val="center"/>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lastRenderedPageBreak/>
                    <w:t>驻场维护工程师</w:t>
                  </w:r>
                </w:p>
              </w:tc>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3</w:t>
                  </w:r>
                </w:p>
              </w:tc>
              <w:tc>
                <w:tcPr>
                  <w:tcW w:w="543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1、学历及工作年限要求：要求大学本科以上计算机、通信、电子类专业学历或同等学历，工作经验要求2年以上。</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2、工作经验要求：要求熟悉服务器、光传输设备、网络设备、网络安全设备、电力设备、存储、路由器、交换机等；有视频监控平台及网络管理维护经验。</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3、工作要求：熟练掌握及运用支队综合应用业务平台相关的软件及硬件，熟悉系统光缆线路、电力线路、支队机房、支队平台，对指挥中心软硬件系统等能够熟练操作、配置，并进行日常维护管理以及必要的性能；对高清卡口前端、视频监控、网络通信设备、分控中心系统、指挥中心系统集成平台相关的软件及硬件进行日巡检；对故障进行派单维修，并配合前端维修人员进行联调联试，恢复故障；驻场维保工程师必须在采购人处上班并参与日常考勤、接受采购人的日常管理和派遣。调优等。</w:t>
                  </w:r>
                </w:p>
              </w:tc>
              <w:tc>
                <w:tcPr>
                  <w:tcW w:w="829"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是</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5×8小时驻场，按采购人工作时间要求到岗；加入24小时备勤</w:t>
                  </w:r>
                </w:p>
              </w:tc>
            </w:tr>
            <w:tr w:rsidR="00AD5B8C">
              <w:trPr>
                <w:jc w:val="center"/>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高速公路机电维护技术员</w:t>
                  </w:r>
                </w:p>
              </w:tc>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22</w:t>
                  </w:r>
                </w:p>
              </w:tc>
              <w:tc>
                <w:tcPr>
                  <w:tcW w:w="543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1、学历及资质要求：大学专科以上学历，具有电工证。</w:t>
                  </w:r>
                </w:p>
                <w:p w:rsidR="00AD5B8C" w:rsidRDefault="00AD5B8C">
                  <w:pPr>
                    <w:pStyle w:val="afd"/>
                    <w:rPr>
                      <w:rFonts w:ascii="宋体" w:eastAsia="宋体" w:hAnsi="宋体" w:hint="eastAsia"/>
                      <w:color w:val="000000"/>
                      <w:sz w:val="21"/>
                      <w:szCs w:val="21"/>
                    </w:rPr>
                  </w:pPr>
                  <w:r>
                    <w:rPr>
                      <w:rFonts w:ascii="宋体" w:eastAsia="宋体" w:hAnsi="宋体" w:hint="eastAsia"/>
                      <w:color w:val="000000"/>
                      <w:sz w:val="21"/>
                      <w:szCs w:val="21"/>
                    </w:rPr>
                    <w:t>2、工作经验要求：2年机电安防类的维修维护经验。</w:t>
                  </w:r>
                </w:p>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3、工作要求：当高速公路沿途的抓拍卡口、视频监控、光传输设备、光缆、电力设备、电缆、无线网络设备发生故障后，快速达到故障所在地点进行抢修；及时高效的配合驻场维护工程师进行系统故障判断和恢复调试；定期在外场对监控系统的前端设备进行巡检维护。</w:t>
                  </w:r>
                </w:p>
              </w:tc>
              <w:tc>
                <w:tcPr>
                  <w:tcW w:w="829"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jc w:val="center"/>
                    <w:rPr>
                      <w:rFonts w:ascii="宋体" w:eastAsia="宋体" w:hAnsi="宋体"/>
                      <w:color w:val="000000"/>
                      <w:sz w:val="21"/>
                      <w:szCs w:val="21"/>
                    </w:rPr>
                  </w:pPr>
                  <w:r>
                    <w:rPr>
                      <w:rFonts w:ascii="宋体" w:eastAsia="宋体" w:hAnsi="宋体" w:hint="eastAsia"/>
                      <w:color w:val="000000"/>
                      <w:sz w:val="21"/>
                      <w:szCs w:val="21"/>
                    </w:rPr>
                    <w:t>否</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AD5B8C" w:rsidRDefault="00AD5B8C">
                  <w:pPr>
                    <w:pStyle w:val="afd"/>
                    <w:rPr>
                      <w:rFonts w:ascii="宋体" w:eastAsia="宋体" w:hAnsi="宋体"/>
                      <w:color w:val="000000"/>
                      <w:sz w:val="21"/>
                      <w:szCs w:val="21"/>
                    </w:rPr>
                  </w:pPr>
                  <w:r>
                    <w:rPr>
                      <w:rFonts w:ascii="宋体" w:eastAsia="宋体" w:hAnsi="宋体" w:hint="eastAsia"/>
                      <w:color w:val="000000"/>
                      <w:sz w:val="21"/>
                      <w:szCs w:val="21"/>
                    </w:rPr>
                    <w:t>7×24小时，根据故障排查、故障维修、巡检要求到岗</w:t>
                  </w:r>
                </w:p>
              </w:tc>
            </w:tr>
          </w:tbl>
          <w:p w:rsidR="00AD5B8C" w:rsidRDefault="00AD5B8C">
            <w:pPr>
              <w:pStyle w:val="a9"/>
              <w:spacing w:line="360" w:lineRule="auto"/>
              <w:rPr>
                <w:rFonts w:ascii="宋体" w:hAnsi="宋体" w:cs="Arial" w:hint="eastAsia"/>
                <w:color w:val="000000"/>
                <w:szCs w:val="21"/>
              </w:rPr>
            </w:pP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2.5.2 人员管理</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1）参加人员保密培训、签订保密协议、定期配合进行保密检查等。</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2）对于不满足采购人要求的运维人员，采购人有权要求中标人无条件更换人员，且不能影响项目进度。</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3）中标人运维人员如无法履行岗位职责，经采购人监理审核认定需要更换人员的，须提前一周向采购人提出申请，经采购人确认备档后，中标人方可换人，并确保运维工作的稳定交接。若更换人员3次后仍不合格的，视为中标人违约，采购人可依法解除合同，并追究其法律责任。</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4）在维保服务期间，中标人驻场运维人员因离职需要更换人员的，须提前一个月向采购人提出申请，</w:t>
            </w:r>
            <w:r>
              <w:rPr>
                <w:rFonts w:ascii="宋体" w:hAnsi="宋体" w:cs="Arial" w:hint="eastAsia"/>
                <w:color w:val="000000"/>
                <w:szCs w:val="21"/>
              </w:rPr>
              <w:lastRenderedPageBreak/>
              <w:t>经采购人确认备档后，中标人方可换人，并确保运维工作的稳定交接。若更换人员3次后仍不合格的，视为中标人违约，采购人可依法解除合同，并追究其法律责任。</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5）中标人运维人员须按照采购人管理要求规范着装、佩戴工作证，所需费用由中标人自行承担。</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6）根据采购人需要，中标人运维人员需服从运维中心工作安排和调整，而不仅限于本项目所属系统运维工作。</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2.5.3 人员考核</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中标人驻场人员须服从采购人月度考核，递交每月工作总结至采购人，采购人结合该岗位制定的考核标准对各岗位进行评定，对个人工作进行考核。各维护岗位以职位划分，职位不同，考核内容也不同。考核以四个档次为标准，分为优秀、良好、合格、不合格。</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工作考核评价标准：</w:t>
            </w:r>
          </w:p>
          <w:p w:rsidR="00AD5B8C" w:rsidRDefault="00AD5B8C">
            <w:pPr>
              <w:pStyle w:val="a9"/>
              <w:spacing w:line="360" w:lineRule="auto"/>
              <w:rPr>
                <w:rFonts w:ascii="宋体" w:hAnsi="宋体" w:cs="Arial" w:hint="eastAsia"/>
                <w:color w:val="000000"/>
                <w:szCs w:val="21"/>
              </w:rPr>
            </w:pPr>
            <w:r>
              <w:rPr>
                <w:rFonts w:ascii="宋体" w:hAnsi="宋体" w:cs="宋体" w:hint="eastAsia"/>
                <w:color w:val="000000"/>
                <w:szCs w:val="21"/>
              </w:rPr>
              <w:t></w:t>
            </w:r>
            <w:r>
              <w:rPr>
                <w:rFonts w:ascii="宋体" w:hAnsi="宋体" w:cs="Arial" w:hint="eastAsia"/>
                <w:color w:val="000000"/>
                <w:szCs w:val="21"/>
              </w:rPr>
              <w:tab/>
              <w:t>达到岗位要求并在本岗位做出突出成绩的为优秀；</w:t>
            </w:r>
          </w:p>
          <w:p w:rsidR="00AD5B8C" w:rsidRDefault="00AD5B8C">
            <w:pPr>
              <w:pStyle w:val="a9"/>
              <w:spacing w:line="360" w:lineRule="auto"/>
              <w:rPr>
                <w:rFonts w:ascii="宋体" w:hAnsi="宋体" w:cs="Arial" w:hint="eastAsia"/>
                <w:color w:val="000000"/>
                <w:szCs w:val="21"/>
              </w:rPr>
            </w:pPr>
            <w:r>
              <w:rPr>
                <w:rFonts w:ascii="宋体" w:hAnsi="宋体" w:cs="宋体" w:hint="eastAsia"/>
                <w:color w:val="000000"/>
                <w:szCs w:val="21"/>
              </w:rPr>
              <w:t></w:t>
            </w:r>
            <w:r>
              <w:rPr>
                <w:rFonts w:ascii="宋体" w:hAnsi="宋体" w:cs="Arial" w:hint="eastAsia"/>
                <w:color w:val="000000"/>
                <w:szCs w:val="21"/>
              </w:rPr>
              <w:tab/>
              <w:t>达到岗位要求并按时优质完成任务的为良好；</w:t>
            </w:r>
          </w:p>
          <w:p w:rsidR="00AD5B8C" w:rsidRDefault="00AD5B8C">
            <w:pPr>
              <w:pStyle w:val="a9"/>
              <w:spacing w:line="360" w:lineRule="auto"/>
              <w:rPr>
                <w:rFonts w:ascii="宋体" w:hAnsi="宋体" w:cs="Arial" w:hint="eastAsia"/>
                <w:color w:val="000000"/>
                <w:szCs w:val="21"/>
              </w:rPr>
            </w:pPr>
            <w:r>
              <w:rPr>
                <w:rFonts w:ascii="宋体" w:hAnsi="宋体" w:cs="宋体" w:hint="eastAsia"/>
                <w:color w:val="000000"/>
                <w:szCs w:val="21"/>
              </w:rPr>
              <w:t></w:t>
            </w:r>
            <w:r>
              <w:rPr>
                <w:rFonts w:ascii="宋体" w:hAnsi="宋体" w:cs="Arial" w:hint="eastAsia"/>
                <w:color w:val="000000"/>
                <w:szCs w:val="21"/>
              </w:rPr>
              <w:tab/>
              <w:t>基本达到岗位要求并在帮助下按时完成任务的为合格；</w:t>
            </w:r>
          </w:p>
          <w:p w:rsidR="00AD5B8C" w:rsidRDefault="00AD5B8C">
            <w:pPr>
              <w:pStyle w:val="a9"/>
              <w:spacing w:line="360" w:lineRule="auto"/>
              <w:rPr>
                <w:rFonts w:ascii="宋体" w:hAnsi="宋体" w:cs="Arial" w:hint="eastAsia"/>
                <w:color w:val="000000"/>
                <w:szCs w:val="21"/>
              </w:rPr>
            </w:pPr>
            <w:r>
              <w:rPr>
                <w:rFonts w:ascii="宋体" w:hAnsi="宋体" w:cs="宋体" w:hint="eastAsia"/>
                <w:color w:val="000000"/>
                <w:szCs w:val="21"/>
              </w:rPr>
              <w:t></w:t>
            </w:r>
            <w:r>
              <w:rPr>
                <w:rFonts w:ascii="宋体" w:hAnsi="宋体" w:cs="Arial" w:hint="eastAsia"/>
                <w:color w:val="000000"/>
                <w:szCs w:val="21"/>
              </w:rPr>
              <w:tab/>
              <w:t>未达到岗位要求且在帮助下也未能完成任务的为不合格；</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年度运维工作结束后，运维中心将通过运维工作总结会对年度运维工作表现良好的人员进行表彰奖励。</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2.6 人员培训要求</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每年提供不少于4次的技术培训，具体要求如下：</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(1)协助采购人编制培训计划；</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(2)编制培训课件；</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(3)协助采购人搭建培训环境；</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(4)开展技术培训；</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(5)协助知识库维护。</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2.7 服务响应要求</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(一)中标人须提供7×24小时技术支持服务。</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(二)项目维护响应：</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1）提供日常维护报告不少于4次；</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2）提供解决方案不少于4次；</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3）日常巡检每天不少于1次。</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lastRenderedPageBreak/>
              <w:t>4）重大活动、会议、工作检查等特殊时期按采购人要求执行特别巡视和维护。</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5）每日巡检，抓拍机和视频监控在线率达到95%以上。</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6）性能诊断分析，不少于2次</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7）提供不少于4次的技术培训。</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(三)接到故障通知，服务人员按照三种现场处理级别进行响应处理：</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1级：严重问题</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现象：一级核心系统设备不能启动或启动后不可操作。</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处理方式：立即响应，15分钟内到达现场。1小时内采取相应解决方案直至系统可以运行或降至2-3级别的问题。</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2级：关键问题</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现象：</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（1）一级核心系统设备可以启动，但出现错误，其关键业务可以运行。</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（2）二级重要系统设备不能启动或启动后不可操作。</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内场处理方式：立即响应，30分钟内到达现场，4小时内采取相应解决方案直至系统可以运行或降至3级别的问题。</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外场处理方式：立即响应，12小时内到达现场，24小时内采取相应解决方案直至系统可以运行或降至3级别的问题。</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3级：普通问题</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现象：</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（1）系统基本正常，出现非致命性错误，业务基本不受影响。</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（2）三级次要系统设备不能启动或启动后不可操作。</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内场处理方式：立即响应，12小时内到达外场，24小时内采取相应解决方案直至系统正常；非工作日，由采购人决定服务人员是否到场。</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外场处理方式：立即响应，24小时内到达外场，48小时内采取相应解决方案直至系统正常；非工作日，由采购人决定服务人员是否到场。</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2.8 考核标准</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1）运维服务每6个月作为一个考核周期。每一个考核周期独立计分，满分为100分。考核分数将折算作为年度供应商评价结果。</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2）上一考核周期结束后，考核基准分重置为100分，进入下一考核周期。</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lastRenderedPageBreak/>
              <w:t>3）依据表1所列各项考核指标要求，在每个考核周期后的5个工作日内完成对中标人运维服务质量考核评价，并在3个工作日内经供需双方对考核得分结果进行签字确认。</w:t>
            </w:r>
          </w:p>
          <w:p w:rsidR="00AD5B8C" w:rsidRDefault="00AD5B8C">
            <w:pPr>
              <w:pStyle w:val="a9"/>
              <w:spacing w:line="360" w:lineRule="auto"/>
              <w:rPr>
                <w:rFonts w:ascii="宋体" w:hAnsi="宋体" w:cs="Arial" w:hint="eastAsia"/>
                <w:color w:val="000000"/>
                <w:szCs w:val="21"/>
              </w:rPr>
            </w:pPr>
            <w:r>
              <w:rPr>
                <w:rFonts w:ascii="宋体" w:hAnsi="宋体" w:cs="Arial" w:hint="eastAsia"/>
                <w:b/>
                <w:color w:val="000000"/>
                <w:szCs w:val="21"/>
              </w:rPr>
              <w:t>注：表1详见</w:t>
            </w:r>
            <w:bookmarkStart w:id="2" w:name="OLE_LINK4"/>
            <w:bookmarkStart w:id="3" w:name="OLE_LINK3"/>
            <w:r>
              <w:rPr>
                <w:rFonts w:ascii="宋体" w:hAnsi="宋体" w:cs="Arial" w:hint="eastAsia"/>
                <w:b/>
                <w:color w:val="000000"/>
                <w:szCs w:val="21"/>
              </w:rPr>
              <w:t>附件1</w:t>
            </w:r>
            <w:bookmarkEnd w:id="2"/>
            <w:bookmarkEnd w:id="3"/>
            <w:r>
              <w:rPr>
                <w:rFonts w:ascii="宋体" w:hAnsi="宋体" w:cs="Arial" w:hint="eastAsia"/>
                <w:b/>
                <w:color w:val="000000"/>
                <w:szCs w:val="21"/>
              </w:rPr>
              <w:t>“表1、运维服务质量评价表”</w:t>
            </w:r>
            <w:r>
              <w:rPr>
                <w:rFonts w:ascii="宋体" w:hAnsi="宋体" w:cs="Arial" w:hint="eastAsia"/>
                <w:color w:val="000000"/>
                <w:szCs w:val="21"/>
              </w:rPr>
              <w:t>。</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2.9 考核应用</w:t>
            </w:r>
          </w:p>
          <w:p w:rsidR="00AD5B8C" w:rsidRDefault="00AD5B8C">
            <w:pPr>
              <w:pStyle w:val="a9"/>
              <w:spacing w:line="360" w:lineRule="auto"/>
              <w:rPr>
                <w:rFonts w:ascii="宋体" w:hAnsi="宋体" w:cs="仿宋_GB2312" w:hint="eastAsia"/>
                <w:color w:val="000000"/>
                <w:szCs w:val="21"/>
              </w:rPr>
            </w:pPr>
            <w:r>
              <w:rPr>
                <w:rFonts w:ascii="宋体" w:hAnsi="宋体" w:cs="仿宋_GB2312" w:hint="eastAsia"/>
                <w:color w:val="000000"/>
                <w:szCs w:val="21"/>
              </w:rPr>
              <w:t>本项目运维期为两年，每年运维费用为合同金额的50%，签订合同并具备服务能力后提请准备工作验收，准备工作验收通过后支付每年运维费用30%预付款，当年剩余金额按考核周期（每年分2个考核周期，每个考核周期为6个月）进行考核及付款。每期考核结束后10个工作日内向</w:t>
            </w:r>
            <w:r>
              <w:rPr>
                <w:rFonts w:ascii="宋体" w:hAnsi="宋体" w:cs="Arial" w:hint="eastAsia"/>
                <w:color w:val="000000"/>
                <w:szCs w:val="21"/>
              </w:rPr>
              <w:t>中标人</w:t>
            </w:r>
            <w:r>
              <w:rPr>
                <w:rFonts w:ascii="宋体" w:hAnsi="宋体" w:cs="仿宋_GB2312" w:hint="eastAsia"/>
                <w:color w:val="000000"/>
                <w:szCs w:val="21"/>
              </w:rPr>
              <w:t>支付，每期付款金额为每年运维费用的35%减掉当期扣款金额。第二年开始支付每年运维费用30%预付款，当年剩余金额按考核周期进行考核及付款。每期考核结束后10个工作日内向</w:t>
            </w:r>
            <w:r>
              <w:rPr>
                <w:rFonts w:ascii="宋体" w:hAnsi="宋体" w:cs="Arial" w:hint="eastAsia"/>
                <w:color w:val="000000"/>
                <w:szCs w:val="21"/>
              </w:rPr>
              <w:t>中标人</w:t>
            </w:r>
            <w:r>
              <w:rPr>
                <w:rFonts w:ascii="宋体" w:hAnsi="宋体" w:cs="仿宋_GB2312" w:hint="eastAsia"/>
                <w:color w:val="000000"/>
                <w:szCs w:val="21"/>
              </w:rPr>
              <w:t>支付，每期付款金额为每年运维费用的35%减掉当期扣款金额。</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具体约定如下：</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1）每个考核周期扣减金额独立计算，均以合同总价的35%作为扣减基准。</w:t>
            </w:r>
          </w:p>
          <w:p w:rsidR="00AD5B8C" w:rsidRDefault="00AD5B8C">
            <w:pPr>
              <w:pStyle w:val="a9"/>
              <w:spacing w:line="360" w:lineRule="auto"/>
              <w:rPr>
                <w:rFonts w:ascii="宋体" w:hAnsi="宋体" w:cs="Arial" w:hint="eastAsia"/>
                <w:color w:val="000000"/>
                <w:szCs w:val="21"/>
              </w:rPr>
            </w:pPr>
            <w:r>
              <w:rPr>
                <w:rFonts w:ascii="宋体" w:hAnsi="宋体" w:cs="Arial" w:hint="eastAsia"/>
                <w:color w:val="000000"/>
                <w:szCs w:val="21"/>
              </w:rPr>
              <w:t>2）每个考核周期扣减金额与运维服务质量评价得分扣减金额折算关系如表2所示.</w:t>
            </w:r>
          </w:p>
          <w:p w:rsidR="00AD5B8C" w:rsidRDefault="00AD5B8C">
            <w:pPr>
              <w:pStyle w:val="a9"/>
              <w:spacing w:line="360" w:lineRule="auto"/>
              <w:rPr>
                <w:rFonts w:ascii="宋体" w:hAnsi="宋体" w:cs="Arial" w:hint="eastAsia"/>
                <w:b/>
                <w:color w:val="000000"/>
                <w:szCs w:val="21"/>
              </w:rPr>
            </w:pPr>
            <w:r>
              <w:rPr>
                <w:rFonts w:ascii="宋体" w:hAnsi="宋体" w:cs="Arial" w:hint="eastAsia"/>
                <w:b/>
                <w:color w:val="000000"/>
                <w:szCs w:val="21"/>
              </w:rPr>
              <w:t>注：表2详见附件2“表2、运维服务质量评价得分扣减金额折算表”。</w:t>
            </w:r>
          </w:p>
          <w:p w:rsidR="00AD5B8C" w:rsidRDefault="00AD5B8C">
            <w:pPr>
              <w:pStyle w:val="a9"/>
              <w:spacing w:line="360" w:lineRule="auto"/>
              <w:rPr>
                <w:rFonts w:ascii="宋体" w:hAnsi="宋体" w:cs="Arial" w:hint="eastAsia"/>
                <w:color w:val="000000"/>
                <w:szCs w:val="21"/>
              </w:rPr>
            </w:pPr>
          </w:p>
          <w:p w:rsidR="00AD5B8C" w:rsidRDefault="00AD5B8C">
            <w:pPr>
              <w:pStyle w:val="a9"/>
              <w:spacing w:line="360" w:lineRule="auto"/>
              <w:rPr>
                <w:rFonts w:ascii="宋体" w:hAnsi="宋体" w:cs="Arial" w:hint="eastAsia"/>
                <w:color w:val="000000"/>
                <w:szCs w:val="21"/>
              </w:rPr>
            </w:pPr>
          </w:p>
          <w:p w:rsidR="00AD5B8C" w:rsidRDefault="00AD5B8C">
            <w:pPr>
              <w:pStyle w:val="a9"/>
              <w:spacing w:line="360" w:lineRule="auto"/>
              <w:rPr>
                <w:rFonts w:ascii="宋体" w:hAnsi="宋体" w:cs="Arial" w:hint="eastAsia"/>
                <w:color w:val="000000"/>
                <w:szCs w:val="21"/>
              </w:rPr>
            </w:pPr>
          </w:p>
          <w:p w:rsidR="00AD5B8C" w:rsidRDefault="00AD5B8C">
            <w:pPr>
              <w:pStyle w:val="a9"/>
              <w:spacing w:line="360" w:lineRule="auto"/>
              <w:rPr>
                <w:rFonts w:ascii="宋体" w:hAnsi="宋体" w:cs="Arial" w:hint="eastAsia"/>
                <w:color w:val="000000"/>
                <w:szCs w:val="21"/>
              </w:rPr>
            </w:pPr>
          </w:p>
          <w:p w:rsidR="00AD5B8C" w:rsidRDefault="00AD5B8C">
            <w:pPr>
              <w:pStyle w:val="a9"/>
              <w:spacing w:line="360" w:lineRule="auto"/>
              <w:rPr>
                <w:rFonts w:ascii="宋体" w:hAnsi="宋体" w:cs="Arial"/>
                <w:color w:val="000000"/>
                <w:szCs w:val="21"/>
              </w:rPr>
            </w:pPr>
          </w:p>
        </w:tc>
      </w:tr>
      <w:tr w:rsidR="00AD5B8C" w:rsidTr="00AD5B8C">
        <w:trPr>
          <w:jc w:val="center"/>
        </w:trPr>
        <w:tc>
          <w:tcPr>
            <w:tcW w:w="11065" w:type="dxa"/>
            <w:gridSpan w:val="6"/>
            <w:tcBorders>
              <w:top w:val="single" w:sz="4" w:space="0" w:color="auto"/>
              <w:left w:val="single" w:sz="4" w:space="0" w:color="auto"/>
              <w:bottom w:val="single" w:sz="4" w:space="0" w:color="auto"/>
              <w:right w:val="single" w:sz="4" w:space="0" w:color="auto"/>
            </w:tcBorders>
            <w:hideMark/>
          </w:tcPr>
          <w:p w:rsidR="00AD5B8C" w:rsidRDefault="00AD5B8C">
            <w:pPr>
              <w:spacing w:line="360" w:lineRule="auto"/>
              <w:rPr>
                <w:rFonts w:ascii="宋体" w:hAnsi="宋体"/>
                <w:b/>
                <w:bCs/>
                <w:color w:val="000000"/>
                <w:szCs w:val="21"/>
              </w:rPr>
            </w:pPr>
            <w:r>
              <w:rPr>
                <w:rFonts w:ascii="宋体" w:hAnsi="宋体" w:hint="eastAsia"/>
                <w:color w:val="000000"/>
                <w:szCs w:val="21"/>
              </w:rPr>
              <w:lastRenderedPageBreak/>
              <w:t>▲</w:t>
            </w:r>
            <w:r>
              <w:rPr>
                <w:rFonts w:ascii="宋体" w:hAnsi="宋体" w:hint="eastAsia"/>
                <w:b/>
                <w:color w:val="000000"/>
                <w:szCs w:val="21"/>
              </w:rPr>
              <w:t>一、商务要求</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b/>
                <w:color w:val="000000"/>
                <w:szCs w:val="21"/>
              </w:rPr>
            </w:pPr>
            <w:r>
              <w:rPr>
                <w:rFonts w:ascii="宋体" w:hAnsi="宋体" w:hint="eastAsia"/>
                <w:color w:val="000000"/>
                <w:szCs w:val="21"/>
              </w:rPr>
              <w:t>合同签订时间</w:t>
            </w:r>
          </w:p>
        </w:tc>
        <w:tc>
          <w:tcPr>
            <w:tcW w:w="10259" w:type="dxa"/>
            <w:gridSpan w:val="4"/>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b/>
                <w:color w:val="000000"/>
                <w:szCs w:val="21"/>
              </w:rPr>
            </w:pPr>
            <w:r>
              <w:rPr>
                <w:rFonts w:ascii="宋体" w:hAnsi="宋体" w:hint="eastAsia"/>
                <w:color w:val="000000"/>
                <w:szCs w:val="21"/>
              </w:rPr>
              <w:t xml:space="preserve">自中标通知书发出之日起 </w:t>
            </w:r>
            <w:r>
              <w:rPr>
                <w:rFonts w:ascii="宋体" w:hAnsi="宋体" w:hint="eastAsia"/>
                <w:color w:val="000000"/>
                <w:szCs w:val="21"/>
                <w:u w:val="single"/>
              </w:rPr>
              <w:t>25</w:t>
            </w:r>
            <w:r>
              <w:rPr>
                <w:rFonts w:ascii="宋体" w:hAnsi="宋体" w:hint="eastAsia"/>
                <w:color w:val="000000"/>
                <w:szCs w:val="21"/>
              </w:rPr>
              <w:t>日内</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400" w:lineRule="exact"/>
              <w:jc w:val="center"/>
              <w:rPr>
                <w:rFonts w:ascii="宋体" w:hAnsi="宋体" w:cs="仿宋_GB2312"/>
                <w:color w:val="000000"/>
                <w:kern w:val="0"/>
                <w:szCs w:val="21"/>
              </w:rPr>
            </w:pPr>
            <w:r>
              <w:rPr>
                <w:rFonts w:ascii="宋体" w:hAnsi="宋体" w:cs="仿宋_GB2312" w:hint="eastAsia"/>
                <w:color w:val="000000"/>
                <w:szCs w:val="21"/>
              </w:rPr>
              <w:t>投标报价要求</w:t>
            </w:r>
          </w:p>
        </w:tc>
        <w:tc>
          <w:tcPr>
            <w:tcW w:w="10259" w:type="dxa"/>
            <w:gridSpan w:val="4"/>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1）本项目是运维管理服务保障项目，实行总承包报价；报价包括了本项目设备保养、设备维修、设备损耗更换，备品备件、系统巡检、系统运行保障、运输、保管、设计、施工、安装、调试等各种费用和服务、税金、人工及其它所有成本费用的总和。</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（2）投标人应充分考虑运维管理服务保障期间各类材料的市场价格变化和可能的国家政策性调整，确定风险系数，对本项目的所有内容范围的设备及系统服务进行总承包报价。</w:t>
            </w:r>
          </w:p>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（3）当运维设备清单里的硬件及软件损坏无法修复时，</w:t>
            </w:r>
            <w:r>
              <w:rPr>
                <w:rFonts w:ascii="宋体" w:hAnsi="宋体" w:cs="Arial" w:hint="eastAsia"/>
                <w:color w:val="000000"/>
                <w:szCs w:val="21"/>
              </w:rPr>
              <w:t>中标人</w:t>
            </w:r>
            <w:r>
              <w:rPr>
                <w:rFonts w:ascii="宋体" w:hAnsi="宋体" w:cs="仿宋_GB2312" w:hint="eastAsia"/>
                <w:color w:val="000000"/>
                <w:szCs w:val="21"/>
              </w:rPr>
              <w:t>必须更换全新产品以确保系统正常运行，要求替代产品性能及参数不低于原故障产品且</w:t>
            </w:r>
            <w:r>
              <w:rPr>
                <w:rFonts w:ascii="宋体" w:hAnsi="宋体" w:cs="Arial" w:hint="eastAsia"/>
                <w:color w:val="000000"/>
                <w:szCs w:val="21"/>
              </w:rPr>
              <w:t>中标人</w:t>
            </w:r>
            <w:r>
              <w:rPr>
                <w:rFonts w:ascii="宋体" w:hAnsi="宋体" w:cs="仿宋_GB2312" w:hint="eastAsia"/>
                <w:color w:val="000000"/>
                <w:szCs w:val="21"/>
              </w:rPr>
              <w:t>不得以任何理由向采购人申请其他费用。</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400" w:lineRule="exact"/>
              <w:jc w:val="center"/>
              <w:rPr>
                <w:rFonts w:ascii="宋体" w:hAnsi="宋体" w:cs="仿宋_GB2312"/>
                <w:color w:val="000000"/>
                <w:szCs w:val="21"/>
              </w:rPr>
            </w:pPr>
            <w:r>
              <w:rPr>
                <w:rFonts w:ascii="宋体" w:hAnsi="宋体" w:cs="仿宋_GB2312" w:hint="eastAsia"/>
                <w:color w:val="000000"/>
                <w:szCs w:val="21"/>
              </w:rPr>
              <w:lastRenderedPageBreak/>
              <w:t>服务期及服务地点</w:t>
            </w:r>
          </w:p>
        </w:tc>
        <w:tc>
          <w:tcPr>
            <w:tcW w:w="10259" w:type="dxa"/>
            <w:gridSpan w:val="4"/>
            <w:tcBorders>
              <w:top w:val="single" w:sz="4" w:space="0" w:color="auto"/>
              <w:left w:val="single" w:sz="4" w:space="0" w:color="auto"/>
              <w:bottom w:val="single" w:sz="4" w:space="0" w:color="auto"/>
              <w:right w:val="single" w:sz="4" w:space="0" w:color="auto"/>
            </w:tcBorders>
            <w:hideMark/>
          </w:tcPr>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（1）服务期：本运维服务期限为24个月，签订合同并通过准备工作验收合格后开始计算服务时间。</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（2）维护服务实施地点：</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桂林西收费站至南宁东收费站之间的路段（G72）；</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南宁南收费站至合浦收费站之间的路段（G75）；</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兴业收费站至六景收费站之间的路段（G80）；</w:t>
            </w:r>
          </w:p>
          <w:p w:rsidR="00AD5B8C" w:rsidRDefault="00AD5B8C">
            <w:pPr>
              <w:pStyle w:val="ab"/>
              <w:rPr>
                <w:rFonts w:ascii="宋体" w:hAnsi="宋体" w:cs="仿宋_GB2312" w:hint="eastAsia"/>
                <w:color w:val="000000"/>
                <w:sz w:val="21"/>
                <w:szCs w:val="21"/>
              </w:rPr>
            </w:pPr>
            <w:r>
              <w:rPr>
                <w:rFonts w:ascii="宋体" w:hAnsi="宋体" w:cs="仿宋_GB2312" w:hint="eastAsia"/>
                <w:color w:val="000000"/>
                <w:sz w:val="21"/>
                <w:szCs w:val="21"/>
              </w:rPr>
              <w:t>武鸣东收费站至黎塘收费站之间的路段（S40）；</w:t>
            </w:r>
          </w:p>
          <w:p w:rsidR="00AD5B8C" w:rsidRDefault="00AD5B8C">
            <w:pPr>
              <w:pStyle w:val="ab"/>
              <w:rPr>
                <w:rFonts w:ascii="宋体" w:hAnsi="宋体" w:cs="仿宋_GB2312" w:hint="eastAsia"/>
                <w:color w:val="000000"/>
                <w:sz w:val="21"/>
                <w:szCs w:val="21"/>
              </w:rPr>
            </w:pPr>
            <w:r>
              <w:rPr>
                <w:rFonts w:ascii="宋体" w:hAnsi="宋体" w:cs="仿宋_GB2312" w:hint="eastAsia"/>
                <w:color w:val="000000"/>
                <w:sz w:val="21"/>
                <w:szCs w:val="21"/>
              </w:rPr>
              <w:t>高速公路管理各支队分控中心；</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高速公路管理各支队研判室；</w:t>
            </w:r>
          </w:p>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维保实施地点包括但不限于上述地点。</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400" w:lineRule="exact"/>
              <w:jc w:val="center"/>
              <w:rPr>
                <w:rFonts w:ascii="宋体" w:hAnsi="宋体" w:cs="仿宋_GB2312"/>
                <w:color w:val="000000"/>
                <w:szCs w:val="21"/>
              </w:rPr>
            </w:pPr>
            <w:r>
              <w:rPr>
                <w:rFonts w:ascii="宋体" w:hAnsi="宋体" w:cs="仿宋_GB2312" w:hint="eastAsia"/>
                <w:color w:val="000000"/>
                <w:szCs w:val="21"/>
              </w:rPr>
              <w:t>付款方式</w:t>
            </w:r>
          </w:p>
        </w:tc>
        <w:tc>
          <w:tcPr>
            <w:tcW w:w="10259" w:type="dxa"/>
            <w:gridSpan w:val="4"/>
            <w:tcBorders>
              <w:top w:val="single" w:sz="4" w:space="0" w:color="auto"/>
              <w:left w:val="single" w:sz="4" w:space="0" w:color="auto"/>
              <w:bottom w:val="single" w:sz="4" w:space="0" w:color="auto"/>
              <w:right w:val="single" w:sz="4" w:space="0" w:color="auto"/>
            </w:tcBorders>
            <w:hideMark/>
          </w:tcPr>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本项目运维期为两年，每年运维费用为合同金额的50%，签订合同并具备服务能力后提请准备工作验收，准备工作验收通过后支付每年运维费用30%预付款，当年剩余金额按考核周期（每年分2个考核周期，每个考核周期为6个月）进行考核及付款。每期考核结束后10个工作日内向</w:t>
            </w:r>
            <w:r>
              <w:rPr>
                <w:rFonts w:ascii="宋体" w:hAnsi="宋体" w:cs="Arial" w:hint="eastAsia"/>
                <w:color w:val="000000"/>
                <w:szCs w:val="21"/>
              </w:rPr>
              <w:t>中标人</w:t>
            </w:r>
            <w:r>
              <w:rPr>
                <w:rFonts w:ascii="宋体" w:hAnsi="宋体" w:cs="仿宋_GB2312" w:hint="eastAsia"/>
                <w:color w:val="000000"/>
                <w:szCs w:val="21"/>
              </w:rPr>
              <w:t>支付，每期付款金额为每年运维费用的35%减掉当期扣款金额。第二年开始支付每年运维费用30%预付款，当年剩余金额按考核周期进行考核及付款。每期考核结束后10个工作日内向</w:t>
            </w:r>
            <w:r>
              <w:rPr>
                <w:rFonts w:ascii="宋体" w:hAnsi="宋体" w:cs="Arial" w:hint="eastAsia"/>
                <w:color w:val="000000"/>
                <w:szCs w:val="21"/>
              </w:rPr>
              <w:t>中标人</w:t>
            </w:r>
            <w:r>
              <w:rPr>
                <w:rFonts w:ascii="宋体" w:hAnsi="宋体" w:cs="仿宋_GB2312" w:hint="eastAsia"/>
                <w:color w:val="000000"/>
                <w:szCs w:val="21"/>
              </w:rPr>
              <w:t>支付，每期付款金额为每年运维费用的35%减掉当期扣款金额。</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400" w:lineRule="exact"/>
              <w:jc w:val="center"/>
              <w:rPr>
                <w:rFonts w:ascii="宋体" w:hAnsi="宋体" w:cs="仿宋_GB2312"/>
                <w:bCs/>
                <w:color w:val="000000"/>
                <w:szCs w:val="21"/>
              </w:rPr>
            </w:pPr>
            <w:r>
              <w:rPr>
                <w:rFonts w:ascii="宋体" w:hAnsi="宋体" w:cs="仿宋_GB2312" w:hint="eastAsia"/>
                <w:color w:val="000000"/>
                <w:szCs w:val="21"/>
              </w:rPr>
              <w:t>履约保证金</w:t>
            </w:r>
          </w:p>
        </w:tc>
        <w:tc>
          <w:tcPr>
            <w:tcW w:w="10259" w:type="dxa"/>
            <w:gridSpan w:val="4"/>
            <w:tcBorders>
              <w:top w:val="single" w:sz="4" w:space="0" w:color="auto"/>
              <w:left w:val="single" w:sz="4" w:space="0" w:color="auto"/>
              <w:bottom w:val="single" w:sz="4" w:space="0" w:color="auto"/>
              <w:right w:val="single" w:sz="4" w:space="0" w:color="auto"/>
            </w:tcBorders>
            <w:hideMark/>
          </w:tcPr>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项目签订合同后5个工作日内，由中标人按合同金额的2%向采购人缴纳履约保证金。服务期满，待</w:t>
            </w:r>
            <w:r>
              <w:rPr>
                <w:rFonts w:ascii="宋体" w:hAnsi="宋体" w:cs="Arial" w:hint="eastAsia"/>
                <w:color w:val="000000"/>
                <w:szCs w:val="21"/>
              </w:rPr>
              <w:t>中标人</w:t>
            </w:r>
            <w:r>
              <w:rPr>
                <w:rFonts w:ascii="宋体" w:hAnsi="宋体" w:cs="仿宋_GB2312" w:hint="eastAsia"/>
                <w:color w:val="000000"/>
                <w:szCs w:val="21"/>
              </w:rPr>
              <w:t>履行完合同全部义务后，如未出现违约事项的，5个工作日内无息返还。由</w:t>
            </w:r>
            <w:r>
              <w:rPr>
                <w:rFonts w:ascii="宋体" w:hAnsi="宋体" w:cs="Arial" w:hint="eastAsia"/>
                <w:color w:val="000000"/>
                <w:szCs w:val="21"/>
              </w:rPr>
              <w:t>中标人</w:t>
            </w:r>
            <w:r>
              <w:rPr>
                <w:rFonts w:ascii="宋体" w:hAnsi="宋体" w:cs="仿宋_GB2312" w:hint="eastAsia"/>
                <w:color w:val="000000"/>
                <w:szCs w:val="21"/>
              </w:rPr>
              <w:t>向采购人提供《广西壮族自治区政府采购项目合同验收书》及《政府采购项目履约保证金退付意见书》，采购人在收到合格材料后5个工作日内办理退还手续（不计利息）。</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400" w:lineRule="exact"/>
              <w:jc w:val="center"/>
              <w:rPr>
                <w:rFonts w:ascii="宋体" w:hAnsi="宋体" w:cs="仿宋_GB2312"/>
                <w:color w:val="000000"/>
                <w:szCs w:val="21"/>
              </w:rPr>
            </w:pPr>
            <w:r>
              <w:rPr>
                <w:rFonts w:ascii="宋体" w:hAnsi="宋体" w:cs="仿宋_GB2312" w:hint="eastAsia"/>
                <w:bCs/>
                <w:color w:val="000000"/>
                <w:szCs w:val="21"/>
              </w:rPr>
              <w:t>运维要求</w:t>
            </w:r>
          </w:p>
        </w:tc>
        <w:tc>
          <w:tcPr>
            <w:tcW w:w="10259" w:type="dxa"/>
            <w:gridSpan w:val="4"/>
            <w:tcBorders>
              <w:top w:val="single" w:sz="4" w:space="0" w:color="auto"/>
              <w:left w:val="single" w:sz="4" w:space="0" w:color="auto"/>
              <w:bottom w:val="single" w:sz="4" w:space="0" w:color="auto"/>
              <w:right w:val="single" w:sz="4" w:space="0" w:color="auto"/>
            </w:tcBorders>
            <w:hideMark/>
          </w:tcPr>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（1）在运维服务期内，</w:t>
            </w:r>
            <w:r>
              <w:rPr>
                <w:rFonts w:ascii="宋体" w:hAnsi="宋体" w:cs="Arial" w:hint="eastAsia"/>
                <w:color w:val="000000"/>
                <w:szCs w:val="21"/>
              </w:rPr>
              <w:t>中标人</w:t>
            </w:r>
            <w:r>
              <w:rPr>
                <w:rFonts w:ascii="宋体" w:hAnsi="宋体" w:cs="仿宋_GB2312" w:hint="eastAsia"/>
                <w:color w:val="000000"/>
                <w:szCs w:val="21"/>
              </w:rPr>
              <w:t>应根据投标文件承诺和合同要求向采购人提供技术支持与服务。</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（2）设备（含硬盘）如有故障，完成维修、更换处理。硬件故障暂时无法修复的必须使用备件更换，达到服务响应要求，维持系统正常运行。</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（3）因不可抗力和采购人以外的因素导致的系统损毁所产生的系统抢修、设备维修/更换、系统集成等费用全部由</w:t>
            </w:r>
            <w:r>
              <w:rPr>
                <w:rFonts w:ascii="宋体" w:hAnsi="宋体" w:cs="Arial" w:hint="eastAsia"/>
                <w:color w:val="000000"/>
                <w:szCs w:val="21"/>
              </w:rPr>
              <w:t>中标人</w:t>
            </w:r>
            <w:r>
              <w:rPr>
                <w:rFonts w:ascii="宋体" w:hAnsi="宋体" w:cs="仿宋_GB2312" w:hint="eastAsia"/>
                <w:color w:val="000000"/>
                <w:szCs w:val="21"/>
              </w:rPr>
              <w:t>负责。涉及第三方责任（如盗窃、交通事故、施工等）导致的系统损毁，</w:t>
            </w:r>
            <w:r>
              <w:rPr>
                <w:rFonts w:ascii="宋体" w:hAnsi="宋体" w:cs="Arial" w:hint="eastAsia"/>
                <w:color w:val="000000"/>
                <w:szCs w:val="21"/>
              </w:rPr>
              <w:t>中标人</w:t>
            </w:r>
            <w:r>
              <w:rPr>
                <w:rFonts w:ascii="宋体" w:hAnsi="宋体" w:cs="仿宋_GB2312" w:hint="eastAsia"/>
                <w:color w:val="000000"/>
                <w:szCs w:val="21"/>
              </w:rPr>
              <w:t>须采取首先抢修恢复系统的原则，先行垫资对系统进行抢修，设备维修/更换等，直至恢复系统正常运行。因此产生的费用，</w:t>
            </w:r>
            <w:r>
              <w:rPr>
                <w:rFonts w:ascii="宋体" w:hAnsi="宋体" w:cs="Arial" w:hint="eastAsia"/>
                <w:color w:val="000000"/>
                <w:szCs w:val="21"/>
              </w:rPr>
              <w:t>中标人</w:t>
            </w:r>
            <w:r>
              <w:rPr>
                <w:rFonts w:ascii="宋体" w:hAnsi="宋体" w:cs="仿宋_GB2312" w:hint="eastAsia"/>
                <w:color w:val="000000"/>
                <w:szCs w:val="21"/>
              </w:rPr>
              <w:t>可通过法律途径或友好协商的方式向责任方索赔。</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（4）因不可抗力和采购人的因素导致的系统损毁，在与采购人书面确认后，</w:t>
            </w:r>
            <w:r>
              <w:rPr>
                <w:rFonts w:ascii="宋体" w:hAnsi="宋体" w:cs="Arial" w:hint="eastAsia"/>
                <w:color w:val="000000"/>
                <w:szCs w:val="21"/>
              </w:rPr>
              <w:t>中标人</w:t>
            </w:r>
            <w:r>
              <w:rPr>
                <w:rFonts w:ascii="宋体" w:hAnsi="宋体" w:cs="仿宋_GB2312" w:hint="eastAsia"/>
                <w:color w:val="000000"/>
                <w:szCs w:val="21"/>
              </w:rPr>
              <w:t>须采取首先抢修恢复系统，后续协商补充费用的原则，自行垫资对系统进行抢修，设备维修/更换等，直至恢复系统正常运行。</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（5）为配合高速公路改扩建工程，野外监控站点需要根据要求进行迁移的时候，通信设备及线路、电力设备及线路、视频监控及卡口的拆除及回迁由</w:t>
            </w:r>
            <w:r>
              <w:rPr>
                <w:rFonts w:ascii="宋体" w:hAnsi="宋体" w:cs="Arial" w:hint="eastAsia"/>
                <w:color w:val="000000"/>
                <w:szCs w:val="21"/>
              </w:rPr>
              <w:t>中标人</w:t>
            </w:r>
            <w:r>
              <w:rPr>
                <w:rFonts w:ascii="宋体" w:hAnsi="宋体" w:cs="仿宋_GB2312" w:hint="eastAsia"/>
                <w:color w:val="000000"/>
                <w:szCs w:val="21"/>
              </w:rPr>
              <w:t>自行垫资实施，迁移和回迁所产生的全部费用由采购人协助</w:t>
            </w:r>
            <w:r>
              <w:rPr>
                <w:rFonts w:ascii="宋体" w:hAnsi="宋体" w:cs="Arial" w:hint="eastAsia"/>
                <w:color w:val="000000"/>
                <w:szCs w:val="21"/>
              </w:rPr>
              <w:t>中标人</w:t>
            </w:r>
            <w:r>
              <w:rPr>
                <w:rFonts w:ascii="宋体" w:hAnsi="宋体" w:cs="仿宋_GB2312" w:hint="eastAsia"/>
                <w:color w:val="000000"/>
                <w:szCs w:val="21"/>
              </w:rPr>
              <w:t>向责任方索赔，</w:t>
            </w:r>
            <w:r>
              <w:rPr>
                <w:rFonts w:ascii="宋体" w:hAnsi="宋体" w:cs="Arial" w:hint="eastAsia"/>
                <w:color w:val="000000"/>
                <w:szCs w:val="21"/>
              </w:rPr>
              <w:t>中标人</w:t>
            </w:r>
            <w:r>
              <w:rPr>
                <w:rFonts w:ascii="宋体" w:hAnsi="宋体" w:cs="仿宋_GB2312" w:hint="eastAsia"/>
                <w:color w:val="000000"/>
                <w:szCs w:val="21"/>
              </w:rPr>
              <w:t>不得再向采购人申请和收取费用。回迁后必须保证该站点的业务功能与原系统保持整体一致。</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（5）</w:t>
            </w:r>
            <w:r>
              <w:rPr>
                <w:rFonts w:ascii="宋体" w:hAnsi="宋体" w:cs="Arial" w:hint="eastAsia"/>
                <w:color w:val="000000"/>
                <w:szCs w:val="21"/>
              </w:rPr>
              <w:t>中标人</w:t>
            </w:r>
            <w:r>
              <w:rPr>
                <w:rFonts w:ascii="宋体" w:hAnsi="宋体" w:cs="仿宋_GB2312" w:hint="eastAsia"/>
                <w:color w:val="000000"/>
                <w:szCs w:val="21"/>
              </w:rPr>
              <w:t>进行系统维护管理期间，经采购人授权许可的公安机关或其他部门使用该系统内的通信网络或数据资源时，</w:t>
            </w:r>
            <w:r>
              <w:rPr>
                <w:rFonts w:ascii="宋体" w:hAnsi="宋体" w:cs="Arial" w:hint="eastAsia"/>
                <w:color w:val="000000"/>
                <w:szCs w:val="21"/>
              </w:rPr>
              <w:t>中标人</w:t>
            </w:r>
            <w:r>
              <w:rPr>
                <w:rFonts w:ascii="宋体" w:hAnsi="宋体" w:cs="仿宋_GB2312" w:hint="eastAsia"/>
                <w:color w:val="000000"/>
                <w:szCs w:val="21"/>
              </w:rPr>
              <w:t>须提供技术支持及必要的现场指导，保障系统的正常运行和顺利对接。</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（6）在维护服务实施过程中，如通信设备损坏无法修复而需要更换的，必须采用原品牌参数性能等于或优于原型号的设备进行更换，</w:t>
            </w:r>
            <w:r>
              <w:rPr>
                <w:rFonts w:ascii="宋体" w:hAnsi="宋体" w:cs="Arial" w:hint="eastAsia"/>
                <w:color w:val="000000"/>
                <w:szCs w:val="21"/>
              </w:rPr>
              <w:t>中标人</w:t>
            </w:r>
            <w:r>
              <w:rPr>
                <w:rFonts w:ascii="宋体" w:hAnsi="宋体" w:cs="仿宋_GB2312" w:hint="eastAsia"/>
                <w:color w:val="000000"/>
                <w:szCs w:val="21"/>
              </w:rPr>
              <w:t>不能擅自对原通信系统架构及网管平台进行更改。</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lastRenderedPageBreak/>
              <w:t>（7）投标人须承诺其提供的光端机、光模块、光放大器等备品备件能无缝接入桂海高速公路全程监控系统一期光数字传输网络，形成统一网管平台。互联集成和对接所产生的软件开发等所有费用由</w:t>
            </w:r>
            <w:r>
              <w:rPr>
                <w:rFonts w:ascii="宋体" w:hAnsi="宋体" w:cs="Arial" w:hint="eastAsia"/>
                <w:color w:val="000000"/>
                <w:szCs w:val="21"/>
              </w:rPr>
              <w:t>中标人</w:t>
            </w:r>
            <w:r>
              <w:rPr>
                <w:rFonts w:ascii="宋体" w:hAnsi="宋体" w:cs="仿宋_GB2312" w:hint="eastAsia"/>
                <w:color w:val="000000"/>
                <w:szCs w:val="21"/>
              </w:rPr>
              <w:t>负责。</w:t>
            </w:r>
            <w:r>
              <w:rPr>
                <w:rFonts w:ascii="宋体" w:hAnsi="宋体" w:cs="仿宋_GB2312" w:hint="eastAsia"/>
                <w:b/>
                <w:color w:val="000000"/>
                <w:szCs w:val="21"/>
              </w:rPr>
              <w:t>投标人必须在投标文件中提供SDH622M、OP20野外光端机的备品件与原系统互联互通性承诺书</w:t>
            </w:r>
            <w:r>
              <w:rPr>
                <w:rStyle w:val="aff0"/>
                <w:rFonts w:hint="eastAsia"/>
                <w:color w:val="000000"/>
              </w:rPr>
              <w:t>（格式自拟）</w:t>
            </w:r>
            <w:r>
              <w:rPr>
                <w:rFonts w:ascii="宋体" w:hAnsi="宋体" w:cs="仿宋_GB2312" w:hint="eastAsia"/>
                <w:b/>
                <w:color w:val="000000"/>
                <w:szCs w:val="21"/>
              </w:rPr>
              <w:t>，否则投标无效</w:t>
            </w:r>
            <w:r>
              <w:rPr>
                <w:rFonts w:ascii="宋体" w:hAnsi="宋体" w:cs="仿宋_GB2312" w:hint="eastAsia"/>
                <w:color w:val="000000"/>
                <w:szCs w:val="21"/>
              </w:rPr>
              <w:t>。</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（8）在运维保养服务中，</w:t>
            </w:r>
            <w:r>
              <w:rPr>
                <w:rFonts w:ascii="宋体" w:hAnsi="宋体" w:cs="Arial" w:hint="eastAsia"/>
                <w:color w:val="000000"/>
                <w:szCs w:val="21"/>
              </w:rPr>
              <w:t>中标人</w:t>
            </w:r>
            <w:r>
              <w:rPr>
                <w:rFonts w:ascii="宋体" w:hAnsi="宋体" w:cs="仿宋_GB2312" w:hint="eastAsia"/>
                <w:color w:val="000000"/>
                <w:szCs w:val="21"/>
              </w:rPr>
              <w:t>应当形成日常运维保养文档，并每周整理报送采购人。</w:t>
            </w:r>
          </w:p>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（9）重大警务活动专门保障。</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400" w:lineRule="exact"/>
              <w:jc w:val="center"/>
              <w:rPr>
                <w:rFonts w:ascii="宋体" w:hAnsi="宋体" w:cs="仿宋_GB2312"/>
                <w:color w:val="000000"/>
                <w:szCs w:val="21"/>
              </w:rPr>
            </w:pPr>
            <w:r>
              <w:rPr>
                <w:rFonts w:ascii="宋体" w:hAnsi="宋体" w:cs="仿宋_GB2312" w:hint="eastAsia"/>
                <w:color w:val="000000"/>
                <w:szCs w:val="21"/>
              </w:rPr>
              <w:lastRenderedPageBreak/>
              <w:t>信息安全及保密要求</w:t>
            </w:r>
          </w:p>
        </w:tc>
        <w:tc>
          <w:tcPr>
            <w:tcW w:w="10259" w:type="dxa"/>
            <w:gridSpan w:val="4"/>
            <w:tcBorders>
              <w:top w:val="single" w:sz="4" w:space="0" w:color="auto"/>
              <w:left w:val="single" w:sz="4" w:space="0" w:color="auto"/>
              <w:bottom w:val="single" w:sz="4" w:space="0" w:color="auto"/>
              <w:right w:val="single" w:sz="4" w:space="0" w:color="auto"/>
            </w:tcBorders>
            <w:hideMark/>
          </w:tcPr>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1、中标人须与采购人在签订合同的同时签订《合作单位保密协议书》，项目人员须提交《保密承诺书》，遵守采购人信息安全管理规定，对非权限范围内设备不允许操作。非权限范围内信息不允许访问。未经允许，不可随意在工作环境内拍照、录音、录像等。</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2、依据《网络安全等级保护条例》本次运维涉及高速公路公安交通智能管控平台的网络安全保护等级为第二级。该系统服务遭到破坏后，所侵害的客体是社会秩序、公共利益。对交通指挥决策效率、公安交通管理能力造成严重影响，影响决策、指挥、调度以及公安交管信息、公民个人信息泄露等。综上因素负责维护工作的中标人要保证对所有系统资料和数据负有保密的责任和义务，未经采购人许可，不允许向第三方透露。</w:t>
            </w:r>
          </w:p>
          <w:p w:rsidR="00AD5B8C" w:rsidRDefault="00AD5B8C">
            <w:pPr>
              <w:spacing w:line="400" w:lineRule="exact"/>
              <w:jc w:val="left"/>
              <w:rPr>
                <w:rFonts w:hint="eastAsia"/>
                <w:color w:val="000000"/>
              </w:rPr>
            </w:pPr>
            <w:r>
              <w:rPr>
                <w:rFonts w:ascii="宋体" w:hAnsi="宋体" w:cs="仿宋_GB2312" w:hint="eastAsia"/>
                <w:color w:val="000000"/>
                <w:szCs w:val="21"/>
              </w:rPr>
              <w:t>3、中标人无条件配合开展施工及维保人员岗前审查、保密教育、保密检查</w:t>
            </w:r>
            <w:r>
              <w:rPr>
                <w:rFonts w:hint="eastAsia"/>
                <w:color w:val="000000"/>
              </w:rPr>
              <w:t>，一旦发生泄密事件采购人有权依法解除合同。</w:t>
            </w:r>
          </w:p>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4、</w:t>
            </w:r>
            <w:r>
              <w:rPr>
                <w:rFonts w:ascii="宋体" w:hAnsi="宋体" w:cs="仿宋_GB2312" w:hint="eastAsia"/>
                <w:b/>
                <w:color w:val="000000"/>
                <w:szCs w:val="21"/>
              </w:rPr>
              <w:t>投标人须在投标文件提供《廉洁承诺书》（格式见本章附件3），做出不向建设单位工作人员行贿的承诺。未在投标文件中提供《廉洁承诺书》的，视为投标无效</w:t>
            </w:r>
            <w:r>
              <w:rPr>
                <w:rFonts w:ascii="宋体" w:hAnsi="宋体" w:cs="仿宋_GB2312" w:hint="eastAsia"/>
                <w:color w:val="000000"/>
                <w:szCs w:val="21"/>
              </w:rPr>
              <w:t>。</w:t>
            </w:r>
          </w:p>
          <w:p w:rsidR="00AD5B8C" w:rsidRDefault="00AD5B8C">
            <w:pPr>
              <w:spacing w:line="400" w:lineRule="exact"/>
              <w:jc w:val="left"/>
              <w:rPr>
                <w:rFonts w:ascii="宋体" w:hAnsi="宋体" w:cs="仿宋_GB2312"/>
                <w:color w:val="000000"/>
                <w:szCs w:val="21"/>
              </w:rPr>
            </w:pPr>
            <w:r>
              <w:rPr>
                <w:rFonts w:ascii="宋体" w:hAnsi="宋体" w:hint="eastAsia"/>
                <w:color w:val="000000"/>
                <w:szCs w:val="21"/>
              </w:rPr>
              <w:t>5、中标人需严格按照《公安机关信息化项目合同中涉及网络完全相关条款的参考模板（试行）》要求，遵循相关规定。</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400" w:lineRule="exact"/>
              <w:jc w:val="center"/>
              <w:rPr>
                <w:rFonts w:ascii="宋体" w:hAnsi="宋体" w:cs="仿宋_GB2312"/>
                <w:color w:val="000000"/>
                <w:szCs w:val="21"/>
              </w:rPr>
            </w:pPr>
            <w:r>
              <w:rPr>
                <w:rFonts w:ascii="宋体" w:hAnsi="宋体" w:cs="仿宋_GB2312" w:hint="eastAsia"/>
                <w:color w:val="000000"/>
                <w:szCs w:val="21"/>
              </w:rPr>
              <w:t>服务质量保障要求</w:t>
            </w:r>
          </w:p>
        </w:tc>
        <w:tc>
          <w:tcPr>
            <w:tcW w:w="10259" w:type="dxa"/>
            <w:gridSpan w:val="4"/>
            <w:tcBorders>
              <w:top w:val="single" w:sz="4" w:space="0" w:color="auto"/>
              <w:left w:val="single" w:sz="4" w:space="0" w:color="auto"/>
              <w:bottom w:val="single" w:sz="4" w:space="0" w:color="auto"/>
              <w:right w:val="single" w:sz="4" w:space="0" w:color="auto"/>
            </w:tcBorders>
            <w:hideMark/>
          </w:tcPr>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（1）要求各视频监控点，卡口点，测速点，诱导屏点，各维护总点位的数据在线率必须达到95%以上（自然灾害、第三方损毁或不可抗力除外，但必须及时提供证明材料证明其真实性）。</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（2）服务期内</w:t>
            </w:r>
            <w:r>
              <w:rPr>
                <w:rFonts w:ascii="宋体" w:hAnsi="宋体" w:cs="Arial" w:hint="eastAsia"/>
                <w:color w:val="000000"/>
                <w:szCs w:val="21"/>
              </w:rPr>
              <w:t>中标人</w:t>
            </w:r>
            <w:r>
              <w:rPr>
                <w:rFonts w:ascii="宋体" w:hAnsi="宋体" w:cs="仿宋_GB2312" w:hint="eastAsia"/>
                <w:color w:val="000000"/>
                <w:szCs w:val="21"/>
              </w:rPr>
              <w:t>须保障光传输网络和视频卡口数据综合应用平台不间断稳定运行，满足监控及卡口电警等业务要求，并对运维服务范围内各子系统进行标准化改造或优化。</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（3）在重大节假日或重大活动期间需进行运维保障时，根据采购人要求派人驻场保障。</w:t>
            </w:r>
          </w:p>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（4）按采购人需求，做好新产品测试工作。</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400" w:lineRule="exact"/>
              <w:jc w:val="center"/>
              <w:rPr>
                <w:rFonts w:ascii="宋体" w:hAnsi="宋体" w:cs="仿宋_GB2312"/>
                <w:color w:val="000000"/>
                <w:szCs w:val="21"/>
              </w:rPr>
            </w:pPr>
            <w:r>
              <w:rPr>
                <w:rFonts w:ascii="宋体" w:hAnsi="宋体" w:cs="仿宋_GB2312" w:hint="eastAsia"/>
                <w:color w:val="000000"/>
                <w:szCs w:val="21"/>
              </w:rPr>
              <w:t>涉路施工</w:t>
            </w:r>
          </w:p>
          <w:p w:rsidR="00AD5B8C" w:rsidRDefault="00AD5B8C">
            <w:pPr>
              <w:spacing w:line="400" w:lineRule="exact"/>
              <w:jc w:val="center"/>
              <w:rPr>
                <w:rFonts w:ascii="宋体" w:hAnsi="宋体" w:cs="仿宋_GB2312"/>
                <w:color w:val="000000"/>
                <w:szCs w:val="21"/>
              </w:rPr>
            </w:pPr>
            <w:r>
              <w:rPr>
                <w:rFonts w:ascii="宋体" w:hAnsi="宋体" w:cs="仿宋_GB2312" w:hint="eastAsia"/>
                <w:color w:val="000000"/>
                <w:szCs w:val="21"/>
              </w:rPr>
              <w:t>安全要求</w:t>
            </w:r>
          </w:p>
        </w:tc>
        <w:tc>
          <w:tcPr>
            <w:tcW w:w="10259" w:type="dxa"/>
            <w:gridSpan w:val="4"/>
            <w:tcBorders>
              <w:top w:val="single" w:sz="4" w:space="0" w:color="auto"/>
              <w:left w:val="single" w:sz="4" w:space="0" w:color="auto"/>
              <w:bottom w:val="single" w:sz="4" w:space="0" w:color="auto"/>
              <w:right w:val="single" w:sz="4" w:space="0" w:color="auto"/>
            </w:tcBorders>
            <w:hideMark/>
          </w:tcPr>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1、本项目运维施工所在地点为桂林、柳州、来宾、南宁、钦州、防城港、北海、贵港等运营中的高速公路，涉及到路段行车安全及路产保护，在进行涉路施工作业时</w:t>
            </w:r>
            <w:r>
              <w:rPr>
                <w:rFonts w:ascii="宋体" w:hAnsi="宋体" w:cs="Arial" w:hint="eastAsia"/>
                <w:color w:val="000000"/>
                <w:szCs w:val="21"/>
              </w:rPr>
              <w:t>中标人</w:t>
            </w:r>
            <w:r>
              <w:rPr>
                <w:rFonts w:ascii="宋体" w:hAnsi="宋体" w:cs="仿宋_GB2312" w:hint="eastAsia"/>
                <w:color w:val="000000"/>
                <w:szCs w:val="21"/>
              </w:rPr>
              <w:t>必须严格遵守交通安全法律法规的各项规定，按照要求做好安全防护工作后方可进行施工作业，必须按要求设置好相关安全防护设施设备、标志，配备相应的安全员。</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2、进入高速公路开展故障检查、故障抢修、巡检维护等施工作业时，需要取得所在高速公路路段运营管理单位颁发的施工许可证，</w:t>
            </w:r>
            <w:r>
              <w:rPr>
                <w:rFonts w:ascii="宋体" w:hAnsi="宋体" w:cs="Arial" w:hint="eastAsia"/>
                <w:color w:val="000000"/>
                <w:szCs w:val="21"/>
              </w:rPr>
              <w:t>中标人</w:t>
            </w:r>
            <w:r>
              <w:rPr>
                <w:rFonts w:ascii="宋体" w:hAnsi="宋体" w:cs="仿宋_GB2312" w:hint="eastAsia"/>
                <w:color w:val="000000"/>
                <w:szCs w:val="21"/>
              </w:rPr>
              <w:t>自行到桂林、柳州、来宾、南宁、钦州、防城港、北海、贵港等有关部门办理在高速公路上施工作业相关手续，自行负责相关安全防护工作。</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3、作业标准需按《自治区高速公路发展中心关于印发广西高速公路典型作业区布置指引的通知》（桂高速养护发〔2024〕47号）文件中的标准执行，维修、巡检、保障等作业需配备100K等级的防撞车辆及符合标准的标</w:t>
            </w:r>
            <w:r>
              <w:rPr>
                <w:rFonts w:ascii="宋体" w:hAnsi="宋体" w:cs="仿宋_GB2312" w:hint="eastAsia"/>
                <w:color w:val="000000"/>
                <w:szCs w:val="21"/>
              </w:rPr>
              <w:lastRenderedPageBreak/>
              <w:t>识标牌）</w:t>
            </w:r>
          </w:p>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4、由此产生的协调工作和全部费用由</w:t>
            </w:r>
            <w:r>
              <w:rPr>
                <w:rFonts w:ascii="宋体" w:hAnsi="宋体" w:cs="Arial" w:hint="eastAsia"/>
                <w:color w:val="000000"/>
                <w:szCs w:val="21"/>
              </w:rPr>
              <w:t>中标人</w:t>
            </w:r>
            <w:r>
              <w:rPr>
                <w:rFonts w:ascii="宋体" w:hAnsi="宋体" w:cs="仿宋_GB2312" w:hint="eastAsia"/>
                <w:color w:val="000000"/>
                <w:szCs w:val="21"/>
              </w:rPr>
              <w:t>负责。</w:t>
            </w:r>
            <w:r>
              <w:rPr>
                <w:rFonts w:ascii="宋体" w:hAnsi="宋体" w:cs="仿宋_GB2312" w:hint="eastAsia"/>
                <w:b/>
                <w:color w:val="000000"/>
                <w:szCs w:val="21"/>
              </w:rPr>
              <w:t>投标人必须在投标文件中提供办理施工许可证的承诺书（格式自拟），否则投标无效。</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400" w:lineRule="exact"/>
              <w:jc w:val="center"/>
              <w:rPr>
                <w:rFonts w:ascii="宋体" w:hAnsi="宋体" w:cs="仿宋_GB2312"/>
                <w:color w:val="000000"/>
                <w:szCs w:val="21"/>
              </w:rPr>
            </w:pPr>
            <w:r>
              <w:rPr>
                <w:rFonts w:ascii="宋体" w:hAnsi="宋体" w:cs="仿宋_GB2312" w:hint="eastAsia"/>
                <w:color w:val="000000"/>
                <w:szCs w:val="21"/>
              </w:rPr>
              <w:lastRenderedPageBreak/>
              <w:t>验收要求和验收标准</w:t>
            </w:r>
          </w:p>
        </w:tc>
        <w:tc>
          <w:tcPr>
            <w:tcW w:w="10259" w:type="dxa"/>
            <w:gridSpan w:val="4"/>
            <w:tcBorders>
              <w:top w:val="single" w:sz="4" w:space="0" w:color="auto"/>
              <w:left w:val="single" w:sz="4" w:space="0" w:color="auto"/>
              <w:bottom w:val="single" w:sz="4" w:space="0" w:color="auto"/>
              <w:right w:val="single" w:sz="4" w:space="0" w:color="auto"/>
            </w:tcBorders>
            <w:hideMark/>
          </w:tcPr>
          <w:p w:rsidR="00AD5B8C" w:rsidRDefault="00AD5B8C">
            <w:pPr>
              <w:spacing w:line="400" w:lineRule="exact"/>
              <w:jc w:val="left"/>
              <w:rPr>
                <w:rFonts w:ascii="宋体" w:hAnsi="宋体" w:cs="仿宋_GB2312"/>
                <w:color w:val="000000"/>
                <w:szCs w:val="21"/>
              </w:rPr>
            </w:pPr>
            <w:r>
              <w:rPr>
                <w:rFonts w:ascii="宋体" w:hAnsi="宋体" w:cs="仿宋_GB2312" w:hint="eastAsia"/>
                <w:color w:val="000000"/>
                <w:szCs w:val="21"/>
              </w:rPr>
              <w:t>1.按照《广西壮族自治区公安厅厅机关政府采购项目履约验收管理办法》、双方合同、投标文件验收。</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2.按照广西壮族自治区公安厅信息化项目管理有关内控规定，在签订合同并具备服务能力后提前准备工作验收，后续验收按服务考评指标进行。</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（1）运维服务考核标准：</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①运维服务每6个月作为一个考核周期。每一个考核周期独立计分，满分为100分。考核分数将折算作为年度供应商评价结果。</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②上一考核周期结束后，考核基准分重置为100分，进入下一考核周期。</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（2）运维服务处罚条款：</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本项目运维期为两年，每年运维费用为合同金额的50%，签订合同并具备服务能力后提请准备工作验收，准备工作验收通过后支付每年运维费用30%预付款，当年剩余金额按考核周期（每年分2个考核周期，每个考核周期为6个月）进行考核及付款。每期考核结束后10个工作日内向</w:t>
            </w:r>
            <w:r>
              <w:rPr>
                <w:rFonts w:ascii="宋体" w:hAnsi="宋体" w:cs="Arial" w:hint="eastAsia"/>
                <w:color w:val="000000"/>
                <w:szCs w:val="21"/>
              </w:rPr>
              <w:t>中标人</w:t>
            </w:r>
            <w:r>
              <w:rPr>
                <w:rFonts w:ascii="宋体" w:hAnsi="宋体" w:cs="仿宋_GB2312" w:hint="eastAsia"/>
                <w:color w:val="000000"/>
                <w:szCs w:val="21"/>
              </w:rPr>
              <w:t>支付，每期付款金额为每年运维费用的35%减掉当期扣款金额。第二年开始支付每年运维费用30%预付款，当年剩余金额按考核周期进行考核及付款。每期考核结束后10个工作日内向</w:t>
            </w:r>
            <w:r>
              <w:rPr>
                <w:rFonts w:ascii="宋体" w:hAnsi="宋体" w:cs="Arial" w:hint="eastAsia"/>
                <w:color w:val="000000"/>
                <w:szCs w:val="21"/>
              </w:rPr>
              <w:t>中标人</w:t>
            </w:r>
            <w:r>
              <w:rPr>
                <w:rFonts w:ascii="宋体" w:hAnsi="宋体" w:cs="仿宋_GB2312" w:hint="eastAsia"/>
                <w:color w:val="000000"/>
                <w:szCs w:val="21"/>
              </w:rPr>
              <w:t>支付，每期付款金额为每年运维费用的35%减掉当期扣款金额。</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具体约定如下：</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①每个考核周期扣减金额独立计算，均以每年运维费用的35%作为扣减基准。</w:t>
            </w:r>
          </w:p>
          <w:p w:rsidR="00AD5B8C" w:rsidRDefault="00AD5B8C">
            <w:pPr>
              <w:spacing w:line="400" w:lineRule="exact"/>
              <w:jc w:val="left"/>
              <w:rPr>
                <w:rFonts w:ascii="宋体" w:hAnsi="宋体" w:cs="仿宋_GB2312" w:hint="eastAsia"/>
                <w:color w:val="000000"/>
                <w:szCs w:val="21"/>
              </w:rPr>
            </w:pPr>
            <w:r>
              <w:rPr>
                <w:rFonts w:ascii="宋体" w:hAnsi="宋体" w:cs="仿宋_GB2312" w:hint="eastAsia"/>
                <w:color w:val="000000"/>
                <w:szCs w:val="21"/>
              </w:rPr>
              <w:t>②每个考核周期扣减金额与运维服务质量评价得分扣减金额折算关系如下表所示</w:t>
            </w:r>
          </w:p>
          <w:p w:rsidR="00AD5B8C" w:rsidRDefault="00AD5B8C">
            <w:pPr>
              <w:spacing w:line="400" w:lineRule="exact"/>
              <w:jc w:val="left"/>
              <w:rPr>
                <w:rFonts w:ascii="宋体" w:hAnsi="宋体" w:cs="仿宋_GB2312" w:hint="eastAsia"/>
                <w:b/>
                <w:color w:val="000000"/>
                <w:szCs w:val="21"/>
              </w:rPr>
            </w:pPr>
            <w:r>
              <w:rPr>
                <w:rFonts w:ascii="宋体" w:hAnsi="宋体" w:cs="仿宋_GB2312" w:hint="eastAsia"/>
                <w:b/>
                <w:color w:val="000000"/>
                <w:szCs w:val="21"/>
              </w:rPr>
              <w:t>运维服务质量评价得分扣减金额折算表</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2639"/>
              <w:gridCol w:w="1330"/>
              <w:gridCol w:w="1962"/>
            </w:tblGrid>
            <w:tr w:rsidR="00AD5B8C">
              <w:tc>
                <w:tcPr>
                  <w:tcW w:w="65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widowControl w:val="0"/>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序号</w:t>
                  </w:r>
                </w:p>
              </w:tc>
              <w:tc>
                <w:tcPr>
                  <w:tcW w:w="263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widowControl w:val="0"/>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运维服务质量评价得分</w:t>
                  </w:r>
                </w:p>
              </w:tc>
              <w:tc>
                <w:tcPr>
                  <w:tcW w:w="1330"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widowControl w:val="0"/>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扣减系数</w:t>
                  </w:r>
                </w:p>
              </w:tc>
              <w:tc>
                <w:tcPr>
                  <w:tcW w:w="196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widowControl w:val="0"/>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扣减金额</w:t>
                  </w:r>
                </w:p>
              </w:tc>
            </w:tr>
            <w:tr w:rsidR="00AD5B8C">
              <w:tc>
                <w:tcPr>
                  <w:tcW w:w="65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center"/>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1</w:t>
                  </w:r>
                </w:p>
              </w:tc>
              <w:tc>
                <w:tcPr>
                  <w:tcW w:w="263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both"/>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90≤运维服务质量评价得分≤100</w:t>
                  </w:r>
                </w:p>
              </w:tc>
              <w:tc>
                <w:tcPr>
                  <w:tcW w:w="1330"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center"/>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0%</w:t>
                  </w:r>
                </w:p>
              </w:tc>
              <w:tc>
                <w:tcPr>
                  <w:tcW w:w="196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both"/>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0</w:t>
                  </w:r>
                </w:p>
              </w:tc>
            </w:tr>
            <w:tr w:rsidR="00AD5B8C">
              <w:tc>
                <w:tcPr>
                  <w:tcW w:w="65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center"/>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2</w:t>
                  </w:r>
                </w:p>
              </w:tc>
              <w:tc>
                <w:tcPr>
                  <w:tcW w:w="263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both"/>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80≤运维服务质量评价得分&lt;90</w:t>
                  </w:r>
                </w:p>
              </w:tc>
              <w:tc>
                <w:tcPr>
                  <w:tcW w:w="1330"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center"/>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2%</w:t>
                  </w:r>
                </w:p>
              </w:tc>
              <w:tc>
                <w:tcPr>
                  <w:tcW w:w="196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both"/>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2%×每年运维费用的35%</w:t>
                  </w:r>
                </w:p>
              </w:tc>
            </w:tr>
            <w:tr w:rsidR="00AD5B8C">
              <w:tc>
                <w:tcPr>
                  <w:tcW w:w="65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center"/>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3</w:t>
                  </w:r>
                </w:p>
              </w:tc>
              <w:tc>
                <w:tcPr>
                  <w:tcW w:w="263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both"/>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70≤运维服务质量评价得分&lt;80</w:t>
                  </w:r>
                </w:p>
              </w:tc>
              <w:tc>
                <w:tcPr>
                  <w:tcW w:w="1330"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center"/>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5%</w:t>
                  </w:r>
                </w:p>
              </w:tc>
              <w:tc>
                <w:tcPr>
                  <w:tcW w:w="196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both"/>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5%×每年运维费用的35%</w:t>
                  </w:r>
                </w:p>
              </w:tc>
            </w:tr>
            <w:tr w:rsidR="00AD5B8C">
              <w:tc>
                <w:tcPr>
                  <w:tcW w:w="65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center"/>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4</w:t>
                  </w:r>
                </w:p>
              </w:tc>
              <w:tc>
                <w:tcPr>
                  <w:tcW w:w="263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both"/>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60≤运维服务质量评价得分&lt;70</w:t>
                  </w:r>
                </w:p>
              </w:tc>
              <w:tc>
                <w:tcPr>
                  <w:tcW w:w="1330"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center"/>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10%</w:t>
                  </w:r>
                </w:p>
              </w:tc>
              <w:tc>
                <w:tcPr>
                  <w:tcW w:w="196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both"/>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10%×每年运维费用的35%</w:t>
                  </w:r>
                </w:p>
              </w:tc>
            </w:tr>
            <w:tr w:rsidR="00AD5B8C">
              <w:tc>
                <w:tcPr>
                  <w:tcW w:w="65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center"/>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5</w:t>
                  </w:r>
                </w:p>
              </w:tc>
              <w:tc>
                <w:tcPr>
                  <w:tcW w:w="263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both"/>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运维服务质量评价得分&lt;60</w:t>
                  </w:r>
                </w:p>
              </w:tc>
              <w:tc>
                <w:tcPr>
                  <w:tcW w:w="1330"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center"/>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20%</w:t>
                  </w:r>
                </w:p>
              </w:tc>
              <w:tc>
                <w:tcPr>
                  <w:tcW w:w="1962"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widowControl w:val="0"/>
                    <w:jc w:val="both"/>
                    <w:rPr>
                      <w:rFonts w:ascii="宋体" w:eastAsia="宋体" w:hAnsi="宋体" w:cs="仿宋_GB2312"/>
                      <w:color w:val="000000"/>
                      <w:kern w:val="2"/>
                      <w:sz w:val="21"/>
                      <w:szCs w:val="21"/>
                    </w:rPr>
                  </w:pPr>
                  <w:r>
                    <w:rPr>
                      <w:rFonts w:ascii="宋体" w:eastAsia="宋体" w:hAnsi="宋体" w:cs="仿宋_GB2312" w:hint="eastAsia"/>
                      <w:color w:val="000000"/>
                      <w:kern w:val="2"/>
                      <w:sz w:val="21"/>
                      <w:szCs w:val="21"/>
                    </w:rPr>
                    <w:t>20%×每年运维费用的35%</w:t>
                  </w:r>
                </w:p>
              </w:tc>
            </w:tr>
          </w:tbl>
          <w:p w:rsidR="00AD5B8C" w:rsidRDefault="00AD5B8C">
            <w:pPr>
              <w:spacing w:line="400" w:lineRule="exact"/>
              <w:jc w:val="left"/>
              <w:rPr>
                <w:rFonts w:ascii="宋体" w:hAnsi="宋体" w:cs="仿宋_GB2312"/>
                <w:color w:val="000000"/>
                <w:kern w:val="0"/>
                <w:szCs w:val="21"/>
              </w:rPr>
            </w:pP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hideMark/>
          </w:tcPr>
          <w:p w:rsidR="00AD5B8C" w:rsidRDefault="00AD5B8C">
            <w:pPr>
              <w:rPr>
                <w:color w:val="000000"/>
              </w:rPr>
            </w:pPr>
            <w:r>
              <w:rPr>
                <w:rFonts w:hint="eastAsia"/>
                <w:color w:val="000000"/>
              </w:rPr>
              <w:t>其他要求</w:t>
            </w:r>
          </w:p>
        </w:tc>
        <w:tc>
          <w:tcPr>
            <w:tcW w:w="10259" w:type="dxa"/>
            <w:gridSpan w:val="4"/>
            <w:tcBorders>
              <w:top w:val="single" w:sz="4" w:space="0" w:color="auto"/>
              <w:left w:val="single" w:sz="4" w:space="0" w:color="auto"/>
              <w:bottom w:val="single" w:sz="4" w:space="0" w:color="auto"/>
              <w:right w:val="single" w:sz="4" w:space="0" w:color="auto"/>
            </w:tcBorders>
            <w:hideMark/>
          </w:tcPr>
          <w:p w:rsidR="00AD5B8C" w:rsidRDefault="00AD5B8C">
            <w:pPr>
              <w:rPr>
                <w:b/>
                <w:color w:val="000000"/>
              </w:rPr>
            </w:pPr>
            <w:r>
              <w:rPr>
                <w:rFonts w:hint="eastAsia"/>
                <w:color w:val="000000"/>
              </w:rPr>
              <w:t>（</w:t>
            </w:r>
            <w:r>
              <w:rPr>
                <w:color w:val="000000"/>
              </w:rPr>
              <w:t>1</w:t>
            </w:r>
            <w:r>
              <w:rPr>
                <w:rFonts w:hint="eastAsia"/>
                <w:color w:val="000000"/>
              </w:rPr>
              <w:t>）投标人须承诺其提供的抓拍机、测速雷达、补光灯、闪光灯、球机、终端服务器、拼接屏、服务器、硬盘等备品备件能接入全程监控系统（视频及高清卡口综合应用平台）；如需更换的新硬件与原平台软硬件出现兼容性问题而导致系统无法正常运行的，由</w:t>
            </w:r>
            <w:r>
              <w:rPr>
                <w:rFonts w:ascii="宋体" w:hAnsi="宋体" w:cs="Arial" w:hint="eastAsia"/>
                <w:color w:val="000000"/>
                <w:szCs w:val="21"/>
              </w:rPr>
              <w:t>中标人</w:t>
            </w:r>
            <w:r>
              <w:rPr>
                <w:rFonts w:hint="eastAsia"/>
                <w:color w:val="000000"/>
              </w:rPr>
              <w:t>负责进行系统集成标准化改造，互联集成和对接所产生的软件开发等所有费用由</w:t>
            </w:r>
            <w:r>
              <w:rPr>
                <w:rFonts w:ascii="宋体" w:hAnsi="宋体" w:cs="Arial" w:hint="eastAsia"/>
                <w:color w:val="000000"/>
                <w:szCs w:val="21"/>
              </w:rPr>
              <w:t>中标人</w:t>
            </w:r>
            <w:r>
              <w:rPr>
                <w:rFonts w:hint="eastAsia"/>
                <w:color w:val="000000"/>
              </w:rPr>
              <w:t>负责，</w:t>
            </w:r>
            <w:r>
              <w:rPr>
                <w:rFonts w:hint="eastAsia"/>
                <w:b/>
                <w:color w:val="000000"/>
              </w:rPr>
              <w:t>投标人必须在投标文件中提供备品备件与原系统的互联互通性承诺书</w:t>
            </w:r>
            <w:r>
              <w:rPr>
                <w:rStyle w:val="aff0"/>
                <w:rFonts w:hint="eastAsia"/>
                <w:color w:val="000000"/>
              </w:rPr>
              <w:t>（格式自拟）</w:t>
            </w:r>
            <w:r>
              <w:rPr>
                <w:rFonts w:hint="eastAsia"/>
                <w:b/>
                <w:color w:val="000000"/>
              </w:rPr>
              <w:t>，否则投标无效。</w:t>
            </w:r>
          </w:p>
          <w:p w:rsidR="00AD5B8C" w:rsidRDefault="00AD5B8C">
            <w:pPr>
              <w:rPr>
                <w:color w:val="000000"/>
              </w:rPr>
            </w:pPr>
            <w:r>
              <w:rPr>
                <w:rFonts w:hint="eastAsia"/>
                <w:color w:val="000000"/>
              </w:rPr>
              <w:t>（</w:t>
            </w:r>
            <w:r>
              <w:rPr>
                <w:color w:val="000000"/>
              </w:rPr>
              <w:t>2</w:t>
            </w:r>
            <w:r>
              <w:rPr>
                <w:rFonts w:hint="eastAsia"/>
                <w:color w:val="000000"/>
              </w:rPr>
              <w:t>）投标人自行配备运维所需要的备品备件、仪器仪表和工具、不低于</w:t>
            </w:r>
            <w:r>
              <w:rPr>
                <w:color w:val="000000"/>
              </w:rPr>
              <w:t>5</w:t>
            </w:r>
            <w:r>
              <w:rPr>
                <w:rFonts w:hint="eastAsia"/>
                <w:color w:val="000000"/>
              </w:rPr>
              <w:t>辆交通车辆（如：</w:t>
            </w:r>
            <w:r>
              <w:rPr>
                <w:rFonts w:ascii="宋体" w:hAnsi="宋体" w:cs="宋体" w:hint="eastAsia"/>
                <w:bCs/>
                <w:color w:val="000000"/>
                <w:kern w:val="0"/>
                <w:szCs w:val="21"/>
                <w:lang w:val="zh-CN" w:bidi="zh-CN"/>
              </w:rPr>
              <w:t>售后保障交通车辆和特种车辆升降登高平台车</w:t>
            </w:r>
            <w:r>
              <w:rPr>
                <w:rFonts w:hint="eastAsia"/>
                <w:color w:val="000000"/>
              </w:rPr>
              <w:t>）和工程机械，保持设备及交通工具状态良好。</w:t>
            </w:r>
          </w:p>
        </w:tc>
      </w:tr>
      <w:tr w:rsidR="00AD5B8C" w:rsidTr="00AD5B8C">
        <w:trPr>
          <w:jc w:val="center"/>
        </w:trPr>
        <w:tc>
          <w:tcPr>
            <w:tcW w:w="11065" w:type="dxa"/>
            <w:gridSpan w:val="6"/>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b/>
                <w:color w:val="000000"/>
                <w:szCs w:val="21"/>
              </w:rPr>
            </w:pPr>
            <w:r>
              <w:rPr>
                <w:rFonts w:ascii="宋体" w:hAnsi="宋体" w:hint="eastAsia"/>
                <w:b/>
                <w:bCs/>
                <w:color w:val="000000"/>
                <w:szCs w:val="21"/>
              </w:rPr>
              <w:lastRenderedPageBreak/>
              <w:t>二、与实现项目目标相关的其他要求</w:t>
            </w:r>
          </w:p>
        </w:tc>
      </w:tr>
      <w:tr w:rsidR="00AD5B8C" w:rsidTr="00AD5B8C">
        <w:trPr>
          <w:jc w:val="center"/>
        </w:trPr>
        <w:tc>
          <w:tcPr>
            <w:tcW w:w="11065" w:type="dxa"/>
            <w:gridSpan w:val="6"/>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b/>
                <w:color w:val="000000"/>
                <w:szCs w:val="21"/>
              </w:rPr>
            </w:pPr>
            <w:r>
              <w:rPr>
                <w:rFonts w:ascii="宋体" w:hAnsi="宋体" w:hint="eastAsia"/>
                <w:b/>
                <w:color w:val="000000"/>
                <w:szCs w:val="21"/>
              </w:rPr>
              <w:t>（一）投标人的履约能力要求</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b/>
                <w:color w:val="000000"/>
                <w:szCs w:val="21"/>
              </w:rPr>
            </w:pPr>
            <w:r>
              <w:rPr>
                <w:rFonts w:ascii="宋体" w:hAnsi="宋体" w:hint="eastAsia"/>
                <w:color w:val="000000"/>
                <w:szCs w:val="21"/>
              </w:rPr>
              <w:t>管理体系要求</w:t>
            </w:r>
          </w:p>
        </w:tc>
        <w:tc>
          <w:tcPr>
            <w:tcW w:w="10259" w:type="dxa"/>
            <w:gridSpan w:val="4"/>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b/>
                <w:color w:val="000000"/>
                <w:szCs w:val="21"/>
              </w:rPr>
            </w:pPr>
            <w:r>
              <w:rPr>
                <w:rFonts w:ascii="宋体" w:hAnsi="宋体" w:hint="eastAsia"/>
                <w:color w:val="000000"/>
                <w:szCs w:val="21"/>
              </w:rPr>
              <w:t>如有，</w:t>
            </w:r>
            <w:r>
              <w:rPr>
                <w:rFonts w:ascii="宋体" w:hAnsi="宋体" w:hint="eastAsia"/>
                <w:color w:val="000000"/>
              </w:rPr>
              <w:t>详见《第四章评标办法及评分标准》。</w:t>
            </w:r>
          </w:p>
        </w:tc>
      </w:tr>
      <w:tr w:rsidR="00AD5B8C" w:rsidTr="00AD5B8C">
        <w:trPr>
          <w:jc w:val="center"/>
        </w:trPr>
        <w:tc>
          <w:tcPr>
            <w:tcW w:w="806" w:type="dxa"/>
            <w:gridSpan w:val="2"/>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b/>
                <w:color w:val="000000"/>
                <w:szCs w:val="21"/>
              </w:rPr>
            </w:pPr>
            <w:r>
              <w:rPr>
                <w:rFonts w:ascii="宋体" w:hAnsi="宋体" w:hint="eastAsia"/>
                <w:color w:val="000000"/>
                <w:szCs w:val="21"/>
              </w:rPr>
              <w:t>业绩要求</w:t>
            </w:r>
          </w:p>
        </w:tc>
        <w:tc>
          <w:tcPr>
            <w:tcW w:w="10259" w:type="dxa"/>
            <w:gridSpan w:val="4"/>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b/>
                <w:color w:val="000000"/>
                <w:szCs w:val="21"/>
              </w:rPr>
            </w:pPr>
            <w:r>
              <w:rPr>
                <w:rFonts w:ascii="宋体" w:hAnsi="宋体" w:hint="eastAsia"/>
                <w:color w:val="000000"/>
                <w:szCs w:val="21"/>
              </w:rPr>
              <w:t>如有，</w:t>
            </w:r>
            <w:r>
              <w:rPr>
                <w:rFonts w:ascii="宋体" w:hAnsi="宋体" w:hint="eastAsia"/>
                <w:color w:val="000000"/>
              </w:rPr>
              <w:t>详见《第四章评标办法及评分标准》。</w:t>
            </w:r>
          </w:p>
        </w:tc>
      </w:tr>
      <w:tr w:rsidR="00AD5B8C" w:rsidTr="00AD5B8C">
        <w:trPr>
          <w:jc w:val="center"/>
        </w:trPr>
        <w:tc>
          <w:tcPr>
            <w:tcW w:w="11065" w:type="dxa"/>
            <w:gridSpan w:val="6"/>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color w:val="000000"/>
                <w:szCs w:val="21"/>
              </w:rPr>
            </w:pPr>
            <w:r>
              <w:rPr>
                <w:rFonts w:ascii="宋体" w:hAnsi="宋体" w:hint="eastAsia"/>
                <w:b/>
                <w:color w:val="000000"/>
                <w:szCs w:val="21"/>
              </w:rPr>
              <w:t>（二）其他要求</w:t>
            </w:r>
          </w:p>
        </w:tc>
      </w:tr>
      <w:tr w:rsidR="00AD5B8C" w:rsidTr="00AD5B8C">
        <w:trPr>
          <w:jc w:val="center"/>
        </w:trPr>
        <w:tc>
          <w:tcPr>
            <w:tcW w:w="11065" w:type="dxa"/>
            <w:gridSpan w:val="6"/>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color w:val="000000"/>
                <w:szCs w:val="21"/>
              </w:rPr>
            </w:pPr>
            <w:r>
              <w:rPr>
                <w:rFonts w:ascii="宋体" w:hAnsi="宋体" w:hint="eastAsia"/>
                <w:color w:val="000000"/>
              </w:rPr>
              <w:t>本项目为服务采购，无核心产品要求。</w:t>
            </w:r>
          </w:p>
        </w:tc>
      </w:tr>
      <w:tr w:rsidR="00AD5B8C" w:rsidTr="00AD5B8C">
        <w:trPr>
          <w:jc w:val="center"/>
        </w:trPr>
        <w:tc>
          <w:tcPr>
            <w:tcW w:w="11065" w:type="dxa"/>
            <w:gridSpan w:val="6"/>
            <w:tcBorders>
              <w:top w:val="single" w:sz="4" w:space="0" w:color="auto"/>
              <w:left w:val="single" w:sz="4" w:space="0" w:color="auto"/>
              <w:bottom w:val="single" w:sz="4" w:space="0" w:color="auto"/>
              <w:right w:val="single" w:sz="4" w:space="0" w:color="auto"/>
            </w:tcBorders>
            <w:vAlign w:val="center"/>
            <w:hideMark/>
          </w:tcPr>
          <w:p w:rsidR="00AD5B8C" w:rsidRDefault="00AD5B8C">
            <w:pPr>
              <w:spacing w:line="360" w:lineRule="auto"/>
              <w:rPr>
                <w:rFonts w:ascii="宋体" w:hAnsi="宋体"/>
                <w:color w:val="000000"/>
              </w:rPr>
            </w:pPr>
            <w:r>
              <w:rPr>
                <w:rFonts w:ascii="宋体" w:hAnsi="宋体" w:hint="eastAsia"/>
                <w:color w:val="000000"/>
              </w:rPr>
              <w:t>本项目为服务采购，不适用进口产品说明。</w:t>
            </w:r>
          </w:p>
        </w:tc>
      </w:tr>
      <w:tr w:rsidR="00AD5B8C" w:rsidTr="00AD5B8C">
        <w:trPr>
          <w:jc w:val="center"/>
        </w:trPr>
        <w:tc>
          <w:tcPr>
            <w:tcW w:w="11065" w:type="dxa"/>
            <w:gridSpan w:val="6"/>
            <w:tcBorders>
              <w:top w:val="single" w:sz="4" w:space="0" w:color="auto"/>
              <w:left w:val="single" w:sz="4" w:space="0" w:color="auto"/>
              <w:bottom w:val="single" w:sz="4" w:space="0" w:color="auto"/>
              <w:right w:val="single" w:sz="4" w:space="0" w:color="auto"/>
            </w:tcBorders>
            <w:vAlign w:val="center"/>
            <w:hideMark/>
          </w:tcPr>
          <w:p w:rsidR="00AD5B8C" w:rsidRDefault="00AD5B8C">
            <w:pPr>
              <w:tabs>
                <w:tab w:val="left" w:pos="180"/>
                <w:tab w:val="left" w:pos="1620"/>
              </w:tabs>
              <w:spacing w:line="360" w:lineRule="auto"/>
              <w:rPr>
                <w:rFonts w:ascii="宋体" w:hAnsi="宋体" w:cs="宋体"/>
                <w:b/>
                <w:bCs/>
                <w:color w:val="000000"/>
                <w:szCs w:val="21"/>
              </w:rPr>
            </w:pPr>
            <w:r>
              <w:rPr>
                <w:rFonts w:ascii="宋体" w:hAnsi="宋体" w:cs="宋体" w:hint="eastAsia"/>
                <w:b/>
                <w:bCs/>
                <w:color w:val="000000"/>
                <w:szCs w:val="21"/>
              </w:rPr>
              <w:t>三、采购人对项目的其他要求和说明</w:t>
            </w:r>
          </w:p>
        </w:tc>
      </w:tr>
      <w:tr w:rsidR="00AD5B8C" w:rsidTr="00AD5B8C">
        <w:trPr>
          <w:trHeight w:val="886"/>
          <w:jc w:val="center"/>
        </w:trPr>
        <w:tc>
          <w:tcPr>
            <w:tcW w:w="11065" w:type="dxa"/>
            <w:gridSpan w:val="6"/>
            <w:tcBorders>
              <w:top w:val="single" w:sz="4" w:space="0" w:color="auto"/>
              <w:left w:val="single" w:sz="4" w:space="0" w:color="auto"/>
              <w:bottom w:val="single" w:sz="4" w:space="0" w:color="auto"/>
              <w:right w:val="single" w:sz="4" w:space="0" w:color="auto"/>
            </w:tcBorders>
            <w:vAlign w:val="center"/>
            <w:hideMark/>
          </w:tcPr>
          <w:p w:rsidR="00AD5B8C" w:rsidRDefault="00AD5B8C">
            <w:pPr>
              <w:adjustRightInd w:val="0"/>
              <w:snapToGrid w:val="0"/>
              <w:spacing w:line="360" w:lineRule="atLeast"/>
              <w:jc w:val="left"/>
              <w:textAlignment w:val="baseline"/>
              <w:rPr>
                <w:rFonts w:ascii="宋体" w:hAnsi="宋体" w:cs="宋体"/>
                <w:bCs/>
                <w:color w:val="000000"/>
                <w:szCs w:val="21"/>
              </w:rPr>
            </w:pPr>
            <w:r>
              <w:rPr>
                <w:rFonts w:ascii="宋体" w:hAnsi="宋体" w:cs="宋体" w:hint="eastAsia"/>
                <w:bCs/>
                <w:color w:val="000000"/>
                <w:szCs w:val="21"/>
              </w:rPr>
              <w:t>现场考察：</w:t>
            </w:r>
          </w:p>
          <w:p w:rsidR="00AD5B8C" w:rsidRDefault="00AD5B8C">
            <w:pPr>
              <w:adjustRightInd w:val="0"/>
              <w:snapToGrid w:val="0"/>
              <w:spacing w:line="360" w:lineRule="atLeast"/>
              <w:jc w:val="left"/>
              <w:textAlignment w:val="baseline"/>
              <w:rPr>
                <w:rFonts w:hint="eastAsia"/>
                <w:color w:val="000000"/>
              </w:rPr>
            </w:pPr>
            <w:r>
              <w:rPr>
                <w:rFonts w:hint="eastAsia"/>
                <w:color w:val="000000"/>
              </w:rPr>
              <w:t>为保证投标人充分了解项目实际情况（包括但不限于本项目建设标准、硬件环境），本项目将统一组织投标人进行现场考察。投标人可根据自身需要按以下规定的统一集中考察时间及地点自行前往参加本项目现场考察。</w:t>
            </w:r>
          </w:p>
          <w:p w:rsidR="00AD5B8C" w:rsidRDefault="00AD5B8C">
            <w:pPr>
              <w:adjustRightInd w:val="0"/>
              <w:snapToGrid w:val="0"/>
              <w:spacing w:line="360" w:lineRule="atLeast"/>
              <w:jc w:val="left"/>
              <w:textAlignment w:val="baseline"/>
              <w:rPr>
                <w:rFonts w:ascii="宋体" w:hAnsi="宋体" w:cs="宋体"/>
                <w:bCs/>
                <w:color w:val="000000"/>
                <w:szCs w:val="21"/>
              </w:rPr>
            </w:pPr>
            <w:r>
              <w:rPr>
                <w:rFonts w:ascii="宋体" w:hAnsi="宋体" w:cs="宋体" w:hint="eastAsia"/>
                <w:bCs/>
                <w:color w:val="000000"/>
                <w:szCs w:val="21"/>
              </w:rPr>
              <w:t>考察交通工具、费用、人身安全等由各投标人自行承担。</w:t>
            </w:r>
          </w:p>
          <w:p w:rsidR="00AD5B8C" w:rsidRDefault="00AD5B8C">
            <w:pPr>
              <w:adjustRightInd w:val="0"/>
              <w:snapToGrid w:val="0"/>
              <w:spacing w:line="360" w:lineRule="atLeast"/>
              <w:jc w:val="left"/>
              <w:textAlignment w:val="baseline"/>
              <w:rPr>
                <w:rFonts w:ascii="宋体" w:hAnsi="宋体" w:cs="宋体" w:hint="eastAsia"/>
                <w:bCs/>
                <w:color w:val="000000"/>
                <w:szCs w:val="21"/>
              </w:rPr>
            </w:pPr>
            <w:r>
              <w:rPr>
                <w:rFonts w:ascii="宋体" w:hAnsi="宋体" w:cs="宋体" w:hint="eastAsia"/>
                <w:bCs/>
                <w:color w:val="000000"/>
                <w:szCs w:val="21"/>
              </w:rPr>
              <w:t>投标人代理人持针对本项目出具的法定代表人授权委托书或单位介绍信原件、代理人身份证原件前往。</w:t>
            </w:r>
          </w:p>
          <w:p w:rsidR="00AD5B8C" w:rsidRDefault="00AD5B8C">
            <w:pPr>
              <w:adjustRightInd w:val="0"/>
              <w:snapToGrid w:val="0"/>
              <w:spacing w:line="360" w:lineRule="atLeast"/>
              <w:jc w:val="left"/>
              <w:textAlignment w:val="baseline"/>
              <w:rPr>
                <w:rFonts w:ascii="宋体" w:hAnsi="宋体" w:cs="宋体" w:hint="eastAsia"/>
                <w:bCs/>
                <w:color w:val="000000"/>
                <w:szCs w:val="21"/>
              </w:rPr>
            </w:pPr>
            <w:r>
              <w:rPr>
                <w:rFonts w:ascii="宋体" w:hAnsi="宋体" w:cs="宋体" w:hint="eastAsia"/>
                <w:bCs/>
                <w:color w:val="000000"/>
                <w:szCs w:val="21"/>
              </w:rPr>
              <w:t>投标人可于考察前一个工作日提前联系，如过后联系不上后果自负。</w:t>
            </w:r>
          </w:p>
          <w:p w:rsidR="00AD5B8C" w:rsidRDefault="00AD5B8C">
            <w:pPr>
              <w:adjustRightInd w:val="0"/>
              <w:snapToGrid w:val="0"/>
              <w:spacing w:line="360" w:lineRule="atLeast"/>
              <w:jc w:val="left"/>
              <w:textAlignment w:val="baseline"/>
              <w:rPr>
                <w:rFonts w:ascii="宋体" w:hAnsi="宋体" w:cs="宋体" w:hint="eastAsia"/>
                <w:bCs/>
                <w:color w:val="000000"/>
                <w:szCs w:val="21"/>
              </w:rPr>
            </w:pPr>
            <w:r>
              <w:rPr>
                <w:rFonts w:ascii="宋体" w:hAnsi="宋体" w:cs="宋体" w:hint="eastAsia"/>
                <w:bCs/>
                <w:color w:val="000000"/>
                <w:szCs w:val="21"/>
              </w:rPr>
              <w:t>考察时间：2026年7月23日上午9:30前集中，9:30后由采购人统一安排进行考察；</w:t>
            </w:r>
          </w:p>
          <w:p w:rsidR="00AD5B8C" w:rsidRDefault="00AD5B8C">
            <w:pPr>
              <w:adjustRightInd w:val="0"/>
              <w:snapToGrid w:val="0"/>
              <w:spacing w:line="360" w:lineRule="atLeast"/>
              <w:jc w:val="left"/>
              <w:textAlignment w:val="baseline"/>
              <w:rPr>
                <w:rFonts w:ascii="宋体" w:hAnsi="宋体" w:cs="宋体" w:hint="eastAsia"/>
                <w:bCs/>
                <w:color w:val="000000"/>
                <w:szCs w:val="21"/>
              </w:rPr>
            </w:pPr>
            <w:r>
              <w:rPr>
                <w:rFonts w:ascii="宋体" w:hAnsi="宋体" w:cs="宋体" w:hint="eastAsia"/>
                <w:bCs/>
                <w:color w:val="000000"/>
                <w:szCs w:val="21"/>
              </w:rPr>
              <w:t xml:space="preserve">集中地点：广西壮族自治区公安厅交通警察总队大门口（广西南宁市青秀区东葛路127号）  </w:t>
            </w:r>
          </w:p>
          <w:p w:rsidR="00AD5B8C" w:rsidRDefault="00AD5B8C">
            <w:pPr>
              <w:adjustRightInd w:val="0"/>
              <w:snapToGrid w:val="0"/>
              <w:spacing w:line="360" w:lineRule="atLeast"/>
              <w:jc w:val="left"/>
              <w:textAlignment w:val="baseline"/>
              <w:rPr>
                <w:rFonts w:ascii="宋体" w:hAnsi="宋体" w:cs="宋体"/>
                <w:bCs/>
                <w:color w:val="000000"/>
                <w:szCs w:val="21"/>
              </w:rPr>
            </w:pPr>
            <w:r>
              <w:rPr>
                <w:rFonts w:ascii="宋体" w:hAnsi="宋体" w:cs="宋体" w:hint="eastAsia"/>
                <w:bCs/>
                <w:color w:val="000000"/>
                <w:szCs w:val="21"/>
              </w:rPr>
              <w:t>联系人：李浩，联系电话：18776180049</w:t>
            </w:r>
          </w:p>
        </w:tc>
      </w:tr>
      <w:tr w:rsidR="00AD5B8C" w:rsidTr="00AD5B8C">
        <w:trPr>
          <w:trHeight w:val="886"/>
          <w:jc w:val="center"/>
        </w:trPr>
        <w:tc>
          <w:tcPr>
            <w:tcW w:w="11065" w:type="dxa"/>
            <w:gridSpan w:val="6"/>
            <w:tcBorders>
              <w:top w:val="single" w:sz="4" w:space="0" w:color="auto"/>
              <w:left w:val="single" w:sz="4" w:space="0" w:color="auto"/>
              <w:bottom w:val="single" w:sz="4" w:space="0" w:color="auto"/>
              <w:right w:val="single" w:sz="4" w:space="0" w:color="auto"/>
            </w:tcBorders>
            <w:vAlign w:val="center"/>
            <w:hideMark/>
          </w:tcPr>
          <w:p w:rsidR="00AD5B8C" w:rsidRDefault="00AD5B8C">
            <w:pPr>
              <w:adjustRightInd w:val="0"/>
              <w:snapToGrid w:val="0"/>
              <w:spacing w:line="360" w:lineRule="atLeast"/>
              <w:jc w:val="left"/>
              <w:textAlignment w:val="baseline"/>
              <w:rPr>
                <w:rFonts w:ascii="宋体" w:hAnsi="宋体" w:cs="宋体"/>
                <w:bCs/>
                <w:color w:val="000000"/>
                <w:szCs w:val="21"/>
              </w:rPr>
            </w:pPr>
            <w:r>
              <w:rPr>
                <w:rFonts w:ascii="宋体" w:hAnsi="宋体" w:cs="宋体" w:hint="eastAsia"/>
                <w:bCs/>
                <w:color w:val="000000"/>
                <w:szCs w:val="21"/>
              </w:rPr>
              <w:t>投标人可根据评分标准在投标文件中提供技术方案、实施方案、应急服务方案、服务人员能力证明、信</w:t>
            </w:r>
            <w:r>
              <w:rPr>
                <w:rFonts w:hAnsi="宋体" w:cs="宋体" w:hint="eastAsia"/>
                <w:color w:val="000000"/>
                <w:spacing w:val="-6"/>
                <w:szCs w:val="21"/>
              </w:rPr>
              <w:t>誉业绩</w:t>
            </w:r>
            <w:r>
              <w:rPr>
                <w:rFonts w:ascii="宋体" w:hAnsi="宋体" w:hint="eastAsia"/>
                <w:color w:val="000000"/>
                <w:szCs w:val="21"/>
              </w:rPr>
              <w:t>证明。</w:t>
            </w:r>
          </w:p>
        </w:tc>
      </w:tr>
      <w:tr w:rsidR="00AD5B8C" w:rsidTr="00AD5B8C">
        <w:trPr>
          <w:trHeight w:val="886"/>
          <w:jc w:val="center"/>
        </w:trPr>
        <w:tc>
          <w:tcPr>
            <w:tcW w:w="11065" w:type="dxa"/>
            <w:gridSpan w:val="6"/>
            <w:tcBorders>
              <w:top w:val="single" w:sz="4" w:space="0" w:color="auto"/>
              <w:left w:val="single" w:sz="4" w:space="0" w:color="auto"/>
              <w:bottom w:val="single" w:sz="4" w:space="0" w:color="auto"/>
              <w:right w:val="single" w:sz="4" w:space="0" w:color="auto"/>
            </w:tcBorders>
            <w:vAlign w:val="center"/>
            <w:hideMark/>
          </w:tcPr>
          <w:p w:rsidR="00AD5B8C" w:rsidRDefault="00AD5B8C">
            <w:pPr>
              <w:adjustRightInd w:val="0"/>
              <w:snapToGrid w:val="0"/>
              <w:spacing w:line="360" w:lineRule="atLeast"/>
              <w:jc w:val="left"/>
              <w:textAlignment w:val="baseline"/>
              <w:rPr>
                <w:rFonts w:ascii="宋体" w:hAnsi="宋体" w:cs="宋体"/>
                <w:bCs/>
                <w:color w:val="000000"/>
                <w:szCs w:val="21"/>
              </w:rPr>
            </w:pPr>
            <w:r>
              <w:rPr>
                <w:rFonts w:ascii="宋体" w:hAnsi="宋体" w:cs="宋体" w:hint="eastAsia"/>
                <w:bCs/>
                <w:color w:val="000000"/>
                <w:szCs w:val="21"/>
              </w:rPr>
              <w:t>本项目运维软硬件清单附后。</w:t>
            </w:r>
          </w:p>
        </w:tc>
      </w:tr>
    </w:tbl>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rPr>
          <w:rFonts w:ascii="宋体" w:hAnsi="宋体" w:cs="宋体" w:hint="eastAsia"/>
          <w:bCs/>
          <w:color w:val="000000"/>
          <w:szCs w:val="21"/>
        </w:rPr>
      </w:pPr>
      <w:r>
        <w:rPr>
          <w:rFonts w:ascii="宋体" w:hAnsi="宋体" w:cs="宋体" w:hint="eastAsia"/>
          <w:bCs/>
          <w:color w:val="000000"/>
          <w:szCs w:val="21"/>
        </w:rPr>
        <w:t>本项目运维软硬件清单</w:t>
      </w:r>
    </w:p>
    <w:p w:rsidR="00AD5B8C" w:rsidRDefault="00AD5B8C" w:rsidP="00AD5B8C">
      <w:pPr>
        <w:tabs>
          <w:tab w:val="left" w:pos="180"/>
          <w:tab w:val="left" w:pos="1620"/>
        </w:tabs>
        <w:spacing w:line="360" w:lineRule="auto"/>
        <w:rPr>
          <w:rFonts w:ascii="宋体" w:hAnsi="宋体" w:cs="宋体" w:hint="eastAsia"/>
          <w:bCs/>
          <w:color w:val="000000"/>
          <w:szCs w:val="21"/>
        </w:rPr>
      </w:pPr>
      <w:r>
        <w:rPr>
          <w:rFonts w:ascii="宋体" w:hAnsi="宋体" w:cs="宋体" w:hint="eastAsia"/>
          <w:bCs/>
          <w:color w:val="000000"/>
          <w:szCs w:val="21"/>
        </w:rPr>
        <w:object w:dxaOrig="1579" w:dyaOrig="1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6.5pt;height:55.5pt;mso-wrap-style:square;mso-position-horizontal-relative:page;mso-position-vertical-relative:page" o:ole="">
            <v:imagedata r:id="rId5" o:title=""/>
          </v:shape>
          <o:OLEObject Type="Embed" ProgID="Excel.Sheet.12" ShapeID="Object 1" DrawAspect="Icon" ObjectID="_1845533020" r:id="rId6"/>
        </w:object>
      </w:r>
    </w:p>
    <w:p w:rsidR="00AD5B8C" w:rsidRDefault="00AD5B8C" w:rsidP="00AD5B8C">
      <w:pPr>
        <w:tabs>
          <w:tab w:val="left" w:pos="180"/>
          <w:tab w:val="left" w:pos="1620"/>
        </w:tabs>
        <w:spacing w:line="360" w:lineRule="auto"/>
        <w:rPr>
          <w:rFonts w:ascii="宋体" w:hAnsi="宋体" w:cs="宋体" w:hint="eastAsia"/>
          <w:b/>
          <w:bCs/>
          <w:color w:val="000000"/>
          <w:szCs w:val="21"/>
        </w:rPr>
      </w:pPr>
    </w:p>
    <w:p w:rsidR="00AD5B8C" w:rsidRDefault="00AD5B8C" w:rsidP="00AD5B8C">
      <w:pPr>
        <w:tabs>
          <w:tab w:val="left" w:pos="180"/>
          <w:tab w:val="left" w:pos="1620"/>
        </w:tabs>
        <w:spacing w:line="360" w:lineRule="auto"/>
        <w:rPr>
          <w:rFonts w:ascii="宋体" w:hAnsi="宋体" w:cs="宋体" w:hint="eastAsia"/>
          <w:b/>
          <w:bCs/>
          <w:color w:val="000000"/>
          <w:szCs w:val="21"/>
        </w:rPr>
      </w:pPr>
    </w:p>
    <w:p w:rsidR="00AD5B8C" w:rsidRDefault="00AD5B8C" w:rsidP="00AD5B8C">
      <w:pPr>
        <w:tabs>
          <w:tab w:val="left" w:pos="180"/>
          <w:tab w:val="left" w:pos="1620"/>
        </w:tabs>
        <w:spacing w:line="360" w:lineRule="auto"/>
        <w:rPr>
          <w:rFonts w:ascii="宋体" w:hAnsi="宋体" w:cs="宋体" w:hint="eastAsia"/>
          <w:b/>
          <w:bCs/>
          <w:color w:val="000000"/>
          <w:szCs w:val="21"/>
        </w:rPr>
      </w:pPr>
    </w:p>
    <w:p w:rsidR="00AD5B8C" w:rsidRDefault="00AD5B8C" w:rsidP="00AD5B8C">
      <w:pPr>
        <w:tabs>
          <w:tab w:val="left" w:pos="180"/>
          <w:tab w:val="left" w:pos="1620"/>
        </w:tabs>
        <w:spacing w:line="360" w:lineRule="auto"/>
        <w:rPr>
          <w:rFonts w:ascii="宋体" w:hAnsi="宋体" w:cs="宋体" w:hint="eastAsia"/>
          <w:b/>
          <w:bCs/>
          <w:color w:val="000000"/>
          <w:szCs w:val="21"/>
        </w:rPr>
      </w:pPr>
    </w:p>
    <w:p w:rsidR="00AD5B8C" w:rsidRDefault="00AD5B8C" w:rsidP="00AD5B8C">
      <w:pPr>
        <w:tabs>
          <w:tab w:val="left" w:pos="180"/>
          <w:tab w:val="left" w:pos="1620"/>
        </w:tabs>
        <w:spacing w:line="360" w:lineRule="auto"/>
        <w:rPr>
          <w:rFonts w:ascii="宋体" w:hAnsi="宋体" w:cs="宋体" w:hint="eastAsia"/>
          <w:b/>
          <w:bCs/>
          <w:color w:val="000000"/>
          <w:szCs w:val="21"/>
        </w:rPr>
      </w:pPr>
      <w:r>
        <w:rPr>
          <w:rFonts w:ascii="宋体" w:hAnsi="宋体" w:cs="宋体" w:hint="eastAsia"/>
          <w:b/>
          <w:bCs/>
          <w:color w:val="000000"/>
          <w:szCs w:val="21"/>
        </w:rPr>
        <w:t>附件1</w:t>
      </w:r>
    </w:p>
    <w:p w:rsidR="00AD5B8C" w:rsidRDefault="00AD5B8C" w:rsidP="00AD5B8C">
      <w:pPr>
        <w:pStyle w:val="afe"/>
        <w:spacing w:before="190" w:after="190"/>
        <w:rPr>
          <w:rFonts w:hint="eastAsia"/>
          <w:color w:val="000000"/>
          <w:lang w:val="zh-CN"/>
        </w:rPr>
      </w:pPr>
      <w:r>
        <w:rPr>
          <w:rFonts w:hint="eastAsia"/>
          <w:color w:val="000000"/>
        </w:rPr>
        <w:t>表</w:t>
      </w:r>
      <w:r>
        <w:rPr>
          <w:color w:val="000000"/>
        </w:rPr>
        <w:t>1</w:t>
      </w:r>
      <w:r>
        <w:rPr>
          <w:rFonts w:hint="eastAsia"/>
          <w:color w:val="000000"/>
        </w:rPr>
        <w:t>、运维服务质量评价表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46"/>
        <w:gridCol w:w="428"/>
        <w:gridCol w:w="396"/>
        <w:gridCol w:w="401"/>
        <w:gridCol w:w="391"/>
        <w:gridCol w:w="2735"/>
        <w:gridCol w:w="838"/>
        <w:gridCol w:w="2825"/>
        <w:gridCol w:w="490"/>
        <w:gridCol w:w="610"/>
      </w:tblGrid>
      <w:tr w:rsidR="00AD5B8C" w:rsidTr="00AD5B8C">
        <w:trPr>
          <w:jc w:val="center"/>
        </w:trPr>
        <w:tc>
          <w:tcPr>
            <w:tcW w:w="54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一级指标</w:t>
            </w:r>
          </w:p>
        </w:tc>
        <w:tc>
          <w:tcPr>
            <w:tcW w:w="42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标准分</w:t>
            </w:r>
          </w:p>
        </w:tc>
        <w:tc>
          <w:tcPr>
            <w:tcW w:w="39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二级指标</w:t>
            </w:r>
          </w:p>
        </w:tc>
        <w:tc>
          <w:tcPr>
            <w:tcW w:w="40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标准分</w:t>
            </w:r>
          </w:p>
        </w:tc>
        <w:tc>
          <w:tcPr>
            <w:tcW w:w="39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指标类型</w:t>
            </w:r>
          </w:p>
        </w:tc>
        <w:tc>
          <w:tcPr>
            <w:tcW w:w="2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指标说明</w:t>
            </w:r>
          </w:p>
        </w:tc>
        <w:tc>
          <w:tcPr>
            <w:tcW w:w="83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查证方法</w:t>
            </w:r>
          </w:p>
        </w:tc>
        <w:tc>
          <w:tcPr>
            <w:tcW w:w="282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备注</w:t>
            </w:r>
          </w:p>
        </w:tc>
        <w:tc>
          <w:tcPr>
            <w:tcW w:w="490"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得分</w:t>
            </w:r>
          </w:p>
        </w:tc>
        <w:tc>
          <w:tcPr>
            <w:tcW w:w="610"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扣分说明</w:t>
            </w:r>
          </w:p>
        </w:tc>
      </w:tr>
      <w:tr w:rsidR="00AD5B8C" w:rsidTr="00AD5B8C">
        <w:trPr>
          <w:jc w:val="center"/>
        </w:trPr>
        <w:tc>
          <w:tcPr>
            <w:tcW w:w="546" w:type="dxa"/>
            <w:vMerge w:val="restart"/>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系统运行稳定性</w:t>
            </w:r>
          </w:p>
        </w:tc>
        <w:tc>
          <w:tcPr>
            <w:tcW w:w="428" w:type="dxa"/>
            <w:vMerge w:val="restart"/>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100</w:t>
            </w:r>
          </w:p>
        </w:tc>
        <w:tc>
          <w:tcPr>
            <w:tcW w:w="39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系统运行故障</w:t>
            </w:r>
          </w:p>
        </w:tc>
        <w:tc>
          <w:tcPr>
            <w:tcW w:w="40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20</w:t>
            </w:r>
          </w:p>
        </w:tc>
        <w:tc>
          <w:tcPr>
            <w:tcW w:w="39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定量指标</w:t>
            </w:r>
          </w:p>
        </w:tc>
        <w:tc>
          <w:tcPr>
            <w:tcW w:w="2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1、按以下情况进行扣分，扣分不设下限。</w:t>
            </w:r>
          </w:p>
          <w:p w:rsidR="00AD5B8C" w:rsidRDefault="00AD5B8C">
            <w:pPr>
              <w:pStyle w:val="afd"/>
              <w:rPr>
                <w:color w:val="000000"/>
              </w:rPr>
            </w:pPr>
            <w:r>
              <w:rPr>
                <w:rFonts w:hint="eastAsia"/>
                <w:color w:val="000000"/>
              </w:rPr>
              <w:t>2、有证据证明是因中标人原因（包括安全漏洞、功能缺陷、代码缺陷、兼容性问题、实施问题等）导致的系统运行故障，每发生一次，扣3分。</w:t>
            </w:r>
          </w:p>
        </w:tc>
        <w:tc>
          <w:tcPr>
            <w:tcW w:w="83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根据信息系统实际运行情况取得。</w:t>
            </w:r>
          </w:p>
        </w:tc>
        <w:tc>
          <w:tcPr>
            <w:tcW w:w="282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lang w:eastAsia="zh-TW"/>
              </w:rPr>
            </w:pPr>
            <w:r>
              <w:rPr>
                <w:rFonts w:hint="eastAsia"/>
                <w:color w:val="000000"/>
                <w:lang w:eastAsia="zh-TW"/>
              </w:rPr>
              <w:t>故障指未引起安全运行事件的信息系统运行异常；</w:t>
            </w:r>
          </w:p>
          <w:p w:rsidR="00AD5B8C" w:rsidRDefault="00AD5B8C">
            <w:pPr>
              <w:pStyle w:val="afd"/>
              <w:rPr>
                <w:rFonts w:hint="eastAsia"/>
                <w:color w:val="000000"/>
                <w:lang w:eastAsia="zh-TW"/>
              </w:rPr>
            </w:pPr>
            <w:r>
              <w:rPr>
                <w:rFonts w:hint="eastAsia"/>
                <w:color w:val="000000"/>
                <w:lang w:eastAsia="zh-TW"/>
              </w:rPr>
              <w:t>若因故障导致安全运行事件，则参照安全运行事件指标进行评价；</w:t>
            </w:r>
          </w:p>
          <w:p w:rsidR="00AD5B8C" w:rsidRDefault="00AD5B8C">
            <w:pPr>
              <w:pStyle w:val="afd"/>
              <w:rPr>
                <w:color w:val="000000"/>
                <w:lang w:eastAsia="zh-TW"/>
              </w:rPr>
            </w:pPr>
            <w:r>
              <w:rPr>
                <w:rFonts w:hint="eastAsia"/>
                <w:color w:val="000000"/>
                <w:lang w:eastAsia="zh-TW"/>
              </w:rPr>
              <w:t>因采购人或第三方导致的延迟或质量问题，或不可抗力（如封网、机房环境等）不参与评价。</w:t>
            </w:r>
          </w:p>
        </w:tc>
        <w:tc>
          <w:tcPr>
            <w:tcW w:w="490"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c>
          <w:tcPr>
            <w:tcW w:w="610"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r>
      <w:tr w:rsidR="00AD5B8C" w:rsidTr="00AD5B8C">
        <w:trP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AD5B8C" w:rsidRDefault="00AD5B8C">
            <w:pPr>
              <w:widowControl/>
              <w:jc w:val="left"/>
              <w:rPr>
                <w:rFonts w:ascii="仿宋_GB2312" w:eastAsia="仿宋_GB2312" w:hAnsi="仿宋_GB2312" w:cs="等线"/>
                <w:bCs/>
                <w:color w:val="000000"/>
                <w:kern w:val="0"/>
                <w:sz w:val="24"/>
                <w:szCs w:val="20"/>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AD5B8C" w:rsidRDefault="00AD5B8C">
            <w:pPr>
              <w:widowControl/>
              <w:jc w:val="left"/>
              <w:rPr>
                <w:rFonts w:ascii="仿宋_GB2312" w:eastAsia="仿宋_GB2312" w:hAnsi="仿宋_GB2312" w:cs="等线"/>
                <w:bCs/>
                <w:color w:val="000000"/>
                <w:kern w:val="0"/>
                <w:sz w:val="24"/>
                <w:szCs w:val="20"/>
              </w:rPr>
            </w:pPr>
          </w:p>
        </w:tc>
        <w:tc>
          <w:tcPr>
            <w:tcW w:w="39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安全运行事件</w:t>
            </w:r>
          </w:p>
        </w:tc>
        <w:tc>
          <w:tcPr>
            <w:tcW w:w="40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20</w:t>
            </w:r>
          </w:p>
        </w:tc>
        <w:tc>
          <w:tcPr>
            <w:tcW w:w="39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定量指标</w:t>
            </w:r>
          </w:p>
        </w:tc>
        <w:tc>
          <w:tcPr>
            <w:tcW w:w="2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1、按以下情况进行扣分，扣分不设下限。</w:t>
            </w:r>
          </w:p>
          <w:p w:rsidR="00AD5B8C" w:rsidRDefault="00AD5B8C">
            <w:pPr>
              <w:pStyle w:val="afd"/>
              <w:rPr>
                <w:color w:val="000000"/>
              </w:rPr>
            </w:pPr>
            <w:r>
              <w:rPr>
                <w:rFonts w:hint="eastAsia"/>
                <w:color w:val="000000"/>
              </w:rPr>
              <w:t>2、有证据证明是因中标人原因（包括安全漏洞、功能缺陷、代码缺陷、兼容性问题、实施问题等）导致的安全运行事件，每发生一次，扣2-10分（根据事件严重程度判定）。</w:t>
            </w:r>
          </w:p>
        </w:tc>
        <w:tc>
          <w:tcPr>
            <w:tcW w:w="83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根据信息系统实际运行情况取得。</w:t>
            </w:r>
          </w:p>
        </w:tc>
        <w:tc>
          <w:tcPr>
            <w:tcW w:w="282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lang w:eastAsia="zh-TW"/>
              </w:rPr>
            </w:pPr>
            <w:r>
              <w:rPr>
                <w:rFonts w:hint="eastAsia"/>
                <w:color w:val="000000"/>
                <w:lang w:eastAsia="zh-TW"/>
              </w:rPr>
              <w:t>安全运行事件类别包括：系统故障事件、有害程序事件、网络攻击事件、信息破坏事件、信息内容安全事件、灾害性事件、失泄密事件和其他安全运行事件；</w:t>
            </w:r>
          </w:p>
          <w:p w:rsidR="00AD5B8C" w:rsidRDefault="00AD5B8C">
            <w:pPr>
              <w:pStyle w:val="afd"/>
              <w:rPr>
                <w:color w:val="000000"/>
                <w:lang w:eastAsia="zh-TW"/>
              </w:rPr>
            </w:pPr>
            <w:r>
              <w:rPr>
                <w:rFonts w:hint="eastAsia"/>
                <w:color w:val="000000"/>
                <w:lang w:eastAsia="zh-TW"/>
              </w:rPr>
              <w:t>因采购人或第三方导致的延迟或质量问题，或不可抗力（如封网、机房环境等）不参与评价。</w:t>
            </w:r>
          </w:p>
        </w:tc>
        <w:tc>
          <w:tcPr>
            <w:tcW w:w="490"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c>
          <w:tcPr>
            <w:tcW w:w="610"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r>
      <w:tr w:rsidR="00AD5B8C" w:rsidTr="00AD5B8C">
        <w:trPr>
          <w:jc w:val="center"/>
        </w:trPr>
        <w:tc>
          <w:tcPr>
            <w:tcW w:w="546" w:type="dxa"/>
            <w:vMerge w:val="restart"/>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运维服务支持度</w:t>
            </w: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AD5B8C" w:rsidRDefault="00AD5B8C">
            <w:pPr>
              <w:widowControl/>
              <w:jc w:val="left"/>
              <w:rPr>
                <w:rFonts w:ascii="仿宋_GB2312" w:eastAsia="仿宋_GB2312" w:hAnsi="仿宋_GB2312" w:cs="等线"/>
                <w:bCs/>
                <w:color w:val="000000"/>
                <w:kern w:val="0"/>
                <w:sz w:val="24"/>
                <w:szCs w:val="20"/>
              </w:rPr>
            </w:pPr>
          </w:p>
        </w:tc>
        <w:tc>
          <w:tcPr>
            <w:tcW w:w="39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故障响应</w:t>
            </w:r>
          </w:p>
        </w:tc>
        <w:tc>
          <w:tcPr>
            <w:tcW w:w="40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20</w:t>
            </w:r>
          </w:p>
        </w:tc>
        <w:tc>
          <w:tcPr>
            <w:tcW w:w="39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定量指标</w:t>
            </w:r>
          </w:p>
        </w:tc>
        <w:tc>
          <w:tcPr>
            <w:tcW w:w="2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1、按以下情况进行扣分，扣完即止。</w:t>
            </w:r>
          </w:p>
          <w:p w:rsidR="00AD5B8C" w:rsidRDefault="00AD5B8C">
            <w:pPr>
              <w:pStyle w:val="afd"/>
              <w:rPr>
                <w:rFonts w:hint="eastAsia"/>
                <w:color w:val="000000"/>
              </w:rPr>
            </w:pPr>
            <w:r>
              <w:rPr>
                <w:rFonts w:hint="eastAsia"/>
                <w:color w:val="000000"/>
              </w:rPr>
              <w:t>2、扣分情况包括：</w:t>
            </w:r>
          </w:p>
          <w:p w:rsidR="00AD5B8C" w:rsidRDefault="00AD5B8C">
            <w:pPr>
              <w:pStyle w:val="afd"/>
              <w:rPr>
                <w:rFonts w:hint="eastAsia"/>
                <w:color w:val="000000"/>
                <w:lang w:eastAsia="zh-TW"/>
              </w:rPr>
            </w:pPr>
            <w:r>
              <w:rPr>
                <w:rFonts w:hint="eastAsia"/>
                <w:color w:val="000000"/>
                <w:lang w:eastAsia="zh-TW"/>
              </w:rPr>
              <w:t>发生系统运行故障时，不能根据技术服务要求及承诺及时提供电话应急支持或现场技术支持，每发生一次，扣2分；</w:t>
            </w:r>
          </w:p>
          <w:p w:rsidR="00AD5B8C" w:rsidRDefault="00AD5B8C">
            <w:pPr>
              <w:pStyle w:val="afd"/>
              <w:rPr>
                <w:rFonts w:hint="eastAsia"/>
                <w:color w:val="000000"/>
                <w:lang w:eastAsia="zh-TW"/>
              </w:rPr>
            </w:pPr>
            <w:r>
              <w:rPr>
                <w:rFonts w:hint="eastAsia"/>
                <w:color w:val="000000"/>
                <w:lang w:eastAsia="zh-TW"/>
              </w:rPr>
              <w:t>发生系统运行故障时，不能在规定时间内恢复正常运行，每发生一次，扣2分；</w:t>
            </w:r>
          </w:p>
          <w:p w:rsidR="00AD5B8C" w:rsidRDefault="00AD5B8C">
            <w:pPr>
              <w:pStyle w:val="afd"/>
              <w:rPr>
                <w:color w:val="000000"/>
                <w:lang w:eastAsia="zh-TW"/>
              </w:rPr>
            </w:pPr>
            <w:r>
              <w:rPr>
                <w:rFonts w:hint="eastAsia"/>
                <w:color w:val="000000"/>
                <w:lang w:eastAsia="zh-TW"/>
              </w:rPr>
              <w:t>故障排除后，不能按时提交《故障处理</w:t>
            </w:r>
            <w:r>
              <w:rPr>
                <w:rFonts w:hint="eastAsia"/>
                <w:color w:val="000000"/>
              </w:rPr>
              <w:t>及分析</w:t>
            </w:r>
            <w:r>
              <w:rPr>
                <w:rFonts w:hint="eastAsia"/>
                <w:color w:val="000000"/>
                <w:lang w:eastAsia="zh-TW"/>
              </w:rPr>
              <w:t>报告》，每发生一次，扣1</w:t>
            </w:r>
            <w:r>
              <w:rPr>
                <w:rFonts w:hint="eastAsia"/>
                <w:color w:val="000000"/>
                <w:lang w:eastAsia="zh-TW"/>
              </w:rPr>
              <w:lastRenderedPageBreak/>
              <w:t>分</w:t>
            </w:r>
            <w:r>
              <w:rPr>
                <w:rFonts w:hint="eastAsia"/>
                <w:color w:val="000000"/>
              </w:rPr>
              <w:t>。</w:t>
            </w:r>
          </w:p>
        </w:tc>
        <w:tc>
          <w:tcPr>
            <w:tcW w:w="83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lastRenderedPageBreak/>
              <w:t>以信息系统实际运行情况及中标人提交的有关记录、分析文档作为依据。</w:t>
            </w:r>
          </w:p>
        </w:tc>
        <w:tc>
          <w:tcPr>
            <w:tcW w:w="282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因采购人或第三方导致的延迟或质量问题，或不可抗力（如封网、机房环境等）不参与评价；</w:t>
            </w:r>
          </w:p>
        </w:tc>
        <w:tc>
          <w:tcPr>
            <w:tcW w:w="490"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c>
          <w:tcPr>
            <w:tcW w:w="610"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r>
      <w:tr w:rsidR="00AD5B8C" w:rsidTr="00AD5B8C">
        <w:trP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AD5B8C" w:rsidRDefault="00AD5B8C">
            <w:pPr>
              <w:widowControl/>
              <w:jc w:val="left"/>
              <w:rPr>
                <w:rFonts w:ascii="仿宋_GB2312" w:eastAsia="仿宋_GB2312" w:hAnsi="仿宋_GB2312" w:cs="等线"/>
                <w:bCs/>
                <w:color w:val="000000"/>
                <w:kern w:val="0"/>
                <w:sz w:val="24"/>
                <w:szCs w:val="20"/>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AD5B8C" w:rsidRDefault="00AD5B8C">
            <w:pPr>
              <w:widowControl/>
              <w:jc w:val="left"/>
              <w:rPr>
                <w:rFonts w:ascii="仿宋_GB2312" w:eastAsia="仿宋_GB2312" w:hAnsi="仿宋_GB2312" w:cs="等线"/>
                <w:bCs/>
                <w:color w:val="000000"/>
                <w:kern w:val="0"/>
                <w:sz w:val="24"/>
                <w:szCs w:val="20"/>
              </w:rPr>
            </w:pPr>
          </w:p>
        </w:tc>
        <w:tc>
          <w:tcPr>
            <w:tcW w:w="39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现场驻点服务</w:t>
            </w:r>
          </w:p>
        </w:tc>
        <w:tc>
          <w:tcPr>
            <w:tcW w:w="40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20</w:t>
            </w:r>
          </w:p>
        </w:tc>
        <w:tc>
          <w:tcPr>
            <w:tcW w:w="39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定量指标</w:t>
            </w:r>
          </w:p>
        </w:tc>
        <w:tc>
          <w:tcPr>
            <w:tcW w:w="2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1、按以下情况进行扣分，扣完即止。</w:t>
            </w:r>
          </w:p>
          <w:p w:rsidR="00AD5B8C" w:rsidRDefault="00AD5B8C">
            <w:pPr>
              <w:pStyle w:val="afd"/>
              <w:rPr>
                <w:rFonts w:hint="eastAsia"/>
                <w:color w:val="000000"/>
              </w:rPr>
            </w:pPr>
            <w:r>
              <w:rPr>
                <w:rFonts w:hint="eastAsia"/>
                <w:color w:val="000000"/>
              </w:rPr>
              <w:t>2、扣分情况包括：</w:t>
            </w:r>
          </w:p>
          <w:p w:rsidR="00AD5B8C" w:rsidRDefault="00AD5B8C">
            <w:pPr>
              <w:pStyle w:val="afd"/>
              <w:rPr>
                <w:rFonts w:hint="eastAsia"/>
                <w:color w:val="000000"/>
                <w:lang w:eastAsia="zh-TW"/>
              </w:rPr>
            </w:pPr>
            <w:r>
              <w:rPr>
                <w:rFonts w:hint="eastAsia"/>
                <w:color w:val="000000"/>
                <w:lang w:eastAsia="zh-TW"/>
              </w:rPr>
              <w:t>现场驻点维护人员无故不在采购人指定驻点场所，每缺席一次，扣2分；</w:t>
            </w:r>
          </w:p>
          <w:p w:rsidR="00AD5B8C" w:rsidRDefault="00AD5B8C">
            <w:pPr>
              <w:pStyle w:val="afd"/>
              <w:rPr>
                <w:rFonts w:hint="eastAsia"/>
                <w:color w:val="000000"/>
                <w:lang w:eastAsia="zh-TW"/>
              </w:rPr>
            </w:pPr>
            <w:r>
              <w:rPr>
                <w:rFonts w:hint="eastAsia"/>
                <w:color w:val="000000"/>
                <w:lang w:eastAsia="zh-TW"/>
              </w:rPr>
              <w:t>现场驻点维护人员</w:t>
            </w:r>
            <w:r>
              <w:rPr>
                <w:rFonts w:hint="eastAsia"/>
                <w:color w:val="000000"/>
              </w:rPr>
              <w:t>不按照采购人服务规范要求执行，被采购人书面通报后仍拒绝改正</w:t>
            </w:r>
            <w:r>
              <w:rPr>
                <w:rFonts w:hint="eastAsia"/>
                <w:color w:val="000000"/>
                <w:lang w:eastAsia="zh-TW"/>
              </w:rPr>
              <w:t>，</w:t>
            </w:r>
            <w:r>
              <w:rPr>
                <w:rFonts w:hint="eastAsia"/>
                <w:color w:val="000000"/>
              </w:rPr>
              <w:t>每发生一次</w:t>
            </w:r>
            <w:r>
              <w:rPr>
                <w:rFonts w:hint="eastAsia"/>
                <w:color w:val="000000"/>
                <w:lang w:eastAsia="zh-TW"/>
              </w:rPr>
              <w:t>，扣</w:t>
            </w:r>
            <w:r>
              <w:rPr>
                <w:rFonts w:hint="eastAsia"/>
                <w:color w:val="000000"/>
              </w:rPr>
              <w:t>1</w:t>
            </w:r>
            <w:r>
              <w:rPr>
                <w:rFonts w:hint="eastAsia"/>
                <w:color w:val="000000"/>
                <w:lang w:eastAsia="zh-TW"/>
              </w:rPr>
              <w:t>分；</w:t>
            </w:r>
          </w:p>
          <w:p w:rsidR="00AD5B8C" w:rsidRDefault="00AD5B8C">
            <w:pPr>
              <w:pStyle w:val="afd"/>
              <w:rPr>
                <w:color w:val="000000"/>
                <w:lang w:eastAsia="zh-TW"/>
              </w:rPr>
            </w:pPr>
            <w:r>
              <w:rPr>
                <w:rFonts w:hint="eastAsia"/>
                <w:color w:val="000000"/>
                <w:lang w:eastAsia="zh-TW"/>
              </w:rPr>
              <w:t>非工作时间（双休日、法定节假日、夜间等）无法联系</w:t>
            </w:r>
            <w:r>
              <w:rPr>
                <w:rFonts w:hint="eastAsia"/>
                <w:color w:val="000000"/>
              </w:rPr>
              <w:t>上</w:t>
            </w:r>
            <w:r>
              <w:rPr>
                <w:rFonts w:hint="eastAsia"/>
                <w:color w:val="000000"/>
                <w:lang w:eastAsia="zh-TW"/>
              </w:rPr>
              <w:t>中标人值班工程师或未及时赶到现场，每发生一次，扣</w:t>
            </w:r>
            <w:r>
              <w:rPr>
                <w:rFonts w:hint="eastAsia"/>
                <w:color w:val="000000"/>
              </w:rPr>
              <w:t>2</w:t>
            </w:r>
            <w:r>
              <w:rPr>
                <w:rFonts w:hint="eastAsia"/>
                <w:color w:val="000000"/>
                <w:lang w:eastAsia="zh-TW"/>
              </w:rPr>
              <w:t>分</w:t>
            </w:r>
            <w:r>
              <w:rPr>
                <w:rFonts w:hint="eastAsia"/>
                <w:color w:val="000000"/>
              </w:rPr>
              <w:t>。</w:t>
            </w:r>
          </w:p>
        </w:tc>
        <w:tc>
          <w:tcPr>
            <w:tcW w:w="83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根据信息系统实际运行情况取得。</w:t>
            </w:r>
          </w:p>
        </w:tc>
        <w:tc>
          <w:tcPr>
            <w:tcW w:w="2825"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c>
          <w:tcPr>
            <w:tcW w:w="490"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c>
          <w:tcPr>
            <w:tcW w:w="610"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r>
      <w:tr w:rsidR="00AD5B8C" w:rsidTr="00AD5B8C">
        <w:trP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AD5B8C" w:rsidRDefault="00AD5B8C">
            <w:pPr>
              <w:widowControl/>
              <w:jc w:val="left"/>
              <w:rPr>
                <w:rFonts w:ascii="仿宋_GB2312" w:eastAsia="仿宋_GB2312" w:hAnsi="仿宋_GB2312" w:cs="等线"/>
                <w:bCs/>
                <w:color w:val="000000"/>
                <w:kern w:val="0"/>
                <w:sz w:val="24"/>
                <w:szCs w:val="20"/>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AD5B8C" w:rsidRDefault="00AD5B8C">
            <w:pPr>
              <w:widowControl/>
              <w:jc w:val="left"/>
              <w:rPr>
                <w:rFonts w:ascii="仿宋_GB2312" w:eastAsia="仿宋_GB2312" w:hAnsi="仿宋_GB2312" w:cs="等线"/>
                <w:bCs/>
                <w:color w:val="000000"/>
                <w:kern w:val="0"/>
                <w:sz w:val="24"/>
                <w:szCs w:val="20"/>
              </w:rPr>
            </w:pPr>
          </w:p>
        </w:tc>
        <w:tc>
          <w:tcPr>
            <w:tcW w:w="39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定期巡检服务</w:t>
            </w:r>
          </w:p>
        </w:tc>
        <w:tc>
          <w:tcPr>
            <w:tcW w:w="40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20</w:t>
            </w:r>
          </w:p>
        </w:tc>
        <w:tc>
          <w:tcPr>
            <w:tcW w:w="391"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定量指标</w:t>
            </w:r>
          </w:p>
        </w:tc>
        <w:tc>
          <w:tcPr>
            <w:tcW w:w="2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1、按以下情况进行扣分，扣完即止。</w:t>
            </w:r>
          </w:p>
          <w:p w:rsidR="00AD5B8C" w:rsidRDefault="00AD5B8C">
            <w:pPr>
              <w:pStyle w:val="afd"/>
              <w:rPr>
                <w:rFonts w:hint="eastAsia"/>
                <w:color w:val="000000"/>
              </w:rPr>
            </w:pPr>
            <w:r>
              <w:rPr>
                <w:rFonts w:hint="eastAsia"/>
                <w:color w:val="000000"/>
              </w:rPr>
              <w:t>2、扣分情况包括：</w:t>
            </w:r>
          </w:p>
          <w:p w:rsidR="00AD5B8C" w:rsidRDefault="00AD5B8C">
            <w:pPr>
              <w:pStyle w:val="afd"/>
              <w:rPr>
                <w:rFonts w:hint="eastAsia"/>
                <w:color w:val="000000"/>
                <w:lang w:eastAsia="zh-TW"/>
              </w:rPr>
            </w:pPr>
            <w:r>
              <w:rPr>
                <w:rFonts w:hint="eastAsia"/>
                <w:color w:val="000000"/>
                <w:lang w:eastAsia="zh-TW"/>
              </w:rPr>
              <w:t>无故未在约定时间进行定期巡检服务，每发生一次，扣1分；</w:t>
            </w:r>
          </w:p>
          <w:p w:rsidR="00AD5B8C" w:rsidRDefault="00AD5B8C">
            <w:pPr>
              <w:pStyle w:val="afd"/>
              <w:rPr>
                <w:rFonts w:hint="eastAsia"/>
                <w:color w:val="000000"/>
                <w:lang w:eastAsia="zh-TW"/>
              </w:rPr>
            </w:pPr>
            <w:r>
              <w:rPr>
                <w:rFonts w:hint="eastAsia"/>
                <w:color w:val="000000"/>
                <w:lang w:eastAsia="zh-TW"/>
              </w:rPr>
              <w:t>有证据证明中标人未在定期巡检中发现已发生的系统运行异常，每发生一次，扣2分；</w:t>
            </w:r>
          </w:p>
          <w:p w:rsidR="00AD5B8C" w:rsidRDefault="00AD5B8C">
            <w:pPr>
              <w:pStyle w:val="afd"/>
              <w:rPr>
                <w:color w:val="000000"/>
                <w:lang w:eastAsia="zh-TW"/>
              </w:rPr>
            </w:pPr>
            <w:r>
              <w:rPr>
                <w:rFonts w:hint="eastAsia"/>
                <w:color w:val="000000"/>
                <w:lang w:eastAsia="zh-TW"/>
              </w:rPr>
              <w:t>未按时提交《运维分析</w:t>
            </w:r>
            <w:r>
              <w:rPr>
                <w:rFonts w:hint="eastAsia"/>
                <w:color w:val="000000"/>
              </w:rPr>
              <w:t>季</w:t>
            </w:r>
            <w:r>
              <w:rPr>
                <w:rFonts w:hint="eastAsia"/>
                <w:color w:val="000000"/>
                <w:lang w:eastAsia="zh-TW"/>
              </w:rPr>
              <w:t>报》《运维分析年报》，每发生一次，扣1分。</w:t>
            </w:r>
          </w:p>
        </w:tc>
        <w:tc>
          <w:tcPr>
            <w:tcW w:w="83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以中标人提交的</w:t>
            </w:r>
            <w:r>
              <w:rPr>
                <w:rFonts w:hint="eastAsia"/>
                <w:color w:val="000000"/>
                <w:lang w:eastAsia="zh-TW"/>
              </w:rPr>
              <w:t>《运维分析</w:t>
            </w:r>
            <w:r>
              <w:rPr>
                <w:rFonts w:hint="eastAsia"/>
                <w:color w:val="000000"/>
              </w:rPr>
              <w:t>季</w:t>
            </w:r>
            <w:r>
              <w:rPr>
                <w:rFonts w:hint="eastAsia"/>
                <w:color w:val="000000"/>
                <w:lang w:eastAsia="zh-TW"/>
              </w:rPr>
              <w:t>报》《运维分析年报》</w:t>
            </w:r>
            <w:r>
              <w:rPr>
                <w:rFonts w:hint="eastAsia"/>
                <w:color w:val="000000"/>
              </w:rPr>
              <w:t>及信息系统实际运行情况作为依据。</w:t>
            </w:r>
          </w:p>
        </w:tc>
        <w:tc>
          <w:tcPr>
            <w:tcW w:w="2825"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c>
          <w:tcPr>
            <w:tcW w:w="490"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c>
          <w:tcPr>
            <w:tcW w:w="610" w:type="dxa"/>
            <w:tcBorders>
              <w:top w:val="single" w:sz="4" w:space="0" w:color="auto"/>
              <w:left w:val="single" w:sz="4" w:space="0" w:color="auto"/>
              <w:bottom w:val="single" w:sz="4" w:space="0" w:color="auto"/>
              <w:right w:val="single" w:sz="4" w:space="0" w:color="auto"/>
            </w:tcBorders>
            <w:vAlign w:val="center"/>
          </w:tcPr>
          <w:p w:rsidR="00AD5B8C" w:rsidRDefault="00AD5B8C">
            <w:pPr>
              <w:pStyle w:val="afd"/>
              <w:rPr>
                <w:color w:val="000000"/>
              </w:rPr>
            </w:pPr>
          </w:p>
        </w:tc>
      </w:tr>
    </w:tbl>
    <w:p w:rsidR="00AD5B8C" w:rsidRDefault="00AD5B8C" w:rsidP="00AD5B8C">
      <w:pPr>
        <w:tabs>
          <w:tab w:val="left" w:pos="180"/>
          <w:tab w:val="left" w:pos="1620"/>
        </w:tabs>
        <w:spacing w:line="360" w:lineRule="auto"/>
        <w:rPr>
          <w:rFonts w:ascii="宋体" w:hAnsi="宋体" w:cs="宋体"/>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r>
        <w:rPr>
          <w:rFonts w:ascii="宋体" w:hAnsi="宋体" w:cs="宋体" w:hint="eastAsia"/>
          <w:b/>
          <w:bCs/>
          <w:color w:val="000000"/>
          <w:szCs w:val="21"/>
        </w:rPr>
        <w:t>附件2</w:t>
      </w:r>
    </w:p>
    <w:p w:rsidR="00AD5B8C" w:rsidRDefault="00AD5B8C" w:rsidP="00AD5B8C">
      <w:pPr>
        <w:pStyle w:val="afe"/>
        <w:rPr>
          <w:rFonts w:hint="eastAsia"/>
          <w:color w:val="000000"/>
          <w:lang w:val="zh-CN"/>
        </w:rPr>
      </w:pPr>
      <w:r>
        <w:rPr>
          <w:rFonts w:hint="eastAsia"/>
          <w:color w:val="000000"/>
        </w:rPr>
        <w:t>表</w:t>
      </w:r>
      <w:r>
        <w:rPr>
          <w:color w:val="000000"/>
        </w:rPr>
        <w:t>2</w:t>
      </w:r>
      <w:r>
        <w:rPr>
          <w:rFonts w:hint="eastAsia"/>
          <w:color w:val="000000"/>
        </w:rPr>
        <w:t>、运维服务质量评价得分扣减金额折算表</w:t>
      </w: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68"/>
        <w:gridCol w:w="3734"/>
        <w:gridCol w:w="1126"/>
        <w:gridCol w:w="2707"/>
      </w:tblGrid>
      <w:tr w:rsidR="00AD5B8C" w:rsidTr="00AD5B8C">
        <w:trPr>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序号</w:t>
            </w:r>
          </w:p>
        </w:tc>
        <w:tc>
          <w:tcPr>
            <w:tcW w:w="3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运维服务质量评价得分</w:t>
            </w:r>
          </w:p>
        </w:tc>
        <w:tc>
          <w:tcPr>
            <w:tcW w:w="112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扣减系数</w:t>
            </w:r>
          </w:p>
        </w:tc>
        <w:tc>
          <w:tcPr>
            <w:tcW w:w="270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c"/>
              <w:rPr>
                <w:color w:val="000000"/>
              </w:rPr>
            </w:pPr>
            <w:r>
              <w:rPr>
                <w:rFonts w:hint="eastAsia"/>
                <w:color w:val="000000"/>
              </w:rPr>
              <w:t>扣减金额</w:t>
            </w:r>
          </w:p>
        </w:tc>
      </w:tr>
      <w:tr w:rsidR="00AD5B8C" w:rsidTr="00AD5B8C">
        <w:trPr>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1</w:t>
            </w:r>
          </w:p>
        </w:tc>
        <w:tc>
          <w:tcPr>
            <w:tcW w:w="3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90≤运维服务质量评价得分≤100</w:t>
            </w:r>
          </w:p>
        </w:tc>
        <w:tc>
          <w:tcPr>
            <w:tcW w:w="112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0%</w:t>
            </w:r>
          </w:p>
        </w:tc>
        <w:tc>
          <w:tcPr>
            <w:tcW w:w="270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0</w:t>
            </w:r>
          </w:p>
        </w:tc>
      </w:tr>
      <w:tr w:rsidR="00AD5B8C" w:rsidTr="00AD5B8C">
        <w:trPr>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2</w:t>
            </w:r>
          </w:p>
        </w:tc>
        <w:tc>
          <w:tcPr>
            <w:tcW w:w="3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80≤运维服务质量评价得分&lt;90</w:t>
            </w:r>
          </w:p>
        </w:tc>
        <w:tc>
          <w:tcPr>
            <w:tcW w:w="112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2%</w:t>
            </w:r>
          </w:p>
        </w:tc>
        <w:tc>
          <w:tcPr>
            <w:tcW w:w="270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2%×合同总价的35%</w:t>
            </w:r>
          </w:p>
        </w:tc>
      </w:tr>
      <w:tr w:rsidR="00AD5B8C" w:rsidTr="00AD5B8C">
        <w:trPr>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3</w:t>
            </w:r>
          </w:p>
        </w:tc>
        <w:tc>
          <w:tcPr>
            <w:tcW w:w="3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70≤运维服务质量评价得分&lt;80</w:t>
            </w:r>
          </w:p>
        </w:tc>
        <w:tc>
          <w:tcPr>
            <w:tcW w:w="112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5%</w:t>
            </w:r>
          </w:p>
        </w:tc>
        <w:tc>
          <w:tcPr>
            <w:tcW w:w="270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5%×合同总价的35%</w:t>
            </w:r>
          </w:p>
        </w:tc>
      </w:tr>
      <w:tr w:rsidR="00AD5B8C" w:rsidTr="00AD5B8C">
        <w:trPr>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4</w:t>
            </w:r>
          </w:p>
        </w:tc>
        <w:tc>
          <w:tcPr>
            <w:tcW w:w="3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60≤运维服务质量评价得分&lt;70</w:t>
            </w:r>
          </w:p>
        </w:tc>
        <w:tc>
          <w:tcPr>
            <w:tcW w:w="112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10%</w:t>
            </w:r>
          </w:p>
        </w:tc>
        <w:tc>
          <w:tcPr>
            <w:tcW w:w="270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10%×合同总价的35%</w:t>
            </w:r>
          </w:p>
        </w:tc>
      </w:tr>
      <w:tr w:rsidR="00AD5B8C" w:rsidTr="00AD5B8C">
        <w:trPr>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5</w:t>
            </w:r>
          </w:p>
        </w:tc>
        <w:tc>
          <w:tcPr>
            <w:tcW w:w="3735"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运维服务质量评价得分&lt;60</w:t>
            </w:r>
          </w:p>
        </w:tc>
        <w:tc>
          <w:tcPr>
            <w:tcW w:w="1126"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jc w:val="center"/>
              <w:rPr>
                <w:color w:val="000000"/>
              </w:rPr>
            </w:pPr>
            <w:r>
              <w:rPr>
                <w:rFonts w:hint="eastAsia"/>
                <w:color w:val="000000"/>
              </w:rPr>
              <w:t>20%</w:t>
            </w:r>
          </w:p>
        </w:tc>
        <w:tc>
          <w:tcPr>
            <w:tcW w:w="2708" w:type="dxa"/>
            <w:tcBorders>
              <w:top w:val="single" w:sz="4" w:space="0" w:color="auto"/>
              <w:left w:val="single" w:sz="4" w:space="0" w:color="auto"/>
              <w:bottom w:val="single" w:sz="4" w:space="0" w:color="auto"/>
              <w:right w:val="single" w:sz="4" w:space="0" w:color="auto"/>
            </w:tcBorders>
            <w:vAlign w:val="center"/>
            <w:hideMark/>
          </w:tcPr>
          <w:p w:rsidR="00AD5B8C" w:rsidRDefault="00AD5B8C">
            <w:pPr>
              <w:pStyle w:val="afd"/>
              <w:rPr>
                <w:color w:val="000000"/>
              </w:rPr>
            </w:pPr>
            <w:r>
              <w:rPr>
                <w:rFonts w:hint="eastAsia"/>
                <w:color w:val="000000"/>
              </w:rPr>
              <w:t>20%×合同总价的35%</w:t>
            </w:r>
          </w:p>
        </w:tc>
      </w:tr>
    </w:tbl>
    <w:p w:rsidR="00AD5B8C" w:rsidRDefault="00AD5B8C" w:rsidP="00AD5B8C">
      <w:pPr>
        <w:tabs>
          <w:tab w:val="left" w:pos="180"/>
          <w:tab w:val="left" w:pos="1620"/>
        </w:tabs>
        <w:spacing w:line="360" w:lineRule="auto"/>
        <w:ind w:firstLineChars="200" w:firstLine="422"/>
        <w:rPr>
          <w:rFonts w:ascii="宋体" w:hAnsi="宋体" w:cs="宋体"/>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r>
        <w:rPr>
          <w:rFonts w:ascii="宋体" w:hAnsi="宋体" w:cs="宋体" w:hint="eastAsia"/>
          <w:b/>
          <w:bCs/>
          <w:color w:val="000000"/>
          <w:szCs w:val="21"/>
        </w:rPr>
        <w:t>附件3</w:t>
      </w:r>
    </w:p>
    <w:p w:rsidR="00AD5B8C" w:rsidRDefault="00AD5B8C" w:rsidP="00AD5B8C">
      <w:pPr>
        <w:spacing w:afterLines="50"/>
        <w:jc w:val="center"/>
        <w:rPr>
          <w:rFonts w:ascii="宋体" w:hAnsi="宋体" w:cs="宋体" w:hint="eastAsia"/>
          <w:b/>
          <w:color w:val="000000"/>
          <w:sz w:val="28"/>
          <w:szCs w:val="28"/>
        </w:rPr>
      </w:pPr>
      <w:r>
        <w:rPr>
          <w:rFonts w:ascii="宋体" w:hAnsi="宋体" w:cs="宋体" w:hint="eastAsia"/>
          <w:b/>
          <w:color w:val="000000"/>
          <w:sz w:val="28"/>
          <w:szCs w:val="28"/>
        </w:rPr>
        <w:t>廉洁承诺书</w:t>
      </w:r>
    </w:p>
    <w:p w:rsidR="00AD5B8C" w:rsidRDefault="00AD5B8C" w:rsidP="00AD5B8C">
      <w:pPr>
        <w:snapToGrid w:val="0"/>
        <w:spacing w:before="50" w:afterLines="50" w:line="360" w:lineRule="auto"/>
        <w:jc w:val="left"/>
        <w:rPr>
          <w:rFonts w:ascii="宋体" w:hAnsi="宋体" w:cs="宋体" w:hint="eastAsia"/>
          <w:bCs/>
          <w:color w:val="000000"/>
          <w:szCs w:val="21"/>
        </w:rPr>
      </w:pPr>
      <w:r>
        <w:rPr>
          <w:rFonts w:ascii="宋体" w:hAnsi="宋体" w:cs="宋体" w:hint="eastAsia"/>
          <w:bCs/>
          <w:color w:val="000000"/>
          <w:szCs w:val="21"/>
        </w:rPr>
        <w:t>广西壮族自治区公安厅：</w:t>
      </w:r>
    </w:p>
    <w:p w:rsidR="00AD5B8C" w:rsidRDefault="00AD5B8C" w:rsidP="00AD5B8C">
      <w:pPr>
        <w:snapToGrid w:val="0"/>
        <w:spacing w:before="50" w:afterLines="50" w:line="360" w:lineRule="auto"/>
        <w:ind w:firstLineChars="200" w:firstLine="420"/>
        <w:jc w:val="left"/>
        <w:rPr>
          <w:rFonts w:ascii="宋体" w:hAnsi="宋体" w:cs="宋体" w:hint="eastAsia"/>
          <w:bCs/>
          <w:color w:val="000000"/>
          <w:szCs w:val="21"/>
        </w:rPr>
      </w:pPr>
      <w:r>
        <w:rPr>
          <w:rFonts w:ascii="宋体" w:hAnsi="宋体" w:cs="宋体" w:hint="eastAsia"/>
          <w:bCs/>
          <w:color w:val="000000"/>
          <w:szCs w:val="21"/>
        </w:rPr>
        <w:t>为了有效遏制不公平竞争和违规违纪行为发生，确保招标工作公平、公正、公开、有序进行，我们保证认真贯彻执行《中华人民共和国政府采购法》《中华人民共和国政府采购法实施条例》等法律法规以及与廉洁有关的规章制度，特向贵单位承诺如下事项：</w:t>
      </w:r>
    </w:p>
    <w:p w:rsidR="00AD5B8C" w:rsidRDefault="00AD5B8C" w:rsidP="00AD5B8C">
      <w:pPr>
        <w:snapToGrid w:val="0"/>
        <w:spacing w:before="50" w:afterLines="50" w:line="360" w:lineRule="auto"/>
        <w:ind w:firstLineChars="200" w:firstLine="420"/>
        <w:jc w:val="left"/>
        <w:rPr>
          <w:rFonts w:ascii="宋体" w:hAnsi="宋体" w:cs="宋体" w:hint="eastAsia"/>
          <w:bCs/>
          <w:color w:val="000000"/>
          <w:szCs w:val="21"/>
        </w:rPr>
      </w:pPr>
      <w:r>
        <w:rPr>
          <w:rFonts w:ascii="宋体" w:hAnsi="宋体" w:cs="宋体" w:hint="eastAsia"/>
          <w:bCs/>
          <w:color w:val="000000"/>
          <w:szCs w:val="21"/>
        </w:rPr>
        <w:t>一、自觉遵守国家有关法律法规及廉洁规定。</w:t>
      </w:r>
    </w:p>
    <w:p w:rsidR="00AD5B8C" w:rsidRDefault="00AD5B8C" w:rsidP="00AD5B8C">
      <w:pPr>
        <w:snapToGrid w:val="0"/>
        <w:spacing w:before="50" w:afterLines="50" w:line="360" w:lineRule="auto"/>
        <w:ind w:firstLineChars="200" w:firstLine="420"/>
        <w:jc w:val="left"/>
        <w:rPr>
          <w:rFonts w:ascii="宋体" w:hAnsi="宋体" w:cs="宋体" w:hint="eastAsia"/>
          <w:bCs/>
          <w:color w:val="000000"/>
          <w:szCs w:val="21"/>
        </w:rPr>
      </w:pPr>
      <w:r>
        <w:rPr>
          <w:rFonts w:ascii="宋体" w:hAnsi="宋体" w:cs="宋体" w:hint="eastAsia"/>
          <w:bCs/>
          <w:color w:val="000000"/>
          <w:szCs w:val="21"/>
        </w:rPr>
        <w:t>二、不与招标采购单位（采购人或采购代理机构）工作人员串通投标，损害国家利益、企业利益以及他人的合法利益；不与其他竞标人相互串通投标报价，不排挤其他竞标人，不损害采购人或其他投标人的合法权益。</w:t>
      </w:r>
    </w:p>
    <w:p w:rsidR="00AD5B8C" w:rsidRDefault="00AD5B8C" w:rsidP="00AD5B8C">
      <w:pPr>
        <w:snapToGrid w:val="0"/>
        <w:spacing w:before="50" w:afterLines="50" w:line="360" w:lineRule="auto"/>
        <w:ind w:firstLineChars="200" w:firstLine="420"/>
        <w:jc w:val="left"/>
        <w:rPr>
          <w:rFonts w:ascii="宋体" w:hAnsi="宋体" w:cs="宋体" w:hint="eastAsia"/>
          <w:bCs/>
          <w:color w:val="000000"/>
          <w:szCs w:val="21"/>
        </w:rPr>
      </w:pPr>
      <w:r>
        <w:rPr>
          <w:rFonts w:ascii="宋体" w:hAnsi="宋体" w:cs="宋体" w:hint="eastAsia"/>
          <w:bCs/>
          <w:color w:val="000000"/>
          <w:szCs w:val="21"/>
        </w:rPr>
        <w:t>三、不以任何名义为参与招标、评标工作的有关人员报销应由参与招标、评标工作的有关人员支付的任何费用；</w:t>
      </w:r>
    </w:p>
    <w:p w:rsidR="00AD5B8C" w:rsidRDefault="00AD5B8C" w:rsidP="00AD5B8C">
      <w:pPr>
        <w:snapToGrid w:val="0"/>
        <w:spacing w:before="50" w:afterLines="50" w:line="360" w:lineRule="auto"/>
        <w:ind w:firstLineChars="200" w:firstLine="420"/>
        <w:jc w:val="left"/>
        <w:rPr>
          <w:rFonts w:ascii="宋体" w:hAnsi="宋体" w:cs="宋体" w:hint="eastAsia"/>
          <w:bCs/>
          <w:color w:val="000000"/>
          <w:szCs w:val="21"/>
        </w:rPr>
      </w:pPr>
      <w:r>
        <w:rPr>
          <w:rFonts w:ascii="宋体" w:hAnsi="宋体" w:cs="宋体" w:hint="eastAsia"/>
          <w:bCs/>
          <w:color w:val="000000"/>
          <w:szCs w:val="21"/>
        </w:rPr>
        <w:t>四、不以任何名义向参与招标、评标工作的有关人员赠送回扣、红包、礼金、购物卡、有价证券、贵重物品和好处费、感谢费等；</w:t>
      </w:r>
    </w:p>
    <w:p w:rsidR="00AD5B8C" w:rsidRDefault="00AD5B8C" w:rsidP="00AD5B8C">
      <w:pPr>
        <w:snapToGrid w:val="0"/>
        <w:spacing w:before="50" w:afterLines="50" w:line="360" w:lineRule="auto"/>
        <w:ind w:firstLineChars="200" w:firstLine="420"/>
        <w:jc w:val="left"/>
        <w:rPr>
          <w:rFonts w:ascii="宋体" w:hAnsi="宋体" w:cs="宋体" w:hint="eastAsia"/>
          <w:bCs/>
          <w:color w:val="000000"/>
          <w:szCs w:val="21"/>
        </w:rPr>
      </w:pPr>
      <w:r>
        <w:rPr>
          <w:rFonts w:ascii="宋体" w:hAnsi="宋体" w:cs="宋体" w:hint="eastAsia"/>
          <w:bCs/>
          <w:color w:val="000000"/>
          <w:szCs w:val="21"/>
        </w:rPr>
        <w:t>五、不以任何名义向参与招标、评标工作的有关人员提供高消费宴请及娱乐活动；</w:t>
      </w:r>
    </w:p>
    <w:p w:rsidR="00AD5B8C" w:rsidRDefault="00AD5B8C" w:rsidP="00AD5B8C">
      <w:pPr>
        <w:snapToGrid w:val="0"/>
        <w:spacing w:before="50" w:afterLines="50" w:line="360" w:lineRule="auto"/>
        <w:ind w:firstLineChars="200" w:firstLine="420"/>
        <w:jc w:val="left"/>
        <w:rPr>
          <w:rFonts w:ascii="宋体" w:hAnsi="宋体" w:cs="宋体" w:hint="eastAsia"/>
          <w:bCs/>
          <w:color w:val="000000"/>
          <w:szCs w:val="21"/>
        </w:rPr>
      </w:pPr>
      <w:r>
        <w:rPr>
          <w:rFonts w:ascii="宋体" w:hAnsi="宋体" w:cs="宋体" w:hint="eastAsia"/>
          <w:bCs/>
          <w:color w:val="000000"/>
          <w:szCs w:val="21"/>
        </w:rPr>
        <w:t>六、不以谋取非正当利益为目的，擅自与参与招标、评标工作的有关人员就业务问题进行私下商谈或者达成利益默契；</w:t>
      </w:r>
    </w:p>
    <w:p w:rsidR="00AD5B8C" w:rsidRDefault="00AD5B8C" w:rsidP="00AD5B8C">
      <w:pPr>
        <w:snapToGrid w:val="0"/>
        <w:spacing w:before="50" w:afterLines="50" w:line="360" w:lineRule="auto"/>
        <w:ind w:firstLineChars="200" w:firstLine="420"/>
        <w:jc w:val="left"/>
        <w:rPr>
          <w:rFonts w:ascii="宋体" w:hAnsi="宋体" w:cs="宋体" w:hint="eastAsia"/>
          <w:bCs/>
          <w:color w:val="000000"/>
          <w:szCs w:val="21"/>
        </w:rPr>
      </w:pPr>
      <w:r>
        <w:rPr>
          <w:rFonts w:ascii="宋体" w:hAnsi="宋体" w:cs="宋体" w:hint="eastAsia"/>
          <w:bCs/>
          <w:color w:val="000000"/>
          <w:szCs w:val="21"/>
        </w:rPr>
        <w:t>七、不以任何名义接受或暗示为参与招标、评标工作的有关人员装修住房、婚丧嫁娶、配偶子女的工作安排以及境内外旅游等提供方便。</w:t>
      </w:r>
    </w:p>
    <w:p w:rsidR="00AD5B8C" w:rsidRDefault="00AD5B8C" w:rsidP="00AD5B8C">
      <w:pPr>
        <w:snapToGrid w:val="0"/>
        <w:spacing w:before="50" w:afterLines="50" w:line="360" w:lineRule="auto"/>
        <w:ind w:firstLineChars="200" w:firstLine="420"/>
        <w:jc w:val="left"/>
        <w:rPr>
          <w:rFonts w:ascii="宋体" w:hAnsi="宋体" w:cs="宋体" w:hint="eastAsia"/>
          <w:bCs/>
          <w:color w:val="000000"/>
          <w:szCs w:val="21"/>
        </w:rPr>
      </w:pPr>
      <w:r>
        <w:rPr>
          <w:rFonts w:ascii="宋体" w:hAnsi="宋体" w:cs="宋体" w:hint="eastAsia"/>
          <w:bCs/>
          <w:color w:val="000000"/>
          <w:szCs w:val="21"/>
        </w:rPr>
        <w:t>贵单位既可根据国家有关单位的判决、裁定等有效文书认定我单位是否违反承诺，也有权通过对贵单位相关人员的调查来认定我单位是否违反承诺。如违反以上承诺，我单位自愿接受贵单位对我单位进行严肃处理（包括但不限于实施市场禁入、取消投、中标资格以及终止合同等），给贵单位造成损失的，予以赔偿。</w:t>
      </w:r>
    </w:p>
    <w:p w:rsidR="00AD5B8C" w:rsidRDefault="00AD5B8C" w:rsidP="00AD5B8C">
      <w:pPr>
        <w:snapToGrid w:val="0"/>
        <w:spacing w:before="50" w:afterLines="50" w:line="360" w:lineRule="exact"/>
        <w:ind w:firstLineChars="2400" w:firstLine="5040"/>
        <w:jc w:val="left"/>
        <w:rPr>
          <w:rFonts w:ascii="宋体" w:hAnsi="宋体" w:cs="宋体" w:hint="eastAsia"/>
          <w:bCs/>
          <w:color w:val="000000"/>
          <w:szCs w:val="21"/>
        </w:rPr>
      </w:pPr>
      <w:r>
        <w:rPr>
          <w:rFonts w:ascii="宋体" w:hAnsi="宋体" w:cs="宋体" w:hint="eastAsia"/>
          <w:bCs/>
          <w:color w:val="000000"/>
          <w:szCs w:val="21"/>
        </w:rPr>
        <w:t>承诺单位（盖章）：</w:t>
      </w:r>
    </w:p>
    <w:p w:rsidR="00AD5B8C" w:rsidRDefault="00AD5B8C" w:rsidP="00AD5B8C">
      <w:pPr>
        <w:snapToGrid w:val="0"/>
        <w:spacing w:before="50" w:afterLines="50" w:line="360" w:lineRule="exact"/>
        <w:ind w:firstLineChars="2400" w:firstLine="5040"/>
        <w:jc w:val="left"/>
        <w:rPr>
          <w:rFonts w:ascii="宋体" w:hAnsi="宋体" w:cs="宋体" w:hint="eastAsia"/>
          <w:bCs/>
          <w:color w:val="000000"/>
          <w:szCs w:val="21"/>
        </w:rPr>
      </w:pPr>
      <w:r>
        <w:rPr>
          <w:rFonts w:ascii="宋体" w:hAnsi="宋体" w:cs="宋体" w:hint="eastAsia"/>
          <w:bCs/>
          <w:color w:val="000000"/>
          <w:szCs w:val="21"/>
        </w:rPr>
        <w:t>承诺单位法定代表人（负责人）：</w:t>
      </w:r>
    </w:p>
    <w:p w:rsidR="00AD5B8C" w:rsidRDefault="00AD5B8C" w:rsidP="00AD5B8C">
      <w:pPr>
        <w:snapToGrid w:val="0"/>
        <w:spacing w:before="50" w:afterLines="50" w:line="360" w:lineRule="exact"/>
        <w:ind w:firstLineChars="2400" w:firstLine="5040"/>
        <w:jc w:val="left"/>
        <w:rPr>
          <w:rFonts w:ascii="宋体" w:hAnsi="宋体" w:cs="宋体" w:hint="eastAsia"/>
          <w:bCs/>
          <w:color w:val="000000"/>
          <w:szCs w:val="21"/>
        </w:rPr>
      </w:pPr>
      <w:r>
        <w:rPr>
          <w:rFonts w:ascii="宋体" w:hAnsi="宋体" w:cs="宋体" w:hint="eastAsia"/>
          <w:bCs/>
          <w:color w:val="000000"/>
          <w:szCs w:val="21"/>
        </w:rPr>
        <w:lastRenderedPageBreak/>
        <w:t>（签字或盖章）</w:t>
      </w:r>
    </w:p>
    <w:p w:rsidR="00AD5B8C" w:rsidRDefault="00AD5B8C" w:rsidP="00AD5B8C">
      <w:pPr>
        <w:snapToGrid w:val="0"/>
        <w:spacing w:before="50" w:afterLines="50" w:line="360" w:lineRule="exact"/>
        <w:jc w:val="right"/>
        <w:rPr>
          <w:rFonts w:ascii="宋体" w:hAnsi="宋体" w:cs="宋体" w:hint="eastAsia"/>
          <w:bCs/>
          <w:color w:val="000000"/>
          <w:szCs w:val="21"/>
        </w:rPr>
      </w:pPr>
      <w:r>
        <w:rPr>
          <w:rFonts w:ascii="宋体" w:hAnsi="宋体" w:cs="宋体" w:hint="eastAsia"/>
          <w:bCs/>
          <w:color w:val="000000"/>
          <w:szCs w:val="21"/>
        </w:rPr>
        <w:t>年月日</w:t>
      </w: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widowControl/>
        <w:spacing w:before="100" w:beforeAutospacing="1" w:after="100" w:afterAutospacing="1"/>
        <w:jc w:val="center"/>
        <w:outlineLvl w:val="0"/>
        <w:rPr>
          <w:rFonts w:ascii="等线" w:hAnsi="等线" w:cs="宋体" w:hint="eastAsia"/>
          <w:b/>
          <w:bCs/>
          <w:color w:val="000000"/>
          <w:kern w:val="36"/>
          <w:sz w:val="44"/>
          <w:szCs w:val="44"/>
        </w:rPr>
      </w:pPr>
      <w:r>
        <w:rPr>
          <w:rFonts w:ascii="等线" w:hAnsi="等线" w:cs="宋体" w:hint="eastAsia"/>
          <w:b/>
          <w:bCs/>
          <w:color w:val="000000"/>
          <w:kern w:val="36"/>
          <w:sz w:val="44"/>
          <w:szCs w:val="44"/>
        </w:rPr>
        <w:t>合作企业保密协议</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甲方：</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乙方</w:t>
      </w:r>
      <w:r>
        <w:rPr>
          <w:rFonts w:ascii="等线" w:hAnsi="等线" w:cs="宋体" w:hint="eastAsia"/>
          <w:color w:val="000000"/>
          <w:kern w:val="0"/>
          <w:sz w:val="24"/>
        </w:rPr>
        <w:t>:</w:t>
      </w:r>
      <w:r>
        <w:rPr>
          <w:color w:val="000000"/>
        </w:rPr>
        <w:t xml:space="preserve"> </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鉴于乙方在劳动合同期内担任计算机网络维护相关工作，接触并使用公安信息网，并可能查看到计算机中存储的相关电子信息，因此可能接触到相关警务工作秘密、敏感信息以及有关网络、信息系统的重要参数设置等，为保守秘密，按公安部、广西壮族自治区公安厅保密工作规定的相关要求，根据《中华人民共和国保密法》和《计算机信息系统保密管理暂行规定》的相关规定，特签订本保密协议。</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第一条乙方必须承担以下义务</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1</w:t>
      </w:r>
      <w:r>
        <w:rPr>
          <w:rFonts w:ascii="等线" w:hAnsi="等线" w:cs="宋体" w:hint="eastAsia"/>
          <w:color w:val="000000"/>
          <w:kern w:val="0"/>
          <w:sz w:val="24"/>
        </w:rPr>
        <w:t>、对保密信息谨慎、妥善持有，并严格保密，没有甲方事先书面同意</w:t>
      </w:r>
      <w:r>
        <w:rPr>
          <w:rFonts w:ascii="等线" w:hAnsi="等线" w:cs="宋体" w:hint="eastAsia"/>
          <w:color w:val="000000"/>
          <w:kern w:val="0"/>
          <w:sz w:val="24"/>
        </w:rPr>
        <w:t>,</w:t>
      </w:r>
      <w:r>
        <w:rPr>
          <w:rFonts w:ascii="等线" w:hAnsi="等线" w:cs="宋体" w:hint="eastAsia"/>
          <w:color w:val="000000"/>
          <w:kern w:val="0"/>
          <w:sz w:val="24"/>
        </w:rPr>
        <w:t>不得向任何第三方披露。</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2</w:t>
      </w:r>
      <w:r>
        <w:rPr>
          <w:rFonts w:ascii="等线" w:hAnsi="等线" w:cs="宋体" w:hint="eastAsia"/>
          <w:color w:val="000000"/>
          <w:kern w:val="0"/>
          <w:sz w:val="24"/>
        </w:rPr>
        <w:t>、在维护甲方设备和信息系统过程中，非因维护工作需要，未经甲方人员许可，不得向甲方人员询问或试图自行获取设备、系统的开机密码、系统登录账号、设备重要配置参数结构图表、统计数字等资料，对经甲方许可获取的各类密码、参数等资料，必须妥善保管，不能对其他无关人员披露。</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3</w:t>
      </w:r>
      <w:r>
        <w:rPr>
          <w:rFonts w:ascii="等线" w:hAnsi="等线" w:cs="宋体" w:hint="eastAsia"/>
          <w:color w:val="000000"/>
          <w:kern w:val="0"/>
          <w:sz w:val="24"/>
        </w:rPr>
        <w:t>、密级信息不能在公安网或互联网计算机上处理，也不能在公安网或互联网上传输，必须在专网涉密计算机上处理和存储，存储设备要设置保护密码。</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4</w:t>
      </w:r>
      <w:r>
        <w:rPr>
          <w:rFonts w:ascii="等线" w:hAnsi="等线" w:cs="宋体" w:hint="eastAsia"/>
          <w:color w:val="000000"/>
          <w:kern w:val="0"/>
          <w:sz w:val="24"/>
        </w:rPr>
        <w:t>、乙方在维护工作中，甲方要求外，要主动避免接触各类涉密信息或警务工作信息，对无意中发现或接触到的，要保守秘密，不向无关人员披露，不得拷贝、复印任何与维护无关的甲方用户信息。</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5</w:t>
      </w:r>
      <w:r>
        <w:rPr>
          <w:rFonts w:ascii="等线" w:hAnsi="等线" w:cs="宋体" w:hint="eastAsia"/>
          <w:color w:val="000000"/>
          <w:kern w:val="0"/>
          <w:sz w:val="24"/>
        </w:rPr>
        <w:t>、必须严格遵守《中华人民共和国国家保密法》、遵守保密纪律。如乙方泄密，造成损害的，责任由乙方全部承担，甲方将保留对乙方及其责任人追究法律责任的权利。</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第二条</w:t>
      </w:r>
      <w:r>
        <w:rPr>
          <w:rFonts w:ascii="等线" w:hAnsi="等线" w:cs="宋体" w:hint="eastAsia"/>
          <w:color w:val="000000"/>
          <w:kern w:val="0"/>
          <w:sz w:val="24"/>
        </w:rPr>
        <w:t xml:space="preserve"> </w:t>
      </w:r>
      <w:r>
        <w:rPr>
          <w:rFonts w:ascii="等线" w:hAnsi="等线" w:cs="宋体" w:hint="eastAsia"/>
          <w:color w:val="000000"/>
          <w:kern w:val="0"/>
          <w:sz w:val="24"/>
        </w:rPr>
        <w:t>保密期限为甲乙双方签订劳动合同之日起至合同期满之日止。</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第三条</w:t>
      </w:r>
      <w:r>
        <w:rPr>
          <w:rFonts w:ascii="等线" w:hAnsi="等线" w:cs="宋体" w:hint="eastAsia"/>
          <w:color w:val="000000"/>
          <w:kern w:val="0"/>
          <w:sz w:val="24"/>
        </w:rPr>
        <w:t xml:space="preserve"> </w:t>
      </w:r>
      <w:r>
        <w:rPr>
          <w:rFonts w:ascii="等线" w:hAnsi="等线" w:cs="宋体" w:hint="eastAsia"/>
          <w:color w:val="000000"/>
          <w:kern w:val="0"/>
          <w:sz w:val="24"/>
        </w:rPr>
        <w:t>本保密协议自双方授权代表签署之日起生效。</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第四条</w:t>
      </w:r>
      <w:r>
        <w:rPr>
          <w:rFonts w:ascii="等线" w:hAnsi="等线" w:cs="宋体" w:hint="eastAsia"/>
          <w:color w:val="000000"/>
          <w:kern w:val="0"/>
          <w:sz w:val="24"/>
        </w:rPr>
        <w:t xml:space="preserve"> </w:t>
      </w:r>
      <w:r>
        <w:rPr>
          <w:rFonts w:ascii="等线" w:hAnsi="等线" w:cs="宋体" w:hint="eastAsia"/>
          <w:color w:val="000000"/>
          <w:kern w:val="0"/>
          <w:sz w:val="24"/>
        </w:rPr>
        <w:t>本协议一式两份，双方各持一份。</w:t>
      </w:r>
    </w:p>
    <w:p w:rsidR="00AD5B8C" w:rsidRDefault="00AD5B8C" w:rsidP="00AD5B8C">
      <w:pPr>
        <w:widowControl/>
        <w:spacing w:before="100" w:beforeAutospacing="1" w:after="100" w:afterAutospacing="1" w:line="240" w:lineRule="exact"/>
        <w:jc w:val="left"/>
        <w:rPr>
          <w:rFonts w:ascii="等线" w:hAnsi="等线" w:cs="黑体" w:hint="eastAsia"/>
          <w:color w:val="000000"/>
          <w:kern w:val="0"/>
          <w:sz w:val="24"/>
        </w:rPr>
      </w:pPr>
      <w:r>
        <w:rPr>
          <w:rFonts w:ascii="等线" w:hAnsi="等线" w:cs="宋体" w:hint="eastAsia"/>
          <w:color w:val="000000"/>
          <w:kern w:val="0"/>
          <w:sz w:val="24"/>
        </w:rPr>
        <w:t>甲方：</w:t>
      </w:r>
      <w:r>
        <w:rPr>
          <w:rFonts w:ascii="等线" w:hAnsi="等线" w:cs="宋体" w:hint="eastAsia"/>
          <w:color w:val="000000"/>
          <w:kern w:val="0"/>
          <w:sz w:val="24"/>
        </w:rPr>
        <w:t xml:space="preserve">                            </w:t>
      </w:r>
      <w:r>
        <w:rPr>
          <w:rFonts w:ascii="等线" w:hAnsi="等线" w:cs="宋体" w:hint="eastAsia"/>
          <w:color w:val="000000"/>
          <w:kern w:val="0"/>
          <w:sz w:val="24"/>
        </w:rPr>
        <w:tab/>
      </w:r>
      <w:r>
        <w:rPr>
          <w:rFonts w:ascii="等线" w:hAnsi="等线" w:cs="宋体" w:hint="eastAsia"/>
          <w:color w:val="000000"/>
          <w:kern w:val="0"/>
          <w:sz w:val="24"/>
        </w:rPr>
        <w:tab/>
        <w:t xml:space="preserve">         </w:t>
      </w:r>
      <w:r>
        <w:rPr>
          <w:rFonts w:ascii="等线" w:hAnsi="等线" w:cs="宋体" w:hint="eastAsia"/>
          <w:color w:val="000000"/>
          <w:kern w:val="0"/>
          <w:sz w:val="24"/>
        </w:rPr>
        <w:t>乙方</w:t>
      </w:r>
      <w:r>
        <w:rPr>
          <w:rFonts w:ascii="等线" w:hAnsi="等线" w:cs="宋体" w:hint="eastAsia"/>
          <w:color w:val="000000"/>
          <w:kern w:val="0"/>
          <w:sz w:val="24"/>
        </w:rPr>
        <w:t>:</w:t>
      </w:r>
      <w:r>
        <w:rPr>
          <w:rFonts w:ascii="等线" w:hAnsi="等线" w:cs="黑体" w:hint="eastAsia"/>
          <w:color w:val="000000"/>
          <w:kern w:val="0"/>
          <w:sz w:val="24"/>
        </w:rPr>
        <w:t xml:space="preserve"> </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t>代表</w:t>
      </w:r>
      <w:r>
        <w:rPr>
          <w:rFonts w:ascii="等线" w:hAnsi="等线" w:cs="宋体" w:hint="eastAsia"/>
          <w:color w:val="000000"/>
          <w:kern w:val="0"/>
          <w:sz w:val="24"/>
        </w:rPr>
        <w:t xml:space="preserve">:                                              </w:t>
      </w:r>
      <w:r>
        <w:rPr>
          <w:rFonts w:ascii="等线" w:hAnsi="等线" w:cs="宋体" w:hint="eastAsia"/>
          <w:color w:val="000000"/>
          <w:kern w:val="0"/>
          <w:sz w:val="24"/>
        </w:rPr>
        <w:t>代表</w:t>
      </w:r>
      <w:r>
        <w:rPr>
          <w:rFonts w:ascii="等线" w:hAnsi="等线" w:cs="宋体" w:hint="eastAsia"/>
          <w:color w:val="000000"/>
          <w:kern w:val="0"/>
          <w:sz w:val="24"/>
        </w:rPr>
        <w:t>:</w:t>
      </w:r>
    </w:p>
    <w:p w:rsidR="00AD5B8C" w:rsidRDefault="00AD5B8C" w:rsidP="00AD5B8C">
      <w:pPr>
        <w:widowControl/>
        <w:spacing w:before="100" w:beforeAutospacing="1" w:after="100" w:afterAutospacing="1" w:line="240" w:lineRule="exact"/>
        <w:jc w:val="left"/>
        <w:rPr>
          <w:rFonts w:ascii="等线" w:hAnsi="等线" w:cs="宋体" w:hint="eastAsia"/>
          <w:color w:val="000000"/>
          <w:kern w:val="0"/>
          <w:sz w:val="24"/>
        </w:rPr>
      </w:pPr>
      <w:r>
        <w:rPr>
          <w:rFonts w:ascii="等线" w:hAnsi="等线" w:cs="宋体" w:hint="eastAsia"/>
          <w:color w:val="000000"/>
          <w:kern w:val="0"/>
          <w:sz w:val="24"/>
        </w:rPr>
        <w:lastRenderedPageBreak/>
        <w:t>时间：</w:t>
      </w:r>
      <w:r>
        <w:rPr>
          <w:rFonts w:ascii="等线" w:hAnsi="等线" w:cs="宋体" w:hint="eastAsia"/>
          <w:color w:val="000000"/>
          <w:kern w:val="0"/>
          <w:sz w:val="24"/>
        </w:rPr>
        <w:t xml:space="preserve">                                             </w:t>
      </w:r>
      <w:r>
        <w:rPr>
          <w:rFonts w:ascii="等线" w:hAnsi="等线" w:cs="宋体" w:hint="eastAsia"/>
          <w:color w:val="000000"/>
          <w:kern w:val="0"/>
          <w:sz w:val="24"/>
        </w:rPr>
        <w:t>时间：</w:t>
      </w:r>
    </w:p>
    <w:p w:rsidR="00AD5B8C" w:rsidRDefault="00AD5B8C" w:rsidP="00AD5B8C">
      <w:pPr>
        <w:widowControl/>
        <w:spacing w:before="100" w:beforeAutospacing="1" w:after="100" w:afterAutospacing="1"/>
        <w:jc w:val="left"/>
        <w:rPr>
          <w:rFonts w:ascii="等线" w:hAnsi="等线" w:cs="宋体" w:hint="eastAsia"/>
          <w:color w:val="000000"/>
          <w:kern w:val="0"/>
          <w:sz w:val="24"/>
        </w:rPr>
      </w:pPr>
      <w:r>
        <w:rPr>
          <w:rFonts w:ascii="等线" w:hAnsi="等线" w:cs="宋体" w:hint="eastAsia"/>
          <w:color w:val="000000"/>
          <w:kern w:val="0"/>
          <w:sz w:val="24"/>
        </w:rPr>
        <w:t>(</w:t>
      </w:r>
      <w:r>
        <w:rPr>
          <w:rFonts w:ascii="等线" w:hAnsi="等线" w:cs="宋体" w:hint="eastAsia"/>
          <w:color w:val="000000"/>
          <w:kern w:val="0"/>
          <w:sz w:val="24"/>
        </w:rPr>
        <w:t>签章</w:t>
      </w:r>
      <w:r>
        <w:rPr>
          <w:rFonts w:ascii="等线" w:hAnsi="等线" w:cs="宋体" w:hint="eastAsia"/>
          <w:color w:val="000000"/>
          <w:kern w:val="0"/>
          <w:sz w:val="24"/>
        </w:rPr>
        <w:t>)                                             (</w:t>
      </w:r>
      <w:r>
        <w:rPr>
          <w:rFonts w:ascii="等线" w:hAnsi="等线" w:cs="宋体" w:hint="eastAsia"/>
          <w:color w:val="000000"/>
          <w:kern w:val="0"/>
          <w:sz w:val="24"/>
        </w:rPr>
        <w:t>签章</w:t>
      </w:r>
      <w:r>
        <w:rPr>
          <w:rFonts w:ascii="等线" w:hAnsi="等线" w:cs="宋体" w:hint="eastAsia"/>
          <w:color w:val="000000"/>
          <w:kern w:val="0"/>
          <w:sz w:val="24"/>
        </w:rPr>
        <w:t>)</w:t>
      </w: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pStyle w:val="1"/>
        <w:spacing w:before="0" w:after="0" w:line="500" w:lineRule="exact"/>
        <w:jc w:val="center"/>
        <w:rPr>
          <w:rFonts w:ascii="方正小标宋_GBK" w:eastAsia="方正小标宋_GBK" w:hAnsi="方正小标宋_GBK" w:hint="eastAsia"/>
          <w:b w:val="0"/>
          <w:bCs w:val="0"/>
          <w:color w:val="000000"/>
          <w:szCs w:val="32"/>
        </w:rPr>
      </w:pPr>
      <w:r>
        <w:rPr>
          <w:rFonts w:ascii="方正小标宋_GBK" w:eastAsia="方正小标宋_GBK" w:hAnsi="方正小标宋_GBK" w:hint="eastAsia"/>
          <w:b w:val="0"/>
          <w:bCs w:val="0"/>
          <w:color w:val="000000"/>
          <w:szCs w:val="32"/>
        </w:rPr>
        <w:t>个人保密承诺书</w:t>
      </w:r>
    </w:p>
    <w:p w:rsidR="00AD5B8C" w:rsidRDefault="00AD5B8C" w:rsidP="00AD5B8C">
      <w:pPr>
        <w:rPr>
          <w:rFonts w:eastAsia="仿宋_GB2312" w:hint="eastAsia"/>
          <w:color w:val="000000"/>
          <w:szCs w:val="32"/>
        </w:rPr>
      </w:pPr>
    </w:p>
    <w:p w:rsidR="00AD5B8C" w:rsidRDefault="00AD5B8C" w:rsidP="00AD5B8C">
      <w:pPr>
        <w:spacing w:line="540" w:lineRule="exact"/>
        <w:ind w:firstLineChars="200" w:firstLine="600"/>
        <w:rPr>
          <w:rFonts w:ascii="仿宋_GB2312"/>
          <w:color w:val="000000"/>
          <w:sz w:val="30"/>
          <w:szCs w:val="30"/>
        </w:rPr>
      </w:pPr>
      <w:r>
        <w:rPr>
          <w:rFonts w:ascii="仿宋_GB2312" w:hint="eastAsia"/>
          <w:color w:val="000000"/>
          <w:sz w:val="30"/>
          <w:szCs w:val="30"/>
        </w:rPr>
        <w:t>本人了解国家保密的法律、法规和规章制度，认真学习了广西公安厅《广西公安信息网安全管理规定》、《广西公安厅机关公安信息网安全管理实施细则》、《广西壮族自治区公安厅保密委员会关于进一步加强厅机关驻点人员安全保密管理的通知》等相关安全保密要求，知悉应当承担的保密义务和法律责任，并郑重承诺：</w:t>
      </w:r>
    </w:p>
    <w:p w:rsidR="00AD5B8C" w:rsidRDefault="00AD5B8C" w:rsidP="00AD5B8C">
      <w:pPr>
        <w:spacing w:line="540" w:lineRule="exact"/>
        <w:ind w:firstLineChars="200" w:firstLine="600"/>
        <w:rPr>
          <w:rFonts w:ascii="仿宋_GB2312" w:hint="eastAsia"/>
          <w:color w:val="000000"/>
          <w:sz w:val="30"/>
          <w:szCs w:val="30"/>
        </w:rPr>
      </w:pPr>
      <w:r>
        <w:rPr>
          <w:rFonts w:ascii="仿宋_GB2312" w:hint="eastAsia"/>
          <w:color w:val="000000"/>
          <w:sz w:val="30"/>
          <w:szCs w:val="30"/>
        </w:rPr>
        <w:t>一、严格遵守国家保密法律、法规和规章制度，遵守广西公安厅相关安全保密要求，履行保密义务；</w:t>
      </w:r>
    </w:p>
    <w:p w:rsidR="00AD5B8C" w:rsidRDefault="00AD5B8C" w:rsidP="00AD5B8C">
      <w:pPr>
        <w:spacing w:line="540" w:lineRule="exact"/>
        <w:ind w:firstLineChars="200" w:firstLine="600"/>
        <w:rPr>
          <w:rFonts w:ascii="仿宋_GB2312" w:hint="eastAsia"/>
          <w:color w:val="000000"/>
          <w:sz w:val="30"/>
          <w:szCs w:val="30"/>
        </w:rPr>
      </w:pPr>
      <w:r>
        <w:rPr>
          <w:rFonts w:ascii="仿宋_GB2312" w:hint="eastAsia"/>
          <w:color w:val="000000"/>
          <w:sz w:val="30"/>
          <w:szCs w:val="30"/>
        </w:rPr>
        <w:t>二、不违规记录和存储任何在工作中所涉及的国家秘密，警务工作秘密和相关项目技术、业务资料及数据；</w:t>
      </w:r>
    </w:p>
    <w:p w:rsidR="00AD5B8C" w:rsidRDefault="00AD5B8C" w:rsidP="00AD5B8C">
      <w:pPr>
        <w:spacing w:line="540" w:lineRule="exact"/>
        <w:ind w:firstLineChars="200" w:firstLine="600"/>
        <w:rPr>
          <w:rFonts w:ascii="仿宋_GB2312" w:hint="eastAsia"/>
          <w:color w:val="000000"/>
          <w:sz w:val="30"/>
          <w:szCs w:val="30"/>
        </w:rPr>
      </w:pPr>
      <w:r>
        <w:rPr>
          <w:rFonts w:ascii="仿宋_GB2312" w:hint="eastAsia"/>
          <w:color w:val="000000"/>
          <w:sz w:val="30"/>
          <w:szCs w:val="30"/>
        </w:rPr>
        <w:t>三、不</w:t>
      </w:r>
      <w:r>
        <w:rPr>
          <w:rFonts w:hint="eastAsia"/>
          <w:color w:val="000000"/>
          <w:sz w:val="30"/>
          <w:szCs w:val="30"/>
        </w:rPr>
        <w:t>通过互联网、微信、</w:t>
      </w:r>
      <w:r>
        <w:rPr>
          <w:color w:val="000000"/>
          <w:sz w:val="30"/>
          <w:szCs w:val="30"/>
        </w:rPr>
        <w:t>QQ</w:t>
      </w:r>
      <w:r>
        <w:rPr>
          <w:rFonts w:hint="eastAsia"/>
          <w:color w:val="000000"/>
          <w:sz w:val="30"/>
          <w:szCs w:val="30"/>
        </w:rPr>
        <w:t>等存储、处理、传输涉及从科技信息化项目</w:t>
      </w:r>
      <w:r>
        <w:rPr>
          <w:rFonts w:ascii="仿宋_GB2312" w:hint="eastAsia"/>
          <w:color w:val="000000"/>
          <w:sz w:val="30"/>
          <w:szCs w:val="30"/>
        </w:rPr>
        <w:t>中所接触和知悉的国家秘密和警务工作秘密，包括</w:t>
      </w:r>
      <w:r>
        <w:rPr>
          <w:rFonts w:hint="eastAsia"/>
          <w:color w:val="000000"/>
          <w:sz w:val="30"/>
          <w:szCs w:val="30"/>
        </w:rPr>
        <w:t>警务工作信息和敏感信息；</w:t>
      </w:r>
    </w:p>
    <w:p w:rsidR="00AD5B8C" w:rsidRDefault="00AD5B8C" w:rsidP="00AD5B8C">
      <w:pPr>
        <w:spacing w:line="540" w:lineRule="exact"/>
        <w:ind w:firstLineChars="200" w:firstLine="600"/>
        <w:rPr>
          <w:rFonts w:ascii="仿宋_GB2312" w:hint="eastAsia"/>
          <w:color w:val="000000"/>
          <w:sz w:val="30"/>
          <w:szCs w:val="30"/>
        </w:rPr>
      </w:pPr>
      <w:r>
        <w:rPr>
          <w:rFonts w:ascii="仿宋_GB2312" w:hint="eastAsia"/>
          <w:color w:val="000000"/>
          <w:sz w:val="30"/>
          <w:szCs w:val="30"/>
        </w:rPr>
        <w:t>四、不以任何方式泄露</w:t>
      </w:r>
      <w:r>
        <w:rPr>
          <w:rFonts w:hint="eastAsia"/>
          <w:color w:val="000000"/>
          <w:sz w:val="30"/>
          <w:szCs w:val="30"/>
        </w:rPr>
        <w:t>科技信息化项目</w:t>
      </w:r>
      <w:r>
        <w:rPr>
          <w:rFonts w:ascii="仿宋_GB2312" w:hint="eastAsia"/>
          <w:color w:val="000000"/>
          <w:sz w:val="30"/>
          <w:szCs w:val="30"/>
        </w:rPr>
        <w:t>中所接触和知悉的国家秘密和警务工作秘密，包括</w:t>
      </w:r>
      <w:r>
        <w:rPr>
          <w:rFonts w:hint="eastAsia"/>
          <w:color w:val="000000"/>
          <w:sz w:val="30"/>
          <w:szCs w:val="30"/>
        </w:rPr>
        <w:t>警务工作信息和敏感信息</w:t>
      </w:r>
      <w:r>
        <w:rPr>
          <w:rFonts w:ascii="仿宋_GB2312" w:hint="eastAsia"/>
          <w:color w:val="000000"/>
          <w:sz w:val="30"/>
          <w:szCs w:val="30"/>
        </w:rPr>
        <w:t>；</w:t>
      </w:r>
    </w:p>
    <w:p w:rsidR="00AD5B8C" w:rsidRDefault="00AD5B8C" w:rsidP="00AD5B8C">
      <w:pPr>
        <w:spacing w:line="540" w:lineRule="exact"/>
        <w:ind w:firstLineChars="200" w:firstLine="600"/>
        <w:rPr>
          <w:rFonts w:ascii="仿宋_GB2312" w:hint="eastAsia"/>
          <w:color w:val="000000"/>
          <w:sz w:val="30"/>
          <w:szCs w:val="30"/>
        </w:rPr>
      </w:pPr>
      <w:r>
        <w:rPr>
          <w:rFonts w:ascii="仿宋_GB2312" w:hint="eastAsia"/>
          <w:color w:val="000000"/>
          <w:sz w:val="30"/>
          <w:szCs w:val="30"/>
        </w:rPr>
        <w:t>五、不对外发表、传播涉及警务工作信息和敏感信息内容的文章、著作或相关信息；</w:t>
      </w:r>
    </w:p>
    <w:p w:rsidR="00AD5B8C" w:rsidRDefault="00AD5B8C" w:rsidP="00AD5B8C">
      <w:pPr>
        <w:spacing w:line="540" w:lineRule="exact"/>
        <w:ind w:firstLineChars="200" w:firstLine="600"/>
        <w:rPr>
          <w:rFonts w:ascii="仿宋_GB2312" w:hint="eastAsia"/>
          <w:color w:val="000000"/>
          <w:sz w:val="30"/>
          <w:szCs w:val="30"/>
        </w:rPr>
      </w:pPr>
      <w:r>
        <w:rPr>
          <w:rFonts w:ascii="仿宋_GB2312" w:hint="eastAsia"/>
          <w:color w:val="000000"/>
          <w:sz w:val="30"/>
          <w:szCs w:val="30"/>
        </w:rPr>
        <w:t>六、禁止使用双网卡计算机及带无线功能的笔记本计算机设</w:t>
      </w:r>
      <w:r>
        <w:rPr>
          <w:rFonts w:ascii="仿宋_GB2312" w:hint="eastAsia"/>
          <w:color w:val="000000"/>
          <w:sz w:val="30"/>
          <w:szCs w:val="30"/>
        </w:rPr>
        <w:lastRenderedPageBreak/>
        <w:t>备开展运维操作；</w:t>
      </w:r>
    </w:p>
    <w:p w:rsidR="00AD5B8C" w:rsidRDefault="00AD5B8C" w:rsidP="00AD5B8C">
      <w:pPr>
        <w:spacing w:line="540" w:lineRule="exact"/>
        <w:ind w:firstLineChars="200" w:firstLine="600"/>
        <w:rPr>
          <w:rFonts w:ascii="仿宋_GB2312" w:hint="eastAsia"/>
          <w:color w:val="000000"/>
          <w:sz w:val="30"/>
          <w:szCs w:val="30"/>
        </w:rPr>
      </w:pPr>
      <w:r>
        <w:rPr>
          <w:rFonts w:ascii="仿宋_GB2312" w:hint="eastAsia"/>
          <w:color w:val="000000"/>
          <w:sz w:val="30"/>
          <w:szCs w:val="30"/>
        </w:rPr>
        <w:t>七、自愿接受保密监督检查；</w:t>
      </w:r>
    </w:p>
    <w:p w:rsidR="00AD5B8C" w:rsidRDefault="00AD5B8C" w:rsidP="00AD5B8C">
      <w:pPr>
        <w:spacing w:line="540" w:lineRule="exact"/>
        <w:ind w:firstLineChars="200" w:firstLine="600"/>
        <w:rPr>
          <w:rFonts w:ascii="仿宋_GB2312" w:hint="eastAsia"/>
          <w:color w:val="000000"/>
          <w:sz w:val="30"/>
          <w:szCs w:val="30"/>
        </w:rPr>
      </w:pPr>
      <w:r>
        <w:rPr>
          <w:rFonts w:ascii="仿宋_GB2312" w:hint="eastAsia"/>
          <w:color w:val="000000"/>
          <w:sz w:val="30"/>
          <w:szCs w:val="30"/>
        </w:rPr>
        <w:t>若违反以上承诺，自愿承担一切法律后果。</w:t>
      </w:r>
    </w:p>
    <w:p w:rsidR="00AD5B8C" w:rsidRDefault="00AD5B8C" w:rsidP="00AD5B8C">
      <w:pPr>
        <w:spacing w:line="600" w:lineRule="exact"/>
        <w:ind w:firstLineChars="1600" w:firstLine="4800"/>
        <w:rPr>
          <w:rFonts w:ascii="仿宋_GB2312" w:hint="eastAsia"/>
          <w:color w:val="000000"/>
          <w:sz w:val="30"/>
          <w:szCs w:val="30"/>
        </w:rPr>
      </w:pPr>
      <w:r>
        <w:rPr>
          <w:rFonts w:ascii="仿宋_GB2312" w:hint="eastAsia"/>
          <w:color w:val="000000"/>
          <w:sz w:val="30"/>
          <w:szCs w:val="30"/>
        </w:rPr>
        <w:t>承诺人签名：</w:t>
      </w:r>
    </w:p>
    <w:p w:rsidR="00AD5B8C" w:rsidRDefault="00AD5B8C" w:rsidP="00AD5B8C">
      <w:pPr>
        <w:pStyle w:val="af0"/>
        <w:jc w:val="center"/>
        <w:rPr>
          <w:rFonts w:ascii="仿宋_GB2312" w:hint="eastAsia"/>
          <w:color w:val="000000"/>
          <w:sz w:val="30"/>
          <w:szCs w:val="30"/>
        </w:rPr>
      </w:pPr>
      <w:r>
        <w:rPr>
          <w:rFonts w:ascii="仿宋_GB2312" w:hint="eastAsia"/>
          <w:color w:val="000000"/>
          <w:sz w:val="30"/>
          <w:szCs w:val="30"/>
        </w:rPr>
        <w:t xml:space="preserve">                         </w:t>
      </w:r>
      <w:r>
        <w:rPr>
          <w:rFonts w:ascii="仿宋_GB2312" w:hint="eastAsia"/>
          <w:color w:val="000000"/>
          <w:sz w:val="30"/>
          <w:szCs w:val="30"/>
        </w:rPr>
        <w:t>承诺人身份证号码：</w:t>
      </w:r>
    </w:p>
    <w:p w:rsidR="00AD5B8C" w:rsidRDefault="00AD5B8C" w:rsidP="00AD5B8C">
      <w:pPr>
        <w:autoSpaceDN w:val="0"/>
        <w:adjustRightInd w:val="0"/>
        <w:spacing w:line="572" w:lineRule="exact"/>
        <w:ind w:firstLineChars="1900" w:firstLine="5700"/>
        <w:jc w:val="left"/>
        <w:rPr>
          <w:rFonts w:ascii="仿宋_GB2312" w:hint="eastAsia"/>
          <w:color w:val="000000"/>
          <w:sz w:val="30"/>
          <w:szCs w:val="30"/>
        </w:rPr>
      </w:pPr>
      <w:r>
        <w:rPr>
          <w:rFonts w:ascii="仿宋_GB2312" w:hint="eastAsia"/>
          <w:color w:val="000000"/>
          <w:sz w:val="30"/>
          <w:szCs w:val="30"/>
        </w:rPr>
        <w:t xml:space="preserve">     </w:t>
      </w:r>
      <w:r>
        <w:rPr>
          <w:rFonts w:ascii="仿宋_GB2312" w:hint="eastAsia"/>
          <w:color w:val="000000"/>
          <w:sz w:val="30"/>
          <w:szCs w:val="30"/>
        </w:rPr>
        <w:t>年</w:t>
      </w:r>
      <w:r>
        <w:rPr>
          <w:rFonts w:ascii="仿宋_GB2312" w:hint="eastAsia"/>
          <w:color w:val="000000"/>
          <w:sz w:val="30"/>
          <w:szCs w:val="30"/>
        </w:rPr>
        <w:t xml:space="preserve">    </w:t>
      </w:r>
      <w:r>
        <w:rPr>
          <w:rFonts w:ascii="仿宋_GB2312" w:hint="eastAsia"/>
          <w:color w:val="000000"/>
          <w:sz w:val="30"/>
          <w:szCs w:val="30"/>
        </w:rPr>
        <w:t>月</w:t>
      </w:r>
      <w:r>
        <w:rPr>
          <w:rFonts w:ascii="仿宋_GB2312" w:hint="eastAsia"/>
          <w:color w:val="000000"/>
          <w:sz w:val="30"/>
          <w:szCs w:val="30"/>
        </w:rPr>
        <w:t xml:space="preserve">    </w:t>
      </w:r>
      <w:r>
        <w:rPr>
          <w:rFonts w:ascii="仿宋_GB2312" w:hint="eastAsia"/>
          <w:color w:val="000000"/>
          <w:sz w:val="30"/>
          <w:szCs w:val="30"/>
        </w:rPr>
        <w:t>日</w:t>
      </w: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p w:rsidR="00AD5B8C" w:rsidRDefault="00AD5B8C" w:rsidP="00AD5B8C">
      <w:pPr>
        <w:tabs>
          <w:tab w:val="left" w:pos="180"/>
          <w:tab w:val="left" w:pos="1620"/>
        </w:tabs>
        <w:spacing w:line="360" w:lineRule="auto"/>
        <w:ind w:firstLineChars="200" w:firstLine="422"/>
        <w:rPr>
          <w:rFonts w:ascii="宋体" w:hAnsi="宋体" w:cs="宋体" w:hint="eastAsia"/>
          <w:b/>
          <w:bCs/>
          <w:color w:val="000000"/>
          <w:szCs w:val="21"/>
        </w:rPr>
      </w:pPr>
    </w:p>
    <w:bookmarkEnd w:id="0"/>
    <w:bookmarkEnd w:id="1"/>
    <w:p w:rsidR="00AD5B8C" w:rsidRDefault="00AD5B8C" w:rsidP="00AD5B8C">
      <w:pPr>
        <w:widowControl/>
        <w:jc w:val="left"/>
        <w:rPr>
          <w:rFonts w:ascii="黑体" w:eastAsia="黑体" w:hAnsi="黑体" w:cs="黑体" w:hint="eastAsia"/>
          <w:color w:val="000000"/>
          <w:sz w:val="32"/>
          <w:szCs w:val="32"/>
        </w:rPr>
      </w:pPr>
      <w:r>
        <w:rPr>
          <w:rFonts w:ascii="黑体" w:eastAsia="黑体" w:hAnsi="黑体" w:cs="黑体" w:hint="eastAsia"/>
          <w:color w:val="000000"/>
          <w:sz w:val="32"/>
          <w:szCs w:val="32"/>
        </w:rPr>
        <w:t>附件：</w:t>
      </w:r>
    </w:p>
    <w:p w:rsidR="00AD5B8C" w:rsidRDefault="00AD5B8C" w:rsidP="00AD5B8C">
      <w:pPr>
        <w:pStyle w:val="af0"/>
        <w:jc w:val="center"/>
        <w:rPr>
          <w:rFonts w:hint="eastAsia"/>
          <w:b/>
          <w:color w:val="000000"/>
          <w:sz w:val="28"/>
          <w:szCs w:val="28"/>
        </w:rPr>
      </w:pPr>
      <w:r>
        <w:rPr>
          <w:rFonts w:hint="eastAsia"/>
          <w:b/>
          <w:color w:val="000000"/>
          <w:sz w:val="28"/>
          <w:szCs w:val="28"/>
        </w:rPr>
        <w:t>中小企业划型标准规定</w:t>
      </w:r>
    </w:p>
    <w:p w:rsidR="00AD5B8C" w:rsidRDefault="00AD5B8C" w:rsidP="00AD5B8C">
      <w:pPr>
        <w:pStyle w:val="af0"/>
        <w:jc w:val="center"/>
        <w:rPr>
          <w:rFonts w:ascii="宋体" w:hAnsi="宋体"/>
          <w:color w:val="000000"/>
          <w:sz w:val="21"/>
          <w:szCs w:val="21"/>
        </w:rPr>
      </w:pPr>
      <w:r>
        <w:rPr>
          <w:rFonts w:ascii="宋体" w:hAnsi="宋体" w:hint="eastAsia"/>
          <w:color w:val="000000"/>
          <w:szCs w:val="21"/>
        </w:rPr>
        <w:t>工信部联企业〔2011〕300号</w:t>
      </w:r>
    </w:p>
    <w:p w:rsidR="00AD5B8C" w:rsidRDefault="00AD5B8C" w:rsidP="00AD5B8C">
      <w:pPr>
        <w:pStyle w:val="af0"/>
        <w:rPr>
          <w:rFonts w:hint="eastAsia"/>
          <w:color w:val="000000"/>
          <w:szCs w:val="21"/>
        </w:rPr>
      </w:pPr>
    </w:p>
    <w:p w:rsidR="00AD5B8C" w:rsidRDefault="00AD5B8C" w:rsidP="00AD5B8C">
      <w:pPr>
        <w:pStyle w:val="af0"/>
        <w:rPr>
          <w:color w:val="000000"/>
          <w:szCs w:val="21"/>
        </w:rPr>
      </w:pPr>
      <w:r>
        <w:rPr>
          <w:rFonts w:hint="eastAsia"/>
          <w:color w:val="000000"/>
          <w:szCs w:val="21"/>
        </w:rPr>
        <w:t xml:space="preserve">　　一、根据《中华人民共和国中小企业促进法》和《国务院关于进一步促进中小企业发展的若干意见》</w:t>
      </w:r>
      <w:r>
        <w:rPr>
          <w:color w:val="000000"/>
          <w:szCs w:val="21"/>
        </w:rPr>
        <w:t>(</w:t>
      </w:r>
      <w:r>
        <w:rPr>
          <w:rFonts w:hint="eastAsia"/>
          <w:color w:val="000000"/>
          <w:szCs w:val="21"/>
        </w:rPr>
        <w:t>国发〔</w:t>
      </w:r>
      <w:r>
        <w:rPr>
          <w:color w:val="000000"/>
          <w:szCs w:val="21"/>
        </w:rPr>
        <w:t>2009</w:t>
      </w:r>
      <w:r>
        <w:rPr>
          <w:rFonts w:hint="eastAsia"/>
          <w:color w:val="000000"/>
          <w:szCs w:val="21"/>
        </w:rPr>
        <w:t>〕</w:t>
      </w:r>
      <w:r>
        <w:rPr>
          <w:color w:val="000000"/>
          <w:szCs w:val="21"/>
        </w:rPr>
        <w:t>36</w:t>
      </w:r>
      <w:r>
        <w:rPr>
          <w:rFonts w:hint="eastAsia"/>
          <w:color w:val="000000"/>
          <w:szCs w:val="21"/>
        </w:rPr>
        <w:t>号</w:t>
      </w:r>
      <w:r>
        <w:rPr>
          <w:color w:val="000000"/>
          <w:szCs w:val="21"/>
        </w:rPr>
        <w:t>)</w:t>
      </w:r>
      <w:r>
        <w:rPr>
          <w:rFonts w:hint="eastAsia"/>
          <w:color w:val="000000"/>
          <w:szCs w:val="21"/>
        </w:rPr>
        <w:t>，制定本规定。</w:t>
      </w:r>
    </w:p>
    <w:p w:rsidR="00AD5B8C" w:rsidRDefault="00AD5B8C" w:rsidP="00AD5B8C">
      <w:pPr>
        <w:pStyle w:val="af0"/>
        <w:rPr>
          <w:color w:val="000000"/>
          <w:szCs w:val="21"/>
        </w:rPr>
      </w:pPr>
      <w:r>
        <w:rPr>
          <w:rFonts w:hint="eastAsia"/>
          <w:color w:val="000000"/>
          <w:szCs w:val="21"/>
        </w:rPr>
        <w:t xml:space="preserve">　　二、中小企业划分为中型、小型、微型三种类型，具体标准根据企业从业人员、营业收入、资产总额等指标，结合行业特点制定。</w:t>
      </w:r>
    </w:p>
    <w:p w:rsidR="00AD5B8C" w:rsidRDefault="00AD5B8C" w:rsidP="00AD5B8C">
      <w:pPr>
        <w:pStyle w:val="af0"/>
        <w:rPr>
          <w:color w:val="000000"/>
          <w:szCs w:val="21"/>
        </w:rPr>
      </w:pPr>
      <w:r>
        <w:rPr>
          <w:rFonts w:hint="eastAsia"/>
          <w:color w:val="000000"/>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AD5B8C" w:rsidRDefault="00AD5B8C" w:rsidP="00AD5B8C">
      <w:pPr>
        <w:pStyle w:val="af0"/>
        <w:rPr>
          <w:color w:val="000000"/>
          <w:szCs w:val="21"/>
        </w:rPr>
      </w:pPr>
      <w:r>
        <w:rPr>
          <w:rFonts w:hint="eastAsia"/>
          <w:color w:val="000000"/>
          <w:szCs w:val="21"/>
        </w:rPr>
        <w:t xml:space="preserve">　　四、各行业划型标准为：</w:t>
      </w:r>
    </w:p>
    <w:p w:rsidR="00AD5B8C" w:rsidRDefault="00AD5B8C" w:rsidP="00AD5B8C">
      <w:pPr>
        <w:pStyle w:val="af0"/>
        <w:rPr>
          <w:color w:val="000000"/>
          <w:szCs w:val="21"/>
        </w:rPr>
      </w:pPr>
      <w:r>
        <w:rPr>
          <w:rFonts w:hint="eastAsia"/>
          <w:color w:val="000000"/>
          <w:szCs w:val="21"/>
        </w:rPr>
        <w:t xml:space="preserve">　　（一）农、林、牧、渔业。营业收入</w:t>
      </w:r>
      <w:r>
        <w:rPr>
          <w:color w:val="000000"/>
          <w:szCs w:val="21"/>
        </w:rPr>
        <w:t>20000</w:t>
      </w:r>
      <w:r>
        <w:rPr>
          <w:rFonts w:hint="eastAsia"/>
          <w:color w:val="000000"/>
          <w:szCs w:val="21"/>
        </w:rPr>
        <w:t>万元以下的为中小微型企业。其中，营业收入</w:t>
      </w:r>
      <w:r>
        <w:rPr>
          <w:color w:val="000000"/>
          <w:szCs w:val="21"/>
        </w:rPr>
        <w:t>500</w:t>
      </w:r>
      <w:r>
        <w:rPr>
          <w:rFonts w:hint="eastAsia"/>
          <w:color w:val="000000"/>
          <w:szCs w:val="21"/>
        </w:rPr>
        <w:t>万元及以上的为中型企业，营业收入</w:t>
      </w:r>
      <w:r>
        <w:rPr>
          <w:color w:val="000000"/>
          <w:szCs w:val="21"/>
        </w:rPr>
        <w:t>50</w:t>
      </w:r>
      <w:r>
        <w:rPr>
          <w:rFonts w:hint="eastAsia"/>
          <w:color w:val="000000"/>
          <w:szCs w:val="21"/>
        </w:rPr>
        <w:t>万元及以上的为小型企业，营业收入</w:t>
      </w:r>
      <w:r>
        <w:rPr>
          <w:color w:val="000000"/>
          <w:szCs w:val="21"/>
        </w:rPr>
        <w:t>50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（二）工业。从业人员</w:t>
      </w:r>
      <w:r>
        <w:rPr>
          <w:color w:val="000000"/>
          <w:szCs w:val="21"/>
        </w:rPr>
        <w:t>1000</w:t>
      </w:r>
      <w:r>
        <w:rPr>
          <w:rFonts w:hint="eastAsia"/>
          <w:color w:val="000000"/>
          <w:szCs w:val="21"/>
        </w:rPr>
        <w:t>人以下或营业收入</w:t>
      </w:r>
      <w:r>
        <w:rPr>
          <w:color w:val="000000"/>
          <w:szCs w:val="21"/>
        </w:rPr>
        <w:t>40000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300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300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lastRenderedPageBreak/>
        <w:t xml:space="preserve">　　（三）建筑业。营业收入</w:t>
      </w:r>
      <w:r>
        <w:rPr>
          <w:color w:val="000000"/>
          <w:szCs w:val="21"/>
        </w:rPr>
        <w:t>80000</w:t>
      </w:r>
      <w:r>
        <w:rPr>
          <w:rFonts w:hint="eastAsia"/>
          <w:color w:val="000000"/>
          <w:szCs w:val="21"/>
        </w:rPr>
        <w:t>万元以下或资产总额</w:t>
      </w:r>
      <w:r>
        <w:rPr>
          <w:color w:val="000000"/>
          <w:szCs w:val="21"/>
        </w:rPr>
        <w:t>80000</w:t>
      </w:r>
      <w:r>
        <w:rPr>
          <w:rFonts w:hint="eastAsia"/>
          <w:color w:val="000000"/>
          <w:szCs w:val="21"/>
        </w:rPr>
        <w:t>万元以下的为中小微型企业。其中，营业收入</w:t>
      </w:r>
      <w:r>
        <w:rPr>
          <w:color w:val="000000"/>
          <w:szCs w:val="21"/>
        </w:rPr>
        <w:t>6000</w:t>
      </w:r>
      <w:r>
        <w:rPr>
          <w:rFonts w:hint="eastAsia"/>
          <w:color w:val="000000"/>
          <w:szCs w:val="21"/>
        </w:rPr>
        <w:t>万元及以上，且资产总额</w:t>
      </w:r>
      <w:r>
        <w:rPr>
          <w:color w:val="000000"/>
          <w:szCs w:val="21"/>
        </w:rPr>
        <w:t>5000</w:t>
      </w:r>
      <w:r>
        <w:rPr>
          <w:rFonts w:hint="eastAsia"/>
          <w:color w:val="000000"/>
          <w:szCs w:val="21"/>
        </w:rPr>
        <w:t>万元及以上的为中型企业；营业收入</w:t>
      </w:r>
      <w:r>
        <w:rPr>
          <w:color w:val="000000"/>
          <w:szCs w:val="21"/>
        </w:rPr>
        <w:t>300</w:t>
      </w:r>
      <w:r>
        <w:rPr>
          <w:rFonts w:hint="eastAsia"/>
          <w:color w:val="000000"/>
          <w:szCs w:val="21"/>
        </w:rPr>
        <w:t>万元及以上，且资产总额</w:t>
      </w:r>
      <w:r>
        <w:rPr>
          <w:color w:val="000000"/>
          <w:szCs w:val="21"/>
        </w:rPr>
        <w:t>300</w:t>
      </w:r>
      <w:r>
        <w:rPr>
          <w:rFonts w:hint="eastAsia"/>
          <w:color w:val="000000"/>
          <w:szCs w:val="21"/>
        </w:rPr>
        <w:t>万元及以上的为小型企业；营业收入</w:t>
      </w:r>
      <w:r>
        <w:rPr>
          <w:color w:val="000000"/>
          <w:szCs w:val="21"/>
        </w:rPr>
        <w:t>300</w:t>
      </w:r>
      <w:r>
        <w:rPr>
          <w:rFonts w:hint="eastAsia"/>
          <w:color w:val="000000"/>
          <w:szCs w:val="21"/>
        </w:rPr>
        <w:t>万元以下或资产总额</w:t>
      </w:r>
      <w:r>
        <w:rPr>
          <w:color w:val="000000"/>
          <w:szCs w:val="21"/>
        </w:rPr>
        <w:t>300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（四）批发业。从业人员</w:t>
      </w:r>
      <w:r>
        <w:rPr>
          <w:color w:val="000000"/>
          <w:szCs w:val="21"/>
        </w:rPr>
        <w:t>200</w:t>
      </w:r>
      <w:r>
        <w:rPr>
          <w:rFonts w:hint="eastAsia"/>
          <w:color w:val="000000"/>
          <w:szCs w:val="21"/>
        </w:rPr>
        <w:t>人以下或营业收入</w:t>
      </w:r>
      <w:r>
        <w:rPr>
          <w:color w:val="000000"/>
          <w:szCs w:val="21"/>
        </w:rPr>
        <w:t>40000</w:t>
      </w:r>
      <w:r>
        <w:rPr>
          <w:rFonts w:hint="eastAsia"/>
          <w:color w:val="000000"/>
          <w:szCs w:val="21"/>
        </w:rPr>
        <w:t>万元以下的为中小微型企业。其中，从业人员</w:t>
      </w:r>
      <w:r>
        <w:rPr>
          <w:color w:val="000000"/>
          <w:szCs w:val="21"/>
        </w:rPr>
        <w:t>20</w:t>
      </w:r>
      <w:r>
        <w:rPr>
          <w:rFonts w:hint="eastAsia"/>
          <w:color w:val="000000"/>
          <w:szCs w:val="21"/>
        </w:rPr>
        <w:t>人及以上，且营业收入</w:t>
      </w:r>
      <w:r>
        <w:rPr>
          <w:color w:val="000000"/>
          <w:szCs w:val="21"/>
        </w:rPr>
        <w:t>5000</w:t>
      </w:r>
      <w:r>
        <w:rPr>
          <w:rFonts w:hint="eastAsia"/>
          <w:color w:val="000000"/>
          <w:szCs w:val="21"/>
        </w:rPr>
        <w:t>万元及以上的为中型企业；从业人员</w:t>
      </w:r>
      <w:r>
        <w:rPr>
          <w:color w:val="000000"/>
          <w:szCs w:val="21"/>
        </w:rPr>
        <w:t>5</w:t>
      </w:r>
      <w:r>
        <w:rPr>
          <w:rFonts w:hint="eastAsia"/>
          <w:color w:val="000000"/>
          <w:szCs w:val="21"/>
        </w:rPr>
        <w:t>人及以上，且营业收入</w:t>
      </w:r>
      <w:r>
        <w:rPr>
          <w:color w:val="000000"/>
          <w:szCs w:val="21"/>
        </w:rPr>
        <w:t>1000</w:t>
      </w:r>
      <w:r>
        <w:rPr>
          <w:rFonts w:hint="eastAsia"/>
          <w:color w:val="000000"/>
          <w:szCs w:val="21"/>
        </w:rPr>
        <w:t>万元及以上的为小型企业；从业人员</w:t>
      </w:r>
      <w:r>
        <w:rPr>
          <w:color w:val="000000"/>
          <w:szCs w:val="21"/>
        </w:rPr>
        <w:t>5</w:t>
      </w:r>
      <w:r>
        <w:rPr>
          <w:rFonts w:hint="eastAsia"/>
          <w:color w:val="000000"/>
          <w:szCs w:val="21"/>
        </w:rPr>
        <w:t>人以下或营业收入</w:t>
      </w:r>
      <w:r>
        <w:rPr>
          <w:color w:val="000000"/>
          <w:szCs w:val="21"/>
        </w:rPr>
        <w:t>1000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（五）零售业。从业人员</w:t>
      </w:r>
      <w:r>
        <w:rPr>
          <w:color w:val="000000"/>
          <w:szCs w:val="21"/>
        </w:rPr>
        <w:t>300</w:t>
      </w:r>
      <w:r>
        <w:rPr>
          <w:rFonts w:hint="eastAsia"/>
          <w:color w:val="000000"/>
          <w:szCs w:val="21"/>
        </w:rPr>
        <w:t>人以下或营业收入</w:t>
      </w:r>
      <w:r>
        <w:rPr>
          <w:color w:val="000000"/>
          <w:szCs w:val="21"/>
        </w:rPr>
        <w:t>20000</w:t>
      </w:r>
      <w:r>
        <w:rPr>
          <w:rFonts w:hint="eastAsia"/>
          <w:color w:val="000000"/>
          <w:szCs w:val="21"/>
        </w:rPr>
        <w:t>万元以下的为中小微型企业。其中，从业人员</w:t>
      </w:r>
      <w:r>
        <w:rPr>
          <w:color w:val="000000"/>
          <w:szCs w:val="21"/>
        </w:rPr>
        <w:t>50</w:t>
      </w:r>
      <w:r>
        <w:rPr>
          <w:rFonts w:hint="eastAsia"/>
          <w:color w:val="000000"/>
          <w:szCs w:val="21"/>
        </w:rPr>
        <w:t>人及以上，且营业收入</w:t>
      </w:r>
      <w:r>
        <w:rPr>
          <w:color w:val="000000"/>
          <w:szCs w:val="21"/>
        </w:rPr>
        <w:t>500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（六）交通运输业。从业人员</w:t>
      </w:r>
      <w:r>
        <w:rPr>
          <w:color w:val="000000"/>
          <w:szCs w:val="21"/>
        </w:rPr>
        <w:t>1000</w:t>
      </w:r>
      <w:r>
        <w:rPr>
          <w:rFonts w:hint="eastAsia"/>
          <w:color w:val="000000"/>
          <w:szCs w:val="21"/>
        </w:rPr>
        <w:t>人以下或营业收入</w:t>
      </w:r>
      <w:r>
        <w:rPr>
          <w:color w:val="000000"/>
          <w:szCs w:val="21"/>
        </w:rPr>
        <w:t>30000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3000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200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200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（七）仓储业。从业人员</w:t>
      </w:r>
      <w:r>
        <w:rPr>
          <w:color w:val="000000"/>
          <w:szCs w:val="21"/>
        </w:rPr>
        <w:t>200</w:t>
      </w:r>
      <w:r>
        <w:rPr>
          <w:rFonts w:hint="eastAsia"/>
          <w:color w:val="000000"/>
          <w:szCs w:val="21"/>
        </w:rPr>
        <w:t>人以下或营业收入</w:t>
      </w:r>
      <w:r>
        <w:rPr>
          <w:color w:val="000000"/>
          <w:szCs w:val="21"/>
        </w:rPr>
        <w:t>30000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100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（八）邮政业。从业人员</w:t>
      </w:r>
      <w:r>
        <w:rPr>
          <w:color w:val="000000"/>
          <w:szCs w:val="21"/>
        </w:rPr>
        <w:t>1000</w:t>
      </w:r>
      <w:r>
        <w:rPr>
          <w:rFonts w:hint="eastAsia"/>
          <w:color w:val="000000"/>
          <w:szCs w:val="21"/>
        </w:rPr>
        <w:t>人以下或营业收入</w:t>
      </w:r>
      <w:r>
        <w:rPr>
          <w:color w:val="000000"/>
          <w:szCs w:val="21"/>
        </w:rPr>
        <w:t>30000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100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（九）住宿业。从业人员</w:t>
      </w:r>
      <w:r>
        <w:rPr>
          <w:color w:val="000000"/>
          <w:szCs w:val="21"/>
        </w:rPr>
        <w:t>300</w:t>
      </w:r>
      <w:r>
        <w:rPr>
          <w:rFonts w:hint="eastAsia"/>
          <w:color w:val="000000"/>
          <w:szCs w:val="21"/>
        </w:rPr>
        <w:t>人以下或营业收入</w:t>
      </w:r>
      <w:r>
        <w:rPr>
          <w:color w:val="000000"/>
          <w:szCs w:val="21"/>
        </w:rPr>
        <w:t>10000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（十）餐饮业。从业人员</w:t>
      </w:r>
      <w:r>
        <w:rPr>
          <w:color w:val="000000"/>
          <w:szCs w:val="21"/>
        </w:rPr>
        <w:t>300</w:t>
      </w:r>
      <w:r>
        <w:rPr>
          <w:rFonts w:hint="eastAsia"/>
          <w:color w:val="000000"/>
          <w:szCs w:val="21"/>
        </w:rPr>
        <w:t>人以下或营业收入</w:t>
      </w:r>
      <w:r>
        <w:rPr>
          <w:color w:val="000000"/>
          <w:szCs w:val="21"/>
        </w:rPr>
        <w:t>10000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（十一）信息传输业。从业人员</w:t>
      </w:r>
      <w:r>
        <w:rPr>
          <w:color w:val="000000"/>
          <w:szCs w:val="21"/>
        </w:rPr>
        <w:t>2000</w:t>
      </w:r>
      <w:r>
        <w:rPr>
          <w:rFonts w:hint="eastAsia"/>
          <w:color w:val="000000"/>
          <w:szCs w:val="21"/>
        </w:rPr>
        <w:t>人以下或营业收入</w:t>
      </w:r>
      <w:r>
        <w:rPr>
          <w:color w:val="000000"/>
          <w:szCs w:val="21"/>
        </w:rPr>
        <w:t>100000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lastRenderedPageBreak/>
        <w:t xml:space="preserve">　　（十二）软件和信息技术服务业。从业人员</w:t>
      </w:r>
      <w:r>
        <w:rPr>
          <w:color w:val="000000"/>
          <w:szCs w:val="21"/>
        </w:rPr>
        <w:t>300</w:t>
      </w:r>
      <w:r>
        <w:rPr>
          <w:rFonts w:hint="eastAsia"/>
          <w:color w:val="000000"/>
          <w:szCs w:val="21"/>
        </w:rPr>
        <w:t>人以下或营业收入</w:t>
      </w:r>
      <w:r>
        <w:rPr>
          <w:color w:val="000000"/>
          <w:szCs w:val="21"/>
        </w:rPr>
        <w:t>10000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50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50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（十三）房地产开发经营。营业收入</w:t>
      </w:r>
      <w:r>
        <w:rPr>
          <w:color w:val="000000"/>
          <w:szCs w:val="21"/>
        </w:rPr>
        <w:t>200000</w:t>
      </w:r>
      <w:r>
        <w:rPr>
          <w:rFonts w:hint="eastAsia"/>
          <w:color w:val="000000"/>
          <w:szCs w:val="21"/>
        </w:rPr>
        <w:t>万元以下或资产总额</w:t>
      </w:r>
      <w:r>
        <w:rPr>
          <w:color w:val="000000"/>
          <w:szCs w:val="21"/>
        </w:rPr>
        <w:t>10000</w:t>
      </w:r>
      <w:r>
        <w:rPr>
          <w:rFonts w:hint="eastAsia"/>
          <w:color w:val="000000"/>
          <w:szCs w:val="21"/>
        </w:rPr>
        <w:t>万元以下的为中小微型企业。其中，营业收入</w:t>
      </w:r>
      <w:r>
        <w:rPr>
          <w:color w:val="000000"/>
          <w:szCs w:val="21"/>
        </w:rPr>
        <w:t>1000</w:t>
      </w:r>
      <w:r>
        <w:rPr>
          <w:rFonts w:hint="eastAsia"/>
          <w:color w:val="000000"/>
          <w:szCs w:val="21"/>
        </w:rPr>
        <w:t>万元及以上，且资产总额</w:t>
      </w:r>
      <w:r>
        <w:rPr>
          <w:color w:val="000000"/>
          <w:szCs w:val="21"/>
        </w:rPr>
        <w:t>5000</w:t>
      </w:r>
      <w:r>
        <w:rPr>
          <w:rFonts w:hint="eastAsia"/>
          <w:color w:val="000000"/>
          <w:szCs w:val="21"/>
        </w:rPr>
        <w:t>万元及以上的为中型企业；营业收入</w:t>
      </w:r>
      <w:r>
        <w:rPr>
          <w:color w:val="000000"/>
          <w:szCs w:val="21"/>
        </w:rPr>
        <w:t>100</w:t>
      </w:r>
      <w:r>
        <w:rPr>
          <w:rFonts w:hint="eastAsia"/>
          <w:color w:val="000000"/>
          <w:szCs w:val="21"/>
        </w:rPr>
        <w:t>万元及以上，且资产总额</w:t>
      </w:r>
      <w:r>
        <w:rPr>
          <w:color w:val="000000"/>
          <w:szCs w:val="21"/>
        </w:rPr>
        <w:t>2000</w:t>
      </w:r>
      <w:r>
        <w:rPr>
          <w:rFonts w:hint="eastAsia"/>
          <w:color w:val="000000"/>
          <w:szCs w:val="21"/>
        </w:rPr>
        <w:t>万元及以上的为小型企业；营业收入</w:t>
      </w:r>
      <w:r>
        <w:rPr>
          <w:color w:val="000000"/>
          <w:szCs w:val="21"/>
        </w:rPr>
        <w:t>100</w:t>
      </w:r>
      <w:r>
        <w:rPr>
          <w:rFonts w:hint="eastAsia"/>
          <w:color w:val="000000"/>
          <w:szCs w:val="21"/>
        </w:rPr>
        <w:t>万元以下或资产总额</w:t>
      </w:r>
      <w:r>
        <w:rPr>
          <w:color w:val="000000"/>
          <w:szCs w:val="21"/>
        </w:rPr>
        <w:t>2000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（十四）物业管理。从业人员</w:t>
      </w:r>
      <w:r>
        <w:rPr>
          <w:color w:val="000000"/>
          <w:szCs w:val="21"/>
        </w:rPr>
        <w:t>1000</w:t>
      </w:r>
      <w:r>
        <w:rPr>
          <w:rFonts w:hint="eastAsia"/>
          <w:color w:val="000000"/>
          <w:szCs w:val="21"/>
        </w:rPr>
        <w:t>人以下或营业收入</w:t>
      </w:r>
      <w:r>
        <w:rPr>
          <w:color w:val="000000"/>
          <w:szCs w:val="21"/>
        </w:rPr>
        <w:t>5000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100</w:t>
      </w:r>
      <w:r>
        <w:rPr>
          <w:rFonts w:hint="eastAsia"/>
          <w:color w:val="000000"/>
          <w:szCs w:val="21"/>
        </w:rPr>
        <w:t>人及以上，且营业收入</w:t>
      </w:r>
      <w:r>
        <w:rPr>
          <w:color w:val="000000"/>
          <w:szCs w:val="21"/>
        </w:rPr>
        <w:t>500</w:t>
      </w:r>
      <w:r>
        <w:rPr>
          <w:rFonts w:hint="eastAsia"/>
          <w:color w:val="000000"/>
          <w:szCs w:val="21"/>
        </w:rPr>
        <w:t>万元及以上的为小型企业；从业人员</w:t>
      </w:r>
      <w:r>
        <w:rPr>
          <w:color w:val="000000"/>
          <w:szCs w:val="21"/>
        </w:rPr>
        <w:t>100</w:t>
      </w:r>
      <w:r>
        <w:rPr>
          <w:rFonts w:hint="eastAsia"/>
          <w:color w:val="000000"/>
          <w:szCs w:val="21"/>
        </w:rPr>
        <w:t>人以下或营业收入</w:t>
      </w:r>
      <w:r>
        <w:rPr>
          <w:color w:val="000000"/>
          <w:szCs w:val="21"/>
        </w:rPr>
        <w:t>500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（十五）租赁和商务服务业。从业人员</w:t>
      </w:r>
      <w:r>
        <w:rPr>
          <w:color w:val="000000"/>
          <w:szCs w:val="21"/>
        </w:rPr>
        <w:t>300</w:t>
      </w:r>
      <w:r>
        <w:rPr>
          <w:rFonts w:hint="eastAsia"/>
          <w:color w:val="000000"/>
          <w:szCs w:val="21"/>
        </w:rPr>
        <w:t>人以下或资产总额</w:t>
      </w:r>
      <w:r>
        <w:rPr>
          <w:color w:val="000000"/>
          <w:szCs w:val="21"/>
        </w:rPr>
        <w:t>120000</w:t>
      </w:r>
      <w:r>
        <w:rPr>
          <w:rFonts w:hint="eastAsia"/>
          <w:color w:val="000000"/>
          <w:szCs w:val="21"/>
        </w:rPr>
        <w:t>万元以下的为中小微型企业。其中，从业人员</w:t>
      </w:r>
      <w:r>
        <w:rPr>
          <w:color w:val="000000"/>
          <w:szCs w:val="21"/>
        </w:rPr>
        <w:t>100</w:t>
      </w:r>
      <w:r>
        <w:rPr>
          <w:rFonts w:hint="eastAsia"/>
          <w:color w:val="000000"/>
          <w:szCs w:val="21"/>
        </w:rPr>
        <w:t>人及以上，且资产总额</w:t>
      </w:r>
      <w:r>
        <w:rPr>
          <w:color w:val="000000"/>
          <w:szCs w:val="21"/>
        </w:rPr>
        <w:t>8000</w:t>
      </w:r>
      <w:r>
        <w:rPr>
          <w:rFonts w:hint="eastAsia"/>
          <w:color w:val="000000"/>
          <w:szCs w:val="21"/>
        </w:rPr>
        <w:t>万元及以上的为中型企业；从业人员</w:t>
      </w:r>
      <w:r>
        <w:rPr>
          <w:color w:val="000000"/>
          <w:szCs w:val="21"/>
        </w:rPr>
        <w:t>10</w:t>
      </w:r>
      <w:r>
        <w:rPr>
          <w:rFonts w:hint="eastAsia"/>
          <w:color w:val="000000"/>
          <w:szCs w:val="21"/>
        </w:rPr>
        <w:t>人及以上，且资产总额</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人以下或资产总额</w:t>
      </w:r>
      <w:r>
        <w:rPr>
          <w:color w:val="000000"/>
          <w:szCs w:val="21"/>
        </w:rPr>
        <w:t>100</w:t>
      </w:r>
      <w:r>
        <w:rPr>
          <w:rFonts w:hint="eastAsia"/>
          <w:color w:val="000000"/>
          <w:szCs w:val="21"/>
        </w:rPr>
        <w:t>万元以下的为微型企业。</w:t>
      </w:r>
    </w:p>
    <w:p w:rsidR="00AD5B8C" w:rsidRDefault="00AD5B8C" w:rsidP="00AD5B8C">
      <w:pPr>
        <w:pStyle w:val="af0"/>
        <w:rPr>
          <w:color w:val="000000"/>
          <w:szCs w:val="21"/>
        </w:rPr>
      </w:pPr>
      <w:r>
        <w:rPr>
          <w:rFonts w:hint="eastAsia"/>
          <w:color w:val="000000"/>
          <w:szCs w:val="21"/>
        </w:rPr>
        <w:t xml:space="preserve">　　（十六）其他未列明行业。从业人员</w:t>
      </w:r>
      <w:r>
        <w:rPr>
          <w:color w:val="000000"/>
          <w:szCs w:val="21"/>
        </w:rPr>
        <w:t>300</w:t>
      </w:r>
      <w:r>
        <w:rPr>
          <w:rFonts w:hint="eastAsia"/>
          <w:color w:val="000000"/>
          <w:szCs w:val="21"/>
        </w:rPr>
        <w:t>人以下的为中小微型企业。其中，从业人员</w:t>
      </w:r>
      <w:r>
        <w:rPr>
          <w:color w:val="000000"/>
          <w:szCs w:val="21"/>
        </w:rPr>
        <w:t>100</w:t>
      </w:r>
      <w:r>
        <w:rPr>
          <w:rFonts w:hint="eastAsia"/>
          <w:color w:val="000000"/>
          <w:szCs w:val="21"/>
        </w:rPr>
        <w:t>人及以上的为中型企业；从业人员</w:t>
      </w:r>
      <w:r>
        <w:rPr>
          <w:color w:val="000000"/>
          <w:szCs w:val="21"/>
        </w:rPr>
        <w:t>10</w:t>
      </w:r>
      <w:r>
        <w:rPr>
          <w:rFonts w:hint="eastAsia"/>
          <w:color w:val="000000"/>
          <w:szCs w:val="21"/>
        </w:rPr>
        <w:t>人及以上的为小型企业；从业人员</w:t>
      </w:r>
      <w:r>
        <w:rPr>
          <w:color w:val="000000"/>
          <w:szCs w:val="21"/>
        </w:rPr>
        <w:t>10</w:t>
      </w:r>
      <w:r>
        <w:rPr>
          <w:rFonts w:hint="eastAsia"/>
          <w:color w:val="000000"/>
          <w:szCs w:val="21"/>
        </w:rPr>
        <w:t>人以下的为微型企业。</w:t>
      </w:r>
    </w:p>
    <w:p w:rsidR="00AD5B8C" w:rsidRDefault="00AD5B8C" w:rsidP="00AD5B8C">
      <w:pPr>
        <w:pStyle w:val="af0"/>
        <w:rPr>
          <w:color w:val="000000"/>
          <w:szCs w:val="21"/>
        </w:rPr>
      </w:pPr>
      <w:r>
        <w:rPr>
          <w:rFonts w:hint="eastAsia"/>
          <w:color w:val="000000"/>
          <w:szCs w:val="21"/>
        </w:rPr>
        <w:t xml:space="preserve">　　五、企业类型的划分以统计部门的统计数据为依据。</w:t>
      </w:r>
    </w:p>
    <w:p w:rsidR="00AD5B8C" w:rsidRDefault="00AD5B8C" w:rsidP="00AD5B8C">
      <w:pPr>
        <w:pStyle w:val="af0"/>
        <w:rPr>
          <w:color w:val="000000"/>
          <w:szCs w:val="21"/>
        </w:rPr>
      </w:pPr>
      <w:r>
        <w:rPr>
          <w:rFonts w:hint="eastAsia"/>
          <w:color w:val="000000"/>
          <w:szCs w:val="21"/>
        </w:rPr>
        <w:t xml:space="preserve">　　六、本规定适用于在中华人民共和国境内依法设立的各类所有制和各种组织形式的企业。个体工商户和本规定以外的行业，参照本规定进行划型。</w:t>
      </w:r>
    </w:p>
    <w:p w:rsidR="00AD5B8C" w:rsidRDefault="00AD5B8C" w:rsidP="00AD5B8C">
      <w:pPr>
        <w:pStyle w:val="af0"/>
        <w:rPr>
          <w:color w:val="000000"/>
          <w:szCs w:val="21"/>
        </w:rPr>
      </w:pPr>
      <w:r>
        <w:rPr>
          <w:rFonts w:hint="eastAsia"/>
          <w:color w:val="000000"/>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AD5B8C" w:rsidRDefault="00AD5B8C" w:rsidP="00AD5B8C">
      <w:pPr>
        <w:pStyle w:val="af0"/>
        <w:rPr>
          <w:color w:val="000000"/>
          <w:szCs w:val="21"/>
        </w:rPr>
      </w:pPr>
      <w:r>
        <w:rPr>
          <w:rFonts w:hint="eastAsia"/>
          <w:color w:val="000000"/>
          <w:szCs w:val="21"/>
        </w:rPr>
        <w:t xml:space="preserve">　　八、本规定由工业和信息化部、国家统计局会同有关部门根据《国民经济行业分类》修订情况和企业发展变化情况适时修订。</w:t>
      </w:r>
    </w:p>
    <w:p w:rsidR="00AD5B8C" w:rsidRDefault="00AD5B8C" w:rsidP="00AD5B8C">
      <w:pPr>
        <w:pStyle w:val="af0"/>
        <w:rPr>
          <w:color w:val="000000"/>
          <w:szCs w:val="21"/>
        </w:rPr>
      </w:pPr>
      <w:r>
        <w:rPr>
          <w:rFonts w:hint="eastAsia"/>
          <w:color w:val="000000"/>
          <w:szCs w:val="21"/>
        </w:rPr>
        <w:t xml:space="preserve">　　九、本规定由工业和信息化部、国家统计局会同有关部门负责解释。</w:t>
      </w:r>
    </w:p>
    <w:p w:rsidR="00AD5B8C" w:rsidRDefault="00AD5B8C" w:rsidP="00AD5B8C">
      <w:pPr>
        <w:pStyle w:val="af0"/>
        <w:ind w:firstLine="420"/>
        <w:rPr>
          <w:color w:val="000000"/>
          <w:szCs w:val="21"/>
        </w:rPr>
      </w:pPr>
      <w:r>
        <w:rPr>
          <w:rFonts w:hint="eastAsia"/>
          <w:color w:val="000000"/>
          <w:szCs w:val="21"/>
        </w:rPr>
        <w:t>十、本规定自发布之日起执行，原国家经贸委、原国家计委、财政部和国家统计局</w:t>
      </w:r>
      <w:r>
        <w:rPr>
          <w:color w:val="000000"/>
          <w:szCs w:val="21"/>
        </w:rPr>
        <w:t>2003</w:t>
      </w:r>
      <w:r>
        <w:rPr>
          <w:rFonts w:hint="eastAsia"/>
          <w:color w:val="000000"/>
          <w:szCs w:val="21"/>
        </w:rPr>
        <w:t>年颁布的《中小企业标准暂行规定》同时废止。</w:t>
      </w:r>
    </w:p>
    <w:p w:rsidR="00AD5B8C" w:rsidRDefault="00AD5B8C" w:rsidP="00AD5B8C">
      <w:pPr>
        <w:rPr>
          <w:rFonts w:ascii="宋体" w:hAnsi="宋体" w:cs="宋体"/>
          <w:color w:val="000000"/>
          <w:sz w:val="20"/>
          <w:szCs w:val="20"/>
        </w:rPr>
      </w:pPr>
    </w:p>
    <w:p w:rsidR="00AD5B8C" w:rsidRDefault="00AD5B8C" w:rsidP="00AD5B8C">
      <w:pPr>
        <w:spacing w:before="3"/>
        <w:rPr>
          <w:rFonts w:ascii="宋体" w:hAnsi="宋体" w:cs="宋体" w:hint="eastAsia"/>
          <w:color w:val="000000"/>
          <w:sz w:val="15"/>
          <w:szCs w:val="15"/>
        </w:rPr>
      </w:pPr>
    </w:p>
    <w:p w:rsidR="00451A92" w:rsidRDefault="00451A92">
      <w:pPr>
        <w:rPr>
          <w:rFonts w:hint="eastAsia"/>
        </w:rPr>
      </w:pPr>
    </w:p>
    <w:sectPr w:rsidR="00451A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38CF7CFA" w:usb2="00000016" w:usb3="00000000" w:csb0="0004000F" w:csb1="00000000"/>
  </w:font>
  <w:font w:name="">
    <w:altName w:val="Times New Roman"/>
    <w:charset w:val="00"/>
    <w:family w:val="roman"/>
    <w:pitch w:val="default"/>
    <w:sig w:usb0="00000000" w:usb1="00000000" w:usb2="00000000" w:usb3="00000000" w:csb0="00040001" w:csb1="00000000"/>
  </w:font>
  <w:font w:name="方正小标宋_GBK">
    <w:altName w:val="微软雅黑"/>
    <w:charset w:val="86"/>
    <w:family w:val="script"/>
    <w:pitch w:val="default"/>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FFFFFF88"/>
    <w:multiLevelType w:val="singleLevel"/>
    <w:tmpl w:val="933AB098"/>
    <w:lvl w:ilvl="0">
      <w:start w:val="1"/>
      <w:numFmt w:val="decimal"/>
      <w:pStyle w:val="a"/>
      <w:lvlText w:val="%1."/>
      <w:lvlJc w:val="left"/>
      <w:pPr>
        <w:tabs>
          <w:tab w:val="num" w:pos="360"/>
        </w:tabs>
        <w:ind w:left="360" w:hangingChars="200" w:hanging="360"/>
      </w:pPr>
    </w:lvl>
  </w:abstractNum>
  <w:abstractNum w:abstractNumId="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5B8C"/>
    <w:rsid w:val="00451A92"/>
    <w:rsid w:val="00AD5B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endnote text" w:qFormat="1"/>
    <w:lsdException w:name="List" w:qFormat="1"/>
    <w:lsdException w:name="List Number" w:qFormat="1"/>
    <w:lsdException w:name="List 2" w:qFormat="1"/>
    <w:lsdException w:name="List Number 3"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2" w:qFormat="1"/>
    <w:lsdException w:name="Body Text 3" w:qFormat="1"/>
    <w:lsdException w:name="Body Text Indent 2" w:qFormat="1"/>
    <w:lsdException w:name="Body Text Indent 3" w:qFormat="1"/>
    <w:lsdException w:name="FollowedHyperlink" w:uiPriority="0"/>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5B8C"/>
    <w:pPr>
      <w:widowControl w:val="0"/>
      <w:jc w:val="both"/>
    </w:pPr>
    <w:rPr>
      <w:rFonts w:ascii="Times New Roman" w:eastAsia="宋体" w:hAnsi="Times New Roman" w:cs="Times New Roman"/>
      <w:szCs w:val="24"/>
    </w:rPr>
  </w:style>
  <w:style w:type="paragraph" w:styleId="1">
    <w:name w:val="heading 1"/>
    <w:basedOn w:val="a0"/>
    <w:next w:val="a0"/>
    <w:link w:val="1Char"/>
    <w:qFormat/>
    <w:rsid w:val="00AD5B8C"/>
    <w:pPr>
      <w:keepNext/>
      <w:keepLines/>
      <w:spacing w:before="340" w:after="330" w:line="576" w:lineRule="auto"/>
      <w:outlineLvl w:val="0"/>
    </w:pPr>
    <w:rPr>
      <w:b/>
      <w:bCs/>
      <w:kern w:val="44"/>
      <w:sz w:val="44"/>
      <w:szCs w:val="44"/>
    </w:rPr>
  </w:style>
  <w:style w:type="paragraph" w:styleId="2">
    <w:name w:val="heading 2"/>
    <w:basedOn w:val="a0"/>
    <w:next w:val="a0"/>
    <w:link w:val="2Char"/>
    <w:semiHidden/>
    <w:unhideWhenUsed/>
    <w:qFormat/>
    <w:rsid w:val="00AD5B8C"/>
    <w:pPr>
      <w:keepNext/>
      <w:keepLines/>
      <w:spacing w:before="260" w:after="260" w:line="415" w:lineRule="auto"/>
      <w:outlineLvl w:val="1"/>
    </w:pPr>
    <w:rPr>
      <w:rFonts w:ascii="Arial" w:eastAsia="黑体" w:hAnsi="Arial"/>
      <w:b/>
      <w:bCs/>
      <w:kern w:val="0"/>
      <w:sz w:val="32"/>
      <w:szCs w:val="32"/>
    </w:rPr>
  </w:style>
  <w:style w:type="paragraph" w:styleId="3">
    <w:name w:val="heading 3"/>
    <w:basedOn w:val="a0"/>
    <w:next w:val="a0"/>
    <w:link w:val="3Char"/>
    <w:semiHidden/>
    <w:unhideWhenUsed/>
    <w:qFormat/>
    <w:rsid w:val="00AD5B8C"/>
    <w:pPr>
      <w:keepNext/>
      <w:keepLines/>
      <w:spacing w:before="260" w:after="260" w:line="415" w:lineRule="auto"/>
      <w:outlineLvl w:val="2"/>
    </w:pPr>
    <w:rPr>
      <w:b/>
      <w:bCs/>
      <w:kern w:val="0"/>
      <w:sz w:val="32"/>
      <w:szCs w:val="32"/>
    </w:rPr>
  </w:style>
  <w:style w:type="paragraph" w:styleId="5">
    <w:name w:val="heading 5"/>
    <w:basedOn w:val="a0"/>
    <w:next w:val="a1"/>
    <w:link w:val="5Char2"/>
    <w:semiHidden/>
    <w:unhideWhenUsed/>
    <w:qFormat/>
    <w:rsid w:val="00AD5B8C"/>
    <w:pPr>
      <w:keepNext/>
      <w:keepLines/>
      <w:numPr>
        <w:ilvl w:val="4"/>
        <w:numId w:val="2"/>
      </w:numPr>
      <w:spacing w:before="280" w:after="290" w:line="374" w:lineRule="auto"/>
      <w:outlineLvl w:val="4"/>
    </w:pPr>
    <w:rPr>
      <w:b/>
      <w:sz w:val="28"/>
    </w:rPr>
  </w:style>
  <w:style w:type="paragraph" w:styleId="6">
    <w:name w:val="heading 6"/>
    <w:basedOn w:val="a0"/>
    <w:next w:val="a1"/>
    <w:link w:val="6Char"/>
    <w:semiHidden/>
    <w:unhideWhenUsed/>
    <w:qFormat/>
    <w:rsid w:val="00AD5B8C"/>
    <w:pPr>
      <w:keepNext/>
      <w:keepLines/>
      <w:numPr>
        <w:ilvl w:val="5"/>
        <w:numId w:val="2"/>
      </w:numPr>
      <w:spacing w:before="240" w:after="64" w:line="319" w:lineRule="auto"/>
      <w:outlineLvl w:val="5"/>
    </w:pPr>
    <w:rPr>
      <w:rFonts w:ascii="Arial" w:eastAsia="黑体" w:hAnsi="Arial"/>
      <w:b/>
      <w:sz w:val="24"/>
    </w:rPr>
  </w:style>
  <w:style w:type="paragraph" w:styleId="7">
    <w:name w:val="heading 7"/>
    <w:basedOn w:val="a0"/>
    <w:next w:val="a1"/>
    <w:link w:val="7Char"/>
    <w:uiPriority w:val="99"/>
    <w:semiHidden/>
    <w:unhideWhenUsed/>
    <w:qFormat/>
    <w:rsid w:val="00AD5B8C"/>
    <w:pPr>
      <w:keepNext/>
      <w:keepLines/>
      <w:numPr>
        <w:ilvl w:val="6"/>
        <w:numId w:val="2"/>
      </w:numPr>
      <w:spacing w:before="240" w:after="64" w:line="319" w:lineRule="auto"/>
      <w:outlineLvl w:val="6"/>
    </w:pPr>
    <w:rPr>
      <w:b/>
      <w:sz w:val="24"/>
    </w:rPr>
  </w:style>
  <w:style w:type="paragraph" w:styleId="8">
    <w:name w:val="heading 8"/>
    <w:basedOn w:val="a0"/>
    <w:next w:val="a1"/>
    <w:link w:val="8Char"/>
    <w:uiPriority w:val="99"/>
    <w:semiHidden/>
    <w:unhideWhenUsed/>
    <w:qFormat/>
    <w:rsid w:val="00AD5B8C"/>
    <w:pPr>
      <w:keepNext/>
      <w:keepLines/>
      <w:numPr>
        <w:ilvl w:val="7"/>
        <w:numId w:val="2"/>
      </w:numPr>
      <w:spacing w:before="240" w:after="64" w:line="319" w:lineRule="auto"/>
      <w:outlineLvl w:val="7"/>
    </w:pPr>
    <w:rPr>
      <w:rFonts w:ascii="Arial" w:eastAsia="黑体" w:hAnsi="Arial"/>
      <w:sz w:val="24"/>
    </w:rPr>
  </w:style>
  <w:style w:type="paragraph" w:styleId="9">
    <w:name w:val="heading 9"/>
    <w:basedOn w:val="a0"/>
    <w:next w:val="a1"/>
    <w:link w:val="9Char"/>
    <w:uiPriority w:val="99"/>
    <w:semiHidden/>
    <w:unhideWhenUsed/>
    <w:qFormat/>
    <w:rsid w:val="00AD5B8C"/>
    <w:pPr>
      <w:keepNext/>
      <w:keepLines/>
      <w:numPr>
        <w:ilvl w:val="8"/>
        <w:numId w:val="2"/>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rsid w:val="00AD5B8C"/>
    <w:rPr>
      <w:rFonts w:ascii="Times New Roman" w:eastAsia="宋体" w:hAnsi="Times New Roman" w:cs="Times New Roman"/>
      <w:b/>
      <w:bCs/>
      <w:kern w:val="44"/>
      <w:sz w:val="44"/>
      <w:szCs w:val="44"/>
    </w:rPr>
  </w:style>
  <w:style w:type="character" w:customStyle="1" w:styleId="2Char">
    <w:name w:val="标题 2 Char"/>
    <w:basedOn w:val="a2"/>
    <w:link w:val="2"/>
    <w:semiHidden/>
    <w:rsid w:val="00AD5B8C"/>
    <w:rPr>
      <w:rFonts w:ascii="Arial" w:eastAsia="黑体" w:hAnsi="Arial" w:cs="Times New Roman"/>
      <w:b/>
      <w:bCs/>
      <w:kern w:val="0"/>
      <w:sz w:val="32"/>
      <w:szCs w:val="32"/>
    </w:rPr>
  </w:style>
  <w:style w:type="character" w:customStyle="1" w:styleId="3Char">
    <w:name w:val="标题 3 Char"/>
    <w:basedOn w:val="a2"/>
    <w:link w:val="3"/>
    <w:semiHidden/>
    <w:rsid w:val="00AD5B8C"/>
    <w:rPr>
      <w:rFonts w:ascii="Times New Roman" w:eastAsia="宋体" w:hAnsi="Times New Roman" w:cs="Times New Roman"/>
      <w:b/>
      <w:bCs/>
      <w:kern w:val="0"/>
      <w:sz w:val="32"/>
      <w:szCs w:val="32"/>
    </w:rPr>
  </w:style>
  <w:style w:type="character" w:customStyle="1" w:styleId="5Char">
    <w:name w:val="标题 5 Char"/>
    <w:basedOn w:val="a2"/>
    <w:link w:val="5"/>
    <w:semiHidden/>
    <w:rsid w:val="00AD5B8C"/>
    <w:rPr>
      <w:rFonts w:ascii="Times New Roman" w:eastAsia="宋体" w:hAnsi="Times New Roman" w:cs="Times New Roman"/>
      <w:b/>
      <w:bCs/>
      <w:sz w:val="28"/>
      <w:szCs w:val="28"/>
    </w:rPr>
  </w:style>
  <w:style w:type="character" w:customStyle="1" w:styleId="6Char">
    <w:name w:val="标题 6 Char"/>
    <w:basedOn w:val="a2"/>
    <w:link w:val="6"/>
    <w:semiHidden/>
    <w:rsid w:val="00AD5B8C"/>
    <w:rPr>
      <w:rFonts w:ascii="Arial" w:eastAsia="黑体" w:hAnsi="Arial" w:cs="Times New Roman"/>
      <w:b/>
      <w:sz w:val="24"/>
      <w:szCs w:val="24"/>
    </w:rPr>
  </w:style>
  <w:style w:type="character" w:customStyle="1" w:styleId="7Char">
    <w:name w:val="标题 7 Char"/>
    <w:basedOn w:val="a2"/>
    <w:link w:val="7"/>
    <w:uiPriority w:val="99"/>
    <w:semiHidden/>
    <w:rsid w:val="00AD5B8C"/>
    <w:rPr>
      <w:rFonts w:ascii="Times New Roman" w:eastAsia="宋体" w:hAnsi="Times New Roman" w:cs="Times New Roman"/>
      <w:b/>
      <w:sz w:val="24"/>
      <w:szCs w:val="24"/>
    </w:rPr>
  </w:style>
  <w:style w:type="character" w:customStyle="1" w:styleId="8Char">
    <w:name w:val="标题 8 Char"/>
    <w:basedOn w:val="a2"/>
    <w:link w:val="8"/>
    <w:uiPriority w:val="99"/>
    <w:semiHidden/>
    <w:rsid w:val="00AD5B8C"/>
    <w:rPr>
      <w:rFonts w:ascii="Arial" w:eastAsia="黑体" w:hAnsi="Arial" w:cs="Times New Roman"/>
      <w:sz w:val="24"/>
      <w:szCs w:val="24"/>
    </w:rPr>
  </w:style>
  <w:style w:type="character" w:customStyle="1" w:styleId="9Char">
    <w:name w:val="标题 9 Char"/>
    <w:basedOn w:val="a2"/>
    <w:link w:val="9"/>
    <w:uiPriority w:val="99"/>
    <w:semiHidden/>
    <w:rsid w:val="00AD5B8C"/>
    <w:rPr>
      <w:rFonts w:ascii="Arial" w:eastAsia="黑体" w:hAnsi="Arial" w:cs="Times New Roman"/>
      <w:szCs w:val="24"/>
    </w:rPr>
  </w:style>
  <w:style w:type="character" w:styleId="a5">
    <w:name w:val="Hyperlink"/>
    <w:uiPriority w:val="99"/>
    <w:semiHidden/>
    <w:unhideWhenUsed/>
    <w:rsid w:val="00AD5B8C"/>
    <w:rPr>
      <w:color w:val="0000FF"/>
      <w:u w:val="single"/>
    </w:rPr>
  </w:style>
  <w:style w:type="character" w:styleId="a6">
    <w:name w:val="FollowedHyperlink"/>
    <w:semiHidden/>
    <w:unhideWhenUsed/>
    <w:rsid w:val="00AD5B8C"/>
    <w:rPr>
      <w:color w:val="800080"/>
      <w:u w:val="single"/>
    </w:rPr>
  </w:style>
  <w:style w:type="paragraph" w:styleId="a1">
    <w:name w:val="Normal Indent"/>
    <w:basedOn w:val="a0"/>
    <w:uiPriority w:val="99"/>
    <w:semiHidden/>
    <w:unhideWhenUsed/>
    <w:qFormat/>
    <w:rsid w:val="00AD5B8C"/>
    <w:pPr>
      <w:ind w:firstLine="420"/>
    </w:pPr>
    <w:rPr>
      <w:szCs w:val="20"/>
    </w:rPr>
  </w:style>
  <w:style w:type="character" w:styleId="HTML">
    <w:name w:val="HTML Sample"/>
    <w:uiPriority w:val="99"/>
    <w:semiHidden/>
    <w:unhideWhenUsed/>
    <w:rsid w:val="00AD5B8C"/>
    <w:rPr>
      <w:rFonts w:ascii="宋体" w:eastAsia="宋体" w:hAnsi="宋体" w:cs="宋体" w:hint="eastAsia"/>
    </w:rPr>
  </w:style>
  <w:style w:type="paragraph" w:styleId="a7">
    <w:name w:val="Normal (Web)"/>
    <w:basedOn w:val="a0"/>
    <w:uiPriority w:val="99"/>
    <w:semiHidden/>
    <w:unhideWhenUsed/>
    <w:qFormat/>
    <w:rsid w:val="00AD5B8C"/>
    <w:pPr>
      <w:widowControl/>
      <w:spacing w:before="100" w:beforeAutospacing="1" w:after="100" w:afterAutospacing="1"/>
      <w:jc w:val="left"/>
    </w:pPr>
    <w:rPr>
      <w:rFonts w:ascii="宋体" w:hAnsi="宋体"/>
      <w:kern w:val="0"/>
      <w:sz w:val="24"/>
    </w:rPr>
  </w:style>
  <w:style w:type="paragraph" w:styleId="10">
    <w:name w:val="index 1"/>
    <w:basedOn w:val="a0"/>
    <w:next w:val="a0"/>
    <w:autoRedefine/>
    <w:uiPriority w:val="99"/>
    <w:semiHidden/>
    <w:unhideWhenUsed/>
    <w:qFormat/>
    <w:rsid w:val="00AD5B8C"/>
    <w:pPr>
      <w:spacing w:line="400" w:lineRule="exact"/>
      <w:ind w:firstLineChars="200" w:firstLine="420"/>
    </w:pPr>
    <w:rPr>
      <w:rFonts w:ascii="宋体" w:hAnsi="Courier New"/>
      <w:b/>
      <w:szCs w:val="20"/>
    </w:rPr>
  </w:style>
  <w:style w:type="paragraph" w:styleId="11">
    <w:name w:val="toc 1"/>
    <w:basedOn w:val="a0"/>
    <w:next w:val="a0"/>
    <w:autoRedefine/>
    <w:uiPriority w:val="39"/>
    <w:semiHidden/>
    <w:unhideWhenUsed/>
    <w:qFormat/>
    <w:rsid w:val="00AD5B8C"/>
    <w:pPr>
      <w:tabs>
        <w:tab w:val="right" w:leader="dot" w:pos="8398"/>
      </w:tabs>
      <w:spacing w:before="120" w:after="120"/>
      <w:ind w:firstLineChars="100" w:firstLine="240"/>
      <w:jc w:val="left"/>
    </w:pPr>
    <w:rPr>
      <w:rFonts w:ascii="宋体" w:hAnsi="宋体"/>
      <w:b/>
      <w:bCs/>
      <w:caps/>
      <w:sz w:val="24"/>
    </w:rPr>
  </w:style>
  <w:style w:type="paragraph" w:styleId="20">
    <w:name w:val="toc 2"/>
    <w:basedOn w:val="a0"/>
    <w:next w:val="a0"/>
    <w:autoRedefine/>
    <w:uiPriority w:val="39"/>
    <w:semiHidden/>
    <w:unhideWhenUsed/>
    <w:qFormat/>
    <w:rsid w:val="00AD5B8C"/>
    <w:pPr>
      <w:ind w:leftChars="200" w:left="420"/>
    </w:pPr>
  </w:style>
  <w:style w:type="paragraph" w:styleId="30">
    <w:name w:val="toc 3"/>
    <w:basedOn w:val="a0"/>
    <w:next w:val="a0"/>
    <w:autoRedefine/>
    <w:uiPriority w:val="39"/>
    <w:semiHidden/>
    <w:unhideWhenUsed/>
    <w:qFormat/>
    <w:rsid w:val="00AD5B8C"/>
    <w:pPr>
      <w:ind w:leftChars="400" w:left="840"/>
    </w:pPr>
    <w:rPr>
      <w:rFonts w:ascii="Calibri" w:hAnsi="Calibri"/>
      <w:szCs w:val="22"/>
    </w:rPr>
  </w:style>
  <w:style w:type="paragraph" w:styleId="4">
    <w:name w:val="toc 4"/>
    <w:basedOn w:val="a0"/>
    <w:next w:val="a0"/>
    <w:autoRedefine/>
    <w:uiPriority w:val="39"/>
    <w:semiHidden/>
    <w:unhideWhenUsed/>
    <w:qFormat/>
    <w:rsid w:val="00AD5B8C"/>
    <w:pPr>
      <w:ind w:leftChars="600" w:left="1260"/>
    </w:pPr>
    <w:rPr>
      <w:rFonts w:ascii="Calibri" w:hAnsi="Calibri"/>
      <w:szCs w:val="22"/>
    </w:rPr>
  </w:style>
  <w:style w:type="paragraph" w:styleId="50">
    <w:name w:val="toc 5"/>
    <w:basedOn w:val="a0"/>
    <w:next w:val="a0"/>
    <w:autoRedefine/>
    <w:uiPriority w:val="39"/>
    <w:semiHidden/>
    <w:unhideWhenUsed/>
    <w:qFormat/>
    <w:rsid w:val="00AD5B8C"/>
    <w:pPr>
      <w:ind w:leftChars="800" w:left="1680"/>
    </w:pPr>
    <w:rPr>
      <w:rFonts w:ascii="Calibri" w:hAnsi="Calibri"/>
      <w:szCs w:val="22"/>
    </w:rPr>
  </w:style>
  <w:style w:type="paragraph" w:styleId="60">
    <w:name w:val="toc 6"/>
    <w:basedOn w:val="a0"/>
    <w:next w:val="a0"/>
    <w:autoRedefine/>
    <w:uiPriority w:val="39"/>
    <w:semiHidden/>
    <w:unhideWhenUsed/>
    <w:qFormat/>
    <w:rsid w:val="00AD5B8C"/>
    <w:pPr>
      <w:ind w:leftChars="1000" w:left="2100"/>
    </w:pPr>
    <w:rPr>
      <w:rFonts w:ascii="Calibri" w:hAnsi="Calibri"/>
      <w:szCs w:val="22"/>
    </w:rPr>
  </w:style>
  <w:style w:type="paragraph" w:styleId="70">
    <w:name w:val="toc 7"/>
    <w:basedOn w:val="a0"/>
    <w:next w:val="a0"/>
    <w:autoRedefine/>
    <w:uiPriority w:val="39"/>
    <w:semiHidden/>
    <w:unhideWhenUsed/>
    <w:qFormat/>
    <w:rsid w:val="00AD5B8C"/>
    <w:pPr>
      <w:ind w:leftChars="1200" w:left="2520"/>
    </w:pPr>
    <w:rPr>
      <w:rFonts w:ascii="Calibri" w:hAnsi="Calibri"/>
      <w:szCs w:val="22"/>
    </w:rPr>
  </w:style>
  <w:style w:type="paragraph" w:styleId="80">
    <w:name w:val="toc 8"/>
    <w:basedOn w:val="a0"/>
    <w:next w:val="a0"/>
    <w:autoRedefine/>
    <w:uiPriority w:val="39"/>
    <w:semiHidden/>
    <w:unhideWhenUsed/>
    <w:qFormat/>
    <w:rsid w:val="00AD5B8C"/>
    <w:pPr>
      <w:ind w:leftChars="1400" w:left="2940"/>
    </w:pPr>
    <w:rPr>
      <w:rFonts w:ascii="Calibri" w:hAnsi="Calibri"/>
      <w:szCs w:val="22"/>
    </w:rPr>
  </w:style>
  <w:style w:type="paragraph" w:styleId="90">
    <w:name w:val="toc 9"/>
    <w:basedOn w:val="a0"/>
    <w:next w:val="a0"/>
    <w:autoRedefine/>
    <w:uiPriority w:val="39"/>
    <w:semiHidden/>
    <w:unhideWhenUsed/>
    <w:qFormat/>
    <w:rsid w:val="00AD5B8C"/>
    <w:pPr>
      <w:ind w:leftChars="1600" w:left="3360"/>
    </w:pPr>
    <w:rPr>
      <w:rFonts w:ascii="Calibri" w:hAnsi="Calibri"/>
      <w:szCs w:val="22"/>
    </w:rPr>
  </w:style>
  <w:style w:type="paragraph" w:styleId="a8">
    <w:name w:val="footnote text"/>
    <w:basedOn w:val="a0"/>
    <w:link w:val="Char"/>
    <w:uiPriority w:val="99"/>
    <w:semiHidden/>
    <w:unhideWhenUsed/>
    <w:qFormat/>
    <w:rsid w:val="00AD5B8C"/>
    <w:pPr>
      <w:snapToGrid w:val="0"/>
      <w:jc w:val="left"/>
    </w:pPr>
    <w:rPr>
      <w:sz w:val="18"/>
      <w:szCs w:val="18"/>
    </w:rPr>
  </w:style>
  <w:style w:type="character" w:customStyle="1" w:styleId="Char">
    <w:name w:val="脚注文本 Char"/>
    <w:basedOn w:val="a2"/>
    <w:link w:val="a8"/>
    <w:uiPriority w:val="99"/>
    <w:semiHidden/>
    <w:rsid w:val="00AD5B8C"/>
    <w:rPr>
      <w:rFonts w:ascii="Times New Roman" w:eastAsia="宋体" w:hAnsi="Times New Roman" w:cs="Times New Roman"/>
      <w:sz w:val="18"/>
      <w:szCs w:val="18"/>
    </w:rPr>
  </w:style>
  <w:style w:type="paragraph" w:styleId="a9">
    <w:name w:val="annotation text"/>
    <w:basedOn w:val="a0"/>
    <w:link w:val="Char2"/>
    <w:uiPriority w:val="99"/>
    <w:unhideWhenUsed/>
    <w:qFormat/>
    <w:rsid w:val="00AD5B8C"/>
    <w:pPr>
      <w:jc w:val="left"/>
    </w:pPr>
  </w:style>
  <w:style w:type="character" w:customStyle="1" w:styleId="Char0">
    <w:name w:val="批注文字 Char"/>
    <w:basedOn w:val="a2"/>
    <w:link w:val="a9"/>
    <w:semiHidden/>
    <w:rsid w:val="00AD5B8C"/>
    <w:rPr>
      <w:rFonts w:ascii="Times New Roman" w:eastAsia="宋体" w:hAnsi="Times New Roman" w:cs="Times New Roman"/>
      <w:szCs w:val="24"/>
    </w:rPr>
  </w:style>
  <w:style w:type="paragraph" w:styleId="aa">
    <w:name w:val="header"/>
    <w:basedOn w:val="a0"/>
    <w:link w:val="Char1"/>
    <w:uiPriority w:val="99"/>
    <w:semiHidden/>
    <w:unhideWhenUsed/>
    <w:qFormat/>
    <w:rsid w:val="00AD5B8C"/>
    <w:pPr>
      <w:pBdr>
        <w:bottom w:val="single" w:sz="6" w:space="1" w:color="auto"/>
      </w:pBdr>
      <w:tabs>
        <w:tab w:val="center" w:pos="0"/>
        <w:tab w:val="left" w:pos="8306"/>
      </w:tabs>
      <w:snapToGrid w:val="0"/>
      <w:jc w:val="center"/>
    </w:pPr>
    <w:rPr>
      <w:sz w:val="18"/>
      <w:szCs w:val="18"/>
    </w:rPr>
  </w:style>
  <w:style w:type="character" w:customStyle="1" w:styleId="Char1">
    <w:name w:val="页眉 Char"/>
    <w:basedOn w:val="a2"/>
    <w:link w:val="aa"/>
    <w:uiPriority w:val="99"/>
    <w:semiHidden/>
    <w:rsid w:val="00AD5B8C"/>
    <w:rPr>
      <w:rFonts w:ascii="Times New Roman" w:eastAsia="宋体" w:hAnsi="Times New Roman" w:cs="Times New Roman"/>
      <w:sz w:val="18"/>
      <w:szCs w:val="18"/>
    </w:rPr>
  </w:style>
  <w:style w:type="paragraph" w:styleId="ab">
    <w:name w:val="footer"/>
    <w:basedOn w:val="a0"/>
    <w:link w:val="Char3"/>
    <w:uiPriority w:val="99"/>
    <w:semiHidden/>
    <w:unhideWhenUsed/>
    <w:qFormat/>
    <w:rsid w:val="00AD5B8C"/>
    <w:pPr>
      <w:tabs>
        <w:tab w:val="center" w:pos="4153"/>
        <w:tab w:val="right" w:pos="8306"/>
      </w:tabs>
      <w:snapToGrid w:val="0"/>
      <w:jc w:val="left"/>
    </w:pPr>
    <w:rPr>
      <w:kern w:val="0"/>
      <w:sz w:val="18"/>
      <w:szCs w:val="18"/>
    </w:rPr>
  </w:style>
  <w:style w:type="character" w:customStyle="1" w:styleId="Char3">
    <w:name w:val="页脚 Char"/>
    <w:basedOn w:val="a2"/>
    <w:link w:val="ab"/>
    <w:uiPriority w:val="99"/>
    <w:semiHidden/>
    <w:qFormat/>
    <w:rsid w:val="00AD5B8C"/>
    <w:rPr>
      <w:rFonts w:ascii="Times New Roman" w:eastAsia="宋体" w:hAnsi="Times New Roman" w:cs="Times New Roman"/>
      <w:kern w:val="0"/>
      <w:sz w:val="18"/>
      <w:szCs w:val="18"/>
    </w:rPr>
  </w:style>
  <w:style w:type="paragraph" w:styleId="ac">
    <w:name w:val="caption"/>
    <w:basedOn w:val="a0"/>
    <w:next w:val="a0"/>
    <w:uiPriority w:val="99"/>
    <w:semiHidden/>
    <w:unhideWhenUsed/>
    <w:qFormat/>
    <w:rsid w:val="00AD5B8C"/>
    <w:pPr>
      <w:spacing w:before="152" w:after="160"/>
    </w:pPr>
    <w:rPr>
      <w:rFonts w:ascii="Arial" w:eastAsia="黑体" w:hAnsi="Arial" w:cs="Arial"/>
      <w:sz w:val="20"/>
      <w:szCs w:val="20"/>
    </w:rPr>
  </w:style>
  <w:style w:type="paragraph" w:styleId="ad">
    <w:name w:val="endnote text"/>
    <w:basedOn w:val="a0"/>
    <w:link w:val="Char4"/>
    <w:uiPriority w:val="99"/>
    <w:semiHidden/>
    <w:unhideWhenUsed/>
    <w:qFormat/>
    <w:rsid w:val="00AD5B8C"/>
    <w:pPr>
      <w:snapToGrid w:val="0"/>
      <w:jc w:val="left"/>
    </w:pPr>
  </w:style>
  <w:style w:type="character" w:customStyle="1" w:styleId="Char4">
    <w:name w:val="尾注文本 Char"/>
    <w:basedOn w:val="a2"/>
    <w:link w:val="ad"/>
    <w:uiPriority w:val="99"/>
    <w:semiHidden/>
    <w:rsid w:val="00AD5B8C"/>
    <w:rPr>
      <w:rFonts w:ascii="Times New Roman" w:eastAsia="宋体" w:hAnsi="Times New Roman" w:cs="Times New Roman"/>
      <w:szCs w:val="24"/>
    </w:rPr>
  </w:style>
  <w:style w:type="paragraph" w:styleId="ae">
    <w:name w:val="List"/>
    <w:basedOn w:val="a0"/>
    <w:uiPriority w:val="99"/>
    <w:semiHidden/>
    <w:unhideWhenUsed/>
    <w:qFormat/>
    <w:rsid w:val="00AD5B8C"/>
    <w:pPr>
      <w:ind w:left="200" w:hangingChars="200" w:hanging="200"/>
    </w:pPr>
    <w:rPr>
      <w:sz w:val="28"/>
    </w:rPr>
  </w:style>
  <w:style w:type="paragraph" w:styleId="a">
    <w:name w:val="List Number"/>
    <w:basedOn w:val="a0"/>
    <w:uiPriority w:val="99"/>
    <w:semiHidden/>
    <w:unhideWhenUsed/>
    <w:qFormat/>
    <w:rsid w:val="00AD5B8C"/>
    <w:pPr>
      <w:widowControl/>
      <w:numPr>
        <w:numId w:val="3"/>
      </w:numPr>
      <w:tabs>
        <w:tab w:val="clear" w:pos="360"/>
        <w:tab w:val="left" w:pos="454"/>
        <w:tab w:val="left" w:pos="720"/>
        <w:tab w:val="left" w:pos="840"/>
      </w:tabs>
      <w:spacing w:afterLines="50"/>
      <w:ind w:left="454" w:firstLineChars="0" w:hanging="284"/>
      <w:jc w:val="left"/>
    </w:pPr>
    <w:rPr>
      <w:kern w:val="0"/>
      <w:sz w:val="24"/>
      <w:szCs w:val="20"/>
    </w:rPr>
  </w:style>
  <w:style w:type="paragraph" w:styleId="21">
    <w:name w:val="List 2"/>
    <w:basedOn w:val="a0"/>
    <w:uiPriority w:val="99"/>
    <w:semiHidden/>
    <w:unhideWhenUsed/>
    <w:qFormat/>
    <w:rsid w:val="00AD5B8C"/>
    <w:pPr>
      <w:ind w:leftChars="200" w:left="100" w:hangingChars="200" w:hanging="200"/>
    </w:pPr>
    <w:rPr>
      <w:sz w:val="28"/>
    </w:rPr>
  </w:style>
  <w:style w:type="paragraph" w:styleId="31">
    <w:name w:val="List Number 3"/>
    <w:basedOn w:val="a0"/>
    <w:uiPriority w:val="99"/>
    <w:semiHidden/>
    <w:unhideWhenUsed/>
    <w:qFormat/>
    <w:rsid w:val="00AD5B8C"/>
    <w:pPr>
      <w:numPr>
        <w:numId w:val="6"/>
      </w:numPr>
      <w:tabs>
        <w:tab w:val="left" w:pos="1200"/>
      </w:tabs>
    </w:pPr>
  </w:style>
  <w:style w:type="paragraph" w:styleId="af">
    <w:name w:val="Title"/>
    <w:basedOn w:val="a0"/>
    <w:next w:val="a0"/>
    <w:link w:val="Char5"/>
    <w:uiPriority w:val="10"/>
    <w:qFormat/>
    <w:rsid w:val="00AD5B8C"/>
    <w:pPr>
      <w:spacing w:before="240" w:after="60"/>
      <w:jc w:val="center"/>
      <w:outlineLvl w:val="0"/>
    </w:pPr>
    <w:rPr>
      <w:rFonts w:ascii="Cambria" w:hAnsi="Cambria"/>
      <w:b/>
      <w:bCs/>
      <w:sz w:val="32"/>
      <w:szCs w:val="32"/>
    </w:rPr>
  </w:style>
  <w:style w:type="character" w:customStyle="1" w:styleId="Char5">
    <w:name w:val="标题 Char"/>
    <w:basedOn w:val="a2"/>
    <w:link w:val="af"/>
    <w:uiPriority w:val="10"/>
    <w:rsid w:val="00AD5B8C"/>
    <w:rPr>
      <w:rFonts w:ascii="Cambria" w:eastAsia="宋体" w:hAnsi="Cambria" w:cs="Times New Roman"/>
      <w:b/>
      <w:bCs/>
      <w:sz w:val="32"/>
      <w:szCs w:val="32"/>
    </w:rPr>
  </w:style>
  <w:style w:type="paragraph" w:styleId="af0">
    <w:name w:val="Body Text"/>
    <w:basedOn w:val="a0"/>
    <w:link w:val="Char6"/>
    <w:uiPriority w:val="99"/>
    <w:semiHidden/>
    <w:unhideWhenUsed/>
    <w:qFormat/>
    <w:rsid w:val="00AD5B8C"/>
    <w:pPr>
      <w:spacing w:line="380" w:lineRule="exact"/>
    </w:pPr>
    <w:rPr>
      <w:kern w:val="0"/>
      <w:sz w:val="24"/>
    </w:rPr>
  </w:style>
  <w:style w:type="character" w:customStyle="1" w:styleId="Char6">
    <w:name w:val="正文文本 Char"/>
    <w:basedOn w:val="a2"/>
    <w:link w:val="af0"/>
    <w:uiPriority w:val="99"/>
    <w:semiHidden/>
    <w:rsid w:val="00AD5B8C"/>
    <w:rPr>
      <w:rFonts w:ascii="Times New Roman" w:eastAsia="宋体" w:hAnsi="Times New Roman" w:cs="Times New Roman"/>
      <w:kern w:val="0"/>
      <w:sz w:val="24"/>
      <w:szCs w:val="24"/>
    </w:rPr>
  </w:style>
  <w:style w:type="paragraph" w:styleId="af1">
    <w:name w:val="Body Text Indent"/>
    <w:basedOn w:val="a0"/>
    <w:link w:val="Char7"/>
    <w:uiPriority w:val="99"/>
    <w:semiHidden/>
    <w:unhideWhenUsed/>
    <w:qFormat/>
    <w:rsid w:val="00AD5B8C"/>
    <w:pPr>
      <w:ind w:firstLineChars="352" w:firstLine="830"/>
    </w:pPr>
    <w:rPr>
      <w:rFonts w:ascii="仿宋_GB2312" w:eastAsia="仿宋_GB2312"/>
      <w:kern w:val="0"/>
      <w:sz w:val="32"/>
      <w:szCs w:val="20"/>
    </w:rPr>
  </w:style>
  <w:style w:type="character" w:customStyle="1" w:styleId="Char7">
    <w:name w:val="正文文本缩进 Char"/>
    <w:basedOn w:val="a2"/>
    <w:link w:val="af1"/>
    <w:uiPriority w:val="99"/>
    <w:semiHidden/>
    <w:rsid w:val="00AD5B8C"/>
    <w:rPr>
      <w:rFonts w:ascii="仿宋_GB2312" w:eastAsia="仿宋_GB2312" w:hAnsi="Times New Roman" w:cs="Times New Roman"/>
      <w:kern w:val="0"/>
      <w:sz w:val="32"/>
      <w:szCs w:val="20"/>
    </w:rPr>
  </w:style>
  <w:style w:type="paragraph" w:styleId="af2">
    <w:name w:val="Date"/>
    <w:basedOn w:val="a0"/>
    <w:next w:val="a0"/>
    <w:link w:val="Char8"/>
    <w:uiPriority w:val="99"/>
    <w:semiHidden/>
    <w:unhideWhenUsed/>
    <w:qFormat/>
    <w:rsid w:val="00AD5B8C"/>
    <w:pPr>
      <w:ind w:leftChars="2500" w:left="100"/>
    </w:pPr>
    <w:rPr>
      <w:rFonts w:ascii="宋体" w:hAnsi="Courier New"/>
      <w:kern w:val="0"/>
      <w:sz w:val="20"/>
      <w:szCs w:val="21"/>
    </w:rPr>
  </w:style>
  <w:style w:type="character" w:customStyle="1" w:styleId="Char8">
    <w:name w:val="日期 Char"/>
    <w:basedOn w:val="a2"/>
    <w:link w:val="af2"/>
    <w:uiPriority w:val="99"/>
    <w:semiHidden/>
    <w:rsid w:val="00AD5B8C"/>
    <w:rPr>
      <w:rFonts w:ascii="宋体" w:eastAsia="宋体" w:hAnsi="Courier New" w:cs="Times New Roman"/>
      <w:kern w:val="0"/>
      <w:sz w:val="20"/>
      <w:szCs w:val="21"/>
    </w:rPr>
  </w:style>
  <w:style w:type="paragraph" w:styleId="22">
    <w:name w:val="Body Text 2"/>
    <w:basedOn w:val="a0"/>
    <w:link w:val="2Char0"/>
    <w:uiPriority w:val="99"/>
    <w:semiHidden/>
    <w:unhideWhenUsed/>
    <w:qFormat/>
    <w:rsid w:val="00AD5B8C"/>
    <w:pPr>
      <w:spacing w:after="120" w:line="480" w:lineRule="auto"/>
    </w:pPr>
    <w:rPr>
      <w:kern w:val="0"/>
      <w:sz w:val="20"/>
    </w:rPr>
  </w:style>
  <w:style w:type="character" w:customStyle="1" w:styleId="2Char0">
    <w:name w:val="正文文本 2 Char"/>
    <w:basedOn w:val="a2"/>
    <w:link w:val="22"/>
    <w:uiPriority w:val="99"/>
    <w:semiHidden/>
    <w:rsid w:val="00AD5B8C"/>
    <w:rPr>
      <w:rFonts w:ascii="Times New Roman" w:eastAsia="宋体" w:hAnsi="Times New Roman" w:cs="Times New Roman"/>
      <w:kern w:val="0"/>
      <w:sz w:val="20"/>
      <w:szCs w:val="24"/>
    </w:rPr>
  </w:style>
  <w:style w:type="paragraph" w:styleId="32">
    <w:name w:val="Body Text 3"/>
    <w:basedOn w:val="a0"/>
    <w:link w:val="3Char0"/>
    <w:uiPriority w:val="99"/>
    <w:semiHidden/>
    <w:unhideWhenUsed/>
    <w:qFormat/>
    <w:rsid w:val="00AD5B8C"/>
    <w:pPr>
      <w:spacing w:line="500" w:lineRule="exact"/>
    </w:pPr>
    <w:rPr>
      <w:b/>
      <w:bCs/>
      <w:kern w:val="0"/>
      <w:sz w:val="24"/>
    </w:rPr>
  </w:style>
  <w:style w:type="character" w:customStyle="1" w:styleId="3Char0">
    <w:name w:val="正文文本 3 Char"/>
    <w:basedOn w:val="a2"/>
    <w:link w:val="32"/>
    <w:uiPriority w:val="99"/>
    <w:semiHidden/>
    <w:rsid w:val="00AD5B8C"/>
    <w:rPr>
      <w:rFonts w:ascii="Times New Roman" w:eastAsia="宋体" w:hAnsi="Times New Roman" w:cs="Times New Roman"/>
      <w:b/>
      <w:bCs/>
      <w:kern w:val="0"/>
      <w:sz w:val="24"/>
      <w:szCs w:val="24"/>
    </w:rPr>
  </w:style>
  <w:style w:type="paragraph" w:styleId="23">
    <w:name w:val="Body Text Indent 2"/>
    <w:basedOn w:val="a0"/>
    <w:link w:val="2Char1"/>
    <w:uiPriority w:val="99"/>
    <w:semiHidden/>
    <w:unhideWhenUsed/>
    <w:qFormat/>
    <w:rsid w:val="00AD5B8C"/>
    <w:pPr>
      <w:ind w:firstLine="630"/>
    </w:pPr>
    <w:rPr>
      <w:kern w:val="0"/>
      <w:sz w:val="32"/>
      <w:szCs w:val="20"/>
    </w:rPr>
  </w:style>
  <w:style w:type="character" w:customStyle="1" w:styleId="2Char1">
    <w:name w:val="正文文本缩进 2 Char"/>
    <w:basedOn w:val="a2"/>
    <w:link w:val="23"/>
    <w:uiPriority w:val="99"/>
    <w:semiHidden/>
    <w:rsid w:val="00AD5B8C"/>
    <w:rPr>
      <w:rFonts w:ascii="Times New Roman" w:eastAsia="宋体" w:hAnsi="Times New Roman" w:cs="Times New Roman"/>
      <w:kern w:val="0"/>
      <w:sz w:val="32"/>
      <w:szCs w:val="20"/>
    </w:rPr>
  </w:style>
  <w:style w:type="paragraph" w:styleId="33">
    <w:name w:val="Body Text Indent 3"/>
    <w:basedOn w:val="a0"/>
    <w:link w:val="3Char1"/>
    <w:uiPriority w:val="99"/>
    <w:semiHidden/>
    <w:unhideWhenUsed/>
    <w:qFormat/>
    <w:rsid w:val="00AD5B8C"/>
    <w:pPr>
      <w:spacing w:after="120"/>
      <w:ind w:leftChars="200" w:left="420"/>
    </w:pPr>
    <w:rPr>
      <w:kern w:val="0"/>
      <w:sz w:val="16"/>
      <w:szCs w:val="16"/>
    </w:rPr>
  </w:style>
  <w:style w:type="character" w:customStyle="1" w:styleId="3Char1">
    <w:name w:val="正文文本缩进 3 Char"/>
    <w:basedOn w:val="a2"/>
    <w:link w:val="33"/>
    <w:uiPriority w:val="99"/>
    <w:semiHidden/>
    <w:rsid w:val="00AD5B8C"/>
    <w:rPr>
      <w:rFonts w:ascii="Times New Roman" w:eastAsia="宋体" w:hAnsi="Times New Roman" w:cs="Times New Roman"/>
      <w:kern w:val="0"/>
      <w:sz w:val="16"/>
      <w:szCs w:val="16"/>
    </w:rPr>
  </w:style>
  <w:style w:type="paragraph" w:styleId="af3">
    <w:name w:val="Plain Text"/>
    <w:basedOn w:val="a0"/>
    <w:link w:val="Char20"/>
    <w:uiPriority w:val="99"/>
    <w:semiHidden/>
    <w:unhideWhenUsed/>
    <w:qFormat/>
    <w:rsid w:val="00AD5B8C"/>
    <w:rPr>
      <w:rFonts w:ascii="宋体" w:hAnsi="Courier New"/>
      <w:kern w:val="0"/>
      <w:sz w:val="20"/>
      <w:szCs w:val="21"/>
    </w:rPr>
  </w:style>
  <w:style w:type="character" w:customStyle="1" w:styleId="Char9">
    <w:name w:val="纯文本 Char"/>
    <w:basedOn w:val="a2"/>
    <w:link w:val="af3"/>
    <w:semiHidden/>
    <w:qFormat/>
    <w:rsid w:val="00AD5B8C"/>
    <w:rPr>
      <w:rFonts w:ascii="宋体" w:eastAsia="宋体" w:hAnsi="Courier New" w:cs="Courier New"/>
      <w:szCs w:val="21"/>
    </w:rPr>
  </w:style>
  <w:style w:type="paragraph" w:styleId="af4">
    <w:name w:val="annotation subject"/>
    <w:basedOn w:val="a9"/>
    <w:next w:val="a9"/>
    <w:link w:val="Chara"/>
    <w:uiPriority w:val="99"/>
    <w:semiHidden/>
    <w:unhideWhenUsed/>
    <w:qFormat/>
    <w:rsid w:val="00AD5B8C"/>
    <w:rPr>
      <w:b/>
      <w:bCs/>
    </w:rPr>
  </w:style>
  <w:style w:type="character" w:customStyle="1" w:styleId="Chara">
    <w:name w:val="批注主题 Char"/>
    <w:basedOn w:val="Char0"/>
    <w:link w:val="af4"/>
    <w:uiPriority w:val="99"/>
    <w:semiHidden/>
    <w:rsid w:val="00AD5B8C"/>
    <w:rPr>
      <w:b/>
      <w:bCs/>
    </w:rPr>
  </w:style>
  <w:style w:type="paragraph" w:styleId="af5">
    <w:name w:val="Balloon Text"/>
    <w:basedOn w:val="a0"/>
    <w:link w:val="Charb"/>
    <w:uiPriority w:val="99"/>
    <w:semiHidden/>
    <w:unhideWhenUsed/>
    <w:qFormat/>
    <w:rsid w:val="00AD5B8C"/>
    <w:rPr>
      <w:kern w:val="0"/>
      <w:sz w:val="18"/>
      <w:szCs w:val="18"/>
    </w:rPr>
  </w:style>
  <w:style w:type="character" w:customStyle="1" w:styleId="Charb">
    <w:name w:val="批注框文本 Char"/>
    <w:basedOn w:val="a2"/>
    <w:link w:val="af5"/>
    <w:uiPriority w:val="99"/>
    <w:semiHidden/>
    <w:rsid w:val="00AD5B8C"/>
    <w:rPr>
      <w:rFonts w:ascii="Times New Roman" w:eastAsia="宋体" w:hAnsi="Times New Roman" w:cs="Times New Roman"/>
      <w:kern w:val="0"/>
      <w:sz w:val="18"/>
      <w:szCs w:val="18"/>
    </w:rPr>
  </w:style>
  <w:style w:type="paragraph" w:styleId="af6">
    <w:name w:val="List Paragraph"/>
    <w:basedOn w:val="a0"/>
    <w:uiPriority w:val="34"/>
    <w:qFormat/>
    <w:rsid w:val="00AD5B8C"/>
    <w:pPr>
      <w:ind w:firstLineChars="200" w:firstLine="420"/>
    </w:pPr>
  </w:style>
  <w:style w:type="paragraph" w:customStyle="1" w:styleId="af7">
    <w:name w:val="正文段"/>
    <w:basedOn w:val="a0"/>
    <w:uiPriority w:val="99"/>
    <w:qFormat/>
    <w:rsid w:val="00AD5B8C"/>
    <w:pPr>
      <w:widowControl/>
      <w:snapToGrid w:val="0"/>
      <w:spacing w:afterLines="50"/>
      <w:ind w:firstLineChars="200" w:firstLine="200"/>
    </w:pPr>
    <w:rPr>
      <w:kern w:val="0"/>
      <w:sz w:val="24"/>
      <w:szCs w:val="20"/>
    </w:rPr>
  </w:style>
  <w:style w:type="paragraph" w:customStyle="1" w:styleId="0">
    <w:name w:val="正文_0"/>
    <w:uiPriority w:val="99"/>
    <w:qFormat/>
    <w:rsid w:val="00AD5B8C"/>
    <w:pPr>
      <w:widowControl w:val="0"/>
      <w:jc w:val="both"/>
    </w:pPr>
    <w:rPr>
      <w:rFonts w:ascii="Times New Roman" w:eastAsia="宋体" w:hAnsi="Times New Roman" w:cs="Times New Roman"/>
    </w:rPr>
  </w:style>
  <w:style w:type="paragraph" w:customStyle="1" w:styleId="24">
    <w:name w:val="正文缩进2"/>
    <w:basedOn w:val="a0"/>
    <w:uiPriority w:val="99"/>
    <w:qFormat/>
    <w:rsid w:val="00AD5B8C"/>
    <w:pPr>
      <w:shd w:val="clear" w:color="auto" w:fill="FFFFFF"/>
      <w:wordWrap w:val="0"/>
      <w:spacing w:line="360" w:lineRule="auto"/>
      <w:ind w:firstLine="480"/>
      <w:jc w:val="left"/>
    </w:pPr>
    <w:rPr>
      <w:rFonts w:ascii="宋体" w:hAnsi="宋体"/>
      <w:iCs/>
      <w:sz w:val="24"/>
      <w:szCs w:val="22"/>
      <w:lang w:val="zh-CN"/>
    </w:rPr>
  </w:style>
  <w:style w:type="paragraph" w:customStyle="1" w:styleId="378020">
    <w:name w:val="样式 标题 3 + (中文) 黑体 小四 非加粗 段前: 7.8 磅 段后: 0 磅 行距: 固定值 20 磅"/>
    <w:basedOn w:val="3"/>
    <w:uiPriority w:val="99"/>
    <w:qFormat/>
    <w:rsid w:val="00AD5B8C"/>
    <w:pPr>
      <w:spacing w:before="0" w:after="0" w:line="400" w:lineRule="exact"/>
    </w:pPr>
    <w:rPr>
      <w:rFonts w:eastAsia="黑体" w:cs="宋体"/>
      <w:b w:val="0"/>
      <w:bCs w:val="0"/>
      <w:sz w:val="24"/>
      <w:szCs w:val="20"/>
    </w:rPr>
  </w:style>
  <w:style w:type="paragraph" w:customStyle="1" w:styleId="Char10">
    <w:name w:val="Char1"/>
    <w:basedOn w:val="a0"/>
    <w:uiPriority w:val="99"/>
    <w:qFormat/>
    <w:rsid w:val="00AD5B8C"/>
    <w:rPr>
      <w:szCs w:val="21"/>
    </w:rPr>
  </w:style>
  <w:style w:type="paragraph" w:customStyle="1" w:styleId="af8">
    <w:name w:val="表内文字"/>
    <w:basedOn w:val="a0"/>
    <w:uiPriority w:val="99"/>
    <w:qFormat/>
    <w:rsid w:val="00AD5B8C"/>
    <w:pPr>
      <w:snapToGrid w:val="0"/>
      <w:spacing w:before="50" w:after="50"/>
      <w:jc w:val="center"/>
    </w:pPr>
    <w:rPr>
      <w:rFonts w:ascii="仿宋_GB2312" w:eastAsia="仿宋_GB2312" w:hAnsi="宋体"/>
      <w:b/>
      <w:color w:val="000000"/>
      <w:sz w:val="32"/>
      <w:szCs w:val="32"/>
    </w:rPr>
  </w:style>
  <w:style w:type="paragraph" w:customStyle="1" w:styleId="25">
    <w:name w:val="样式 首行缩进:  2 字符"/>
    <w:basedOn w:val="a0"/>
    <w:uiPriority w:val="99"/>
    <w:qFormat/>
    <w:rsid w:val="00AD5B8C"/>
    <w:pPr>
      <w:spacing w:line="400" w:lineRule="exact"/>
      <w:ind w:firstLineChars="200" w:firstLine="200"/>
    </w:pPr>
    <w:rPr>
      <w:rFonts w:cs="宋体"/>
      <w:sz w:val="24"/>
    </w:rPr>
  </w:style>
  <w:style w:type="paragraph" w:customStyle="1" w:styleId="af9">
    <w:name w:val="正文首行缩进两字符"/>
    <w:basedOn w:val="a0"/>
    <w:uiPriority w:val="99"/>
    <w:qFormat/>
    <w:rsid w:val="00AD5B8C"/>
    <w:pPr>
      <w:spacing w:line="360" w:lineRule="auto"/>
      <w:ind w:firstLineChars="200" w:firstLine="200"/>
    </w:pPr>
  </w:style>
  <w:style w:type="paragraph" w:customStyle="1" w:styleId="2TimesNewRoman5020">
    <w:name w:val="样式 标题 2 + Times New Roman 四号 非加粗 段前: 5 磅 段后: 0 磅 行距: 固定值 20..."/>
    <w:basedOn w:val="2"/>
    <w:uiPriority w:val="99"/>
    <w:qFormat/>
    <w:rsid w:val="00AD5B8C"/>
    <w:pPr>
      <w:spacing w:before="100" w:after="0" w:line="400" w:lineRule="exact"/>
    </w:pPr>
    <w:rPr>
      <w:rFonts w:ascii="Times New Roman" w:hAnsi="Times New Roman" w:cs="宋体"/>
      <w:b w:val="0"/>
      <w:bCs w:val="0"/>
      <w:sz w:val="28"/>
      <w:szCs w:val="20"/>
    </w:rPr>
  </w:style>
  <w:style w:type="paragraph" w:customStyle="1" w:styleId="afa">
    <w:name w:val="样式"/>
    <w:uiPriority w:val="99"/>
    <w:qFormat/>
    <w:rsid w:val="00AD5B8C"/>
    <w:pPr>
      <w:widowControl w:val="0"/>
      <w:autoSpaceDE w:val="0"/>
      <w:autoSpaceDN w:val="0"/>
      <w:adjustRightInd w:val="0"/>
      <w:jc w:val="center"/>
    </w:pPr>
    <w:rPr>
      <w:rFonts w:ascii="宋体" w:eastAsia="宋体" w:hAnsi="宋体" w:cs="宋体"/>
      <w:kern w:val="0"/>
      <w:sz w:val="24"/>
      <w:szCs w:val="24"/>
    </w:rPr>
  </w:style>
  <w:style w:type="paragraph" w:customStyle="1" w:styleId="TableParagraph">
    <w:name w:val="Table Paragraph"/>
    <w:basedOn w:val="a0"/>
    <w:uiPriority w:val="1"/>
    <w:qFormat/>
    <w:rsid w:val="00AD5B8C"/>
    <w:pPr>
      <w:jc w:val="left"/>
    </w:pPr>
    <w:rPr>
      <w:rFonts w:ascii="Calibri" w:hAnsi="Calibri"/>
      <w:kern w:val="0"/>
      <w:sz w:val="22"/>
      <w:szCs w:val="22"/>
      <w:lang w:eastAsia="en-US"/>
    </w:rPr>
  </w:style>
  <w:style w:type="paragraph" w:customStyle="1" w:styleId="ParaCharCharCharCharCharCharCharCharChar1CharCharCharChar">
    <w:name w:val="默认段落字体 Para Char Char Char Char Char Char Char Char Char1 Char Char Char Char"/>
    <w:basedOn w:val="a0"/>
    <w:uiPriority w:val="99"/>
    <w:qFormat/>
    <w:rsid w:val="00AD5B8C"/>
    <w:rPr>
      <w:rFonts w:ascii="Tahoma" w:hAnsi="Tahoma"/>
      <w:sz w:val="24"/>
      <w:szCs w:val="20"/>
    </w:rPr>
  </w:style>
  <w:style w:type="paragraph" w:customStyle="1" w:styleId="xl22">
    <w:name w:val="xl22"/>
    <w:basedOn w:val="a0"/>
    <w:uiPriority w:val="99"/>
    <w:qFormat/>
    <w:rsid w:val="00AD5B8C"/>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ListParagraph">
    <w:name w:val="List Paragraph"/>
    <w:basedOn w:val="0"/>
    <w:uiPriority w:val="99"/>
    <w:qFormat/>
    <w:rsid w:val="00AD5B8C"/>
    <w:pPr>
      <w:ind w:firstLineChars="200" w:firstLine="420"/>
    </w:pPr>
  </w:style>
  <w:style w:type="paragraph" w:customStyle="1" w:styleId="afb">
    <w:name w:val="表格"/>
    <w:basedOn w:val="a0"/>
    <w:uiPriority w:val="99"/>
    <w:qFormat/>
    <w:rsid w:val="00AD5B8C"/>
    <w:pPr>
      <w:spacing w:line="400" w:lineRule="exact"/>
    </w:pPr>
    <w:rPr>
      <w:sz w:val="24"/>
    </w:rPr>
  </w:style>
  <w:style w:type="paragraph" w:customStyle="1" w:styleId="PlainText">
    <w:name w:val="Plain Text"/>
    <w:basedOn w:val="a0"/>
    <w:uiPriority w:val="99"/>
    <w:qFormat/>
    <w:rsid w:val="00AD5B8C"/>
    <w:rPr>
      <w:rFonts w:ascii="宋体" w:hAnsi="Courier New" w:cs="Century"/>
      <w:szCs w:val="21"/>
    </w:rPr>
  </w:style>
  <w:style w:type="paragraph" w:customStyle="1" w:styleId="26">
    <w:name w:val="正文2"/>
    <w:basedOn w:val="a0"/>
    <w:uiPriority w:val="99"/>
    <w:qFormat/>
    <w:rsid w:val="00AD5B8C"/>
    <w:pPr>
      <w:adjustRightInd w:val="0"/>
      <w:spacing w:before="156" w:line="360" w:lineRule="auto"/>
      <w:ind w:firstLineChars="200" w:firstLine="510"/>
    </w:pPr>
    <w:rPr>
      <w:sz w:val="24"/>
      <w:szCs w:val="20"/>
    </w:rPr>
  </w:style>
  <w:style w:type="paragraph" w:customStyle="1" w:styleId="AONormal">
    <w:name w:val="AONormal"/>
    <w:uiPriority w:val="99"/>
    <w:qFormat/>
    <w:rsid w:val="00AD5B8C"/>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2">
    <w:name w:val="列出段落1"/>
    <w:basedOn w:val="a0"/>
    <w:uiPriority w:val="99"/>
    <w:qFormat/>
    <w:rsid w:val="00AD5B8C"/>
    <w:pPr>
      <w:ind w:firstLineChars="200" w:firstLine="420"/>
    </w:pPr>
    <w:rPr>
      <w:szCs w:val="21"/>
    </w:rPr>
  </w:style>
  <w:style w:type="paragraph" w:customStyle="1" w:styleId="TableText">
    <w:name w:val="Table Text"/>
    <w:uiPriority w:val="99"/>
    <w:qFormat/>
    <w:rsid w:val="00AD5B8C"/>
    <w:pPr>
      <w:snapToGrid w:val="0"/>
      <w:spacing w:before="80" w:after="80"/>
    </w:pPr>
    <w:rPr>
      <w:rFonts w:ascii="Arial" w:eastAsia="宋体" w:hAnsi="Arial" w:cs="Arial"/>
      <w:kern w:val="0"/>
      <w:sz w:val="18"/>
      <w:szCs w:val="18"/>
    </w:rPr>
  </w:style>
  <w:style w:type="paragraph" w:customStyle="1" w:styleId="null3">
    <w:name w:val="null3"/>
    <w:uiPriority w:val="99"/>
    <w:qFormat/>
    <w:rsid w:val="00AD5B8C"/>
    <w:rPr>
      <w:rFonts w:ascii="Calibri" w:eastAsia="宋体" w:hAnsi="Calibri" w:cs="Times New Roman"/>
      <w:kern w:val="0"/>
      <w:sz w:val="20"/>
      <w:szCs w:val="20"/>
      <w:lang/>
    </w:rPr>
  </w:style>
  <w:style w:type="paragraph" w:customStyle="1" w:styleId="afc">
    <w:name w:val="表头"/>
    <w:uiPriority w:val="99"/>
    <w:qFormat/>
    <w:rsid w:val="00AD5B8C"/>
    <w:pPr>
      <w:jc w:val="center"/>
    </w:pPr>
    <w:rPr>
      <w:rFonts w:ascii="仿宋_GB2312" w:eastAsia="仿宋_GB2312" w:hAnsi="仿宋_GB2312" w:cs="等线"/>
      <w:b/>
      <w:kern w:val="0"/>
      <w:sz w:val="24"/>
      <w:szCs w:val="24"/>
    </w:rPr>
  </w:style>
  <w:style w:type="paragraph" w:customStyle="1" w:styleId="afd">
    <w:name w:val="表格内容"/>
    <w:uiPriority w:val="99"/>
    <w:qFormat/>
    <w:rsid w:val="00AD5B8C"/>
    <w:rPr>
      <w:rFonts w:ascii="仿宋_GB2312" w:eastAsia="仿宋_GB2312" w:hAnsi="仿宋_GB2312" w:cs="等线"/>
      <w:bCs/>
      <w:kern w:val="0"/>
      <w:sz w:val="24"/>
      <w:szCs w:val="20"/>
    </w:rPr>
  </w:style>
  <w:style w:type="paragraph" w:customStyle="1" w:styleId="afe">
    <w:name w:val="表标题"/>
    <w:basedOn w:val="a0"/>
    <w:uiPriority w:val="99"/>
    <w:qFormat/>
    <w:rsid w:val="00AD5B8C"/>
    <w:pPr>
      <w:tabs>
        <w:tab w:val="left" w:pos="425"/>
        <w:tab w:val="left" w:pos="720"/>
      </w:tabs>
      <w:jc w:val="center"/>
    </w:pPr>
    <w:rPr>
      <w:b/>
      <w:sz w:val="24"/>
      <w:szCs w:val="20"/>
    </w:rPr>
  </w:style>
  <w:style w:type="character" w:styleId="aff">
    <w:name w:val="footnote reference"/>
    <w:uiPriority w:val="99"/>
    <w:semiHidden/>
    <w:unhideWhenUsed/>
    <w:rsid w:val="00AD5B8C"/>
    <w:rPr>
      <w:vertAlign w:val="superscript"/>
    </w:rPr>
  </w:style>
  <w:style w:type="character" w:styleId="aff0">
    <w:name w:val="annotation reference"/>
    <w:uiPriority w:val="99"/>
    <w:semiHidden/>
    <w:unhideWhenUsed/>
    <w:rsid w:val="00AD5B8C"/>
    <w:rPr>
      <w:sz w:val="21"/>
      <w:szCs w:val="21"/>
    </w:rPr>
  </w:style>
  <w:style w:type="character" w:styleId="aff1">
    <w:name w:val="endnote reference"/>
    <w:uiPriority w:val="99"/>
    <w:semiHidden/>
    <w:unhideWhenUsed/>
    <w:rsid w:val="00AD5B8C"/>
    <w:rPr>
      <w:vertAlign w:val="superscript"/>
    </w:rPr>
  </w:style>
  <w:style w:type="character" w:customStyle="1" w:styleId="5Char2">
    <w:name w:val="标题 5 Char2"/>
    <w:link w:val="5"/>
    <w:semiHidden/>
    <w:locked/>
    <w:rsid w:val="00AD5B8C"/>
    <w:rPr>
      <w:rFonts w:ascii="Times New Roman" w:eastAsia="宋体" w:hAnsi="Times New Roman" w:cs="Times New Roman"/>
      <w:b/>
      <w:sz w:val="28"/>
      <w:szCs w:val="24"/>
    </w:rPr>
  </w:style>
  <w:style w:type="character" w:customStyle="1" w:styleId="Char2">
    <w:name w:val="批注文字 Char2"/>
    <w:link w:val="a9"/>
    <w:uiPriority w:val="99"/>
    <w:qFormat/>
    <w:locked/>
    <w:rsid w:val="00AD5B8C"/>
    <w:rPr>
      <w:rFonts w:ascii="Times New Roman" w:eastAsia="宋体" w:hAnsi="Times New Roman" w:cs="Times New Roman"/>
      <w:szCs w:val="24"/>
    </w:rPr>
  </w:style>
  <w:style w:type="character" w:customStyle="1" w:styleId="Char20">
    <w:name w:val="纯文本 Char2"/>
    <w:link w:val="af3"/>
    <w:uiPriority w:val="99"/>
    <w:semiHidden/>
    <w:qFormat/>
    <w:locked/>
    <w:rsid w:val="00AD5B8C"/>
    <w:rPr>
      <w:rFonts w:ascii="宋体" w:eastAsia="宋体" w:hAnsi="Courier New" w:cs="Times New Roman"/>
      <w:kern w:val="0"/>
      <w:sz w:val="20"/>
      <w:szCs w:val="21"/>
    </w:rPr>
  </w:style>
  <w:style w:type="character" w:customStyle="1" w:styleId="aff2">
    <w:name w:val="纯文本 字符"/>
    <w:uiPriority w:val="99"/>
    <w:qFormat/>
    <w:rsid w:val="00AD5B8C"/>
    <w:rPr>
      <w:rFonts w:ascii="宋体" w:eastAsia="宋体" w:hAnsi="Courier New" w:cs="Courier New" w:hint="eastAsia"/>
      <w:szCs w:val="21"/>
    </w:rPr>
  </w:style>
  <w:style w:type="character" w:customStyle="1" w:styleId="headline-content4">
    <w:name w:val="headline-content4"/>
    <w:rsid w:val="00AD5B8C"/>
  </w:style>
  <w:style w:type="character" w:customStyle="1" w:styleId="260pt">
    <w:name w:val="正文文本 (26) + 间距 0 pt"/>
    <w:rsid w:val="00AD5B8C"/>
    <w:rPr>
      <w:rFonts w:ascii="宋体" w:eastAsia="宋体" w:hAnsi="宋体" w:cs="宋体" w:hint="eastAsia"/>
      <w:b w:val="0"/>
      <w:bCs w:val="0"/>
      <w:i w:val="0"/>
      <w:iCs w:val="0"/>
      <w:smallCaps w:val="0"/>
      <w:strike w:val="0"/>
      <w:dstrike w:val="0"/>
      <w:color w:val="000000"/>
      <w:spacing w:val="0"/>
      <w:w w:val="100"/>
      <w:position w:val="0"/>
      <w:sz w:val="22"/>
      <w:szCs w:val="22"/>
      <w:u w:val="none"/>
      <w:effect w:val="none"/>
      <w:lang w:val="zh-CN" w:eastAsia="zh-CN" w:bidi="zh-CN"/>
    </w:rPr>
  </w:style>
  <w:style w:type="character" w:customStyle="1" w:styleId="Char11">
    <w:name w:val="批注文字 Char1"/>
    <w:semiHidden/>
    <w:locked/>
    <w:rsid w:val="00AD5B8C"/>
    <w:rPr>
      <w:rFonts w:ascii="Times New Roman" w:hAnsi="Times New Roman" w:cs="Times New Roman" w:hint="default"/>
      <w:kern w:val="2"/>
      <w:sz w:val="21"/>
      <w:szCs w:val="24"/>
    </w:rPr>
  </w:style>
  <w:style w:type="character" w:customStyle="1" w:styleId="13">
    <w:name w:val="标题 1 字符"/>
    <w:uiPriority w:val="9"/>
    <w:qFormat/>
    <w:rsid w:val="00AD5B8C"/>
    <w:rPr>
      <w:rFonts w:ascii="Times New Roman" w:eastAsia="宋体" w:hAnsi="Times New Roman" w:cs="Times New Roman" w:hint="default"/>
      <w:b/>
      <w:bCs/>
      <w:kern w:val="44"/>
      <w:sz w:val="44"/>
      <w:szCs w:val="44"/>
    </w:rPr>
  </w:style>
  <w:style w:type="character" w:customStyle="1" w:styleId="aff3">
    <w:name w:val="正文文本缩进 字符"/>
    <w:rsid w:val="00AD5B8C"/>
    <w:rPr>
      <w:rFonts w:ascii="仿宋_GB2312" w:eastAsia="仿宋_GB2312" w:hAnsi="Times New Roman" w:cs="Times New Roman" w:hint="eastAsia"/>
      <w:sz w:val="32"/>
      <w:szCs w:val="20"/>
    </w:rPr>
  </w:style>
  <w:style w:type="character" w:customStyle="1" w:styleId="27">
    <w:name w:val="批注文字 字符2"/>
    <w:rsid w:val="00AD5B8C"/>
    <w:rPr>
      <w:rFonts w:ascii="Times New Roman" w:hAnsi="Times New Roman" w:cs="Times New Roman" w:hint="default"/>
      <w:kern w:val="2"/>
      <w:sz w:val="21"/>
      <w:szCs w:val="24"/>
    </w:rPr>
  </w:style>
  <w:style w:type="character" w:customStyle="1" w:styleId="textcontents">
    <w:name w:val="textcontents"/>
    <w:rsid w:val="00AD5B8C"/>
  </w:style>
  <w:style w:type="character" w:customStyle="1" w:styleId="14">
    <w:name w:val="纯文本 字符1"/>
    <w:qFormat/>
    <w:rsid w:val="00AD5B8C"/>
    <w:rPr>
      <w:rFonts w:ascii="宋体" w:eastAsia="宋体" w:hAnsi="Courier New" w:hint="eastAsia"/>
    </w:rPr>
  </w:style>
  <w:style w:type="character" w:customStyle="1" w:styleId="aff4">
    <w:name w:val="批注文字 字符"/>
    <w:rsid w:val="00AD5B8C"/>
    <w:rPr>
      <w:rFonts w:ascii="Times New Roman" w:hAnsi="Times New Roman" w:cs="Times New Roman" w:hint="default"/>
      <w:kern w:val="2"/>
      <w:sz w:val="21"/>
      <w:szCs w:val="24"/>
    </w:rPr>
  </w:style>
  <w:style w:type="character" w:customStyle="1" w:styleId="apple-style-span">
    <w:name w:val="apple-style-span"/>
    <w:rsid w:val="00AD5B8C"/>
  </w:style>
  <w:style w:type="character" w:customStyle="1" w:styleId="case31">
    <w:name w:val="case31"/>
    <w:rsid w:val="00AD5B8C"/>
    <w:rPr>
      <w:rFonts w:ascii="" w:hAnsi="" w:hint="default"/>
      <w:sz w:val="21"/>
      <w:szCs w:val="21"/>
    </w:rPr>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sid w:val="00AD5B8C"/>
    <w:rPr>
      <w:rFonts w:ascii="宋体" w:eastAsia="宋体" w:hAnsi="Courier New" w:hint="eastAsia"/>
      <w:kern w:val="2"/>
      <w:sz w:val="21"/>
      <w:lang w:val="en-US" w:eastAsia="zh-CN" w:bidi="ar-SA"/>
    </w:rPr>
  </w:style>
  <w:style w:type="character" w:customStyle="1" w:styleId="Char12">
    <w:name w:val="纯文本 Char1"/>
    <w:qFormat/>
    <w:rsid w:val="00AD5B8C"/>
    <w:rPr>
      <w:rFonts w:ascii="宋体" w:eastAsia="宋体" w:hAnsi="Courier New" w:cs="Courier New" w:hint="eastAsia"/>
      <w:szCs w:val="21"/>
    </w:rPr>
  </w:style>
  <w:style w:type="character" w:customStyle="1" w:styleId="5Char1">
    <w:name w:val="标题 5 Char1"/>
    <w:rsid w:val="00AD5B8C"/>
    <w:rPr>
      <w:b/>
      <w:bCs w:val="0"/>
      <w:kern w:val="2"/>
      <w:sz w:val="28"/>
      <w:szCs w:val="24"/>
    </w:rPr>
  </w:style>
  <w:style w:type="character" w:customStyle="1" w:styleId="15">
    <w:name w:val="正文文本 字符1"/>
    <w:uiPriority w:val="99"/>
    <w:semiHidden/>
    <w:locked/>
    <w:rsid w:val="00AD5B8C"/>
    <w:rPr>
      <w:sz w:val="24"/>
      <w:szCs w:val="24"/>
    </w:rPr>
  </w:style>
  <w:style w:type="table" w:styleId="aff5">
    <w:name w:val="Table Grid"/>
    <w:basedOn w:val="a3"/>
    <w:qFormat/>
    <w:rsid w:val="00AD5B8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AD5B8C"/>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918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Excel____1.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3643</Words>
  <Characters>20771</Characters>
  <Application>Microsoft Office Word</Application>
  <DocSecurity>0</DocSecurity>
  <Lines>173</Lines>
  <Paragraphs>48</Paragraphs>
  <ScaleCrop>false</ScaleCrop>
  <Company/>
  <LinksUpToDate>false</LinksUpToDate>
  <CharactersWithSpaces>24366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2026-07-14T03:17:00Z</dcterms:created>
  <dcterms:modified xsi:type="dcterms:W3CDTF">2026-07-14T03:17:00Z</dcterms:modified>
</cp:coreProperties>
</file>