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302BA87">
      <w:pPr>
        <w:spacing w:before="156" w:line="360" w:lineRule="auto"/>
        <w:jc w:val="center"/>
        <w:rPr>
          <w:rFonts w:ascii="宋体" w:hAnsi="宋体"/>
          <w:sz w:val="52"/>
          <w:szCs w:val="52"/>
        </w:rPr>
      </w:pPr>
      <w:r>
        <w:rPr>
          <w:rFonts w:hint="eastAsia" w:ascii="宋体" w:hAnsi="宋体"/>
          <w:sz w:val="52"/>
          <w:szCs w:val="52"/>
        </w:rPr>
        <w:t>南宁市政府采购</w:t>
      </w:r>
    </w:p>
    <w:p w14:paraId="652D05D4">
      <w:pPr>
        <w:spacing w:before="156" w:line="360" w:lineRule="auto"/>
        <w:jc w:val="center"/>
        <w:rPr>
          <w:rFonts w:ascii="宋体" w:hAnsi="宋体"/>
          <w:sz w:val="36"/>
          <w:szCs w:val="36"/>
        </w:rPr>
      </w:pPr>
    </w:p>
    <w:p w14:paraId="3467E975">
      <w:pPr>
        <w:spacing w:before="156" w:line="360" w:lineRule="auto"/>
        <w:jc w:val="center"/>
        <w:rPr>
          <w:rFonts w:ascii="方正小标宋简体" w:hAnsi="方正小标宋简体" w:eastAsia="华文新魏" w:cs="方正小标宋简体"/>
          <w:sz w:val="44"/>
          <w:szCs w:val="44"/>
        </w:rPr>
      </w:pPr>
      <w:r>
        <w:rPr>
          <w:rFonts w:hint="eastAsia" w:ascii="华文新魏" w:hAnsi="宋体" w:eastAsia="华文新魏"/>
          <w:sz w:val="72"/>
          <w:szCs w:val="72"/>
        </w:rPr>
        <w:t>竞争性谈判文件</w:t>
      </w:r>
    </w:p>
    <w:p w14:paraId="530C796F">
      <w:pPr>
        <w:spacing w:before="312" w:after="156" w:line="360" w:lineRule="auto"/>
        <w:jc w:val="center"/>
        <w:rPr>
          <w:rFonts w:ascii="宋体" w:hAnsi="宋体"/>
          <w:szCs w:val="21"/>
        </w:rPr>
      </w:pPr>
      <w:r>
        <w:rPr>
          <w:rFonts w:hint="eastAsia" w:ascii="宋体" w:hAnsi="宋体"/>
          <w:szCs w:val="21"/>
        </w:rPr>
        <w:t>（全流程电子化评标）</w:t>
      </w:r>
    </w:p>
    <w:p w14:paraId="1B19AA98">
      <w:pPr>
        <w:spacing w:line="360" w:lineRule="auto"/>
        <w:rPr>
          <w:rFonts w:ascii="宋体" w:hAnsi="宋体"/>
          <w:b/>
          <w:sz w:val="32"/>
          <w:szCs w:val="32"/>
        </w:rPr>
      </w:pPr>
    </w:p>
    <w:p w14:paraId="4B232AC3">
      <w:pPr>
        <w:spacing w:line="360" w:lineRule="auto"/>
        <w:jc w:val="center"/>
        <w:rPr>
          <w:rFonts w:ascii="宋体" w:hAnsi="宋体"/>
          <w:b/>
          <w:sz w:val="32"/>
          <w:szCs w:val="32"/>
        </w:rPr>
      </w:pPr>
    </w:p>
    <w:p w14:paraId="71728946">
      <w:pPr>
        <w:spacing w:before="50" w:after="120" w:line="360" w:lineRule="auto"/>
        <w:ind w:firstLine="1125"/>
        <w:rPr>
          <w:rFonts w:ascii="仿宋_GB2312" w:hAnsi="宋体" w:eastAsia="仿宋_GB2312"/>
          <w:b/>
          <w:bCs/>
          <w:sz w:val="30"/>
          <w:szCs w:val="30"/>
        </w:rPr>
      </w:pPr>
      <w:r>
        <w:rPr>
          <w:rFonts w:hint="eastAsia" w:ascii="仿宋_GB2312" w:hAnsi="宋体" w:eastAsia="仿宋_GB2312"/>
          <w:b/>
          <w:bCs/>
          <w:sz w:val="30"/>
          <w:szCs w:val="30"/>
        </w:rPr>
        <w:t>项目名称：2025年自治区级世界技能大赛电子技术集训</w:t>
      </w:r>
    </w:p>
    <w:p w14:paraId="0DD8FE4C">
      <w:pPr>
        <w:spacing w:before="50" w:after="120" w:line="360" w:lineRule="auto"/>
        <w:ind w:firstLine="2512" w:firstLineChars="834"/>
        <w:rPr>
          <w:rFonts w:ascii="仿宋_GB2312" w:hAnsi="宋体" w:eastAsia="仿宋_GB2312"/>
          <w:b/>
          <w:bCs/>
          <w:sz w:val="30"/>
          <w:szCs w:val="30"/>
        </w:rPr>
      </w:pPr>
      <w:r>
        <w:rPr>
          <w:rFonts w:hint="eastAsia" w:ascii="仿宋_GB2312" w:hAnsi="宋体" w:eastAsia="仿宋_GB2312"/>
          <w:b/>
          <w:bCs/>
          <w:sz w:val="30"/>
          <w:szCs w:val="30"/>
        </w:rPr>
        <w:t>基地项目</w:t>
      </w:r>
    </w:p>
    <w:p w14:paraId="30044EC7">
      <w:pPr>
        <w:spacing w:before="50" w:after="120" w:line="360" w:lineRule="auto"/>
        <w:ind w:firstLine="1125"/>
        <w:rPr>
          <w:rFonts w:ascii="仿宋_GB2312" w:hAnsi="宋体" w:eastAsia="仿宋_GB2312"/>
          <w:b/>
          <w:bCs/>
          <w:sz w:val="30"/>
          <w:szCs w:val="30"/>
        </w:rPr>
      </w:pPr>
      <w:r>
        <w:rPr>
          <w:rFonts w:hint="eastAsia" w:ascii="仿宋_GB2312" w:hAnsi="宋体" w:eastAsia="仿宋_GB2312"/>
          <w:b/>
          <w:bCs/>
          <w:sz w:val="30"/>
          <w:szCs w:val="30"/>
        </w:rPr>
        <w:t>项目编号：</w:t>
      </w:r>
      <w:r>
        <w:rPr>
          <w:rFonts w:ascii="仿宋_GB2312" w:hAnsi="宋体" w:eastAsia="仿宋_GB2312"/>
          <w:b/>
          <w:bCs/>
          <w:sz w:val="30"/>
          <w:szCs w:val="30"/>
        </w:rPr>
        <w:t>NNZC2026-J1-990367-YZLZ</w:t>
      </w:r>
    </w:p>
    <w:p w14:paraId="49C0E18F">
      <w:pPr>
        <w:spacing w:before="50" w:after="120" w:line="360" w:lineRule="auto"/>
        <w:ind w:firstLine="1125"/>
        <w:rPr>
          <w:rFonts w:ascii="仿宋_GB2312" w:hAnsi="宋体" w:eastAsia="仿宋_GB2312"/>
          <w:b/>
          <w:bCs/>
          <w:sz w:val="30"/>
          <w:szCs w:val="30"/>
        </w:rPr>
      </w:pPr>
      <w:r>
        <w:rPr>
          <w:rFonts w:hint="eastAsia" w:ascii="仿宋_GB2312" w:hAnsi="宋体" w:eastAsia="仿宋_GB2312"/>
          <w:b/>
          <w:bCs/>
          <w:sz w:val="30"/>
          <w:szCs w:val="30"/>
        </w:rPr>
        <w:t>项目所属区划：南宁市本级</w:t>
      </w:r>
    </w:p>
    <w:p w14:paraId="77EE478C">
      <w:pPr>
        <w:spacing w:before="50" w:after="120" w:line="360" w:lineRule="auto"/>
        <w:ind w:firstLine="1125"/>
        <w:rPr>
          <w:rFonts w:ascii="仿宋_GB2312" w:hAnsi="宋体" w:eastAsia="仿宋_GB2312"/>
          <w:b/>
          <w:bCs/>
          <w:sz w:val="30"/>
          <w:szCs w:val="30"/>
        </w:rPr>
      </w:pPr>
      <w:r>
        <w:rPr>
          <w:rFonts w:hint="eastAsia" w:ascii="仿宋_GB2312" w:hAnsi="宋体" w:eastAsia="仿宋_GB2312"/>
          <w:b/>
          <w:bCs/>
          <w:sz w:val="30"/>
          <w:szCs w:val="30"/>
        </w:rPr>
        <w:t>采购人：广西南宁技师学院</w:t>
      </w:r>
    </w:p>
    <w:p w14:paraId="5DF8EB47">
      <w:pPr>
        <w:spacing w:before="50" w:after="120" w:line="360" w:lineRule="auto"/>
        <w:ind w:firstLine="1125"/>
        <w:rPr>
          <w:rFonts w:ascii="仿宋_GB2312" w:hAnsi="宋体" w:eastAsia="仿宋_GB2312"/>
          <w:b/>
          <w:bCs/>
          <w:sz w:val="30"/>
          <w:szCs w:val="30"/>
        </w:rPr>
      </w:pPr>
      <w:r>
        <w:rPr>
          <w:rFonts w:hint="eastAsia" w:ascii="仿宋_GB2312" w:hAnsi="宋体" w:eastAsia="仿宋_GB2312"/>
          <w:b/>
          <w:bCs/>
          <w:sz w:val="30"/>
          <w:szCs w:val="30"/>
        </w:rPr>
        <w:t>采购代理机构：云之龙咨询集团有限公司</w:t>
      </w:r>
    </w:p>
    <w:p w14:paraId="4BC8518D">
      <w:pPr>
        <w:spacing w:line="360" w:lineRule="auto"/>
        <w:jc w:val="center"/>
        <w:rPr>
          <w:rFonts w:ascii="仿宋_GB2312" w:hAnsi="宋体" w:eastAsia="仿宋_GB2312"/>
          <w:b/>
          <w:sz w:val="32"/>
          <w:szCs w:val="32"/>
        </w:rPr>
      </w:pPr>
    </w:p>
    <w:p w14:paraId="23959463">
      <w:pPr>
        <w:spacing w:line="360" w:lineRule="auto"/>
        <w:jc w:val="center"/>
        <w:rPr>
          <w:rFonts w:ascii="仿宋_GB2312" w:hAnsi="宋体" w:eastAsia="仿宋_GB2312"/>
          <w:b/>
          <w:sz w:val="32"/>
          <w:szCs w:val="32"/>
        </w:rPr>
      </w:pPr>
      <w:r>
        <w:rPr>
          <w:rFonts w:hint="eastAsia" w:ascii="仿宋_GB2312" w:hAnsi="宋体" w:eastAsia="仿宋_GB2312"/>
          <w:b/>
          <w:sz w:val="32"/>
          <w:szCs w:val="32"/>
        </w:rPr>
        <w:t>2026年6月1日</w:t>
      </w:r>
    </w:p>
    <w:p w14:paraId="22B2E844">
      <w:pPr>
        <w:widowControl/>
        <w:jc w:val="left"/>
        <w:rPr>
          <w:rFonts w:ascii="宋体" w:hAnsi="宋体"/>
          <w:b/>
          <w:sz w:val="44"/>
          <w:szCs w:val="44"/>
        </w:rPr>
        <w:sectPr>
          <w:footerReference r:id="rId3" w:type="default"/>
          <w:pgSz w:w="11906" w:h="16838"/>
          <w:pgMar w:top="1440" w:right="1440" w:bottom="1440" w:left="1587" w:header="851" w:footer="992" w:gutter="0"/>
          <w:cols w:space="1701" w:num="1"/>
          <w:titlePg/>
        </w:sectPr>
      </w:pPr>
    </w:p>
    <w:p w14:paraId="51F2D1D4">
      <w:pPr>
        <w:spacing w:line="360" w:lineRule="auto"/>
        <w:jc w:val="center"/>
        <w:rPr>
          <w:rFonts w:ascii="宋体" w:hAnsi="宋体"/>
          <w:b/>
          <w:sz w:val="44"/>
          <w:szCs w:val="44"/>
        </w:rPr>
      </w:pPr>
      <w:r>
        <w:rPr>
          <w:rFonts w:hint="eastAsia" w:ascii="宋体" w:hAnsi="宋体"/>
          <w:b/>
          <w:sz w:val="44"/>
          <w:szCs w:val="44"/>
        </w:rPr>
        <w:t>目录</w:t>
      </w:r>
    </w:p>
    <w:p w14:paraId="66E88935">
      <w:pPr>
        <w:pStyle w:val="231"/>
        <w:tabs>
          <w:tab w:val="right" w:leader="dot" w:pos="8720"/>
        </w:tabs>
        <w:spacing w:line="360" w:lineRule="auto"/>
        <w:contextualSpacing/>
        <w:rPr>
          <w:rFonts w:ascii="等线" w:hAnsi="等线" w:eastAsia="等线"/>
          <w:szCs w:val="22"/>
        </w:rPr>
      </w:pPr>
      <w:r>
        <w:rPr>
          <w:sz w:val="24"/>
          <w:u w:val="single"/>
        </w:rPr>
        <w:fldChar w:fldCharType="begin"/>
      </w:r>
      <w:r>
        <w:rPr>
          <w:sz w:val="24"/>
          <w:u w:val="single"/>
        </w:rPr>
        <w:instrText xml:space="preserve"> TOC \o "1-3" \h \z \u </w:instrText>
      </w:r>
      <w:r>
        <w:rPr>
          <w:sz w:val="24"/>
          <w:u w:val="single"/>
        </w:rPr>
        <w:fldChar w:fldCharType="separate"/>
      </w:r>
      <w:r>
        <w:fldChar w:fldCharType="begin"/>
      </w:r>
      <w:r>
        <w:instrText xml:space="preserve"> HYPERLINK \l "_Toc173510387" </w:instrText>
      </w:r>
      <w:r>
        <w:fldChar w:fldCharType="separate"/>
      </w:r>
      <w:r>
        <w:rPr>
          <w:rStyle w:val="245"/>
          <w:b/>
          <w:bCs/>
          <w:color w:val="auto"/>
        </w:rPr>
        <w:t>第一章竞争性谈判公告</w:t>
      </w:r>
      <w:r>
        <w:tab/>
      </w:r>
      <w:r>
        <w:fldChar w:fldCharType="begin"/>
      </w:r>
      <w:r>
        <w:instrText xml:space="preserve"> PAGEREF _Toc173510387 \h </w:instrText>
      </w:r>
      <w:r>
        <w:fldChar w:fldCharType="separate"/>
      </w:r>
      <w:r>
        <w:t>2</w:t>
      </w:r>
      <w:r>
        <w:fldChar w:fldCharType="end"/>
      </w:r>
      <w:r>
        <w:fldChar w:fldCharType="end"/>
      </w:r>
    </w:p>
    <w:p w14:paraId="56085F87">
      <w:pPr>
        <w:pStyle w:val="231"/>
        <w:tabs>
          <w:tab w:val="right" w:leader="dot" w:pos="8720"/>
        </w:tabs>
        <w:spacing w:line="360" w:lineRule="auto"/>
        <w:contextualSpacing/>
        <w:rPr>
          <w:rFonts w:ascii="等线" w:hAnsi="等线" w:eastAsia="等线"/>
          <w:szCs w:val="22"/>
        </w:rPr>
      </w:pPr>
      <w:r>
        <w:fldChar w:fldCharType="begin"/>
      </w:r>
      <w:r>
        <w:instrText xml:space="preserve"> HYPERLINK \l "_Toc173510388" </w:instrText>
      </w:r>
      <w:r>
        <w:fldChar w:fldCharType="separate"/>
      </w:r>
      <w:r>
        <w:rPr>
          <w:rStyle w:val="245"/>
          <w:rFonts w:ascii="Cambria" w:hAnsi="Cambria"/>
          <w:b/>
          <w:color w:val="auto"/>
        </w:rPr>
        <w:t>第二章采购需求</w:t>
      </w:r>
      <w:r>
        <w:tab/>
      </w:r>
      <w:r>
        <w:fldChar w:fldCharType="begin"/>
      </w:r>
      <w:r>
        <w:instrText xml:space="preserve"> PAGEREF _Toc173510388 \h </w:instrText>
      </w:r>
      <w:r>
        <w:fldChar w:fldCharType="separate"/>
      </w:r>
      <w:r>
        <w:t>8</w:t>
      </w:r>
      <w:r>
        <w:fldChar w:fldCharType="end"/>
      </w:r>
      <w:r>
        <w:fldChar w:fldCharType="end"/>
      </w:r>
    </w:p>
    <w:p w14:paraId="7D47FF62">
      <w:pPr>
        <w:pStyle w:val="231"/>
        <w:tabs>
          <w:tab w:val="right" w:leader="dot" w:pos="8720"/>
        </w:tabs>
        <w:spacing w:line="360" w:lineRule="auto"/>
        <w:contextualSpacing/>
        <w:rPr>
          <w:rFonts w:ascii="等线" w:hAnsi="等线" w:eastAsia="等线"/>
          <w:szCs w:val="22"/>
        </w:rPr>
      </w:pPr>
      <w:r>
        <w:fldChar w:fldCharType="begin"/>
      </w:r>
      <w:r>
        <w:instrText xml:space="preserve"> HYPERLINK \l "_Toc173510389" </w:instrText>
      </w:r>
      <w:r>
        <w:fldChar w:fldCharType="separate"/>
      </w:r>
      <w:r>
        <w:rPr>
          <w:rStyle w:val="245"/>
          <w:rFonts w:ascii="Cambria" w:hAnsi="Cambria"/>
          <w:b/>
          <w:color w:val="auto"/>
        </w:rPr>
        <w:t>第三章供应商须知</w:t>
      </w:r>
      <w:r>
        <w:tab/>
      </w:r>
      <w:r>
        <w:fldChar w:fldCharType="begin"/>
      </w:r>
      <w:r>
        <w:instrText xml:space="preserve"> PAGEREF _Toc173510389 \h </w:instrText>
      </w:r>
      <w:r>
        <w:fldChar w:fldCharType="separate"/>
      </w:r>
      <w:r>
        <w:t>45</w:t>
      </w:r>
      <w:r>
        <w:fldChar w:fldCharType="end"/>
      </w:r>
      <w:r>
        <w:fldChar w:fldCharType="end"/>
      </w:r>
    </w:p>
    <w:p w14:paraId="782EA6B0">
      <w:pPr>
        <w:pStyle w:val="233"/>
        <w:spacing w:line="360" w:lineRule="auto"/>
        <w:contextualSpacing/>
        <w:rPr>
          <w:rFonts w:ascii="等线" w:hAnsi="等线" w:eastAsia="等线"/>
          <w:szCs w:val="22"/>
        </w:rPr>
      </w:pPr>
      <w:r>
        <w:fldChar w:fldCharType="begin"/>
      </w:r>
      <w:r>
        <w:instrText xml:space="preserve"> HYPERLINK \l "_Toc173510390" </w:instrText>
      </w:r>
      <w:r>
        <w:fldChar w:fldCharType="separate"/>
      </w:r>
      <w:r>
        <w:rPr>
          <w:rStyle w:val="245"/>
          <w:rFonts w:ascii="宋体" w:hAnsi="宋体" w:cs="宋体"/>
          <w:bCs/>
          <w:color w:val="auto"/>
        </w:rPr>
        <w:t>第一节供应商须知前附表</w:t>
      </w:r>
      <w:r>
        <w:tab/>
      </w:r>
      <w:r>
        <w:fldChar w:fldCharType="begin"/>
      </w:r>
      <w:r>
        <w:instrText xml:space="preserve"> PAGEREF _Toc173510390 \h </w:instrText>
      </w:r>
      <w:r>
        <w:fldChar w:fldCharType="separate"/>
      </w:r>
      <w:r>
        <w:t>45</w:t>
      </w:r>
      <w:r>
        <w:fldChar w:fldCharType="end"/>
      </w:r>
      <w:r>
        <w:fldChar w:fldCharType="end"/>
      </w:r>
    </w:p>
    <w:p w14:paraId="073BF6D4">
      <w:pPr>
        <w:pStyle w:val="233"/>
        <w:spacing w:line="360" w:lineRule="auto"/>
        <w:contextualSpacing/>
        <w:rPr>
          <w:rFonts w:ascii="等线" w:hAnsi="等线" w:eastAsia="等线"/>
          <w:szCs w:val="22"/>
        </w:rPr>
      </w:pPr>
      <w:r>
        <w:fldChar w:fldCharType="begin"/>
      </w:r>
      <w:r>
        <w:instrText xml:space="preserve"> HYPERLINK \l "_Toc173510391" </w:instrText>
      </w:r>
      <w:r>
        <w:fldChar w:fldCharType="separate"/>
      </w:r>
      <w:r>
        <w:rPr>
          <w:rStyle w:val="245"/>
          <w:rFonts w:ascii="宋体" w:hAnsi="宋体" w:cs="宋体"/>
          <w:bCs/>
          <w:color w:val="auto"/>
        </w:rPr>
        <w:t>第二节供应商须知正文</w:t>
      </w:r>
      <w:r>
        <w:tab/>
      </w:r>
      <w:r>
        <w:fldChar w:fldCharType="begin"/>
      </w:r>
      <w:r>
        <w:instrText xml:space="preserve"> PAGEREF _Toc173510391 \h </w:instrText>
      </w:r>
      <w:r>
        <w:fldChar w:fldCharType="separate"/>
      </w:r>
      <w:r>
        <w:t>51</w:t>
      </w:r>
      <w:r>
        <w:fldChar w:fldCharType="end"/>
      </w:r>
      <w:r>
        <w:fldChar w:fldCharType="end"/>
      </w:r>
    </w:p>
    <w:p w14:paraId="03B4A89B">
      <w:pPr>
        <w:pStyle w:val="220"/>
        <w:tabs>
          <w:tab w:val="right" w:leader="dot" w:pos="8720"/>
        </w:tabs>
        <w:spacing w:line="360" w:lineRule="auto"/>
        <w:contextualSpacing/>
        <w:rPr>
          <w:rFonts w:ascii="等线" w:hAnsi="等线" w:eastAsia="等线"/>
          <w:szCs w:val="22"/>
        </w:rPr>
      </w:pPr>
      <w:r>
        <w:fldChar w:fldCharType="begin"/>
      </w:r>
      <w:r>
        <w:instrText xml:space="preserve"> HYPERLINK \l "_Toc173510392" </w:instrText>
      </w:r>
      <w:r>
        <w:fldChar w:fldCharType="separate"/>
      </w:r>
      <w:r>
        <w:rPr>
          <w:rStyle w:val="245"/>
          <w:rFonts w:ascii="宋体" w:hAnsi="宋体"/>
          <w:bCs/>
          <w:color w:val="auto"/>
        </w:rPr>
        <w:t>一、总则</w:t>
      </w:r>
      <w:r>
        <w:tab/>
      </w:r>
      <w:r>
        <w:fldChar w:fldCharType="begin"/>
      </w:r>
      <w:r>
        <w:instrText xml:space="preserve"> PAGEREF _Toc173510392 \h </w:instrText>
      </w:r>
      <w:r>
        <w:fldChar w:fldCharType="separate"/>
      </w:r>
      <w:r>
        <w:t>51</w:t>
      </w:r>
      <w:r>
        <w:fldChar w:fldCharType="end"/>
      </w:r>
      <w:r>
        <w:fldChar w:fldCharType="end"/>
      </w:r>
    </w:p>
    <w:p w14:paraId="0080DB9C">
      <w:pPr>
        <w:pStyle w:val="220"/>
        <w:tabs>
          <w:tab w:val="right" w:leader="dot" w:pos="8720"/>
        </w:tabs>
        <w:spacing w:line="360" w:lineRule="auto"/>
        <w:contextualSpacing/>
        <w:rPr>
          <w:rFonts w:ascii="等线" w:hAnsi="等线" w:eastAsia="等线"/>
          <w:szCs w:val="22"/>
        </w:rPr>
      </w:pPr>
      <w:r>
        <w:fldChar w:fldCharType="begin"/>
      </w:r>
      <w:r>
        <w:instrText xml:space="preserve"> HYPERLINK \l "_Toc173510393" </w:instrText>
      </w:r>
      <w:r>
        <w:fldChar w:fldCharType="separate"/>
      </w:r>
      <w:r>
        <w:rPr>
          <w:rStyle w:val="245"/>
          <w:rFonts w:ascii="宋体" w:hAnsi="宋体"/>
          <w:color w:val="auto"/>
        </w:rPr>
        <w:t>二、谈判文件</w:t>
      </w:r>
      <w:r>
        <w:tab/>
      </w:r>
      <w:r>
        <w:fldChar w:fldCharType="begin"/>
      </w:r>
      <w:r>
        <w:instrText xml:space="preserve"> PAGEREF _Toc173510393 \h </w:instrText>
      </w:r>
      <w:r>
        <w:fldChar w:fldCharType="separate"/>
      </w:r>
      <w:r>
        <w:t>53</w:t>
      </w:r>
      <w:r>
        <w:fldChar w:fldCharType="end"/>
      </w:r>
      <w:r>
        <w:fldChar w:fldCharType="end"/>
      </w:r>
    </w:p>
    <w:p w14:paraId="4ACF9FB6">
      <w:pPr>
        <w:pStyle w:val="220"/>
        <w:tabs>
          <w:tab w:val="right" w:leader="dot" w:pos="8720"/>
        </w:tabs>
        <w:spacing w:line="360" w:lineRule="auto"/>
        <w:contextualSpacing/>
        <w:rPr>
          <w:rFonts w:ascii="等线" w:hAnsi="等线" w:eastAsia="等线"/>
          <w:szCs w:val="22"/>
        </w:rPr>
      </w:pPr>
      <w:r>
        <w:fldChar w:fldCharType="begin"/>
      </w:r>
      <w:r>
        <w:instrText xml:space="preserve"> HYPERLINK \l "_Toc173510394" </w:instrText>
      </w:r>
      <w:r>
        <w:fldChar w:fldCharType="separate"/>
      </w:r>
      <w:r>
        <w:rPr>
          <w:rStyle w:val="245"/>
          <w:rFonts w:ascii="宋体" w:hAnsi="宋体"/>
          <w:color w:val="auto"/>
        </w:rPr>
        <w:t>三、响应文件的编制</w:t>
      </w:r>
      <w:r>
        <w:tab/>
      </w:r>
      <w:r>
        <w:fldChar w:fldCharType="begin"/>
      </w:r>
      <w:r>
        <w:instrText xml:space="preserve"> PAGEREF _Toc173510394 \h </w:instrText>
      </w:r>
      <w:r>
        <w:fldChar w:fldCharType="separate"/>
      </w:r>
      <w:r>
        <w:t>54</w:t>
      </w:r>
      <w:r>
        <w:fldChar w:fldCharType="end"/>
      </w:r>
      <w:r>
        <w:fldChar w:fldCharType="end"/>
      </w:r>
    </w:p>
    <w:p w14:paraId="6A729A49">
      <w:pPr>
        <w:pStyle w:val="220"/>
        <w:tabs>
          <w:tab w:val="right" w:leader="dot" w:pos="8720"/>
        </w:tabs>
        <w:spacing w:line="360" w:lineRule="auto"/>
        <w:contextualSpacing/>
        <w:rPr>
          <w:rFonts w:ascii="等线" w:hAnsi="等线" w:eastAsia="等线"/>
          <w:szCs w:val="22"/>
        </w:rPr>
      </w:pPr>
      <w:r>
        <w:fldChar w:fldCharType="begin"/>
      </w:r>
      <w:r>
        <w:instrText xml:space="preserve"> HYPERLINK \l "_Toc173510395" </w:instrText>
      </w:r>
      <w:r>
        <w:fldChar w:fldCharType="separate"/>
      </w:r>
      <w:r>
        <w:rPr>
          <w:rStyle w:val="245"/>
          <w:rFonts w:ascii="宋体" w:hAnsi="宋体"/>
          <w:color w:val="auto"/>
        </w:rPr>
        <w:t>四、评审及谈判</w:t>
      </w:r>
      <w:r>
        <w:tab/>
      </w:r>
      <w:r>
        <w:fldChar w:fldCharType="begin"/>
      </w:r>
      <w:r>
        <w:instrText xml:space="preserve"> PAGEREF _Toc173510395 \h </w:instrText>
      </w:r>
      <w:r>
        <w:fldChar w:fldCharType="separate"/>
      </w:r>
      <w:r>
        <w:t>56</w:t>
      </w:r>
      <w:r>
        <w:fldChar w:fldCharType="end"/>
      </w:r>
      <w:r>
        <w:fldChar w:fldCharType="end"/>
      </w:r>
    </w:p>
    <w:p w14:paraId="4A862178">
      <w:pPr>
        <w:pStyle w:val="220"/>
        <w:tabs>
          <w:tab w:val="right" w:leader="dot" w:pos="8720"/>
        </w:tabs>
        <w:spacing w:line="360" w:lineRule="auto"/>
        <w:contextualSpacing/>
        <w:rPr>
          <w:rFonts w:ascii="等线" w:hAnsi="等线" w:eastAsia="等线"/>
          <w:szCs w:val="22"/>
        </w:rPr>
      </w:pPr>
      <w:r>
        <w:fldChar w:fldCharType="begin"/>
      </w:r>
      <w:r>
        <w:instrText xml:space="preserve"> HYPERLINK \l "_Toc173510396" </w:instrText>
      </w:r>
      <w:r>
        <w:fldChar w:fldCharType="separate"/>
      </w:r>
      <w:r>
        <w:rPr>
          <w:rStyle w:val="245"/>
          <w:rFonts w:ascii="宋体" w:hAnsi="宋体"/>
          <w:color w:val="auto"/>
        </w:rPr>
        <w:t>五、成交及合同</w:t>
      </w:r>
      <w:r>
        <w:tab/>
      </w:r>
      <w:r>
        <w:fldChar w:fldCharType="begin"/>
      </w:r>
      <w:r>
        <w:instrText xml:space="preserve"> PAGEREF _Toc173510396 \h </w:instrText>
      </w:r>
      <w:r>
        <w:fldChar w:fldCharType="separate"/>
      </w:r>
      <w:r>
        <w:t>57</w:t>
      </w:r>
      <w:r>
        <w:fldChar w:fldCharType="end"/>
      </w:r>
      <w:r>
        <w:fldChar w:fldCharType="end"/>
      </w:r>
    </w:p>
    <w:p w14:paraId="67CF9D2A">
      <w:pPr>
        <w:pStyle w:val="220"/>
        <w:tabs>
          <w:tab w:val="right" w:leader="dot" w:pos="8720"/>
        </w:tabs>
        <w:spacing w:line="360" w:lineRule="auto"/>
        <w:contextualSpacing/>
        <w:rPr>
          <w:rFonts w:ascii="等线" w:hAnsi="等线" w:eastAsia="等线"/>
          <w:szCs w:val="22"/>
        </w:rPr>
      </w:pPr>
      <w:r>
        <w:fldChar w:fldCharType="begin"/>
      </w:r>
      <w:r>
        <w:instrText xml:space="preserve"> HYPERLINK \l "_Toc173510397" </w:instrText>
      </w:r>
      <w:r>
        <w:fldChar w:fldCharType="separate"/>
      </w:r>
      <w:r>
        <w:rPr>
          <w:rStyle w:val="245"/>
          <w:rFonts w:ascii="宋体" w:hAnsi="宋体"/>
          <w:b/>
          <w:bCs/>
          <w:color w:val="auto"/>
        </w:rPr>
        <w:t>六</w:t>
      </w:r>
      <w:r>
        <w:rPr>
          <w:rStyle w:val="245"/>
          <w:rFonts w:ascii="宋体" w:hAnsi="宋体"/>
          <w:bCs/>
          <w:color w:val="auto"/>
        </w:rPr>
        <w:t>、验收</w:t>
      </w:r>
      <w:r>
        <w:tab/>
      </w:r>
      <w:r>
        <w:fldChar w:fldCharType="begin"/>
      </w:r>
      <w:r>
        <w:instrText xml:space="preserve"> PAGEREF _Toc173510397 \h </w:instrText>
      </w:r>
      <w:r>
        <w:fldChar w:fldCharType="separate"/>
      </w:r>
      <w:r>
        <w:t>59</w:t>
      </w:r>
      <w:r>
        <w:fldChar w:fldCharType="end"/>
      </w:r>
      <w:r>
        <w:fldChar w:fldCharType="end"/>
      </w:r>
    </w:p>
    <w:p w14:paraId="05CEAC6E">
      <w:pPr>
        <w:pStyle w:val="220"/>
        <w:tabs>
          <w:tab w:val="right" w:leader="dot" w:pos="8720"/>
        </w:tabs>
        <w:spacing w:line="360" w:lineRule="auto"/>
        <w:contextualSpacing/>
        <w:rPr>
          <w:rFonts w:ascii="等线" w:hAnsi="等线" w:eastAsia="等线"/>
          <w:szCs w:val="22"/>
        </w:rPr>
      </w:pPr>
      <w:r>
        <w:fldChar w:fldCharType="begin"/>
      </w:r>
      <w:r>
        <w:instrText xml:space="preserve"> HYPERLINK \l "_Toc173510398" </w:instrText>
      </w:r>
      <w:r>
        <w:fldChar w:fldCharType="separate"/>
      </w:r>
      <w:r>
        <w:rPr>
          <w:rStyle w:val="245"/>
          <w:rFonts w:ascii="宋体" w:hAnsi="宋体"/>
          <w:color w:val="auto"/>
        </w:rPr>
        <w:t>七、其他事项</w:t>
      </w:r>
      <w:r>
        <w:tab/>
      </w:r>
      <w:r>
        <w:fldChar w:fldCharType="begin"/>
      </w:r>
      <w:r>
        <w:instrText xml:space="preserve"> PAGEREF _Toc173510398 \h </w:instrText>
      </w:r>
      <w:r>
        <w:fldChar w:fldCharType="separate"/>
      </w:r>
      <w:r>
        <w:t>60</w:t>
      </w:r>
      <w:r>
        <w:fldChar w:fldCharType="end"/>
      </w:r>
      <w:r>
        <w:fldChar w:fldCharType="end"/>
      </w:r>
    </w:p>
    <w:p w14:paraId="55E4FA12">
      <w:pPr>
        <w:pStyle w:val="231"/>
        <w:tabs>
          <w:tab w:val="right" w:leader="dot" w:pos="8720"/>
        </w:tabs>
        <w:spacing w:line="360" w:lineRule="auto"/>
        <w:contextualSpacing/>
        <w:rPr>
          <w:rFonts w:ascii="等线" w:hAnsi="等线" w:eastAsia="等线"/>
          <w:szCs w:val="22"/>
        </w:rPr>
      </w:pPr>
      <w:r>
        <w:fldChar w:fldCharType="begin"/>
      </w:r>
      <w:r>
        <w:instrText xml:space="preserve"> HYPERLINK \l "_Toc173510399" </w:instrText>
      </w:r>
      <w:r>
        <w:fldChar w:fldCharType="separate"/>
      </w:r>
      <w:r>
        <w:rPr>
          <w:rStyle w:val="245"/>
          <w:b/>
          <w:bCs/>
          <w:color w:val="auto"/>
        </w:rPr>
        <w:t>第四章评审程序、评审方法和成交标准</w:t>
      </w:r>
      <w:r>
        <w:tab/>
      </w:r>
      <w:r>
        <w:fldChar w:fldCharType="begin"/>
      </w:r>
      <w:r>
        <w:instrText xml:space="preserve"> PAGEREF _Toc173510399 \h </w:instrText>
      </w:r>
      <w:r>
        <w:fldChar w:fldCharType="separate"/>
      </w:r>
      <w:r>
        <w:t>61</w:t>
      </w:r>
      <w:r>
        <w:fldChar w:fldCharType="end"/>
      </w:r>
      <w:r>
        <w:fldChar w:fldCharType="end"/>
      </w:r>
    </w:p>
    <w:p w14:paraId="6F7860F4">
      <w:pPr>
        <w:pStyle w:val="233"/>
        <w:spacing w:line="360" w:lineRule="auto"/>
        <w:contextualSpacing/>
        <w:rPr>
          <w:rFonts w:ascii="等线" w:hAnsi="等线" w:eastAsia="等线"/>
          <w:szCs w:val="22"/>
        </w:rPr>
      </w:pPr>
      <w:r>
        <w:fldChar w:fldCharType="begin"/>
      </w:r>
      <w:r>
        <w:instrText xml:space="preserve"> HYPERLINK \l "_Toc173510400" </w:instrText>
      </w:r>
      <w:r>
        <w:fldChar w:fldCharType="separate"/>
      </w:r>
      <w:r>
        <w:rPr>
          <w:rStyle w:val="245"/>
          <w:rFonts w:ascii="宋体" w:hAnsi="宋体" w:cs="宋体"/>
          <w:bCs/>
          <w:color w:val="auto"/>
        </w:rPr>
        <w:t>第一节评审程序和评审方法</w:t>
      </w:r>
      <w:r>
        <w:tab/>
      </w:r>
      <w:r>
        <w:fldChar w:fldCharType="begin"/>
      </w:r>
      <w:r>
        <w:instrText xml:space="preserve"> PAGEREF _Toc173510400 \h </w:instrText>
      </w:r>
      <w:r>
        <w:fldChar w:fldCharType="separate"/>
      </w:r>
      <w:r>
        <w:t>61</w:t>
      </w:r>
      <w:r>
        <w:fldChar w:fldCharType="end"/>
      </w:r>
      <w:r>
        <w:fldChar w:fldCharType="end"/>
      </w:r>
    </w:p>
    <w:p w14:paraId="76C5E531">
      <w:pPr>
        <w:pStyle w:val="233"/>
        <w:spacing w:line="360" w:lineRule="auto"/>
        <w:contextualSpacing/>
        <w:rPr>
          <w:rFonts w:ascii="等线" w:hAnsi="等线" w:eastAsia="等线"/>
          <w:szCs w:val="22"/>
        </w:rPr>
      </w:pPr>
      <w:r>
        <w:fldChar w:fldCharType="begin"/>
      </w:r>
      <w:r>
        <w:instrText xml:space="preserve"> HYPERLINK \l "_Toc173510401" </w:instrText>
      </w:r>
      <w:r>
        <w:fldChar w:fldCharType="separate"/>
      </w:r>
      <w:r>
        <w:rPr>
          <w:rStyle w:val="245"/>
          <w:rFonts w:ascii="宋体" w:hAnsi="宋体" w:cs="宋体"/>
          <w:bCs/>
          <w:color w:val="auto"/>
        </w:rPr>
        <w:t>第二节评审原则</w:t>
      </w:r>
      <w:r>
        <w:tab/>
      </w:r>
      <w:r>
        <w:fldChar w:fldCharType="begin"/>
      </w:r>
      <w:r>
        <w:instrText xml:space="preserve"> PAGEREF _Toc173510401 \h </w:instrText>
      </w:r>
      <w:r>
        <w:fldChar w:fldCharType="separate"/>
      </w:r>
      <w:r>
        <w:t>65</w:t>
      </w:r>
      <w:r>
        <w:fldChar w:fldCharType="end"/>
      </w:r>
      <w:r>
        <w:fldChar w:fldCharType="end"/>
      </w:r>
    </w:p>
    <w:p w14:paraId="29220E65">
      <w:pPr>
        <w:pStyle w:val="233"/>
        <w:spacing w:line="360" w:lineRule="auto"/>
        <w:contextualSpacing/>
        <w:rPr>
          <w:rFonts w:ascii="等线" w:hAnsi="等线" w:eastAsia="等线"/>
          <w:szCs w:val="22"/>
        </w:rPr>
      </w:pPr>
      <w:r>
        <w:fldChar w:fldCharType="begin"/>
      </w:r>
      <w:r>
        <w:instrText xml:space="preserve"> HYPERLINK \l "_Toc173510402" </w:instrText>
      </w:r>
      <w:r>
        <w:fldChar w:fldCharType="separate"/>
      </w:r>
      <w:r>
        <w:rPr>
          <w:rStyle w:val="245"/>
          <w:rFonts w:ascii="宋体" w:hAnsi="宋体" w:cs="宋体"/>
          <w:bCs/>
          <w:color w:val="auto"/>
        </w:rPr>
        <w:t>第三节评标报告</w:t>
      </w:r>
      <w:r>
        <w:tab/>
      </w:r>
      <w:r>
        <w:fldChar w:fldCharType="begin"/>
      </w:r>
      <w:r>
        <w:instrText xml:space="preserve"> PAGEREF _Toc173510402 \h </w:instrText>
      </w:r>
      <w:r>
        <w:fldChar w:fldCharType="separate"/>
      </w:r>
      <w:r>
        <w:t>66</w:t>
      </w:r>
      <w:r>
        <w:fldChar w:fldCharType="end"/>
      </w:r>
      <w:r>
        <w:fldChar w:fldCharType="end"/>
      </w:r>
    </w:p>
    <w:p w14:paraId="574AE99D">
      <w:pPr>
        <w:pStyle w:val="233"/>
        <w:spacing w:line="360" w:lineRule="auto"/>
        <w:contextualSpacing/>
        <w:rPr>
          <w:rFonts w:ascii="等线" w:hAnsi="等线" w:eastAsia="等线"/>
          <w:szCs w:val="22"/>
        </w:rPr>
      </w:pPr>
      <w:r>
        <w:fldChar w:fldCharType="begin"/>
      </w:r>
      <w:r>
        <w:instrText xml:space="preserve"> HYPERLINK \l "_Toc173510403" </w:instrText>
      </w:r>
      <w:r>
        <w:fldChar w:fldCharType="separate"/>
      </w:r>
      <w:r>
        <w:rPr>
          <w:rStyle w:val="245"/>
          <w:rFonts w:ascii="宋体" w:hAnsi="宋体" w:cs="宋体"/>
          <w:bCs/>
          <w:color w:val="auto"/>
        </w:rPr>
        <w:t>第四节评审过程的保密与录像</w:t>
      </w:r>
      <w:r>
        <w:tab/>
      </w:r>
      <w:r>
        <w:fldChar w:fldCharType="begin"/>
      </w:r>
      <w:r>
        <w:instrText xml:space="preserve"> PAGEREF _Toc173510403 \h </w:instrText>
      </w:r>
      <w:r>
        <w:fldChar w:fldCharType="separate"/>
      </w:r>
      <w:r>
        <w:t>66</w:t>
      </w:r>
      <w:r>
        <w:fldChar w:fldCharType="end"/>
      </w:r>
      <w:r>
        <w:fldChar w:fldCharType="end"/>
      </w:r>
    </w:p>
    <w:p w14:paraId="180BA6D5">
      <w:pPr>
        <w:pStyle w:val="231"/>
        <w:tabs>
          <w:tab w:val="right" w:leader="dot" w:pos="8720"/>
        </w:tabs>
        <w:spacing w:line="360" w:lineRule="auto"/>
        <w:contextualSpacing/>
        <w:rPr>
          <w:rFonts w:ascii="等线" w:hAnsi="等线" w:eastAsia="等线"/>
          <w:szCs w:val="22"/>
        </w:rPr>
      </w:pPr>
      <w:r>
        <w:fldChar w:fldCharType="begin"/>
      </w:r>
      <w:r>
        <w:instrText xml:space="preserve"> HYPERLINK \l "_Toc173510404" </w:instrText>
      </w:r>
      <w:r>
        <w:fldChar w:fldCharType="separate"/>
      </w:r>
      <w:r>
        <w:rPr>
          <w:rStyle w:val="245"/>
          <w:b/>
          <w:bCs/>
          <w:color w:val="auto"/>
        </w:rPr>
        <w:t>第五章响应文件格式</w:t>
      </w:r>
      <w:r>
        <w:tab/>
      </w:r>
      <w:r>
        <w:fldChar w:fldCharType="begin"/>
      </w:r>
      <w:r>
        <w:instrText xml:space="preserve"> PAGEREF _Toc173510404 \h </w:instrText>
      </w:r>
      <w:r>
        <w:fldChar w:fldCharType="separate"/>
      </w:r>
      <w:r>
        <w:t>67</w:t>
      </w:r>
      <w:r>
        <w:fldChar w:fldCharType="end"/>
      </w:r>
      <w:r>
        <w:fldChar w:fldCharType="end"/>
      </w:r>
    </w:p>
    <w:p w14:paraId="445858E9">
      <w:pPr>
        <w:pStyle w:val="233"/>
        <w:spacing w:line="360" w:lineRule="auto"/>
        <w:contextualSpacing/>
        <w:rPr>
          <w:rFonts w:ascii="等线" w:hAnsi="等线" w:eastAsia="等线"/>
          <w:szCs w:val="22"/>
        </w:rPr>
      </w:pPr>
      <w:r>
        <w:fldChar w:fldCharType="begin"/>
      </w:r>
      <w:r>
        <w:instrText xml:space="preserve"> HYPERLINK \l "_Toc173510405" </w:instrText>
      </w:r>
      <w:r>
        <w:fldChar w:fldCharType="separate"/>
      </w:r>
      <w:r>
        <w:rPr>
          <w:rStyle w:val="245"/>
          <w:rFonts w:ascii="宋体" w:hAnsi="宋体" w:cs="宋体"/>
          <w:bCs/>
          <w:color w:val="auto"/>
        </w:rPr>
        <w:t>第一节封面格式</w:t>
      </w:r>
      <w:r>
        <w:tab/>
      </w:r>
      <w:r>
        <w:fldChar w:fldCharType="begin"/>
      </w:r>
      <w:r>
        <w:instrText xml:space="preserve"> PAGEREF _Toc173510405 \h </w:instrText>
      </w:r>
      <w:r>
        <w:fldChar w:fldCharType="separate"/>
      </w:r>
      <w:r>
        <w:t>68</w:t>
      </w:r>
      <w:r>
        <w:fldChar w:fldCharType="end"/>
      </w:r>
      <w:r>
        <w:fldChar w:fldCharType="end"/>
      </w:r>
    </w:p>
    <w:p w14:paraId="40C440B5">
      <w:pPr>
        <w:pStyle w:val="233"/>
        <w:spacing w:line="360" w:lineRule="auto"/>
        <w:contextualSpacing/>
        <w:rPr>
          <w:rFonts w:ascii="等线" w:hAnsi="等线" w:eastAsia="等线"/>
          <w:szCs w:val="22"/>
        </w:rPr>
      </w:pPr>
      <w:r>
        <w:fldChar w:fldCharType="begin"/>
      </w:r>
      <w:r>
        <w:instrText xml:space="preserve"> HYPERLINK \l "_Toc173510406" </w:instrText>
      </w:r>
      <w:r>
        <w:fldChar w:fldCharType="separate"/>
      </w:r>
      <w:r>
        <w:rPr>
          <w:rStyle w:val="245"/>
          <w:rFonts w:ascii="宋体" w:hAnsi="宋体"/>
          <w:bCs/>
          <w:color w:val="auto"/>
        </w:rPr>
        <w:t>第二节资格证明文件格式</w:t>
      </w:r>
      <w:r>
        <w:tab/>
      </w:r>
      <w:r>
        <w:fldChar w:fldCharType="begin"/>
      </w:r>
      <w:r>
        <w:instrText xml:space="preserve"> PAGEREF _Toc173510406 \h </w:instrText>
      </w:r>
      <w:r>
        <w:fldChar w:fldCharType="separate"/>
      </w:r>
      <w:r>
        <w:t>69</w:t>
      </w:r>
      <w:r>
        <w:fldChar w:fldCharType="end"/>
      </w:r>
      <w:r>
        <w:fldChar w:fldCharType="end"/>
      </w:r>
    </w:p>
    <w:p w14:paraId="299BD890">
      <w:pPr>
        <w:pStyle w:val="233"/>
        <w:spacing w:line="360" w:lineRule="auto"/>
        <w:contextualSpacing/>
        <w:rPr>
          <w:rFonts w:ascii="等线" w:hAnsi="等线" w:eastAsia="等线"/>
          <w:szCs w:val="22"/>
        </w:rPr>
      </w:pPr>
      <w:r>
        <w:fldChar w:fldCharType="begin"/>
      </w:r>
      <w:r>
        <w:instrText xml:space="preserve"> HYPERLINK \l "_Toc173510407" </w:instrText>
      </w:r>
      <w:r>
        <w:fldChar w:fldCharType="separate"/>
      </w:r>
      <w:r>
        <w:rPr>
          <w:rStyle w:val="245"/>
          <w:rFonts w:ascii="宋体" w:hAnsi="宋体" w:cs="宋体"/>
          <w:color w:val="auto"/>
        </w:rPr>
        <w:t>第三节</w:t>
      </w:r>
      <w:r>
        <w:rPr>
          <w:rStyle w:val="245"/>
          <w:rFonts w:ascii="宋体" w:hAnsi="宋体" w:cs="宋体"/>
          <w:bCs/>
          <w:color w:val="auto"/>
        </w:rPr>
        <w:t>商务技术文件格式</w:t>
      </w:r>
      <w:r>
        <w:tab/>
      </w:r>
      <w:r>
        <w:fldChar w:fldCharType="begin"/>
      </w:r>
      <w:r>
        <w:instrText xml:space="preserve"> PAGEREF _Toc173510407 \h </w:instrText>
      </w:r>
      <w:r>
        <w:fldChar w:fldCharType="separate"/>
      </w:r>
      <w:r>
        <w:t>78</w:t>
      </w:r>
      <w:r>
        <w:fldChar w:fldCharType="end"/>
      </w:r>
      <w:r>
        <w:fldChar w:fldCharType="end"/>
      </w:r>
    </w:p>
    <w:p w14:paraId="6E1FF662">
      <w:pPr>
        <w:pStyle w:val="233"/>
        <w:spacing w:line="360" w:lineRule="auto"/>
        <w:contextualSpacing/>
        <w:rPr>
          <w:rFonts w:ascii="等线" w:hAnsi="等线" w:eastAsia="等线"/>
          <w:szCs w:val="22"/>
        </w:rPr>
      </w:pPr>
      <w:r>
        <w:fldChar w:fldCharType="begin"/>
      </w:r>
      <w:r>
        <w:instrText xml:space="preserve"> HYPERLINK \l "_Toc173510408" </w:instrText>
      </w:r>
      <w:r>
        <w:fldChar w:fldCharType="separate"/>
      </w:r>
      <w:r>
        <w:rPr>
          <w:rStyle w:val="245"/>
          <w:rFonts w:ascii="宋体" w:hAnsi="宋体" w:cs="宋体"/>
          <w:b/>
          <w:bCs/>
          <w:color w:val="auto"/>
        </w:rPr>
        <w:t>第四节报价文件格式</w:t>
      </w:r>
      <w:r>
        <w:tab/>
      </w:r>
      <w:r>
        <w:fldChar w:fldCharType="begin"/>
      </w:r>
      <w:r>
        <w:instrText xml:space="preserve"> PAGEREF _Toc173510408 \h </w:instrText>
      </w:r>
      <w:r>
        <w:fldChar w:fldCharType="separate"/>
      </w:r>
      <w:r>
        <w:t>92</w:t>
      </w:r>
      <w:r>
        <w:fldChar w:fldCharType="end"/>
      </w:r>
      <w:r>
        <w:fldChar w:fldCharType="end"/>
      </w:r>
    </w:p>
    <w:p w14:paraId="4074F9B3">
      <w:pPr>
        <w:pStyle w:val="233"/>
        <w:spacing w:line="360" w:lineRule="auto"/>
        <w:contextualSpacing/>
        <w:rPr>
          <w:rFonts w:ascii="等线" w:hAnsi="等线" w:eastAsia="等线"/>
          <w:szCs w:val="22"/>
        </w:rPr>
      </w:pPr>
      <w:r>
        <w:fldChar w:fldCharType="begin"/>
      </w:r>
      <w:r>
        <w:instrText xml:space="preserve"> HYPERLINK \l "_Toc173510409" </w:instrText>
      </w:r>
      <w:r>
        <w:fldChar w:fldCharType="separate"/>
      </w:r>
      <w:r>
        <w:rPr>
          <w:rStyle w:val="245"/>
          <w:rFonts w:ascii="宋体" w:hAnsi="宋体" w:cs="宋体"/>
          <w:b/>
          <w:bCs/>
          <w:color w:val="auto"/>
        </w:rPr>
        <w:t>第五节其他文书、文件格式</w:t>
      </w:r>
      <w:r>
        <w:tab/>
      </w:r>
      <w:r>
        <w:fldChar w:fldCharType="begin"/>
      </w:r>
      <w:r>
        <w:instrText xml:space="preserve"> PAGEREF _Toc173510409 \h </w:instrText>
      </w:r>
      <w:r>
        <w:fldChar w:fldCharType="separate"/>
      </w:r>
      <w:r>
        <w:t>98</w:t>
      </w:r>
      <w:r>
        <w:fldChar w:fldCharType="end"/>
      </w:r>
      <w:r>
        <w:fldChar w:fldCharType="end"/>
      </w:r>
    </w:p>
    <w:p w14:paraId="76C789D6">
      <w:pPr>
        <w:pStyle w:val="231"/>
        <w:tabs>
          <w:tab w:val="right" w:leader="dot" w:pos="8720"/>
        </w:tabs>
        <w:spacing w:line="360" w:lineRule="auto"/>
        <w:contextualSpacing/>
        <w:rPr>
          <w:rFonts w:ascii="等线" w:hAnsi="等线" w:eastAsia="等线"/>
          <w:szCs w:val="22"/>
        </w:rPr>
      </w:pPr>
      <w:r>
        <w:fldChar w:fldCharType="begin"/>
      </w:r>
      <w:r>
        <w:instrText xml:space="preserve"> HYPERLINK \l "_Toc173510410" </w:instrText>
      </w:r>
      <w:r>
        <w:fldChar w:fldCharType="separate"/>
      </w:r>
      <w:r>
        <w:rPr>
          <w:rStyle w:val="245"/>
          <w:rFonts w:ascii="宋体" w:hAnsi="宋体"/>
          <w:color w:val="auto"/>
        </w:rPr>
        <w:t>第六章合同文本</w:t>
      </w:r>
      <w:r>
        <w:tab/>
      </w:r>
      <w:r>
        <w:fldChar w:fldCharType="begin"/>
      </w:r>
      <w:r>
        <w:instrText xml:space="preserve"> PAGEREF _Toc173510410 \h </w:instrText>
      </w:r>
      <w:r>
        <w:fldChar w:fldCharType="separate"/>
      </w:r>
      <w:r>
        <w:t>100</w:t>
      </w:r>
      <w:r>
        <w:fldChar w:fldCharType="end"/>
      </w:r>
      <w:r>
        <w:fldChar w:fldCharType="end"/>
      </w:r>
    </w:p>
    <w:p w14:paraId="27823D85">
      <w:pPr>
        <w:pStyle w:val="233"/>
        <w:spacing w:line="360" w:lineRule="auto"/>
        <w:contextualSpacing/>
        <w:rPr>
          <w:rFonts w:ascii="等线" w:hAnsi="等线" w:eastAsia="等线"/>
          <w:szCs w:val="22"/>
        </w:rPr>
      </w:pPr>
      <w:r>
        <w:fldChar w:fldCharType="begin"/>
      </w:r>
      <w:r>
        <w:instrText xml:space="preserve"> HYPERLINK \l "_Toc173510411" </w:instrText>
      </w:r>
      <w:r>
        <w:fldChar w:fldCharType="separate"/>
      </w:r>
      <w:r>
        <w:rPr>
          <w:rStyle w:val="245"/>
          <w:rFonts w:ascii="仿宋_GB2312" w:hAnsi="楷体" w:eastAsia="仿宋_GB2312"/>
          <w:b/>
          <w:color w:val="auto"/>
        </w:rPr>
        <w:t>第一部分合同书</w:t>
      </w:r>
      <w:r>
        <w:tab/>
      </w:r>
      <w:r>
        <w:fldChar w:fldCharType="begin"/>
      </w:r>
      <w:r>
        <w:instrText xml:space="preserve"> PAGEREF _Toc173510411 \h </w:instrText>
      </w:r>
      <w:r>
        <w:fldChar w:fldCharType="separate"/>
      </w:r>
      <w:r>
        <w:t>103</w:t>
      </w:r>
      <w:r>
        <w:fldChar w:fldCharType="end"/>
      </w:r>
      <w:r>
        <w:fldChar w:fldCharType="end"/>
      </w:r>
    </w:p>
    <w:p w14:paraId="66913F93">
      <w:pPr>
        <w:pStyle w:val="233"/>
        <w:spacing w:line="360" w:lineRule="auto"/>
        <w:contextualSpacing/>
        <w:rPr>
          <w:rFonts w:ascii="等线" w:hAnsi="等线" w:eastAsia="等线"/>
          <w:szCs w:val="22"/>
        </w:rPr>
      </w:pPr>
      <w:r>
        <w:fldChar w:fldCharType="begin"/>
      </w:r>
      <w:r>
        <w:instrText xml:space="preserve"> HYPERLINK \l "_Toc173510412" </w:instrText>
      </w:r>
      <w:r>
        <w:fldChar w:fldCharType="separate"/>
      </w:r>
      <w:r>
        <w:rPr>
          <w:rStyle w:val="245"/>
          <w:rFonts w:ascii="仿宋_GB2312" w:hAnsi="楷体" w:eastAsia="仿宋_GB2312"/>
          <w:b/>
          <w:color w:val="auto"/>
        </w:rPr>
        <w:t>第二部分合同一般条款</w:t>
      </w:r>
      <w:r>
        <w:tab/>
      </w:r>
      <w:r>
        <w:fldChar w:fldCharType="begin"/>
      </w:r>
      <w:r>
        <w:instrText xml:space="preserve"> PAGEREF _Toc173510412 \h </w:instrText>
      </w:r>
      <w:r>
        <w:fldChar w:fldCharType="separate"/>
      </w:r>
      <w:r>
        <w:t>107</w:t>
      </w:r>
      <w:r>
        <w:fldChar w:fldCharType="end"/>
      </w:r>
      <w:r>
        <w:fldChar w:fldCharType="end"/>
      </w:r>
    </w:p>
    <w:p w14:paraId="77DF5EC8">
      <w:pPr>
        <w:pStyle w:val="233"/>
        <w:spacing w:line="360" w:lineRule="auto"/>
        <w:contextualSpacing/>
        <w:rPr>
          <w:rFonts w:ascii="等线" w:hAnsi="等线" w:eastAsia="等线"/>
          <w:szCs w:val="22"/>
        </w:rPr>
      </w:pPr>
      <w:r>
        <w:fldChar w:fldCharType="begin"/>
      </w:r>
      <w:r>
        <w:instrText xml:space="preserve"> HYPERLINK \l "_Toc173510413" </w:instrText>
      </w:r>
      <w:r>
        <w:fldChar w:fldCharType="separate"/>
      </w:r>
      <w:r>
        <w:rPr>
          <w:rStyle w:val="245"/>
          <w:rFonts w:ascii="仿宋_GB2312" w:hAnsi="楷体" w:eastAsia="仿宋_GB2312"/>
          <w:b/>
          <w:color w:val="auto"/>
        </w:rPr>
        <w:t>第三部分合同专用条款</w:t>
      </w:r>
      <w:r>
        <w:tab/>
      </w:r>
      <w:r>
        <w:fldChar w:fldCharType="begin"/>
      </w:r>
      <w:r>
        <w:instrText xml:space="preserve"> PAGEREF _Toc173510413 \h </w:instrText>
      </w:r>
      <w:r>
        <w:fldChar w:fldCharType="separate"/>
      </w:r>
      <w:r>
        <w:t>112</w:t>
      </w:r>
      <w:r>
        <w:fldChar w:fldCharType="end"/>
      </w:r>
      <w:r>
        <w:fldChar w:fldCharType="end"/>
      </w:r>
    </w:p>
    <w:p w14:paraId="1DBF49FE">
      <w:pPr>
        <w:pStyle w:val="231"/>
        <w:tabs>
          <w:tab w:val="right" w:leader="dot" w:pos="8720"/>
        </w:tabs>
        <w:spacing w:line="360" w:lineRule="auto"/>
        <w:contextualSpacing/>
        <w:rPr>
          <w:rFonts w:ascii="等线" w:hAnsi="等线" w:eastAsia="等线"/>
          <w:szCs w:val="22"/>
        </w:rPr>
      </w:pPr>
      <w:r>
        <w:fldChar w:fldCharType="begin"/>
      </w:r>
      <w:r>
        <w:instrText xml:space="preserve"> HYPERLINK \l "_Toc173510414" </w:instrText>
      </w:r>
      <w:r>
        <w:fldChar w:fldCharType="separate"/>
      </w:r>
      <w:r>
        <w:rPr>
          <w:rStyle w:val="245"/>
          <w:rFonts w:ascii="宋体" w:hAnsi="宋体" w:cs="仿宋_GB2312"/>
          <w:bCs/>
          <w:color w:val="auto"/>
        </w:rPr>
        <w:t>第七章质疑、投诉材料格式</w:t>
      </w:r>
      <w:r>
        <w:tab/>
      </w:r>
      <w:r>
        <w:fldChar w:fldCharType="begin"/>
      </w:r>
      <w:r>
        <w:instrText xml:space="preserve"> PAGEREF _Toc173510414 \h </w:instrText>
      </w:r>
      <w:r>
        <w:fldChar w:fldCharType="separate"/>
      </w:r>
      <w:r>
        <w:t>115</w:t>
      </w:r>
      <w:r>
        <w:fldChar w:fldCharType="end"/>
      </w:r>
      <w:r>
        <w:fldChar w:fldCharType="end"/>
      </w:r>
    </w:p>
    <w:p w14:paraId="03165FAF">
      <w:pPr>
        <w:tabs>
          <w:tab w:val="right" w:leader="dot" w:pos="8869"/>
        </w:tabs>
        <w:spacing w:line="360" w:lineRule="auto"/>
        <w:contextualSpacing/>
        <w:rPr>
          <w:sz w:val="24"/>
          <w:u w:val="single"/>
        </w:rPr>
      </w:pPr>
      <w:r>
        <w:rPr>
          <w:sz w:val="24"/>
          <w:u w:val="single"/>
        </w:rPr>
        <w:fldChar w:fldCharType="end"/>
      </w:r>
    </w:p>
    <w:p w14:paraId="19B7D492">
      <w:pPr>
        <w:keepNext/>
        <w:keepLines/>
        <w:spacing w:after="330" w:line="440" w:lineRule="exact"/>
        <w:jc w:val="center"/>
        <w:outlineLvl w:val="0"/>
        <w:rPr>
          <w:b/>
          <w:bCs/>
          <w:sz w:val="44"/>
          <w:szCs w:val="44"/>
        </w:rPr>
      </w:pPr>
      <w:r>
        <w:rPr>
          <w:b/>
          <w:bCs/>
          <w:sz w:val="44"/>
          <w:szCs w:val="44"/>
        </w:rPr>
        <w:br w:type="page" w:clear="all"/>
      </w:r>
      <w:bookmarkStart w:id="0" w:name="_Toc173510387"/>
      <w:r>
        <w:pict>
          <v:shape id="_x0000_s1026" o:spid="_x0000_s1026" o:spt="202" type="#_x0000_t202" style="position:absolute;left:0pt;margin-left:-20.95pt;margin-top:42.25pt;height:113.25pt;width:465.3pt;mso-wrap-distance-left:9pt;mso-wrap-distance-right:9pt;z-index:-251656192;mso-width-relative:page;mso-height-relative:page;" stroked="f" coordsize="21600,21600" wrapcoords="-35 0 -35 21457 21600 21457 21600 0 -35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0oXtAEAAFQDAAAOAAAAZHJzL2Uyb0RvYy54bWysU9tu2zAMfR+wfxD0vthOk7Ux4hRoiwwD&#10;tnVAtw+QZdkWIIsqpcTO349SLsu2t6F+IMyLjngOqfX9NBi2V+g12IoXs5wzZSU02nYV//lj++GO&#10;Mx+EbYQBqyp+UJ7fb96/W4+uVHPowTQKGYFYX46u4n0IrswyL3s1CD8DpywlW8BBBHKxyxoUI6EP&#10;Jpvn+cdsBGwcglTeU/TpmOSbhN+2SobntvUqMFNx6i0ki8nW0WabtSg7FK7X8tSG+I8uBqEtXXqB&#10;ehJBsB3qf6AGLRE8tGEmYcigbbVUiQOxKfK/2Lz0wqnEhcTx7iKTfztY+W3/4r4jC9MDTDTAKMjo&#10;fOljsB6/QkNDE7sAid3U4hBZUt+MqknQw0VENQUmKbhc5aubglKScsXi5m5+u4yomSjPxx368EnB&#10;wOJPxZGmlODF/osPx9JzSbzNg9HNVhuTHOzqR4NsL2ii2/Sd0P8oMzYWW4jHjogxkp2pHUmGqZ5O&#10;fGtoDsR4pE2ouH/dCVScmc+WpF4Vi0VcneQslrdzcvA6U19ndg511xOrJGW6kEaX6J/WLO7GtZ/a&#10;+v0YNr8AAAD//wMAUEsDBBQABgAIAAAAIQAEdSo53wAAAAoBAAAPAAAAZHJzL2Rvd25yZXYueG1s&#10;TI/RToNAEEXfTfyHzTTxxbQLSssWGRo10fja2g8YYAuk7Cxht4X+veuTPk7uyb1n8t1senHVo+ss&#10;I8SrCITmytYdNwjH74+lAuE8cU29ZY1w0w52xf1dTlltJ97r68E3IpSwywih9X7IpHRVqw25lR00&#10;h+xkR0M+nGMj65GmUG56+RRFG2mo47DQ0qDfW12dDxeDcPqaHtfbqfz0x3SfbN6oS0t7Q3xYzK8v&#10;ILye/R8Mv/pBHYrgVNoL1070CMsk3gYUQSVrEAFQSqUgSoTnOI5AFrn8/0LxAwAA//8DAFBLAQIt&#10;ABQABgAIAAAAIQC2gziS/gAAAOEBAAATAAAAAAAAAAAAAAAAAAAAAABbQ29udGVudF9UeXBlc10u&#10;eG1sUEsBAi0AFAAGAAgAAAAhADj9If/WAAAAlAEAAAsAAAAAAAAAAAAAAAAALwEAAF9yZWxzLy5y&#10;ZWxzUEsBAi0AFAAGAAgAAAAhAILPShe0AQAAVAMAAA4AAAAAAAAAAAAAAAAALgIAAGRycy9lMm9E&#10;b2MueG1sUEsBAi0AFAAGAAgAAAAhAAR1KjnfAAAACgEAAA8AAAAAAAAAAAAAAAAADgQAAGRycy9k&#10;b3ducmV2LnhtbFBLBQYAAAAABAAEAPMAAAAaBQAAAAA=&#10;">
            <v:path/>
            <v:fill focussize="0,0"/>
            <v:stroke on="f" joinstyle="miter"/>
            <v:imagedata o:title=""/>
            <o:lock v:ext="edit"/>
            <v:textbox>
              <w:txbxContent>
                <w:p w14:paraId="3C50F0EF">
                  <w:pPr>
                    <w:pBdr>
                      <w:top w:val="single" w:color="000000" w:sz="4" w:space="1"/>
                      <w:left w:val="single" w:color="000000" w:sz="4" w:space="4"/>
                      <w:bottom w:val="single" w:color="000000" w:sz="4" w:space="1"/>
                      <w:right w:val="single" w:color="000000" w:sz="4" w:space="4"/>
                    </w:pBdr>
                    <w:spacing w:line="360" w:lineRule="auto"/>
                    <w:rPr>
                      <w:rFonts w:ascii="宋体" w:hAnsi="宋体"/>
                      <w:color w:val="000000"/>
                      <w:szCs w:val="21"/>
                    </w:rPr>
                  </w:pPr>
                  <w:r>
                    <w:rPr>
                      <w:rFonts w:hint="eastAsia" w:ascii="宋体" w:hAnsi="宋体"/>
                      <w:color w:val="000000"/>
                      <w:szCs w:val="21"/>
                    </w:rPr>
                    <w:t>项目概况</w:t>
                  </w:r>
                </w:p>
                <w:p w14:paraId="58C09C4D">
                  <w:pPr>
                    <w:pBdr>
                      <w:top w:val="single" w:color="000000" w:sz="4" w:space="1"/>
                      <w:left w:val="single" w:color="000000" w:sz="4" w:space="4"/>
                      <w:bottom w:val="single" w:color="000000" w:sz="4" w:space="1"/>
                      <w:right w:val="single" w:color="000000" w:sz="4" w:space="4"/>
                    </w:pBdr>
                    <w:spacing w:line="360" w:lineRule="auto"/>
                    <w:ind w:firstLine="420"/>
                    <w:rPr>
                      <w:rFonts w:ascii="宋体" w:hAnsi="宋体"/>
                      <w:color w:val="000000"/>
                      <w:szCs w:val="21"/>
                      <w:highlight w:val="none"/>
                    </w:rPr>
                  </w:pPr>
                  <w:r>
                    <w:rPr>
                      <w:rFonts w:hint="eastAsia" w:ascii="宋体" w:hAnsi="宋体"/>
                      <w:color w:val="000000"/>
                      <w:szCs w:val="21"/>
                      <w:u w:val="single"/>
                    </w:rPr>
                    <w:t>2025年自治区级世界技能大赛电子技术集训基地项目</w:t>
                  </w:r>
                  <w:r>
                    <w:rPr>
                      <w:rFonts w:hint="eastAsia" w:ascii="宋体" w:hAnsi="宋体"/>
                      <w:color w:val="000000"/>
                      <w:szCs w:val="21"/>
                    </w:rPr>
                    <w:t>的潜在供应商应在</w:t>
                  </w:r>
                  <w:r>
                    <w:rPr>
                      <w:rFonts w:hint="eastAsia" w:ascii="仿宋_GB2312" w:hAnsi="仿宋" w:eastAsia="仿宋_GB2312"/>
                      <w:sz w:val="24"/>
                    </w:rPr>
                    <w:t>广西政府采购云平台（https://www.gcy.zfcg.gxzf.gov.cn/）</w:t>
                  </w:r>
                  <w:r>
                    <w:rPr>
                      <w:rFonts w:hint="eastAsia" w:ascii="仿宋_GB2312" w:hAnsi="仿宋" w:eastAsia="仿宋_GB2312"/>
                    </w:rPr>
                    <w:t>（下载）</w:t>
                  </w:r>
                  <w:r>
                    <w:rPr>
                      <w:rFonts w:hint="eastAsia" w:ascii="宋体" w:hAnsi="宋体"/>
                      <w:szCs w:val="21"/>
                    </w:rPr>
                    <w:t>获取竞争性谈判文件，</w:t>
                  </w:r>
                  <w:r>
                    <w:rPr>
                      <w:rFonts w:hint="eastAsia" w:ascii="宋体" w:hAnsi="宋体"/>
                      <w:szCs w:val="21"/>
                      <w:highlight w:val="none"/>
                    </w:rPr>
                    <w:t>并于</w:t>
                  </w:r>
                  <w:bookmarkStart w:id="222" w:name="REVIEW_BM_309"/>
                  <w:r>
                    <w:rPr>
                      <w:rFonts w:hint="eastAsia" w:ascii="宋体" w:hAnsi="宋体"/>
                      <w:szCs w:val="21"/>
                      <w:highlight w:val="none"/>
                    </w:rPr>
                    <w:t xml:space="preserve">2026年 6月 </w:t>
                  </w:r>
                  <w:r>
                    <w:rPr>
                      <w:rFonts w:ascii="宋体" w:hAnsi="宋体"/>
                      <w:szCs w:val="21"/>
                      <w:highlight w:val="none"/>
                    </w:rPr>
                    <w:t>5</w:t>
                  </w:r>
                  <w:r>
                    <w:rPr>
                      <w:rFonts w:hint="eastAsia" w:ascii="宋体" w:hAnsi="宋体"/>
                      <w:szCs w:val="21"/>
                      <w:highlight w:val="none"/>
                    </w:rPr>
                    <w:t>日</w:t>
                  </w:r>
                  <w:bookmarkEnd w:id="222"/>
                  <w:r>
                    <w:rPr>
                      <w:rFonts w:hint="eastAsia" w:ascii="宋体" w:hAnsi="宋体"/>
                      <w:szCs w:val="21"/>
                      <w:highlight w:val="none"/>
                    </w:rPr>
                    <w:t>13时00</w:t>
                  </w:r>
                  <w:r>
                    <w:rPr>
                      <w:rFonts w:hint="eastAsia" w:ascii="宋体" w:hAnsi="宋体"/>
                      <w:color w:val="000000"/>
                      <w:szCs w:val="21"/>
                      <w:highlight w:val="none"/>
                    </w:rPr>
                    <w:t>分</w:t>
                  </w:r>
                  <w:r>
                    <w:rPr>
                      <w:rFonts w:hint="eastAsia" w:ascii="宋体" w:hAnsi="宋体"/>
                      <w:bCs/>
                      <w:color w:val="000000"/>
                      <w:szCs w:val="21"/>
                      <w:highlight w:val="none"/>
                    </w:rPr>
                    <w:t>（北京时间）前提交响应文件</w:t>
                  </w:r>
                  <w:r>
                    <w:rPr>
                      <w:rFonts w:hint="eastAsia" w:ascii="宋体" w:hAnsi="宋体"/>
                      <w:color w:val="000000"/>
                      <w:szCs w:val="21"/>
                      <w:highlight w:val="none"/>
                    </w:rPr>
                    <w:t>。</w:t>
                  </w:r>
                </w:p>
                <w:p w14:paraId="35CCC5C0"/>
              </w:txbxContent>
            </v:textbox>
            <w10:wrap type="tight"/>
          </v:shape>
        </w:pict>
      </w:r>
      <w:r>
        <w:rPr>
          <w:rFonts w:hint="eastAsia"/>
          <w:b/>
          <w:bCs/>
          <w:sz w:val="44"/>
          <w:szCs w:val="44"/>
        </w:rPr>
        <w:t>第一章竞争性谈判公告</w:t>
      </w:r>
      <w:bookmarkEnd w:id="0"/>
      <w:bookmarkStart w:id="1" w:name="_Toc44229878"/>
      <w:bookmarkStart w:id="2" w:name="_Toc28359012"/>
      <w:bookmarkStart w:id="3" w:name="_Toc35393629"/>
      <w:bookmarkStart w:id="4" w:name="_Toc28359089"/>
      <w:bookmarkStart w:id="5" w:name="_Toc35393798"/>
      <w:bookmarkStart w:id="6" w:name="_Toc28359004"/>
      <w:bookmarkStart w:id="7" w:name="_Toc35393792"/>
      <w:bookmarkStart w:id="8" w:name="_Toc35393623"/>
      <w:bookmarkStart w:id="9" w:name="_Toc28359081"/>
    </w:p>
    <w:p w14:paraId="52AB8B33">
      <w:r>
        <w:rPr>
          <w:rFonts w:hint="eastAsia" w:ascii="黑体" w:hAnsi="黑体" w:eastAsia="黑体" w:cs="宋体"/>
          <w:bCs/>
          <w:sz w:val="24"/>
        </w:rPr>
        <w:t>一、项目基本情况</w:t>
      </w:r>
      <w:bookmarkEnd w:id="1"/>
      <w:bookmarkEnd w:id="2"/>
      <w:bookmarkEnd w:id="3"/>
      <w:bookmarkEnd w:id="4"/>
      <w:bookmarkEnd w:id="5"/>
    </w:p>
    <w:p w14:paraId="6FCD5B43">
      <w:pPr>
        <w:spacing w:line="360" w:lineRule="auto"/>
        <w:ind w:firstLine="420"/>
        <w:rPr>
          <w:rFonts w:ascii="宋体" w:hAnsi="宋体"/>
          <w:szCs w:val="21"/>
        </w:rPr>
      </w:pPr>
      <w:r>
        <w:rPr>
          <w:rFonts w:hint="eastAsia" w:ascii="宋体" w:hAnsi="宋体"/>
          <w:szCs w:val="21"/>
        </w:rPr>
        <w:t>项目编号：</w:t>
      </w:r>
      <w:r>
        <w:rPr>
          <w:rFonts w:ascii="宋体" w:hAnsi="宋体"/>
          <w:szCs w:val="21"/>
        </w:rPr>
        <w:t>NNZC2026-J1-990367-YZLZ</w:t>
      </w:r>
      <w:r>
        <w:rPr>
          <w:rFonts w:hint="eastAsia" w:ascii="宋体" w:hAnsi="宋体"/>
          <w:szCs w:val="21"/>
        </w:rPr>
        <w:t>（采购计划编号：NNZC[2026]2307号）</w:t>
      </w:r>
    </w:p>
    <w:p w14:paraId="041B2C00">
      <w:pPr>
        <w:spacing w:line="360" w:lineRule="auto"/>
        <w:ind w:firstLine="420"/>
        <w:rPr>
          <w:rFonts w:ascii="宋体" w:hAnsi="宋体"/>
          <w:szCs w:val="21"/>
        </w:rPr>
      </w:pPr>
      <w:r>
        <w:rPr>
          <w:rFonts w:hint="eastAsia" w:ascii="宋体" w:hAnsi="宋体"/>
          <w:szCs w:val="21"/>
        </w:rPr>
        <w:t>项目名称：2025年自治区级世</w:t>
      </w:r>
      <w:bookmarkStart w:id="223" w:name="_GoBack"/>
      <w:bookmarkEnd w:id="223"/>
      <w:r>
        <w:rPr>
          <w:rFonts w:hint="eastAsia" w:ascii="宋体" w:hAnsi="宋体"/>
          <w:szCs w:val="21"/>
        </w:rPr>
        <w:t>界技能大赛电子技术集训基地项目</w:t>
      </w:r>
    </w:p>
    <w:p w14:paraId="5DD9B899">
      <w:pPr>
        <w:spacing w:line="360" w:lineRule="auto"/>
        <w:ind w:firstLine="420"/>
        <w:rPr>
          <w:rFonts w:ascii="宋体" w:hAnsi="宋体"/>
          <w:szCs w:val="21"/>
          <w:u w:val="single"/>
        </w:rPr>
      </w:pPr>
      <w:r>
        <w:rPr>
          <w:rFonts w:hint="eastAsia" w:ascii="宋体" w:hAnsi="宋体"/>
          <w:szCs w:val="21"/>
        </w:rPr>
        <w:t>预算金额：</w:t>
      </w:r>
      <w:r>
        <w:rPr>
          <w:rFonts w:ascii="宋体" w:hAnsi="宋体"/>
          <w:szCs w:val="21"/>
        </w:rPr>
        <w:t>1</w:t>
      </w:r>
      <w:r>
        <w:rPr>
          <w:rFonts w:hint="eastAsia" w:ascii="宋体" w:hAnsi="宋体"/>
          <w:szCs w:val="21"/>
        </w:rPr>
        <w:t>91</w:t>
      </w:r>
      <w:r>
        <w:rPr>
          <w:rFonts w:ascii="宋体" w:hAnsi="宋体"/>
          <w:szCs w:val="21"/>
        </w:rPr>
        <w:t>.</w:t>
      </w:r>
      <w:r>
        <w:rPr>
          <w:rFonts w:hint="eastAsia" w:ascii="宋体" w:hAnsi="宋体"/>
          <w:szCs w:val="21"/>
        </w:rPr>
        <w:t>0</w:t>
      </w:r>
      <w:r>
        <w:rPr>
          <w:rFonts w:ascii="宋体" w:hAnsi="宋体"/>
          <w:szCs w:val="21"/>
        </w:rPr>
        <w:t>000</w:t>
      </w:r>
      <w:r>
        <w:rPr>
          <w:rFonts w:hint="eastAsia" w:ascii="宋体" w:hAnsi="宋体"/>
          <w:szCs w:val="21"/>
        </w:rPr>
        <w:t>万元</w:t>
      </w:r>
    </w:p>
    <w:p w14:paraId="40B924EE">
      <w:pPr>
        <w:tabs>
          <w:tab w:val="left" w:pos="6852"/>
        </w:tabs>
        <w:spacing w:line="360" w:lineRule="auto"/>
        <w:ind w:firstLine="420"/>
        <w:rPr>
          <w:rFonts w:ascii="宋体" w:hAnsi="宋体"/>
          <w:szCs w:val="21"/>
        </w:rPr>
      </w:pPr>
      <w:r>
        <w:rPr>
          <w:rFonts w:hint="eastAsia" w:ascii="宋体" w:hAnsi="宋体"/>
          <w:szCs w:val="21"/>
        </w:rPr>
        <w:t>最高限价：</w:t>
      </w:r>
      <w:r>
        <w:rPr>
          <w:rFonts w:ascii="宋体" w:hAnsi="宋体"/>
          <w:szCs w:val="21"/>
        </w:rPr>
        <w:t>1</w:t>
      </w:r>
      <w:r>
        <w:rPr>
          <w:rFonts w:hint="eastAsia" w:ascii="宋体" w:hAnsi="宋体"/>
          <w:szCs w:val="21"/>
        </w:rPr>
        <w:t>91</w:t>
      </w:r>
      <w:r>
        <w:rPr>
          <w:rFonts w:ascii="宋体" w:hAnsi="宋体"/>
          <w:szCs w:val="21"/>
        </w:rPr>
        <w:t>.</w:t>
      </w:r>
      <w:r>
        <w:rPr>
          <w:rFonts w:hint="eastAsia" w:ascii="宋体" w:hAnsi="宋体"/>
          <w:szCs w:val="21"/>
        </w:rPr>
        <w:t>0</w:t>
      </w:r>
      <w:r>
        <w:rPr>
          <w:rFonts w:ascii="宋体" w:hAnsi="宋体"/>
          <w:szCs w:val="21"/>
        </w:rPr>
        <w:t>000</w:t>
      </w:r>
      <w:r>
        <w:rPr>
          <w:rFonts w:hint="eastAsia" w:ascii="宋体" w:hAnsi="宋体"/>
          <w:szCs w:val="21"/>
        </w:rPr>
        <w:t>万元</w:t>
      </w:r>
      <w:r>
        <w:rPr>
          <w:rFonts w:hint="eastAsia" w:ascii="宋体" w:hAnsi="宋体"/>
          <w:szCs w:val="21"/>
        </w:rPr>
        <w:tab/>
      </w:r>
    </w:p>
    <w:p w14:paraId="5354A71F">
      <w:pPr>
        <w:spacing w:line="360" w:lineRule="auto"/>
        <w:ind w:firstLine="420"/>
        <w:rPr>
          <w:rFonts w:ascii="宋体" w:hAnsi="宋体"/>
          <w:szCs w:val="21"/>
        </w:rPr>
      </w:pPr>
      <w:r>
        <w:rPr>
          <w:rFonts w:hint="eastAsia" w:ascii="宋体" w:hAnsi="宋体"/>
          <w:szCs w:val="21"/>
        </w:rPr>
        <w:t>采购需求：</w:t>
      </w:r>
    </w:p>
    <w:tbl>
      <w:tblPr>
        <w:tblStyle w:val="32"/>
        <w:tblW w:w="0" w:type="auto"/>
        <w:tblInd w:w="5"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636"/>
        <w:gridCol w:w="1187"/>
        <w:gridCol w:w="841"/>
        <w:gridCol w:w="4815"/>
        <w:gridCol w:w="1462"/>
      </w:tblGrid>
      <w:tr w14:paraId="14ACCF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noWrap/>
            <w:vAlign w:val="center"/>
          </w:tcPr>
          <w:p w14:paraId="2F2276E0">
            <w:pPr>
              <w:jc w:val="center"/>
              <w:rPr>
                <w:rFonts w:ascii="宋体" w:hAnsi="宋体"/>
                <w:szCs w:val="21"/>
              </w:rPr>
            </w:pPr>
            <w:r>
              <w:rPr>
                <w:rFonts w:hint="eastAsia" w:ascii="宋体" w:hAnsi="宋体"/>
                <w:szCs w:val="21"/>
              </w:rPr>
              <w:t>序号</w:t>
            </w:r>
          </w:p>
        </w:tc>
        <w:tc>
          <w:tcPr>
            <w:tcW w:w="1187" w:type="dxa"/>
            <w:tcBorders>
              <w:top w:val="single" w:color="auto" w:sz="4" w:space="0"/>
              <w:left w:val="single" w:color="auto" w:sz="4" w:space="0"/>
              <w:bottom w:val="single" w:color="auto" w:sz="4" w:space="0"/>
              <w:right w:val="single" w:color="auto" w:sz="4" w:space="0"/>
            </w:tcBorders>
            <w:noWrap/>
            <w:vAlign w:val="center"/>
          </w:tcPr>
          <w:p w14:paraId="154C4CDC">
            <w:pPr>
              <w:jc w:val="center"/>
              <w:rPr>
                <w:rFonts w:ascii="宋体" w:hAnsi="宋体"/>
                <w:szCs w:val="21"/>
              </w:rPr>
            </w:pPr>
            <w:r>
              <w:rPr>
                <w:rFonts w:hint="eastAsia" w:ascii="宋体" w:hAnsi="宋体"/>
                <w:szCs w:val="21"/>
              </w:rPr>
              <w:t>标的的名称</w:t>
            </w:r>
          </w:p>
        </w:tc>
        <w:tc>
          <w:tcPr>
            <w:tcW w:w="841" w:type="dxa"/>
            <w:tcBorders>
              <w:top w:val="single" w:color="auto" w:sz="4" w:space="0"/>
              <w:left w:val="single" w:color="auto" w:sz="4" w:space="0"/>
              <w:bottom w:val="single" w:color="auto" w:sz="4" w:space="0"/>
              <w:right w:val="single" w:color="auto" w:sz="4" w:space="0"/>
            </w:tcBorders>
            <w:noWrap/>
            <w:vAlign w:val="center"/>
          </w:tcPr>
          <w:p w14:paraId="13213CD0">
            <w:pPr>
              <w:jc w:val="center"/>
              <w:rPr>
                <w:rFonts w:ascii="宋体" w:hAnsi="宋体"/>
                <w:szCs w:val="21"/>
              </w:rPr>
            </w:pPr>
            <w:r>
              <w:rPr>
                <w:rFonts w:hint="eastAsia" w:ascii="宋体" w:hAnsi="宋体"/>
                <w:szCs w:val="21"/>
              </w:rPr>
              <w:t>数量单位</w:t>
            </w:r>
          </w:p>
        </w:tc>
        <w:tc>
          <w:tcPr>
            <w:tcW w:w="4815" w:type="dxa"/>
            <w:tcBorders>
              <w:top w:val="single" w:color="auto" w:sz="4" w:space="0"/>
              <w:left w:val="single" w:color="auto" w:sz="4" w:space="0"/>
              <w:bottom w:val="single" w:color="auto" w:sz="4" w:space="0"/>
              <w:right w:val="single" w:color="auto" w:sz="4" w:space="0"/>
            </w:tcBorders>
            <w:noWrap/>
            <w:vAlign w:val="center"/>
          </w:tcPr>
          <w:p w14:paraId="040C5838">
            <w:pPr>
              <w:jc w:val="center"/>
              <w:rPr>
                <w:rFonts w:ascii="宋体" w:hAnsi="宋体"/>
                <w:szCs w:val="21"/>
              </w:rPr>
            </w:pPr>
            <w:r>
              <w:rPr>
                <w:rFonts w:hint="eastAsia" w:ascii="宋体" w:hAnsi="宋体"/>
                <w:szCs w:val="21"/>
              </w:rPr>
              <w:t>简要技术需求或者货物要求</w:t>
            </w:r>
          </w:p>
        </w:tc>
        <w:tc>
          <w:tcPr>
            <w:tcW w:w="1467" w:type="dxa"/>
            <w:tcBorders>
              <w:top w:val="single" w:color="auto" w:sz="4" w:space="0"/>
              <w:left w:val="single" w:color="auto" w:sz="4" w:space="0"/>
              <w:bottom w:val="single" w:color="auto" w:sz="4" w:space="0"/>
              <w:right w:val="single" w:color="auto" w:sz="4" w:space="0"/>
            </w:tcBorders>
          </w:tcPr>
          <w:p w14:paraId="1D464AFB">
            <w:pPr>
              <w:jc w:val="center"/>
              <w:rPr>
                <w:rFonts w:ascii="宋体" w:hAnsi="宋体"/>
                <w:szCs w:val="21"/>
              </w:rPr>
            </w:pPr>
            <w:r>
              <w:rPr>
                <w:rFonts w:hint="eastAsia" w:ascii="宋体" w:hAnsi="宋体"/>
                <w:szCs w:val="21"/>
              </w:rPr>
              <w:t>分项预算合计（元）</w:t>
            </w:r>
          </w:p>
        </w:tc>
      </w:tr>
      <w:tr w14:paraId="4036078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4" w:hRule="atLeast"/>
        </w:trPr>
        <w:tc>
          <w:tcPr>
            <w:tcW w:w="0" w:type="auto"/>
            <w:tcBorders>
              <w:top w:val="single" w:color="auto" w:sz="4" w:space="0"/>
              <w:left w:val="single" w:color="auto" w:sz="4" w:space="0"/>
              <w:bottom w:val="single" w:color="auto" w:sz="4" w:space="0"/>
              <w:right w:val="single" w:color="auto" w:sz="4" w:space="0"/>
            </w:tcBorders>
            <w:noWrap/>
            <w:vAlign w:val="center"/>
          </w:tcPr>
          <w:p w14:paraId="3C5C8551">
            <w:pPr>
              <w:jc w:val="center"/>
              <w:rPr>
                <w:rFonts w:ascii="宋体" w:hAnsi="宋体"/>
                <w:szCs w:val="21"/>
              </w:rPr>
            </w:pPr>
            <w:r>
              <w:rPr>
                <w:rFonts w:hint="eastAsia" w:ascii="宋体" w:hAnsi="宋体"/>
                <w:szCs w:val="21"/>
              </w:rPr>
              <w:t>1</w:t>
            </w:r>
          </w:p>
        </w:tc>
        <w:tc>
          <w:tcPr>
            <w:tcW w:w="1187" w:type="dxa"/>
            <w:tcBorders>
              <w:top w:val="single" w:color="auto" w:sz="4" w:space="0"/>
              <w:left w:val="single" w:color="auto" w:sz="4" w:space="0"/>
              <w:bottom w:val="single" w:color="auto" w:sz="4" w:space="0"/>
              <w:right w:val="single" w:color="auto" w:sz="4" w:space="0"/>
            </w:tcBorders>
            <w:noWrap/>
            <w:vAlign w:val="center"/>
          </w:tcPr>
          <w:p w14:paraId="314D5DD8">
            <w:pPr>
              <w:widowControl/>
              <w:jc w:val="center"/>
              <w:rPr>
                <w:rFonts w:ascii="宋体" w:hAnsi="宋体"/>
                <w:szCs w:val="21"/>
              </w:rPr>
            </w:pPr>
            <w:r>
              <w:rPr>
                <w:sz w:val="24"/>
              </w:rPr>
              <w:t>电子技术集训平台</w:t>
            </w:r>
          </w:p>
        </w:tc>
        <w:tc>
          <w:tcPr>
            <w:tcW w:w="841" w:type="dxa"/>
            <w:tcBorders>
              <w:top w:val="single" w:color="auto" w:sz="4" w:space="0"/>
              <w:left w:val="single" w:color="auto" w:sz="4" w:space="0"/>
              <w:bottom w:val="single" w:color="auto" w:sz="4" w:space="0"/>
              <w:right w:val="single" w:color="auto" w:sz="4" w:space="0"/>
            </w:tcBorders>
            <w:noWrap/>
            <w:vAlign w:val="center"/>
          </w:tcPr>
          <w:p w14:paraId="0E2D22D2">
            <w:pPr>
              <w:widowControl/>
              <w:jc w:val="center"/>
              <w:rPr>
                <w:rFonts w:ascii="宋体" w:hAnsi="宋体"/>
                <w:szCs w:val="21"/>
              </w:rPr>
            </w:pPr>
            <w:r>
              <w:rPr>
                <w:rFonts w:hint="eastAsia" w:ascii="宋体" w:hAnsi="宋体"/>
                <w:szCs w:val="21"/>
              </w:rPr>
              <w:t>1</w:t>
            </w:r>
            <w:r>
              <w:rPr>
                <w:rFonts w:ascii="宋体" w:hAnsi="宋体"/>
                <w:szCs w:val="21"/>
              </w:rPr>
              <w:t>4套</w:t>
            </w:r>
          </w:p>
        </w:tc>
        <w:tc>
          <w:tcPr>
            <w:tcW w:w="4815" w:type="dxa"/>
            <w:tcBorders>
              <w:top w:val="single" w:color="auto" w:sz="4" w:space="0"/>
              <w:left w:val="single" w:color="auto" w:sz="4" w:space="0"/>
              <w:bottom w:val="single" w:color="auto" w:sz="4" w:space="0"/>
              <w:right w:val="single" w:color="auto" w:sz="4" w:space="0"/>
            </w:tcBorders>
            <w:noWrap/>
            <w:vAlign w:val="center"/>
          </w:tcPr>
          <w:p w14:paraId="7A12BC88">
            <w:pPr>
              <w:tabs>
                <w:tab w:val="center" w:pos="4153"/>
                <w:tab w:val="right" w:pos="8306"/>
              </w:tabs>
              <w:jc w:val="left"/>
              <w:rPr>
                <w:rFonts w:ascii="宋体" w:hAnsi="宋体"/>
                <w:szCs w:val="21"/>
              </w:rPr>
            </w:pPr>
            <w:r>
              <w:rPr>
                <w:rFonts w:hint="eastAsia" w:ascii="宋体" w:hAnsi="宋体"/>
                <w:szCs w:val="21"/>
              </w:rPr>
              <w:t>集成世赛标准核心仪器、防静电工作台、工具柜、人体工学椅及嵌入式编程和电路设计平台的综合训练单元等。</w:t>
            </w:r>
          </w:p>
        </w:tc>
        <w:tc>
          <w:tcPr>
            <w:tcW w:w="1467" w:type="dxa"/>
            <w:tcBorders>
              <w:top w:val="single" w:color="auto" w:sz="4" w:space="0"/>
              <w:left w:val="single" w:color="auto" w:sz="4" w:space="0"/>
              <w:bottom w:val="single" w:color="auto" w:sz="4" w:space="0"/>
              <w:right w:val="single" w:color="auto" w:sz="4" w:space="0"/>
            </w:tcBorders>
            <w:vAlign w:val="center"/>
          </w:tcPr>
          <w:p w14:paraId="0C3F9AB9">
            <w:pPr>
              <w:jc w:val="center"/>
              <w:rPr>
                <w:rFonts w:ascii="宋体" w:hAnsi="宋体"/>
                <w:szCs w:val="21"/>
              </w:rPr>
            </w:pPr>
            <w:r>
              <w:rPr>
                <w:rFonts w:hint="eastAsia" w:ascii="宋体" w:hAnsi="宋体"/>
                <w:szCs w:val="21"/>
              </w:rPr>
              <w:t>1</w:t>
            </w:r>
            <w:r>
              <w:rPr>
                <w:rFonts w:ascii="宋体" w:hAnsi="宋体"/>
                <w:szCs w:val="21"/>
              </w:rPr>
              <w:t>680000.00</w:t>
            </w:r>
          </w:p>
        </w:tc>
      </w:tr>
      <w:tr w14:paraId="1A5F94F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noWrap/>
            <w:vAlign w:val="center"/>
          </w:tcPr>
          <w:p w14:paraId="717CA707">
            <w:pPr>
              <w:jc w:val="center"/>
              <w:rPr>
                <w:rFonts w:ascii="宋体" w:hAnsi="宋体"/>
                <w:szCs w:val="21"/>
              </w:rPr>
            </w:pPr>
            <w:r>
              <w:rPr>
                <w:rFonts w:hint="eastAsia" w:ascii="宋体" w:hAnsi="宋体"/>
                <w:szCs w:val="21"/>
              </w:rPr>
              <w:t>2</w:t>
            </w:r>
          </w:p>
        </w:tc>
        <w:tc>
          <w:tcPr>
            <w:tcW w:w="1187" w:type="dxa"/>
            <w:tcBorders>
              <w:top w:val="single" w:color="auto" w:sz="4" w:space="0"/>
              <w:left w:val="single" w:color="auto" w:sz="4" w:space="0"/>
              <w:bottom w:val="single" w:color="auto" w:sz="4" w:space="0"/>
              <w:right w:val="single" w:color="auto" w:sz="4" w:space="0"/>
            </w:tcBorders>
            <w:noWrap/>
            <w:vAlign w:val="center"/>
          </w:tcPr>
          <w:p w14:paraId="0D43EBF3">
            <w:pPr>
              <w:widowControl/>
              <w:jc w:val="center"/>
              <w:rPr>
                <w:rFonts w:ascii="宋体" w:hAnsi="宋体"/>
                <w:szCs w:val="21"/>
              </w:rPr>
            </w:pPr>
            <w:r>
              <w:rPr>
                <w:rFonts w:hint="eastAsia"/>
              </w:rPr>
              <w:t>电子技术训练资源耗材工具</w:t>
            </w:r>
          </w:p>
        </w:tc>
        <w:tc>
          <w:tcPr>
            <w:tcW w:w="841" w:type="dxa"/>
            <w:tcBorders>
              <w:top w:val="single" w:color="auto" w:sz="4" w:space="0"/>
              <w:left w:val="single" w:color="auto" w:sz="4" w:space="0"/>
              <w:bottom w:val="single" w:color="auto" w:sz="4" w:space="0"/>
              <w:right w:val="single" w:color="auto" w:sz="4" w:space="0"/>
            </w:tcBorders>
            <w:noWrap/>
            <w:vAlign w:val="center"/>
          </w:tcPr>
          <w:p w14:paraId="67BAA1D0">
            <w:pPr>
              <w:jc w:val="center"/>
              <w:rPr>
                <w:rFonts w:ascii="宋体" w:hAnsi="宋体"/>
                <w:szCs w:val="21"/>
              </w:rPr>
            </w:pPr>
            <w:r>
              <w:rPr>
                <w:rFonts w:hint="eastAsia" w:ascii="宋体" w:hAnsi="宋体"/>
                <w:szCs w:val="21"/>
              </w:rPr>
              <w:t>1套</w:t>
            </w:r>
          </w:p>
        </w:tc>
        <w:tc>
          <w:tcPr>
            <w:tcW w:w="4815" w:type="dxa"/>
            <w:tcBorders>
              <w:top w:val="single" w:color="auto" w:sz="4" w:space="0"/>
              <w:left w:val="single" w:color="auto" w:sz="4" w:space="0"/>
              <w:bottom w:val="single" w:color="auto" w:sz="4" w:space="0"/>
              <w:right w:val="single" w:color="auto" w:sz="4" w:space="0"/>
            </w:tcBorders>
            <w:noWrap/>
            <w:vAlign w:val="center"/>
          </w:tcPr>
          <w:p w14:paraId="4B78C4AD">
            <w:pPr>
              <w:tabs>
                <w:tab w:val="center" w:pos="4153"/>
                <w:tab w:val="right" w:pos="8306"/>
              </w:tabs>
              <w:jc w:val="left"/>
              <w:rPr>
                <w:rFonts w:ascii="宋体" w:hAnsi="宋体"/>
                <w:szCs w:val="21"/>
              </w:rPr>
            </w:pPr>
            <w:r>
              <w:t>包含符合世界技能大赛电子技术赛项标准结构的赛题训练集训资源包和材料。</w:t>
            </w:r>
          </w:p>
        </w:tc>
        <w:tc>
          <w:tcPr>
            <w:tcW w:w="1467" w:type="dxa"/>
            <w:tcBorders>
              <w:top w:val="single" w:color="auto" w:sz="4" w:space="0"/>
              <w:left w:val="single" w:color="auto" w:sz="4" w:space="0"/>
              <w:bottom w:val="single" w:color="auto" w:sz="4" w:space="0"/>
              <w:right w:val="single" w:color="auto" w:sz="4" w:space="0"/>
            </w:tcBorders>
            <w:vAlign w:val="center"/>
          </w:tcPr>
          <w:p w14:paraId="2ACC6BE6">
            <w:pPr>
              <w:jc w:val="center"/>
              <w:rPr>
                <w:rFonts w:ascii="宋体" w:hAnsi="宋体"/>
                <w:szCs w:val="21"/>
              </w:rPr>
            </w:pPr>
            <w:r>
              <w:rPr>
                <w:rFonts w:hint="eastAsia" w:ascii="宋体" w:hAnsi="宋体"/>
                <w:szCs w:val="21"/>
              </w:rPr>
              <w:t>1</w:t>
            </w:r>
            <w:r>
              <w:rPr>
                <w:rFonts w:ascii="宋体" w:hAnsi="宋体"/>
                <w:szCs w:val="21"/>
              </w:rPr>
              <w:t>50000.00</w:t>
            </w:r>
          </w:p>
        </w:tc>
      </w:tr>
      <w:tr w14:paraId="4B9C915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noWrap/>
            <w:vAlign w:val="center"/>
          </w:tcPr>
          <w:p w14:paraId="6BE75878">
            <w:pPr>
              <w:jc w:val="center"/>
              <w:rPr>
                <w:rFonts w:ascii="宋体" w:hAnsi="宋体"/>
                <w:szCs w:val="21"/>
              </w:rPr>
            </w:pPr>
            <w:r>
              <w:rPr>
                <w:rFonts w:hint="eastAsia" w:ascii="宋体" w:hAnsi="宋体"/>
                <w:szCs w:val="21"/>
              </w:rPr>
              <w:t>3</w:t>
            </w:r>
          </w:p>
        </w:tc>
        <w:tc>
          <w:tcPr>
            <w:tcW w:w="1187" w:type="dxa"/>
            <w:tcBorders>
              <w:top w:val="single" w:color="auto" w:sz="4" w:space="0"/>
              <w:left w:val="single" w:color="auto" w:sz="4" w:space="0"/>
              <w:bottom w:val="single" w:color="auto" w:sz="4" w:space="0"/>
              <w:right w:val="single" w:color="auto" w:sz="4" w:space="0"/>
            </w:tcBorders>
            <w:noWrap/>
            <w:vAlign w:val="center"/>
          </w:tcPr>
          <w:p w14:paraId="3DDDABF2">
            <w:pPr>
              <w:widowControl/>
              <w:jc w:val="center"/>
              <w:rPr>
                <w:rFonts w:ascii="宋体" w:hAnsi="宋体"/>
                <w:szCs w:val="21"/>
              </w:rPr>
            </w:pPr>
            <w:r>
              <w:rPr>
                <w:rFonts w:hint="eastAsia"/>
              </w:rPr>
              <w:t>集训与训练辅助工具</w:t>
            </w:r>
          </w:p>
        </w:tc>
        <w:tc>
          <w:tcPr>
            <w:tcW w:w="841" w:type="dxa"/>
            <w:tcBorders>
              <w:top w:val="single" w:color="auto" w:sz="4" w:space="0"/>
              <w:left w:val="single" w:color="auto" w:sz="4" w:space="0"/>
              <w:bottom w:val="single" w:color="auto" w:sz="4" w:space="0"/>
              <w:right w:val="single" w:color="auto" w:sz="4" w:space="0"/>
            </w:tcBorders>
            <w:noWrap/>
            <w:vAlign w:val="center"/>
          </w:tcPr>
          <w:p w14:paraId="3D5431B3">
            <w:pPr>
              <w:jc w:val="center"/>
              <w:rPr>
                <w:rFonts w:ascii="宋体" w:hAnsi="宋体"/>
                <w:szCs w:val="21"/>
              </w:rPr>
            </w:pPr>
            <w:r>
              <w:rPr>
                <w:rFonts w:hint="eastAsia" w:ascii="宋体" w:hAnsi="宋体"/>
                <w:szCs w:val="21"/>
              </w:rPr>
              <w:t>1套</w:t>
            </w:r>
          </w:p>
        </w:tc>
        <w:tc>
          <w:tcPr>
            <w:tcW w:w="4815" w:type="dxa"/>
            <w:tcBorders>
              <w:top w:val="single" w:color="auto" w:sz="4" w:space="0"/>
              <w:left w:val="single" w:color="auto" w:sz="4" w:space="0"/>
              <w:bottom w:val="single" w:color="auto" w:sz="4" w:space="0"/>
              <w:right w:val="single" w:color="auto" w:sz="4" w:space="0"/>
            </w:tcBorders>
            <w:noWrap/>
            <w:vAlign w:val="center"/>
          </w:tcPr>
          <w:p w14:paraId="3FB6D81D">
            <w:pPr>
              <w:tabs>
                <w:tab w:val="center" w:pos="4153"/>
                <w:tab w:val="right" w:pos="8306"/>
              </w:tabs>
              <w:jc w:val="left"/>
              <w:rPr>
                <w:rFonts w:ascii="宋体" w:hAnsi="宋体"/>
                <w:szCs w:val="21"/>
              </w:rPr>
            </w:pPr>
            <w:r>
              <w:rPr>
                <w:rFonts w:hint="eastAsia" w:ascii="宋体" w:hAnsi="宋体"/>
                <w:szCs w:val="21"/>
              </w:rPr>
              <w:t>包含高分辨率数字示波器、高速信号发生器、可编程直流稳压电源、频谱分析仪等。</w:t>
            </w:r>
          </w:p>
        </w:tc>
        <w:tc>
          <w:tcPr>
            <w:tcW w:w="1467" w:type="dxa"/>
            <w:tcBorders>
              <w:top w:val="single" w:color="auto" w:sz="4" w:space="0"/>
              <w:left w:val="single" w:color="auto" w:sz="4" w:space="0"/>
              <w:bottom w:val="single" w:color="auto" w:sz="4" w:space="0"/>
              <w:right w:val="single" w:color="auto" w:sz="4" w:space="0"/>
            </w:tcBorders>
            <w:vAlign w:val="center"/>
          </w:tcPr>
          <w:p w14:paraId="6AC6A7E9">
            <w:pPr>
              <w:jc w:val="center"/>
              <w:rPr>
                <w:rFonts w:ascii="宋体" w:hAnsi="宋体"/>
                <w:szCs w:val="21"/>
              </w:rPr>
            </w:pPr>
            <w:r>
              <w:rPr>
                <w:rFonts w:hint="eastAsia" w:ascii="宋体" w:hAnsi="宋体"/>
                <w:szCs w:val="21"/>
              </w:rPr>
              <w:t>8</w:t>
            </w:r>
            <w:r>
              <w:rPr>
                <w:rFonts w:ascii="宋体" w:hAnsi="宋体"/>
                <w:szCs w:val="21"/>
              </w:rPr>
              <w:t>0000.00</w:t>
            </w:r>
          </w:p>
        </w:tc>
      </w:tr>
    </w:tbl>
    <w:p w14:paraId="47C43144">
      <w:pPr>
        <w:spacing w:line="360" w:lineRule="auto"/>
        <w:ind w:firstLine="420"/>
        <w:rPr>
          <w:rFonts w:ascii="宋体" w:hAnsi="宋体"/>
          <w:szCs w:val="21"/>
        </w:rPr>
      </w:pPr>
      <w:r>
        <w:rPr>
          <w:rFonts w:hint="eastAsia" w:ascii="宋体" w:hAnsi="宋体"/>
          <w:szCs w:val="21"/>
        </w:rPr>
        <w:t>合同履行期限：</w:t>
      </w:r>
      <w:r>
        <w:rPr>
          <w:rFonts w:hint="eastAsia" w:ascii="宋体" w:hAnsi="宋体" w:cs="宋体"/>
          <w:szCs w:val="21"/>
        </w:rPr>
        <w:t>自合同签订之日起30日内完成交货及安装、调试运行。</w:t>
      </w:r>
    </w:p>
    <w:p w14:paraId="4F1C2330">
      <w:pPr>
        <w:spacing w:line="360" w:lineRule="auto"/>
        <w:ind w:firstLine="420"/>
        <w:rPr>
          <w:rFonts w:ascii="宋体" w:hAnsi="宋体"/>
          <w:szCs w:val="21"/>
        </w:rPr>
      </w:pPr>
      <w:r>
        <w:rPr>
          <w:rFonts w:hint="eastAsia" w:ascii="宋体" w:hAnsi="宋体"/>
          <w:szCs w:val="21"/>
        </w:rPr>
        <w:t>本项目是否接受联合体响应：□是/</w:t>
      </w:r>
      <w:r>
        <w:rPr>
          <w:rFonts w:hint="eastAsia" w:ascii="宋体" w:hAnsi="宋体"/>
          <w:b/>
          <w:szCs w:val="21"/>
        </w:rPr>
        <w:t>√否</w:t>
      </w:r>
      <w:r>
        <w:rPr>
          <w:rFonts w:hint="eastAsia" w:ascii="宋体" w:hAnsi="宋体"/>
          <w:szCs w:val="21"/>
        </w:rPr>
        <w:t>。</w:t>
      </w:r>
    </w:p>
    <w:p w14:paraId="583DD6C9">
      <w:pPr>
        <w:spacing w:line="360" w:lineRule="auto"/>
        <w:ind w:firstLine="482"/>
        <w:rPr>
          <w:rFonts w:ascii="黑体" w:hAnsi="黑体" w:eastAsia="黑体" w:cs="宋体"/>
          <w:bCs/>
          <w:sz w:val="24"/>
        </w:rPr>
      </w:pPr>
      <w:bookmarkStart w:id="10" w:name="_Toc44229879"/>
      <w:bookmarkStart w:id="11" w:name="_Toc28359013"/>
      <w:bookmarkStart w:id="12" w:name="_Toc35393799"/>
      <w:bookmarkStart w:id="13" w:name="_Toc35393630"/>
      <w:bookmarkStart w:id="14" w:name="_Toc28359090"/>
      <w:r>
        <w:rPr>
          <w:rFonts w:hint="eastAsia" w:ascii="黑体" w:hAnsi="黑体" w:eastAsia="黑体" w:cs="宋体"/>
          <w:b/>
          <w:sz w:val="24"/>
        </w:rPr>
        <w:t>二、供应商的资格条件</w:t>
      </w:r>
      <w:bookmarkEnd w:id="6"/>
      <w:bookmarkEnd w:id="7"/>
      <w:bookmarkEnd w:id="8"/>
      <w:bookmarkEnd w:id="9"/>
      <w:bookmarkEnd w:id="10"/>
    </w:p>
    <w:p w14:paraId="046A3D6C">
      <w:pPr>
        <w:spacing w:line="360" w:lineRule="auto"/>
        <w:ind w:firstLine="420"/>
        <w:rPr>
          <w:rFonts w:ascii="宋体" w:hAnsi="宋体"/>
          <w:szCs w:val="21"/>
        </w:rPr>
      </w:pPr>
      <w:r>
        <w:rPr>
          <w:rFonts w:hint="eastAsia" w:ascii="宋体" w:hAnsi="宋体"/>
          <w:szCs w:val="21"/>
        </w:rPr>
        <w:t>1.满足《中华人民共和国政府采购法》第二十二条规定；</w:t>
      </w:r>
    </w:p>
    <w:p w14:paraId="1BD28A6A">
      <w:pPr>
        <w:spacing w:line="360" w:lineRule="auto"/>
        <w:ind w:firstLine="420"/>
        <w:rPr>
          <w:rFonts w:ascii="宋体" w:hAnsi="宋体"/>
          <w:szCs w:val="21"/>
        </w:rPr>
      </w:pPr>
      <w:r>
        <w:rPr>
          <w:rFonts w:hint="eastAsia" w:ascii="宋体" w:hAnsi="宋体"/>
          <w:szCs w:val="21"/>
        </w:rPr>
        <w:t>2.落实政府采购政策需满足的资格要求：</w:t>
      </w:r>
    </w:p>
    <w:p w14:paraId="37FFE889">
      <w:pPr>
        <w:spacing w:line="360" w:lineRule="auto"/>
        <w:ind w:firstLine="420"/>
        <w:rPr>
          <w:rFonts w:ascii="宋体" w:hAnsi="宋体"/>
          <w:szCs w:val="21"/>
        </w:rPr>
      </w:pPr>
      <w:r>
        <w:rPr>
          <w:rFonts w:hint="eastAsia" w:ascii="Segoe UI Emoji" w:hAnsi="Segoe UI Emoji" w:cs="Segoe UI Emoji"/>
          <w:szCs w:val="21"/>
        </w:rPr>
        <w:t>☑</w:t>
      </w:r>
      <w:r>
        <w:rPr>
          <w:rFonts w:hint="eastAsia" w:ascii="宋体" w:hAnsi="宋体"/>
          <w:szCs w:val="21"/>
        </w:rPr>
        <w:t>专门面向中小企业采购的项目（供应商竞标产品应均为中小微企业或监狱企业或残疾人福利性单位制造)</w:t>
      </w:r>
    </w:p>
    <w:p w14:paraId="710A2E3A">
      <w:pPr>
        <w:spacing w:line="360" w:lineRule="auto"/>
        <w:ind w:firstLine="630"/>
        <w:rPr>
          <w:rFonts w:ascii="宋体" w:hAnsi="宋体"/>
          <w:szCs w:val="21"/>
        </w:rPr>
      </w:pPr>
      <w:r>
        <w:rPr>
          <w:rFonts w:hint="eastAsia" w:ascii="宋体" w:hAnsi="宋体"/>
          <w:szCs w:val="21"/>
        </w:rPr>
        <w:t>□非专门面向中小企业采购的项目</w:t>
      </w:r>
    </w:p>
    <w:p w14:paraId="556BF6D7">
      <w:pPr>
        <w:spacing w:line="360" w:lineRule="auto"/>
        <w:ind w:firstLine="420"/>
        <w:rPr>
          <w:rFonts w:ascii="宋体" w:hAnsi="宋体"/>
          <w:b/>
          <w:szCs w:val="21"/>
        </w:rPr>
      </w:pPr>
      <w:r>
        <w:rPr>
          <w:rFonts w:hint="eastAsia" w:ascii="宋体" w:hAnsi="宋体"/>
          <w:szCs w:val="21"/>
        </w:rPr>
        <w:t>3.本项目的特定资格要求：</w:t>
      </w:r>
      <w:r>
        <w:rPr>
          <w:rFonts w:hint="eastAsia" w:cs="Arial"/>
          <w:bCs/>
          <w:szCs w:val="21"/>
        </w:rPr>
        <w:t>无</w:t>
      </w:r>
    </w:p>
    <w:p w14:paraId="718C4EE1">
      <w:pPr>
        <w:spacing w:line="360" w:lineRule="auto"/>
        <w:ind w:firstLine="420"/>
        <w:rPr>
          <w:rFonts w:ascii="宋体" w:hAnsi="宋体"/>
          <w:szCs w:val="21"/>
        </w:rPr>
      </w:pPr>
      <w:r>
        <w:rPr>
          <w:rFonts w:hint="eastAsia" w:ascii="宋体" w:hAnsi="宋体"/>
          <w:szCs w:val="21"/>
        </w:rPr>
        <w:t>4.本项目的特定条件：无</w:t>
      </w:r>
    </w:p>
    <w:p w14:paraId="4DD3FBB4">
      <w:pPr>
        <w:spacing w:line="360" w:lineRule="auto"/>
        <w:ind w:firstLine="420"/>
        <w:jc w:val="left"/>
        <w:rPr>
          <w:rFonts w:ascii="宋体" w:hAnsi="宋体"/>
          <w:szCs w:val="21"/>
        </w:rPr>
      </w:pPr>
      <w:r>
        <w:rPr>
          <w:rFonts w:hint="eastAsia" w:ascii="宋体" w:hAnsi="宋体"/>
          <w:szCs w:val="21"/>
        </w:rPr>
        <w:t>5.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6CA032FD">
      <w:pPr>
        <w:spacing w:line="360" w:lineRule="auto"/>
        <w:ind w:firstLine="420"/>
        <w:jc w:val="left"/>
        <w:rPr>
          <w:rFonts w:ascii="宋体" w:hAnsi="宋体"/>
          <w:szCs w:val="21"/>
        </w:rPr>
      </w:pPr>
      <w:r>
        <w:rPr>
          <w:rFonts w:hint="eastAsia" w:ascii="宋体" w:hAnsi="宋体"/>
          <w:szCs w:val="21"/>
        </w:rPr>
        <w:t>6.对在“信用中国”网站(www.creditchina.gov.cn)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w:t>
      </w:r>
    </w:p>
    <w:p w14:paraId="4AB83693">
      <w:pPr>
        <w:spacing w:line="360" w:lineRule="auto"/>
        <w:ind w:firstLine="482"/>
        <w:rPr>
          <w:rFonts w:ascii="黑体" w:hAnsi="黑体" w:eastAsia="黑体"/>
          <w:b/>
          <w:bCs/>
          <w:sz w:val="24"/>
        </w:rPr>
      </w:pPr>
      <w:r>
        <w:rPr>
          <w:rFonts w:hint="eastAsia" w:ascii="黑体" w:hAnsi="黑体" w:eastAsia="黑体"/>
          <w:b/>
          <w:bCs/>
          <w:sz w:val="24"/>
        </w:rPr>
        <w:t>三、获取竞争性谈判文件</w:t>
      </w:r>
      <w:bookmarkEnd w:id="11"/>
      <w:bookmarkEnd w:id="12"/>
      <w:bookmarkEnd w:id="13"/>
      <w:bookmarkEnd w:id="14"/>
    </w:p>
    <w:p w14:paraId="74E88C47">
      <w:pPr>
        <w:spacing w:line="360" w:lineRule="auto"/>
        <w:ind w:firstLine="420"/>
        <w:rPr>
          <w:rFonts w:ascii="宋体" w:hAnsi="宋体"/>
          <w:szCs w:val="21"/>
        </w:rPr>
      </w:pPr>
      <w:bookmarkStart w:id="15" w:name="_Toc28359005"/>
      <w:bookmarkStart w:id="16" w:name="_Toc35393624"/>
      <w:bookmarkStart w:id="17" w:name="_Toc35393793"/>
      <w:bookmarkStart w:id="18" w:name="_Toc28359082"/>
      <w:r>
        <w:rPr>
          <w:rFonts w:hint="eastAsia" w:ascii="宋体" w:hAnsi="宋体"/>
          <w:szCs w:val="21"/>
        </w:rPr>
        <w:t>时间：自公告发布之日起。</w:t>
      </w:r>
    </w:p>
    <w:p w14:paraId="7A8B1CFB">
      <w:pPr>
        <w:spacing w:line="360" w:lineRule="auto"/>
        <w:ind w:firstLine="420"/>
        <w:rPr>
          <w:rFonts w:ascii="黑体" w:hAnsi="黑体" w:eastAsia="黑体"/>
          <w:b/>
          <w:bCs/>
          <w:sz w:val="24"/>
        </w:rPr>
      </w:pPr>
      <w:r>
        <w:rPr>
          <w:rFonts w:hint="eastAsia" w:ascii="宋体" w:hAnsi="宋体"/>
          <w:szCs w:val="21"/>
        </w:rPr>
        <w:t>获取方式：网上下载。本项目不发放纸质采购文件，供应商可自行在广西政府采购云平台（https://www.gcy.zfcg.gxzf.gov.cn/）下载采购文件（操作路径：登录广西政府采购云平台-项目采购-获取采购文件-找到本项目-点击“申请获取采购文件”），电子响应文件制作需要基于广西政府采购云平台（https://www.gcy.zfcg.gxzf.gov.cn/）获取的采购文件编制。</w:t>
      </w:r>
    </w:p>
    <w:p w14:paraId="3A5B4C3A">
      <w:pPr>
        <w:spacing w:line="360" w:lineRule="auto"/>
        <w:ind w:firstLine="420"/>
        <w:rPr>
          <w:rFonts w:ascii="宋体" w:hAnsi="宋体"/>
          <w:szCs w:val="21"/>
        </w:rPr>
      </w:pPr>
      <w:r>
        <w:rPr>
          <w:rFonts w:hint="eastAsia" w:ascii="宋体" w:hAnsi="宋体"/>
          <w:szCs w:val="21"/>
        </w:rPr>
        <w:t>售价：0元。</w:t>
      </w:r>
    </w:p>
    <w:p w14:paraId="282986B0">
      <w:pPr>
        <w:spacing w:line="360" w:lineRule="auto"/>
        <w:ind w:firstLine="482"/>
        <w:rPr>
          <w:rFonts w:ascii="黑体" w:hAnsi="黑体" w:eastAsia="黑体"/>
          <w:b/>
          <w:bCs/>
          <w:sz w:val="24"/>
        </w:rPr>
      </w:pPr>
      <w:r>
        <w:rPr>
          <w:rFonts w:hint="eastAsia" w:ascii="黑体" w:hAnsi="黑体" w:eastAsia="黑体"/>
          <w:b/>
          <w:bCs/>
          <w:sz w:val="24"/>
        </w:rPr>
        <w:t>四、</w:t>
      </w:r>
      <w:bookmarkEnd w:id="15"/>
      <w:bookmarkEnd w:id="16"/>
      <w:bookmarkEnd w:id="17"/>
      <w:bookmarkEnd w:id="18"/>
      <w:r>
        <w:rPr>
          <w:rFonts w:hint="eastAsia" w:ascii="黑体" w:hAnsi="黑体" w:eastAsia="黑体"/>
          <w:b/>
          <w:bCs/>
          <w:sz w:val="24"/>
        </w:rPr>
        <w:t>响应文件提交</w:t>
      </w:r>
    </w:p>
    <w:p w14:paraId="565EA5D0">
      <w:pPr>
        <w:spacing w:line="360" w:lineRule="auto"/>
        <w:ind w:firstLine="420"/>
        <w:rPr>
          <w:rFonts w:ascii="宋体" w:hAnsi="宋体"/>
          <w:szCs w:val="21"/>
          <w:u w:val="single"/>
        </w:rPr>
      </w:pPr>
      <w:r>
        <w:rPr>
          <w:rFonts w:hint="eastAsia" w:ascii="宋体" w:hAnsi="宋体"/>
          <w:szCs w:val="21"/>
        </w:rPr>
        <w:t>1、首次响应文件提交截止时间</w:t>
      </w:r>
      <w:r>
        <w:rPr>
          <w:rFonts w:hint="eastAsia" w:ascii="宋体" w:hAnsi="宋体"/>
          <w:bCs/>
          <w:szCs w:val="21"/>
        </w:rPr>
        <w:t>（北京时间）：2</w:t>
      </w:r>
      <w:r>
        <w:rPr>
          <w:rFonts w:hint="eastAsia" w:ascii="宋体" w:hAnsi="宋体"/>
          <w:szCs w:val="21"/>
        </w:rPr>
        <w:t>026年</w:t>
      </w:r>
      <w:r>
        <w:rPr>
          <w:rFonts w:ascii="宋体" w:hAnsi="宋体"/>
          <w:szCs w:val="21"/>
        </w:rPr>
        <w:t>6</w:t>
      </w:r>
      <w:r>
        <w:rPr>
          <w:rFonts w:hint="eastAsia" w:ascii="宋体" w:hAnsi="宋体"/>
          <w:szCs w:val="21"/>
        </w:rPr>
        <w:t>月</w:t>
      </w:r>
      <w:r>
        <w:rPr>
          <w:rFonts w:ascii="宋体" w:hAnsi="宋体"/>
          <w:szCs w:val="21"/>
        </w:rPr>
        <w:t>5</w:t>
      </w:r>
      <w:r>
        <w:rPr>
          <w:rFonts w:hint="eastAsia" w:ascii="宋体" w:hAnsi="宋体"/>
          <w:szCs w:val="21"/>
        </w:rPr>
        <w:t>日</w:t>
      </w:r>
      <w:r>
        <w:rPr>
          <w:rFonts w:ascii="宋体" w:hAnsi="宋体"/>
          <w:szCs w:val="21"/>
        </w:rPr>
        <w:t>13</w:t>
      </w:r>
      <w:r>
        <w:rPr>
          <w:rFonts w:hint="eastAsia" w:ascii="宋体" w:hAnsi="宋体"/>
          <w:szCs w:val="21"/>
        </w:rPr>
        <w:t>时</w:t>
      </w:r>
      <w:r>
        <w:rPr>
          <w:rFonts w:ascii="宋体" w:hAnsi="宋体"/>
          <w:szCs w:val="21"/>
        </w:rPr>
        <w:t>0</w:t>
      </w:r>
      <w:r>
        <w:rPr>
          <w:rFonts w:hint="eastAsia" w:ascii="宋体" w:hAnsi="宋体"/>
          <w:szCs w:val="21"/>
        </w:rPr>
        <w:t>0分</w:t>
      </w:r>
    </w:p>
    <w:p w14:paraId="6B1E5F9D">
      <w:pPr>
        <w:spacing w:line="360" w:lineRule="auto"/>
        <w:ind w:firstLine="420"/>
        <w:rPr>
          <w:rFonts w:ascii="宋体" w:hAnsi="宋体"/>
          <w:szCs w:val="21"/>
        </w:rPr>
      </w:pPr>
      <w:r>
        <w:rPr>
          <w:rFonts w:hint="eastAsia" w:ascii="宋体" w:hAnsi="宋体"/>
          <w:szCs w:val="21"/>
        </w:rPr>
        <w:t>2、首次响应文件提交地点：</w:t>
      </w:r>
    </w:p>
    <w:p w14:paraId="45464248">
      <w:pPr>
        <w:widowControl/>
        <w:spacing w:line="360" w:lineRule="auto"/>
        <w:ind w:firstLine="420"/>
        <w:jc w:val="left"/>
        <w:rPr>
          <w:rFonts w:ascii="宋体" w:hAnsi="宋体"/>
          <w:szCs w:val="21"/>
        </w:rPr>
      </w:pPr>
      <w:r>
        <w:rPr>
          <w:rFonts w:hint="eastAsia" w:ascii="宋体" w:hAnsi="宋体"/>
          <w:szCs w:val="21"/>
        </w:rPr>
        <w:t>（1）响应文件提交方式：本项目为南宁市全流程电子化项目，通过广西政府采购云平台（https://www.gcy.zfcg.gxzf.gov.cn/）实行在线电子响应，并按照本项目采购文件和广西政府采购云平台的要求编制、加密后在投标截止时间前通过网络上传至南宁市广西政府采购云平台，</w:t>
      </w:r>
      <w:r>
        <w:rPr>
          <w:rFonts w:hint="eastAsia" w:ascii="宋体" w:hAnsi="宋体"/>
          <w:b/>
          <w:szCs w:val="21"/>
        </w:rPr>
        <w:t>供应商在广西政府采购云平台提交电子版响应文件时，请填写参加远程采购活动经办人联系方式，</w:t>
      </w:r>
      <w:r>
        <w:rPr>
          <w:rFonts w:hint="eastAsia" w:ascii="宋体" w:hAnsi="宋体"/>
          <w:szCs w:val="21"/>
        </w:rPr>
        <w:t>电子响应文件具体操作流程详见本公告</w:t>
      </w:r>
      <w:r>
        <w:rPr>
          <w:rFonts w:hint="eastAsia" w:ascii="宋体" w:hAnsi="宋体"/>
          <w:b/>
          <w:szCs w:val="21"/>
        </w:rPr>
        <w:t>附件2</w:t>
      </w:r>
      <w:r>
        <w:rPr>
          <w:rFonts w:hint="eastAsia" w:ascii="宋体" w:hAnsi="宋体"/>
          <w:szCs w:val="21"/>
        </w:rPr>
        <w:t>。</w:t>
      </w:r>
    </w:p>
    <w:p w14:paraId="7B43B810">
      <w:pPr>
        <w:widowControl/>
        <w:spacing w:line="360" w:lineRule="auto"/>
        <w:ind w:firstLine="420"/>
        <w:jc w:val="left"/>
        <w:rPr>
          <w:rFonts w:ascii="宋体" w:hAnsi="宋体"/>
          <w:szCs w:val="21"/>
        </w:rPr>
      </w:pPr>
      <w:r>
        <w:rPr>
          <w:rFonts w:hint="eastAsia" w:ascii="宋体" w:hAnsi="宋体"/>
          <w:szCs w:val="21"/>
        </w:rPr>
        <w:t>（2）未进行网上注册并办理数字证书（CA认证）的供应商将无法参与本项目政府采购活动，潜在供应商应要尽早完成电子交易平台上的CA数字证书办理（申领流程见本公告</w:t>
      </w:r>
      <w:r>
        <w:rPr>
          <w:rFonts w:hint="eastAsia" w:ascii="宋体" w:hAnsi="宋体"/>
          <w:b/>
          <w:szCs w:val="21"/>
        </w:rPr>
        <w:t>附件1</w:t>
      </w:r>
      <w:r>
        <w:rPr>
          <w:rFonts w:hint="eastAsia" w:ascii="宋体" w:hAnsi="宋体"/>
          <w:szCs w:val="21"/>
        </w:rPr>
        <w:t>），并在首次响应文件提交截止时间前提交响应文件。</w:t>
      </w:r>
    </w:p>
    <w:p w14:paraId="054D9227">
      <w:pPr>
        <w:widowControl/>
        <w:spacing w:line="360" w:lineRule="auto"/>
        <w:ind w:firstLine="420"/>
        <w:jc w:val="left"/>
        <w:rPr>
          <w:rFonts w:ascii="宋体" w:hAnsi="宋体"/>
          <w:szCs w:val="21"/>
        </w:rPr>
      </w:pPr>
      <w:r>
        <w:rPr>
          <w:rFonts w:hint="eastAsia" w:ascii="宋体" w:hAnsi="宋体"/>
          <w:szCs w:val="21"/>
        </w:rPr>
        <w:t>（3）为确保网上操作合法、有效和安全，请供应商确保在电子响应过程中能够对相关数据电文进行加密和使用电子签章，妥善保管CA数字证书并使用有效的CA数字证书参与整个采购活动。</w:t>
      </w:r>
    </w:p>
    <w:p w14:paraId="0291ACDF">
      <w:pPr>
        <w:spacing w:line="360" w:lineRule="auto"/>
        <w:ind w:firstLine="420"/>
        <w:rPr>
          <w:rFonts w:ascii="宋体" w:hAnsi="宋体"/>
          <w:bCs/>
          <w:szCs w:val="21"/>
          <w:u w:val="single"/>
        </w:rPr>
      </w:pPr>
      <w:r>
        <w:rPr>
          <w:rFonts w:hint="eastAsia" w:ascii="宋体" w:hAnsi="宋体"/>
          <w:bCs/>
          <w:szCs w:val="21"/>
          <w:u w:val="single"/>
        </w:rPr>
        <w:t>注：供应商应当在首次响应文件提交截止时间前完成电子响应文件的上传、递交，响应文件提交截止时间前可以补充、修改或者撤回响应文件。补充或者修改响应文件的，应当先行撤回原文件，补充、修改后重新上传、递交。响应截止时间前未完成上传、递交的，视为撤回响应文件。响应文件提交截止时间以后上传递交的响应文件的，广西政府采购云平台将予以拒收。</w:t>
      </w:r>
    </w:p>
    <w:p w14:paraId="3040C544">
      <w:pPr>
        <w:spacing w:line="360" w:lineRule="auto"/>
        <w:ind w:firstLine="420"/>
        <w:rPr>
          <w:rFonts w:ascii="宋体" w:hAnsi="宋体" w:cs="宋体"/>
          <w:szCs w:val="21"/>
        </w:rPr>
      </w:pPr>
      <w:r>
        <w:rPr>
          <w:rFonts w:hint="eastAsia" w:ascii="宋体" w:hAnsi="宋体" w:cs="宋体"/>
          <w:szCs w:val="21"/>
        </w:rPr>
        <w:t>3、CA证书在线解密：首次响应文件开启时，须要供应商登录广西政府采购云平台电子开标大厅按规定时间对加密的响应文件进行解密，</w:t>
      </w:r>
      <w:r>
        <w:rPr>
          <w:rFonts w:hint="eastAsia"/>
        </w:rPr>
        <w:t>详见采购文件“第三章供应商须知正文</w:t>
      </w:r>
      <w:r>
        <w:t>25.2</w:t>
      </w:r>
      <w:r>
        <w:rPr>
          <w:rFonts w:hint="eastAsia"/>
        </w:rPr>
        <w:t>条”</w:t>
      </w:r>
      <w:r>
        <w:rPr>
          <w:rFonts w:hint="eastAsia" w:ascii="宋体" w:hAnsi="宋体" w:cs="宋体"/>
          <w:szCs w:val="21"/>
        </w:rPr>
        <w:t>，否则后果自负。</w:t>
      </w:r>
    </w:p>
    <w:p w14:paraId="3EE87905">
      <w:pPr>
        <w:spacing w:line="360" w:lineRule="auto"/>
        <w:ind w:firstLine="420"/>
        <w:rPr>
          <w:rFonts w:ascii="宋体" w:hAnsi="宋体" w:cs="宋体"/>
          <w:szCs w:val="21"/>
        </w:rPr>
      </w:pPr>
      <w:r>
        <w:rPr>
          <w:rFonts w:hint="eastAsia" w:ascii="宋体" w:hAnsi="宋体" w:cs="宋体"/>
          <w:szCs w:val="21"/>
        </w:rPr>
        <w:t>4、供应商需要在具备有摄像头及语音功能且互联网网络状况良好的电脑登录广西政府采购云平台远程开标大厅参与本次谈判，否则后果自负。</w:t>
      </w:r>
    </w:p>
    <w:p w14:paraId="25E1C521">
      <w:pPr>
        <w:spacing w:line="360" w:lineRule="auto"/>
        <w:ind w:firstLine="482"/>
        <w:rPr>
          <w:rFonts w:ascii="黑体" w:hAnsi="黑体" w:eastAsia="黑体"/>
          <w:b/>
          <w:bCs/>
          <w:sz w:val="24"/>
        </w:rPr>
      </w:pPr>
      <w:r>
        <w:rPr>
          <w:rFonts w:hint="eastAsia" w:ascii="黑体" w:hAnsi="黑体" w:eastAsia="黑体"/>
          <w:b/>
          <w:bCs/>
          <w:sz w:val="24"/>
        </w:rPr>
        <w:t>五、开启（首次响应文件开启时间）</w:t>
      </w:r>
    </w:p>
    <w:p w14:paraId="53FAAAA5">
      <w:pPr>
        <w:spacing w:line="360" w:lineRule="auto"/>
        <w:ind w:firstLine="420"/>
        <w:rPr>
          <w:rFonts w:ascii="宋体" w:hAnsi="宋体"/>
          <w:bCs/>
          <w:szCs w:val="21"/>
          <w:u w:val="single"/>
        </w:rPr>
      </w:pPr>
      <w:r>
        <w:rPr>
          <w:rFonts w:hint="eastAsia" w:ascii="宋体" w:hAnsi="宋体"/>
          <w:szCs w:val="21"/>
        </w:rPr>
        <w:t>1.时间</w:t>
      </w:r>
      <w:r>
        <w:rPr>
          <w:rFonts w:hint="eastAsia" w:ascii="宋体" w:hAnsi="宋体"/>
          <w:bCs/>
          <w:szCs w:val="21"/>
        </w:rPr>
        <w:t>（北京时间）</w:t>
      </w:r>
      <w:r>
        <w:rPr>
          <w:rFonts w:hint="eastAsia" w:ascii="宋体" w:hAnsi="宋体"/>
          <w:szCs w:val="21"/>
        </w:rPr>
        <w:t>：</w:t>
      </w:r>
      <w:r>
        <w:rPr>
          <w:rFonts w:hint="eastAsia" w:ascii="宋体" w:hAnsi="宋体"/>
          <w:bCs/>
          <w:szCs w:val="21"/>
        </w:rPr>
        <w:t>2</w:t>
      </w:r>
      <w:r>
        <w:rPr>
          <w:rFonts w:hint="eastAsia" w:ascii="宋体" w:hAnsi="宋体"/>
          <w:szCs w:val="21"/>
        </w:rPr>
        <w:t>026年</w:t>
      </w:r>
      <w:r>
        <w:rPr>
          <w:rFonts w:ascii="宋体" w:hAnsi="宋体"/>
          <w:szCs w:val="21"/>
        </w:rPr>
        <w:t>6</w:t>
      </w:r>
      <w:r>
        <w:rPr>
          <w:rFonts w:hint="eastAsia" w:ascii="宋体" w:hAnsi="宋体"/>
          <w:szCs w:val="21"/>
        </w:rPr>
        <w:t>月</w:t>
      </w:r>
      <w:r>
        <w:rPr>
          <w:rFonts w:ascii="宋体" w:hAnsi="宋体"/>
          <w:szCs w:val="21"/>
        </w:rPr>
        <w:t>5</w:t>
      </w:r>
      <w:r>
        <w:rPr>
          <w:rFonts w:hint="eastAsia" w:ascii="宋体" w:hAnsi="宋体"/>
          <w:szCs w:val="21"/>
        </w:rPr>
        <w:t>日</w:t>
      </w:r>
      <w:r>
        <w:rPr>
          <w:rFonts w:ascii="宋体" w:hAnsi="宋体"/>
          <w:szCs w:val="21"/>
        </w:rPr>
        <w:t>13</w:t>
      </w:r>
      <w:r>
        <w:rPr>
          <w:rFonts w:hint="eastAsia" w:ascii="宋体" w:hAnsi="宋体"/>
          <w:szCs w:val="21"/>
        </w:rPr>
        <w:t>时</w:t>
      </w:r>
      <w:r>
        <w:rPr>
          <w:rFonts w:ascii="宋体" w:hAnsi="宋体"/>
          <w:szCs w:val="21"/>
        </w:rPr>
        <w:t>00</w:t>
      </w:r>
      <w:r>
        <w:rPr>
          <w:rFonts w:hint="eastAsia" w:ascii="宋体" w:hAnsi="宋体"/>
          <w:szCs w:val="21"/>
        </w:rPr>
        <w:t>分后。</w:t>
      </w:r>
    </w:p>
    <w:p w14:paraId="5A7D13E0">
      <w:pPr>
        <w:spacing w:line="360" w:lineRule="auto"/>
        <w:ind w:firstLine="420"/>
        <w:rPr>
          <w:rFonts w:ascii="宋体" w:hAnsi="宋体"/>
          <w:bCs/>
          <w:szCs w:val="21"/>
          <w:u w:val="single"/>
        </w:rPr>
      </w:pPr>
      <w:r>
        <w:rPr>
          <w:rFonts w:hint="eastAsia" w:ascii="宋体" w:hAnsi="宋体"/>
          <w:szCs w:val="21"/>
        </w:rPr>
        <w:t>2.地点：</w:t>
      </w:r>
      <w:r>
        <w:rPr>
          <w:rFonts w:hint="eastAsia" w:ascii="宋体" w:hAnsi="宋体"/>
          <w:szCs w:val="21"/>
          <w:u w:val="single"/>
        </w:rPr>
        <w:t>政府采购云平台开标大厅。</w:t>
      </w:r>
    </w:p>
    <w:p w14:paraId="09B3529B">
      <w:pPr>
        <w:spacing w:line="360" w:lineRule="auto"/>
        <w:ind w:firstLine="482"/>
        <w:rPr>
          <w:rFonts w:ascii="黑体" w:hAnsi="黑体" w:eastAsia="黑体"/>
          <w:b/>
          <w:bCs/>
          <w:sz w:val="24"/>
        </w:rPr>
      </w:pPr>
      <w:bookmarkStart w:id="19" w:name="_Toc35393625"/>
      <w:bookmarkStart w:id="20" w:name="_Toc28359084"/>
      <w:bookmarkStart w:id="21" w:name="_Toc28359007"/>
      <w:bookmarkStart w:id="22" w:name="_Toc35393794"/>
      <w:r>
        <w:rPr>
          <w:rFonts w:hint="eastAsia" w:ascii="黑体" w:hAnsi="黑体" w:eastAsia="黑体"/>
          <w:b/>
          <w:bCs/>
          <w:sz w:val="24"/>
        </w:rPr>
        <w:t>六、公告期限</w:t>
      </w:r>
      <w:bookmarkEnd w:id="19"/>
      <w:bookmarkEnd w:id="20"/>
      <w:bookmarkEnd w:id="21"/>
      <w:bookmarkEnd w:id="22"/>
    </w:p>
    <w:p w14:paraId="7AA235A9">
      <w:pPr>
        <w:spacing w:line="360" w:lineRule="auto"/>
        <w:ind w:firstLine="420"/>
        <w:rPr>
          <w:rFonts w:ascii="宋体" w:hAnsi="宋体" w:cs="宋体"/>
          <w:szCs w:val="21"/>
        </w:rPr>
      </w:pPr>
      <w:r>
        <w:rPr>
          <w:rFonts w:hint="eastAsia" w:ascii="宋体" w:hAnsi="宋体" w:cs="宋体"/>
          <w:szCs w:val="21"/>
        </w:rPr>
        <w:t>自本公告发布之日起3个工作日。</w:t>
      </w:r>
    </w:p>
    <w:p w14:paraId="12224839">
      <w:pPr>
        <w:spacing w:line="360" w:lineRule="auto"/>
        <w:ind w:firstLine="482"/>
        <w:rPr>
          <w:rFonts w:ascii="黑体" w:hAnsi="黑体" w:eastAsia="黑体"/>
          <w:b/>
          <w:bCs/>
          <w:sz w:val="24"/>
        </w:rPr>
      </w:pPr>
      <w:bookmarkStart w:id="23" w:name="_Toc35393626"/>
      <w:bookmarkStart w:id="24" w:name="_Toc35393795"/>
      <w:r>
        <w:rPr>
          <w:rFonts w:hint="eastAsia" w:ascii="黑体" w:hAnsi="黑体" w:eastAsia="黑体"/>
          <w:b/>
          <w:bCs/>
          <w:sz w:val="24"/>
        </w:rPr>
        <w:t>七、其他补充事宜</w:t>
      </w:r>
      <w:bookmarkEnd w:id="23"/>
      <w:bookmarkEnd w:id="24"/>
    </w:p>
    <w:p w14:paraId="6BC2EDC7">
      <w:pPr>
        <w:spacing w:line="360" w:lineRule="auto"/>
        <w:ind w:firstLine="420"/>
        <w:rPr>
          <w:rFonts w:ascii="宋体" w:hAnsi="宋体" w:cs="宋体"/>
          <w:szCs w:val="21"/>
        </w:rPr>
      </w:pPr>
      <w:r>
        <w:rPr>
          <w:rFonts w:hint="eastAsia" w:ascii="宋体" w:hAnsi="宋体" w:cs="宋体"/>
          <w:szCs w:val="21"/>
        </w:rPr>
        <w:t>1.谈判保证金：本项目不收取谈判保证金</w:t>
      </w:r>
    </w:p>
    <w:p w14:paraId="494EB989">
      <w:pPr>
        <w:spacing w:line="360" w:lineRule="auto"/>
        <w:ind w:left="420"/>
        <w:jc w:val="left"/>
      </w:pPr>
      <w:r>
        <w:rPr>
          <w:rFonts w:hint="eastAsia" w:ascii="宋体" w:hAnsi="宋体" w:cs="宋体"/>
          <w:szCs w:val="21"/>
        </w:rPr>
        <w:t>2.采购意向公开链接</w:t>
      </w:r>
      <w:bookmarkStart w:id="25" w:name="_Hlk37429585"/>
      <w:r>
        <w:rPr>
          <w:rFonts w:hint="eastAsia" w:ascii="宋体" w:hAnsi="宋体" w:cs="宋体"/>
          <w:szCs w:val="21"/>
        </w:rPr>
        <w:t>：</w:t>
      </w:r>
      <w:r>
        <w:t xml:space="preserve"> </w:t>
      </w:r>
    </w:p>
    <w:p w14:paraId="46F538E1">
      <w:pPr>
        <w:spacing w:line="360" w:lineRule="auto"/>
        <w:ind w:left="420"/>
        <w:jc w:val="left"/>
        <w:rPr>
          <w:rFonts w:ascii="宋体" w:hAnsi="宋体" w:cs="宋体"/>
          <w:szCs w:val="21"/>
        </w:rPr>
      </w:pPr>
      <w:r>
        <w:rPr>
          <w:rFonts w:hint="eastAsia" w:ascii="宋体" w:hAnsi="宋体" w:cs="宋体"/>
          <w:szCs w:val="21"/>
        </w:rPr>
        <w:t>http://www.ccgp-guangxi.gov.cn/site/detail?categoryCode=ZcyAnnouncement&amp;parentId=66485&amp;articleId=sNJFwe5445ez5kDKIuUKyw==</w:t>
      </w:r>
    </w:p>
    <w:p w14:paraId="5E37B6DD">
      <w:pPr>
        <w:spacing w:line="360" w:lineRule="auto"/>
        <w:ind w:left="420"/>
        <w:jc w:val="left"/>
        <w:rPr>
          <w:rFonts w:ascii="宋体" w:hAnsi="宋体" w:cs="宋体"/>
          <w:szCs w:val="21"/>
        </w:rPr>
      </w:pPr>
      <w:r>
        <w:rPr>
          <w:rFonts w:hint="eastAsia" w:ascii="宋体" w:hAnsi="宋体" w:cs="宋体"/>
          <w:szCs w:val="21"/>
        </w:rPr>
        <w:t>3.</w:t>
      </w:r>
      <w:bookmarkStart w:id="26" w:name="_Hlk37429595"/>
      <w:r>
        <w:rPr>
          <w:rFonts w:hint="eastAsia" w:ascii="宋体" w:hAnsi="宋体" w:cs="宋体"/>
          <w:szCs w:val="21"/>
        </w:rPr>
        <w:t>网上查询地址</w:t>
      </w:r>
    </w:p>
    <w:bookmarkEnd w:id="25"/>
    <w:bookmarkEnd w:id="26"/>
    <w:p w14:paraId="58E1A3E8">
      <w:pPr>
        <w:spacing w:line="360" w:lineRule="auto"/>
        <w:ind w:firstLine="420"/>
        <w:rPr>
          <w:rFonts w:ascii="宋体" w:hAnsi="宋体" w:cs="宋体"/>
          <w:szCs w:val="21"/>
        </w:rPr>
      </w:pPr>
      <w:bookmarkStart w:id="27" w:name="_Hlk37429674"/>
      <w:r>
        <w:rPr>
          <w:rFonts w:hint="eastAsia" w:ascii="宋体" w:hAnsi="宋体" w:cs="宋体"/>
          <w:szCs w:val="21"/>
        </w:rPr>
        <w:t>http://www.ccgp.gov.cn (中国政府采购网),http://zfcg.gxzf.gov.cn (广西政府采购网) ，http://ggzy.jgswj.gxzf.gov.cn/nnggzy/（全国公</w:t>
      </w:r>
      <w:r>
        <w:rPr>
          <w:rFonts w:hint="eastAsia" w:hAnsi="宋体" w:cs="宋体"/>
        </w:rPr>
        <w:t>共资源交易平台（广西•南宁）</w:t>
      </w:r>
      <w:r>
        <w:rPr>
          <w:rFonts w:hint="eastAsia" w:ascii="宋体" w:hAnsi="宋体" w:cs="宋体"/>
          <w:szCs w:val="21"/>
        </w:rPr>
        <w:t>。</w:t>
      </w:r>
    </w:p>
    <w:p w14:paraId="6533D104">
      <w:pPr>
        <w:spacing w:line="360" w:lineRule="auto"/>
        <w:ind w:firstLine="420"/>
        <w:rPr>
          <w:rFonts w:ascii="宋体" w:hAnsi="宋体" w:cs="宋体"/>
          <w:szCs w:val="21"/>
        </w:rPr>
      </w:pPr>
      <w:r>
        <w:rPr>
          <w:rFonts w:hint="eastAsia" w:ascii="宋体" w:hAnsi="宋体" w:cs="宋体"/>
          <w:szCs w:val="21"/>
        </w:rPr>
        <w:t>4</w:t>
      </w:r>
      <w:r>
        <w:rPr>
          <w:rFonts w:hint="eastAsia" w:ascii="宋体" w:hAnsi="宋体"/>
          <w:szCs w:val="21"/>
        </w:rPr>
        <w:t xml:space="preserve">. </w:t>
      </w:r>
      <w:r>
        <w:rPr>
          <w:rFonts w:hint="eastAsia" w:ascii="宋体" w:hAnsi="宋体" w:cs="宋体"/>
          <w:szCs w:val="21"/>
        </w:rPr>
        <w:t>本项目需要落实的政府采购政策</w:t>
      </w:r>
    </w:p>
    <w:bookmarkEnd w:id="27"/>
    <w:p w14:paraId="3C80E548">
      <w:pPr>
        <w:spacing w:line="360" w:lineRule="auto"/>
        <w:ind w:firstLine="420"/>
        <w:rPr>
          <w:rFonts w:ascii="宋体" w:hAnsi="宋体" w:cs="宋体"/>
          <w:szCs w:val="21"/>
        </w:rPr>
      </w:pPr>
      <w:r>
        <w:rPr>
          <w:rFonts w:hint="eastAsia" w:ascii="宋体" w:hAnsi="宋体" w:cs="宋体"/>
          <w:szCs w:val="21"/>
        </w:rPr>
        <w:t>（1）政府采购促进中小企业发展。</w:t>
      </w:r>
    </w:p>
    <w:p w14:paraId="446C899B">
      <w:pPr>
        <w:spacing w:line="360" w:lineRule="auto"/>
        <w:ind w:firstLine="420"/>
        <w:rPr>
          <w:rFonts w:ascii="宋体" w:hAnsi="宋体" w:cs="宋体"/>
          <w:szCs w:val="21"/>
        </w:rPr>
      </w:pPr>
      <w:r>
        <w:rPr>
          <w:rFonts w:hint="eastAsia" w:ascii="宋体" w:hAnsi="宋体" w:cs="宋体"/>
          <w:szCs w:val="21"/>
        </w:rPr>
        <w:t>（2）政府采购支持采用本国产品的政策。</w:t>
      </w:r>
    </w:p>
    <w:p w14:paraId="4920BEBC">
      <w:pPr>
        <w:spacing w:line="360" w:lineRule="auto"/>
        <w:ind w:firstLine="420"/>
        <w:rPr>
          <w:rFonts w:ascii="宋体" w:hAnsi="宋体" w:cs="宋体"/>
          <w:szCs w:val="21"/>
        </w:rPr>
      </w:pPr>
      <w:r>
        <w:rPr>
          <w:rFonts w:hint="eastAsia" w:ascii="宋体" w:hAnsi="宋体" w:cs="宋体"/>
          <w:szCs w:val="21"/>
        </w:rPr>
        <w:t>（3）强制采购节能产品；优先采购节能产品、环境标志产品。</w:t>
      </w:r>
    </w:p>
    <w:p w14:paraId="69D09AA8">
      <w:pPr>
        <w:spacing w:line="360" w:lineRule="auto"/>
        <w:ind w:firstLine="420"/>
        <w:rPr>
          <w:rFonts w:ascii="宋体" w:hAnsi="宋体" w:cs="宋体"/>
          <w:szCs w:val="21"/>
        </w:rPr>
      </w:pPr>
      <w:r>
        <w:rPr>
          <w:rFonts w:hint="eastAsia" w:ascii="宋体" w:hAnsi="宋体" w:cs="宋体"/>
          <w:szCs w:val="21"/>
        </w:rPr>
        <w:t>（4）政府采购促进残疾人就业政策。</w:t>
      </w:r>
    </w:p>
    <w:p w14:paraId="5292EA9B">
      <w:pPr>
        <w:spacing w:line="360" w:lineRule="auto"/>
        <w:ind w:firstLine="420"/>
        <w:rPr>
          <w:rFonts w:ascii="宋体" w:hAnsi="宋体" w:cs="宋体"/>
          <w:szCs w:val="21"/>
        </w:rPr>
      </w:pPr>
      <w:r>
        <w:rPr>
          <w:rFonts w:hint="eastAsia" w:ascii="宋体" w:hAnsi="宋体" w:cs="宋体"/>
          <w:szCs w:val="21"/>
        </w:rPr>
        <w:t>（5）政府采购支持监狱企业发展。</w:t>
      </w:r>
    </w:p>
    <w:p w14:paraId="08C27CFD">
      <w:pPr>
        <w:spacing w:line="360" w:lineRule="auto"/>
        <w:ind w:firstLine="420"/>
        <w:rPr>
          <w:rFonts w:ascii="宋体" w:hAnsi="宋体" w:cs="宋体"/>
          <w:szCs w:val="21"/>
        </w:rPr>
      </w:pPr>
      <w:r>
        <w:rPr>
          <w:rFonts w:hint="eastAsia" w:ascii="宋体" w:hAnsi="宋体" w:cs="宋体"/>
          <w:szCs w:val="21"/>
        </w:rPr>
        <w:t>5.供应商认为采购文件使自己的权益受到损害的，可以自获取采购文件之日或者采购文件公告期限届满之日（公告期限届满后获取采购文件的，以公告期限届满之日为准）起7个工作日内以书面形式一次性向采购人和采购代理机构提出同一环节的质疑。否则，逾期的质疑采购人及招标代理机构可不予接受。质疑供应商对采购人、采购代理机构的答复不满意或者采购人、采购代理机构未在规定的时间内作出答复的，可以在答复期满后十五个工作日内向同级政府采购监督管理部门投诉。</w:t>
      </w:r>
    </w:p>
    <w:p w14:paraId="12126A54">
      <w:pPr>
        <w:spacing w:line="360" w:lineRule="auto"/>
        <w:ind w:firstLine="420"/>
        <w:rPr>
          <w:rFonts w:ascii="宋体" w:hAnsi="宋体" w:cs="宋体"/>
          <w:szCs w:val="21"/>
        </w:rPr>
      </w:pPr>
      <w:r>
        <w:rPr>
          <w:rFonts w:hint="eastAsia" w:ascii="宋体" w:hAnsi="宋体" w:cs="宋体"/>
          <w:szCs w:val="21"/>
        </w:rPr>
        <w:t>6. 若对项目采购电子交易系统操作有疑问，可登录广西政府采购云平台（https://www.gcy.zfcg.gxzf.gov.cn/），点击右侧咨询小采，获取采小蜜智能服务管家帮助，或拨打广西政府采购云平台服务热线：95763或0771-3381253获取热线服务帮助。</w:t>
      </w:r>
    </w:p>
    <w:p w14:paraId="175FC95A">
      <w:pPr>
        <w:spacing w:line="360" w:lineRule="auto"/>
        <w:ind w:firstLine="482"/>
        <w:rPr>
          <w:rFonts w:ascii="黑体" w:hAnsi="黑体" w:eastAsia="黑体" w:cs="宋体"/>
          <w:bCs/>
          <w:sz w:val="24"/>
        </w:rPr>
      </w:pPr>
      <w:r>
        <w:rPr>
          <w:rFonts w:hint="eastAsia" w:ascii="黑体" w:hAnsi="黑体" w:eastAsia="黑体" w:cs="宋体"/>
          <w:b/>
          <w:sz w:val="24"/>
        </w:rPr>
        <w:t>八、凡对本次采购提出询问，请按以下方式联系</w:t>
      </w:r>
    </w:p>
    <w:p w14:paraId="754A7175">
      <w:pPr>
        <w:spacing w:line="360" w:lineRule="auto"/>
        <w:ind w:firstLine="420"/>
        <w:rPr>
          <w:rFonts w:ascii="宋体" w:hAnsi="宋体" w:cs="宋体"/>
          <w:szCs w:val="21"/>
        </w:rPr>
      </w:pPr>
      <w:r>
        <w:rPr>
          <w:rFonts w:hint="eastAsia" w:ascii="宋体" w:hAnsi="宋体" w:cs="宋体"/>
          <w:szCs w:val="21"/>
        </w:rPr>
        <w:t>　1.采购人信息</w:t>
      </w:r>
    </w:p>
    <w:p w14:paraId="0F99F03A">
      <w:pPr>
        <w:spacing w:line="360" w:lineRule="auto"/>
        <w:ind w:firstLine="420"/>
        <w:rPr>
          <w:rFonts w:ascii="宋体" w:hAnsi="宋体" w:cs="宋体"/>
          <w:szCs w:val="21"/>
        </w:rPr>
      </w:pPr>
      <w:r>
        <w:rPr>
          <w:rFonts w:hint="eastAsia" w:ascii="宋体" w:hAnsi="宋体" w:cs="宋体"/>
          <w:szCs w:val="21"/>
        </w:rPr>
        <w:t>名 称：广西南宁技师学院</w:t>
      </w:r>
    </w:p>
    <w:p w14:paraId="0B9892CA">
      <w:pPr>
        <w:spacing w:line="360" w:lineRule="auto"/>
        <w:ind w:firstLine="420"/>
        <w:rPr>
          <w:rFonts w:ascii="宋体" w:hAnsi="宋体" w:cs="宋体"/>
          <w:szCs w:val="21"/>
        </w:rPr>
      </w:pPr>
      <w:r>
        <w:rPr>
          <w:rFonts w:hint="eastAsia" w:ascii="宋体" w:hAnsi="宋体" w:cs="宋体"/>
          <w:szCs w:val="21"/>
        </w:rPr>
        <w:t>地址：南宁市西乡塘区大学西路157号</w:t>
      </w:r>
    </w:p>
    <w:p w14:paraId="64DB59CB">
      <w:pPr>
        <w:spacing w:line="360" w:lineRule="auto"/>
        <w:ind w:firstLine="420"/>
        <w:rPr>
          <w:rFonts w:ascii="宋体" w:hAnsi="宋体" w:cs="宋体"/>
          <w:szCs w:val="21"/>
        </w:rPr>
      </w:pPr>
      <w:r>
        <w:rPr>
          <w:rFonts w:hint="eastAsia" w:ascii="宋体" w:hAnsi="宋体" w:cs="宋体"/>
          <w:szCs w:val="21"/>
        </w:rPr>
        <w:t xml:space="preserve">项目联系人：杨寿刚 </w:t>
      </w:r>
    </w:p>
    <w:p w14:paraId="34DA3790">
      <w:pPr>
        <w:spacing w:line="360" w:lineRule="auto"/>
        <w:ind w:firstLine="420"/>
        <w:rPr>
          <w:rFonts w:ascii="宋体" w:hAnsi="宋体" w:cs="宋体"/>
          <w:szCs w:val="21"/>
        </w:rPr>
      </w:pPr>
      <w:r>
        <w:rPr>
          <w:rFonts w:hint="eastAsia" w:ascii="宋体" w:hAnsi="宋体" w:cs="宋体"/>
          <w:szCs w:val="21"/>
        </w:rPr>
        <w:t>联系电话：0771-4928055</w:t>
      </w:r>
    </w:p>
    <w:p w14:paraId="6093A876">
      <w:pPr>
        <w:spacing w:line="360" w:lineRule="auto"/>
        <w:ind w:firstLine="420"/>
        <w:rPr>
          <w:rFonts w:ascii="宋体" w:hAnsi="宋体" w:cs="宋体"/>
          <w:szCs w:val="21"/>
        </w:rPr>
      </w:pPr>
      <w:r>
        <w:rPr>
          <w:rFonts w:hint="eastAsia" w:ascii="宋体" w:hAnsi="宋体" w:cs="宋体"/>
          <w:szCs w:val="21"/>
        </w:rPr>
        <w:t>2.采购代理机构信息</w:t>
      </w:r>
    </w:p>
    <w:p w14:paraId="7E5F81AA">
      <w:pPr>
        <w:spacing w:line="360" w:lineRule="auto"/>
        <w:ind w:firstLine="420"/>
        <w:rPr>
          <w:rFonts w:ascii="宋体" w:hAnsi="宋体" w:cs="宋体"/>
          <w:szCs w:val="21"/>
        </w:rPr>
      </w:pPr>
      <w:r>
        <w:rPr>
          <w:rFonts w:hint="eastAsia" w:ascii="宋体" w:hAnsi="宋体" w:cs="宋体"/>
          <w:szCs w:val="21"/>
        </w:rPr>
        <w:t>名 称：云之龙咨询集团有限公司　　　　　　　　　　　　</w:t>
      </w:r>
    </w:p>
    <w:p w14:paraId="6E05B1B4">
      <w:pPr>
        <w:spacing w:line="360" w:lineRule="auto"/>
        <w:ind w:firstLine="420"/>
        <w:rPr>
          <w:rFonts w:ascii="宋体" w:hAnsi="宋体" w:cs="宋体"/>
          <w:szCs w:val="21"/>
        </w:rPr>
      </w:pPr>
      <w:r>
        <w:rPr>
          <w:rFonts w:hint="eastAsia" w:ascii="宋体" w:hAnsi="宋体" w:cs="宋体"/>
          <w:szCs w:val="21"/>
        </w:rPr>
        <w:t>地　址：南宁市良庆区云英路15号3号楼云之龙咨询集团大厦6楼　　　　　　　　　　　　</w:t>
      </w:r>
    </w:p>
    <w:p w14:paraId="3DAB5A31">
      <w:pPr>
        <w:spacing w:line="360" w:lineRule="auto"/>
        <w:ind w:firstLine="420"/>
        <w:rPr>
          <w:rFonts w:ascii="宋体" w:hAnsi="宋体" w:cs="宋体"/>
          <w:szCs w:val="21"/>
        </w:rPr>
      </w:pPr>
      <w:r>
        <w:rPr>
          <w:rFonts w:hint="eastAsia" w:ascii="宋体" w:hAnsi="宋体" w:cs="宋体"/>
          <w:szCs w:val="21"/>
        </w:rPr>
        <w:t>联系电话：　0771-2618199、2618118 、2611898　　　　　　　　　　　</w:t>
      </w:r>
    </w:p>
    <w:p w14:paraId="4235D54C">
      <w:pPr>
        <w:spacing w:line="360" w:lineRule="auto"/>
        <w:ind w:firstLine="420"/>
        <w:rPr>
          <w:rFonts w:ascii="宋体" w:hAnsi="宋体" w:cs="宋体"/>
          <w:szCs w:val="21"/>
        </w:rPr>
      </w:pPr>
      <w:r>
        <w:rPr>
          <w:rFonts w:hint="eastAsia" w:ascii="宋体" w:hAnsi="宋体" w:cs="宋体"/>
          <w:szCs w:val="21"/>
        </w:rPr>
        <w:t>3.项目联系方式</w:t>
      </w:r>
    </w:p>
    <w:p w14:paraId="0E6F201F">
      <w:pPr>
        <w:spacing w:line="360" w:lineRule="auto"/>
        <w:ind w:firstLine="420"/>
        <w:rPr>
          <w:rFonts w:ascii="宋体" w:hAnsi="宋体" w:cs="宋体"/>
          <w:szCs w:val="21"/>
        </w:rPr>
      </w:pPr>
      <w:r>
        <w:rPr>
          <w:rFonts w:hint="eastAsia" w:ascii="宋体" w:hAnsi="宋体" w:cs="宋体"/>
          <w:szCs w:val="21"/>
        </w:rPr>
        <w:t>项目联系人： 黄丽杰</w:t>
      </w:r>
    </w:p>
    <w:p w14:paraId="13BEB0AF">
      <w:pPr>
        <w:spacing w:line="360" w:lineRule="auto"/>
        <w:ind w:firstLine="420"/>
        <w:rPr>
          <w:rFonts w:ascii="宋体" w:hAnsi="宋体"/>
          <w:szCs w:val="21"/>
        </w:rPr>
      </w:pPr>
      <w:r>
        <w:rPr>
          <w:rFonts w:hint="eastAsia" w:ascii="宋体" w:hAnsi="宋体" w:cs="宋体"/>
          <w:szCs w:val="21"/>
        </w:rPr>
        <w:t>电话：　0771-2618199、2618118 、2611898　</w:t>
      </w:r>
    </w:p>
    <w:p w14:paraId="5D5E248F">
      <w:pPr>
        <w:spacing w:after="120" w:line="360" w:lineRule="auto"/>
        <w:ind w:firstLine="420"/>
        <w:jc w:val="left"/>
        <w:rPr>
          <w:rFonts w:ascii="宋体" w:hAnsi="宋体"/>
          <w:szCs w:val="21"/>
        </w:rPr>
      </w:pPr>
      <w:r>
        <w:rPr>
          <w:rFonts w:hint="eastAsia" w:ascii="宋体" w:hAnsi="宋体"/>
          <w:szCs w:val="21"/>
        </w:rPr>
        <w:t>附件：</w:t>
      </w:r>
    </w:p>
    <w:p w14:paraId="4E73466F">
      <w:pPr>
        <w:spacing w:line="360" w:lineRule="auto"/>
        <w:ind w:firstLine="420"/>
      </w:pPr>
      <w:r>
        <w:rPr>
          <w:rFonts w:hint="eastAsia" w:ascii="宋体" w:hAnsi="宋体"/>
          <w:szCs w:val="21"/>
        </w:rPr>
        <w:t>1.CA证书申请方式及操作指南下载地址（现场申请方式见网址：</w:t>
      </w:r>
      <w:r>
        <w:t>http://www.ccgp-guangxi.gov.cn/OfficeService/DownloadArea/8354055.html?utm=a0003.39a112b4.cmp001.d0002.f0464b20ff2a11eb873141bf9e381949</w:t>
      </w:r>
      <w:r>
        <w:rPr>
          <w:rFonts w:hint="eastAsia"/>
        </w:rPr>
        <w:t>（广西政府采购网）</w:t>
      </w:r>
      <w:r>
        <w:t>/</w:t>
      </w:r>
      <w:r>
        <w:rPr>
          <w:rFonts w:hint="eastAsia"/>
        </w:rPr>
        <w:t>网上申请方式见网址：</w:t>
      </w:r>
      <w:r>
        <w:t>http://nncz.nanning.gov.cn/</w:t>
      </w:r>
      <w:r>
        <w:rPr>
          <w:rFonts w:hint="eastAsia"/>
        </w:rPr>
        <w:t>（南宁市财政局官网）</w:t>
      </w:r>
      <w:r>
        <w:t>-</w:t>
      </w:r>
      <w:r>
        <w:rPr>
          <w:rFonts w:hint="eastAsia"/>
        </w:rPr>
        <w:t>下载专区</w:t>
      </w:r>
      <w:r>
        <w:t>-</w:t>
      </w:r>
      <w:r>
        <w:rPr>
          <w:rFonts w:hint="eastAsia"/>
        </w:rPr>
        <w:t>“广西政采云西部</w:t>
      </w:r>
      <w:r>
        <w:t>CA</w:t>
      </w:r>
      <w:r>
        <w:rPr>
          <w:rFonts w:hint="eastAsia"/>
        </w:rPr>
        <w:t>办理方式”或“南宁市政采云</w:t>
      </w:r>
      <w:r>
        <w:t>CA</w:t>
      </w:r>
      <w:r>
        <w:rPr>
          <w:rFonts w:hint="eastAsia"/>
        </w:rPr>
        <w:t>证书办理操作指南”</w:t>
      </w:r>
      <w:r>
        <w:rPr>
          <w:rFonts w:hint="eastAsia" w:ascii="宋体" w:hAnsi="宋体"/>
          <w:szCs w:val="21"/>
        </w:rPr>
        <w:t>）</w:t>
      </w:r>
    </w:p>
    <w:p w14:paraId="7D1B45FD">
      <w:pPr>
        <w:spacing w:after="120" w:line="360" w:lineRule="auto"/>
        <w:ind w:firstLine="420"/>
        <w:jc w:val="left"/>
        <w:rPr>
          <w:rFonts w:ascii="宋体" w:hAnsi="宋体"/>
          <w:szCs w:val="21"/>
        </w:rPr>
      </w:pPr>
      <w:r>
        <w:rPr>
          <w:rFonts w:hint="eastAsia" w:ascii="宋体" w:hAnsi="宋体"/>
          <w:szCs w:val="21"/>
        </w:rPr>
        <w:t>2.电子投标文件制作与投送教程（在此网址下载：</w:t>
      </w:r>
      <w:r>
        <w:t>http://nncz.nanning.gov.cn/</w:t>
      </w:r>
      <w:r>
        <w:rPr>
          <w:rFonts w:hint="eastAsia"/>
        </w:rPr>
        <w:t>（南宁市财政局官网）</w:t>
      </w:r>
      <w:r>
        <w:t>-</w:t>
      </w:r>
      <w:r>
        <w:rPr>
          <w:rFonts w:hint="eastAsia"/>
        </w:rPr>
        <w:t>下载专区</w:t>
      </w:r>
      <w:r>
        <w:rPr>
          <w:rFonts w:hint="eastAsia" w:ascii="宋体" w:hAnsi="宋体"/>
          <w:szCs w:val="21"/>
        </w:rPr>
        <w:t>）</w:t>
      </w:r>
    </w:p>
    <w:p w14:paraId="3597AC64">
      <w:pPr>
        <w:spacing w:after="120" w:line="360" w:lineRule="auto"/>
        <w:ind w:firstLine="420"/>
        <w:jc w:val="left"/>
        <w:rPr>
          <w:rFonts w:ascii="宋体" w:hAnsi="宋体"/>
          <w:szCs w:val="21"/>
          <w:u w:val="single"/>
        </w:rPr>
      </w:pPr>
    </w:p>
    <w:p w14:paraId="2E04E978">
      <w:pPr>
        <w:spacing w:after="120" w:line="360" w:lineRule="auto"/>
        <w:ind w:firstLine="420"/>
        <w:jc w:val="left"/>
        <w:rPr>
          <w:rFonts w:ascii="宋体" w:hAnsi="宋体"/>
          <w:szCs w:val="21"/>
          <w:u w:val="single"/>
        </w:rPr>
      </w:pPr>
    </w:p>
    <w:p w14:paraId="7E7AC3BF">
      <w:pPr>
        <w:spacing w:line="360" w:lineRule="auto"/>
        <w:ind w:firstLine="5985"/>
        <w:jc w:val="right"/>
        <w:rPr>
          <w:rFonts w:ascii="宋体" w:hAnsi="宋体"/>
          <w:szCs w:val="21"/>
        </w:rPr>
      </w:pPr>
      <w:r>
        <w:rPr>
          <w:rFonts w:hint="eastAsia" w:ascii="宋体" w:hAnsi="宋体"/>
          <w:szCs w:val="21"/>
        </w:rPr>
        <w:t>云之龙咨询集团有限公司</w:t>
      </w:r>
    </w:p>
    <w:p w14:paraId="57762012">
      <w:pPr>
        <w:spacing w:line="360" w:lineRule="auto"/>
        <w:ind w:firstLine="5985"/>
        <w:jc w:val="right"/>
        <w:rPr>
          <w:rFonts w:ascii="宋体" w:hAnsi="宋体"/>
          <w:szCs w:val="21"/>
        </w:rPr>
      </w:pPr>
      <w:r>
        <w:rPr>
          <w:rFonts w:hint="eastAsia" w:ascii="宋体" w:hAnsi="宋体"/>
          <w:szCs w:val="21"/>
        </w:rPr>
        <w:t>2026年 6月 1日</w:t>
      </w:r>
    </w:p>
    <w:p w14:paraId="2D605514">
      <w:pPr>
        <w:spacing w:line="360" w:lineRule="auto"/>
        <w:ind w:firstLine="5985"/>
        <w:jc w:val="right"/>
        <w:rPr>
          <w:rFonts w:ascii="宋体" w:hAnsi="宋体"/>
          <w:szCs w:val="21"/>
        </w:rPr>
      </w:pPr>
    </w:p>
    <w:p w14:paraId="6860EF9E">
      <w:pPr>
        <w:widowControl/>
        <w:spacing w:line="360" w:lineRule="auto"/>
        <w:jc w:val="left"/>
        <w:rPr>
          <w:rFonts w:ascii="宋体" w:hAnsi="宋体"/>
          <w:szCs w:val="21"/>
        </w:rPr>
        <w:sectPr>
          <w:pgSz w:w="11910" w:h="16840"/>
          <w:pgMar w:top="1520" w:right="1500" w:bottom="280" w:left="1680" w:header="720" w:footer="720" w:gutter="0"/>
          <w:cols w:space="1701" w:num="1"/>
        </w:sectPr>
      </w:pPr>
    </w:p>
    <w:p w14:paraId="3735AD84">
      <w:pPr>
        <w:keepNext/>
        <w:keepLines/>
        <w:spacing w:before="340" w:after="330" w:line="576" w:lineRule="auto"/>
        <w:jc w:val="center"/>
        <w:outlineLvl w:val="0"/>
        <w:rPr>
          <w:b/>
          <w:bCs/>
          <w:sz w:val="44"/>
          <w:szCs w:val="44"/>
        </w:rPr>
      </w:pPr>
      <w:bookmarkStart w:id="28" w:name="_Toc173510388"/>
      <w:r>
        <w:rPr>
          <w:rFonts w:hint="eastAsia" w:ascii="Cambria" w:hAnsi="Cambria"/>
          <w:b/>
          <w:sz w:val="32"/>
          <w:szCs w:val="32"/>
        </w:rPr>
        <w:t>第二章采购需求</w:t>
      </w:r>
      <w:bookmarkEnd w:id="28"/>
    </w:p>
    <w:p w14:paraId="0886E2BD">
      <w:pPr>
        <w:spacing w:line="360" w:lineRule="auto"/>
        <w:jc w:val="left"/>
        <w:rPr>
          <w:rFonts w:ascii="宋体" w:hAnsi="宋体" w:cs="宋体"/>
          <w:szCs w:val="21"/>
        </w:rPr>
      </w:pPr>
      <w:r>
        <w:rPr>
          <w:rFonts w:hint="eastAsia" w:ascii="宋体" w:hAnsi="宋体" w:cs="宋体"/>
          <w:szCs w:val="21"/>
        </w:rPr>
        <w:t>说明：</w:t>
      </w:r>
    </w:p>
    <w:p w14:paraId="005EFA19">
      <w:pPr>
        <w:spacing w:line="360" w:lineRule="auto"/>
        <w:ind w:firstLine="420"/>
        <w:jc w:val="left"/>
        <w:rPr>
          <w:rFonts w:ascii="宋体" w:hAnsi="宋体" w:cs="宋体"/>
          <w:szCs w:val="21"/>
        </w:rPr>
      </w:pPr>
      <w:r>
        <w:t xml:space="preserve">1. </w:t>
      </w:r>
      <w:r>
        <w:rPr>
          <w:rFonts w:hint="eastAsia"/>
        </w:rPr>
        <w:t>为落实政府采购政策需满足的要求</w:t>
      </w:r>
    </w:p>
    <w:p w14:paraId="15445A6C">
      <w:pPr>
        <w:spacing w:line="360" w:lineRule="auto"/>
        <w:ind w:firstLine="420"/>
        <w:jc w:val="left"/>
        <w:rPr>
          <w:rFonts w:ascii="宋体" w:hAnsi="宋体" w:cs="宋体"/>
          <w:szCs w:val="21"/>
        </w:rPr>
      </w:pPr>
      <w:r>
        <w:rPr>
          <w:rFonts w:hint="eastAsia" w:ascii="宋体" w:hAnsi="宋体" w:cs="宋体"/>
          <w:szCs w:val="21"/>
        </w:rPr>
        <w:t>（1）本竞争性谈判采购文件所称中小企业必须符合《政府采购促进中小企业发展管理办法》（财库〔2020〕46号）的规定。</w:t>
      </w:r>
    </w:p>
    <w:p w14:paraId="1C3DAB45">
      <w:pPr>
        <w:spacing w:line="360" w:lineRule="auto"/>
        <w:ind w:firstLine="422"/>
        <w:jc w:val="left"/>
        <w:rPr>
          <w:rFonts w:ascii="宋体" w:hAnsi="宋体" w:cs="宋体"/>
          <w:szCs w:val="21"/>
        </w:rPr>
      </w:pPr>
      <w:r>
        <w:rPr>
          <w:rFonts w:hint="eastAsia" w:ascii="宋体" w:hAnsi="宋体" w:cs="宋体"/>
          <w:b/>
          <w:szCs w:val="21"/>
        </w:rPr>
        <w:t>（2）根据《财政部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供应商必须在响应文件中提供所竞标产品的节能产品认证证书复印件（加盖供应商电子签章），否则响应文件按无效处理。如本项目包含的货物属于品目清单内非标注“★”的产品时，应优先采购</w:t>
      </w:r>
      <w:r>
        <w:rPr>
          <w:rFonts w:hint="eastAsia" w:ascii="宋体" w:hAnsi="宋体" w:cs="宋体"/>
          <w:szCs w:val="21"/>
        </w:rPr>
        <w:t>。</w:t>
      </w:r>
    </w:p>
    <w:p w14:paraId="53C91641">
      <w:pPr>
        <w:spacing w:line="360" w:lineRule="auto"/>
        <w:ind w:firstLine="424"/>
        <w:jc w:val="left"/>
        <w:rPr>
          <w:rFonts w:ascii="宋体" w:hAnsi="宋体" w:cs="宋体"/>
          <w:szCs w:val="21"/>
        </w:rPr>
      </w:pPr>
      <w:r>
        <w:rPr>
          <w:rFonts w:hint="eastAsia" w:ascii="宋体" w:hAnsi="宋体" w:cs="宋体"/>
          <w:szCs w:val="21"/>
        </w:rPr>
        <w:t>（3）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32E10A83">
      <w:pPr>
        <w:spacing w:line="360" w:lineRule="auto"/>
        <w:ind w:firstLine="424"/>
        <w:jc w:val="left"/>
        <w:rPr>
          <w:rFonts w:ascii="宋体" w:hAnsi="宋体" w:cs="宋体"/>
          <w:szCs w:val="21"/>
        </w:rPr>
      </w:pPr>
      <w:r>
        <w:rPr>
          <w:rFonts w:hint="eastAsia" w:ascii="宋体" w:hAnsi="宋体" w:cs="宋体"/>
          <w:szCs w:val="21"/>
        </w:rPr>
        <w:t>（4）根据《关于调整网络安全专用产品安全管理有关事项的公告》（2023年1号）规定，本项目采购需求中的产品如果包括《网络关键设备和网络安全专用产品目录》的网络安全专用产品，供应商在响应文件中应主动列明供货范围中属于网络安全专用产品的响应产品，并在响应文件（商务及技术文件）中提供由中国网信网（http://www.cac.gov.cn/index.htm）最新发布的《网络关键设备和网络安全专用产品安全认证和安全检测结果》截图证明材料，不在《网络关键设备和网络安全专用产品安全认证和安全检测结果》中或不在有效期内或未提供有效的《计算机信息系统安全专用产品销售许可证》的，响应文件按无效处理。如属于《网络关键设备和网络安全专用产品目录》中“二、网络安全专用产品”内“产品类别”中的所描述的产品，但不属于所列“产品描述”情形的，应提供相应的说明及证明材料。</w:t>
      </w:r>
    </w:p>
    <w:p w14:paraId="7FC4133A">
      <w:pPr>
        <w:spacing w:line="360" w:lineRule="auto"/>
        <w:ind w:firstLine="424"/>
        <w:jc w:val="left"/>
        <w:rPr>
          <w:rFonts w:ascii="宋体" w:hAnsi="宋体" w:cs="宋体"/>
          <w:b/>
          <w:bCs/>
          <w:szCs w:val="21"/>
        </w:rPr>
      </w:pPr>
      <w:r>
        <w:rPr>
          <w:rFonts w:hint="eastAsia" w:ascii="宋体" w:hAnsi="宋体" w:cs="宋体"/>
          <w:szCs w:val="21"/>
        </w:rPr>
        <w:t xml:space="preserve">2. </w:t>
      </w:r>
      <w:r>
        <w:rPr>
          <w:rFonts w:hint="eastAsia" w:ascii="宋体" w:hAnsi="宋体" w:cs="宋体"/>
          <w:b/>
          <w:bCs/>
          <w:szCs w:val="21"/>
        </w:rPr>
        <w:t>“实质性要求”是指采购需求中带“▲”的条款或者不能负偏离的条款或者已经指明不满足按响应文件作无效处理的条款。</w:t>
      </w:r>
    </w:p>
    <w:p w14:paraId="60ED7810">
      <w:pPr>
        <w:spacing w:line="360" w:lineRule="auto"/>
        <w:ind w:firstLine="424"/>
        <w:jc w:val="left"/>
        <w:rPr>
          <w:rFonts w:ascii="宋体" w:hAnsi="宋体" w:cs="宋体"/>
          <w:szCs w:val="21"/>
        </w:rPr>
      </w:pPr>
      <w:r>
        <w:rPr>
          <w:rFonts w:hint="eastAsia" w:ascii="宋体" w:hAnsi="宋体" w:cs="宋体"/>
          <w:szCs w:val="21"/>
        </w:rPr>
        <w:t>3. 不需要供应商对采购需求响应为具体数值的，此采购需求的数值后将以◆号标注。</w:t>
      </w:r>
    </w:p>
    <w:p w14:paraId="2922AA47">
      <w:pPr>
        <w:spacing w:line="360" w:lineRule="auto"/>
        <w:ind w:firstLine="424" w:firstLineChars="202"/>
        <w:jc w:val="left"/>
        <w:rPr>
          <w:rFonts w:ascii="宋体" w:hAnsi="宋体" w:cs="宋体"/>
          <w:szCs w:val="21"/>
        </w:rPr>
      </w:pPr>
      <w:r>
        <w:rPr>
          <w:rFonts w:hint="eastAsia" w:ascii="宋体" w:hAnsi="宋体" w:cs="宋体"/>
          <w:szCs w:val="21"/>
        </w:rPr>
        <w:t>3.采购需求中出现的品牌、型号或者生产供应商仅起参考作用，不属于指定品牌、型号或者生产供应商的情形。供应商可参照或者选用其他相当的品牌、型号或者生产供应商替代。</w:t>
      </w:r>
    </w:p>
    <w:p w14:paraId="32D9C5DE">
      <w:pPr>
        <w:spacing w:line="360" w:lineRule="auto"/>
        <w:ind w:firstLine="424" w:firstLineChars="202"/>
        <w:jc w:val="left"/>
        <w:rPr>
          <w:rFonts w:ascii="宋体" w:hAnsi="宋体" w:cs="宋体"/>
          <w:szCs w:val="21"/>
        </w:rPr>
      </w:pPr>
      <w:r>
        <w:rPr>
          <w:rFonts w:hint="eastAsia" w:ascii="宋体" w:hAnsi="宋体" w:cs="宋体"/>
          <w:szCs w:val="21"/>
        </w:rPr>
        <w:t>4. 供应商应根据自身实际情况如实响应谈判文件，对谈判文件提出的要求和条件作出明确响应，否则将作无效响应处理。对于重要技术条款或技术参数应当在响应文件中提供技术支持资料，技术支持资料以谈判文件中规定的形式为准，否则将视为无效技术支持资料。</w:t>
      </w:r>
    </w:p>
    <w:p w14:paraId="2BB53C9F">
      <w:pPr>
        <w:spacing w:line="360" w:lineRule="auto"/>
        <w:ind w:firstLine="424" w:firstLineChars="202"/>
        <w:jc w:val="left"/>
        <w:rPr>
          <w:rFonts w:ascii="宋体" w:hAnsi="宋体"/>
          <w:szCs w:val="21"/>
        </w:rPr>
      </w:pPr>
      <w:r>
        <w:rPr>
          <w:rFonts w:hint="eastAsia" w:ascii="宋体" w:hAnsi="宋体" w:cs="宋体"/>
          <w:szCs w:val="21"/>
        </w:rPr>
        <w:t>5.</w:t>
      </w:r>
      <w:r>
        <w:rPr>
          <w:rFonts w:hint="eastAsia"/>
        </w:rPr>
        <w:t>供应商必须自行为其竞标产品侵犯他人的知识产权或者专利成果的行为承担相应法律责任。</w:t>
      </w:r>
    </w:p>
    <w:p w14:paraId="5456CD0E">
      <w:pPr>
        <w:spacing w:line="360" w:lineRule="auto"/>
        <w:ind w:firstLine="420"/>
        <w:jc w:val="left"/>
        <w:rPr>
          <w:rFonts w:ascii="宋体" w:hAnsi="宋体" w:cs="宋体"/>
          <w:szCs w:val="21"/>
        </w:rPr>
      </w:pPr>
    </w:p>
    <w:p w14:paraId="6AD581B7">
      <w:pPr>
        <w:spacing w:line="360" w:lineRule="auto"/>
        <w:ind w:firstLine="420"/>
        <w:jc w:val="left"/>
        <w:rPr>
          <w:rFonts w:ascii="宋体" w:hAnsi="宋体" w:cs="宋体"/>
          <w:szCs w:val="21"/>
        </w:rPr>
      </w:pPr>
    </w:p>
    <w:tbl>
      <w:tblPr>
        <w:tblStyle w:val="32"/>
        <w:tblW w:w="96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4"/>
        <w:gridCol w:w="16"/>
        <w:gridCol w:w="1118"/>
        <w:gridCol w:w="709"/>
        <w:gridCol w:w="709"/>
        <w:gridCol w:w="5244"/>
        <w:gridCol w:w="1117"/>
        <w:gridCol w:w="17"/>
      </w:tblGrid>
      <w:tr w14:paraId="6311D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dxa"/>
          <w:trHeight w:val="516" w:hRule="atLeast"/>
          <w:jc w:val="center"/>
        </w:trPr>
        <w:tc>
          <w:tcPr>
            <w:tcW w:w="9607" w:type="dxa"/>
            <w:gridSpan w:val="7"/>
            <w:tcBorders>
              <w:top w:val="single" w:color="auto" w:sz="4" w:space="0"/>
              <w:left w:val="single" w:color="auto" w:sz="4" w:space="0"/>
              <w:bottom w:val="single" w:color="auto" w:sz="4" w:space="0"/>
              <w:right w:val="single" w:color="auto" w:sz="4" w:space="0"/>
            </w:tcBorders>
            <w:vAlign w:val="center"/>
          </w:tcPr>
          <w:p w14:paraId="5F27058C">
            <w:pPr>
              <w:wordWrap w:val="0"/>
              <w:spacing w:line="360" w:lineRule="auto"/>
              <w:jc w:val="center"/>
              <w:rPr>
                <w:rFonts w:ascii="宋体" w:hAnsi="宋体" w:cs="宋体"/>
                <w:b/>
                <w:sz w:val="24"/>
              </w:rPr>
            </w:pPr>
            <w:r>
              <w:rPr>
                <w:rFonts w:hint="eastAsia" w:ascii="宋体" w:hAnsi="宋体" w:cs="宋体"/>
                <w:b/>
                <w:sz w:val="24"/>
              </w:rPr>
              <w:t>货物需求一览表</w:t>
            </w:r>
          </w:p>
        </w:tc>
      </w:tr>
      <w:tr w14:paraId="58D0C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694" w:type="dxa"/>
            <w:tcBorders>
              <w:top w:val="single" w:color="auto" w:sz="4" w:space="0"/>
              <w:left w:val="single" w:color="auto" w:sz="4" w:space="0"/>
              <w:bottom w:val="single" w:color="auto" w:sz="4" w:space="0"/>
              <w:right w:val="single" w:color="auto" w:sz="4" w:space="0"/>
            </w:tcBorders>
            <w:vAlign w:val="center"/>
          </w:tcPr>
          <w:p w14:paraId="62292594">
            <w:pPr>
              <w:wordWrap w:val="0"/>
              <w:spacing w:line="360" w:lineRule="auto"/>
              <w:jc w:val="center"/>
              <w:rPr>
                <w:rFonts w:ascii="宋体" w:hAnsi="宋体" w:cs="宋体"/>
                <w:sz w:val="24"/>
              </w:rPr>
            </w:pPr>
            <w:r>
              <w:rPr>
                <w:rFonts w:hint="eastAsia" w:ascii="宋体" w:hAnsi="宋体" w:cs="宋体"/>
                <w:sz w:val="24"/>
              </w:rPr>
              <w:t>序号</w:t>
            </w:r>
          </w:p>
        </w:tc>
        <w:tc>
          <w:tcPr>
            <w:tcW w:w="1134" w:type="dxa"/>
            <w:gridSpan w:val="2"/>
            <w:tcBorders>
              <w:top w:val="single" w:color="auto" w:sz="4" w:space="0"/>
              <w:left w:val="single" w:color="auto" w:sz="4" w:space="0"/>
              <w:bottom w:val="single" w:color="auto" w:sz="4" w:space="0"/>
              <w:right w:val="single" w:color="auto" w:sz="4" w:space="0"/>
            </w:tcBorders>
            <w:vAlign w:val="center"/>
          </w:tcPr>
          <w:p w14:paraId="68B1FE24">
            <w:pPr>
              <w:wordWrap w:val="0"/>
              <w:spacing w:line="360" w:lineRule="auto"/>
              <w:jc w:val="center"/>
              <w:rPr>
                <w:rFonts w:ascii="宋体" w:hAnsi="宋体" w:cs="宋体"/>
                <w:sz w:val="24"/>
              </w:rPr>
            </w:pPr>
            <w:r>
              <w:rPr>
                <w:rFonts w:hint="eastAsia" w:ascii="宋体" w:hAnsi="宋体" w:cs="宋体"/>
                <w:sz w:val="24"/>
              </w:rPr>
              <w:t>标的名称</w:t>
            </w:r>
          </w:p>
        </w:tc>
        <w:tc>
          <w:tcPr>
            <w:tcW w:w="709" w:type="dxa"/>
            <w:tcBorders>
              <w:top w:val="single" w:color="auto" w:sz="4" w:space="0"/>
              <w:left w:val="single" w:color="auto" w:sz="4" w:space="0"/>
              <w:bottom w:val="single" w:color="auto" w:sz="4" w:space="0"/>
              <w:right w:val="single" w:color="auto" w:sz="4" w:space="0"/>
            </w:tcBorders>
            <w:vAlign w:val="center"/>
          </w:tcPr>
          <w:p w14:paraId="475B47B2">
            <w:pPr>
              <w:wordWrap w:val="0"/>
              <w:jc w:val="center"/>
              <w:rPr>
                <w:rFonts w:ascii="宋体" w:hAnsi="宋体" w:cs="宋体"/>
                <w:sz w:val="24"/>
              </w:rPr>
            </w:pPr>
            <w:r>
              <w:rPr>
                <w:rFonts w:hint="eastAsia" w:ascii="宋体" w:hAnsi="宋体" w:cs="宋体"/>
                <w:sz w:val="24"/>
              </w:rPr>
              <w:t>单位</w:t>
            </w:r>
          </w:p>
        </w:tc>
        <w:tc>
          <w:tcPr>
            <w:tcW w:w="709" w:type="dxa"/>
            <w:tcBorders>
              <w:top w:val="single" w:color="auto" w:sz="4" w:space="0"/>
              <w:left w:val="single" w:color="auto" w:sz="4" w:space="0"/>
              <w:bottom w:val="single" w:color="auto" w:sz="4" w:space="0"/>
              <w:right w:val="single" w:color="auto" w:sz="4" w:space="0"/>
            </w:tcBorders>
            <w:vAlign w:val="center"/>
          </w:tcPr>
          <w:p w14:paraId="628C20FD">
            <w:pPr>
              <w:wordWrap w:val="0"/>
              <w:jc w:val="center"/>
              <w:rPr>
                <w:rFonts w:ascii="宋体" w:hAnsi="宋体" w:cs="宋体"/>
                <w:sz w:val="24"/>
              </w:rPr>
            </w:pPr>
            <w:r>
              <w:rPr>
                <w:rFonts w:hint="eastAsia" w:ascii="宋体" w:hAnsi="宋体" w:cs="宋体"/>
                <w:sz w:val="24"/>
              </w:rPr>
              <w:t>数量</w:t>
            </w:r>
          </w:p>
        </w:tc>
        <w:tc>
          <w:tcPr>
            <w:tcW w:w="5244" w:type="dxa"/>
            <w:tcBorders>
              <w:top w:val="single" w:color="auto" w:sz="4" w:space="0"/>
              <w:left w:val="single" w:color="auto" w:sz="4" w:space="0"/>
              <w:bottom w:val="single" w:color="auto" w:sz="4" w:space="0"/>
              <w:right w:val="single" w:color="auto" w:sz="4" w:space="0"/>
            </w:tcBorders>
            <w:vAlign w:val="center"/>
          </w:tcPr>
          <w:p w14:paraId="1D49AEF1">
            <w:pPr>
              <w:wordWrap w:val="0"/>
              <w:spacing w:line="360" w:lineRule="auto"/>
              <w:jc w:val="center"/>
              <w:rPr>
                <w:rFonts w:ascii="宋体" w:hAnsi="宋体" w:cs="宋体"/>
                <w:sz w:val="24"/>
              </w:rPr>
            </w:pPr>
            <w:r>
              <w:rPr>
                <w:rFonts w:hint="eastAsia" w:ascii="宋体" w:hAnsi="宋体" w:cs="宋体"/>
                <w:sz w:val="24"/>
              </w:rPr>
              <w:t>货物技术参数要求</w:t>
            </w:r>
          </w:p>
        </w:tc>
        <w:tc>
          <w:tcPr>
            <w:tcW w:w="1134" w:type="dxa"/>
            <w:gridSpan w:val="2"/>
            <w:tcBorders>
              <w:top w:val="single" w:color="auto" w:sz="4" w:space="0"/>
              <w:left w:val="single" w:color="auto" w:sz="4" w:space="0"/>
              <w:bottom w:val="single" w:color="auto" w:sz="4" w:space="0"/>
              <w:right w:val="single" w:color="auto" w:sz="4" w:space="0"/>
            </w:tcBorders>
            <w:vAlign w:val="center"/>
          </w:tcPr>
          <w:p w14:paraId="1EA3D97E">
            <w:pPr>
              <w:wordWrap w:val="0"/>
              <w:jc w:val="center"/>
              <w:rPr>
                <w:rFonts w:ascii="宋体" w:hAnsi="宋体" w:cs="宋体"/>
                <w:sz w:val="24"/>
              </w:rPr>
            </w:pPr>
            <w:r>
              <w:rPr>
                <w:rFonts w:hint="eastAsia" w:ascii="宋体" w:hAnsi="宋体" w:cs="宋体"/>
                <w:sz w:val="24"/>
              </w:rPr>
              <w:t>分项预算合计（元）</w:t>
            </w:r>
          </w:p>
        </w:tc>
      </w:tr>
      <w:tr w14:paraId="67437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694" w:type="dxa"/>
            <w:tcBorders>
              <w:top w:val="single" w:color="auto" w:sz="4" w:space="0"/>
              <w:left w:val="single" w:color="auto" w:sz="4" w:space="0"/>
              <w:bottom w:val="single" w:color="auto" w:sz="4" w:space="0"/>
              <w:right w:val="single" w:color="auto" w:sz="4" w:space="0"/>
            </w:tcBorders>
            <w:vAlign w:val="center"/>
          </w:tcPr>
          <w:p w14:paraId="79FC333B">
            <w:pPr>
              <w:wordWrap w:val="0"/>
              <w:spacing w:line="360" w:lineRule="auto"/>
              <w:jc w:val="center"/>
              <w:rPr>
                <w:rFonts w:ascii="宋体" w:hAnsi="宋体" w:cs="宋体"/>
                <w:sz w:val="24"/>
              </w:rPr>
            </w:pPr>
            <w:r>
              <w:rPr>
                <w:rFonts w:hint="eastAsia" w:ascii="宋体" w:hAnsi="宋体" w:cs="宋体"/>
                <w:sz w:val="24"/>
              </w:rPr>
              <w:t>1</w:t>
            </w:r>
          </w:p>
        </w:tc>
        <w:tc>
          <w:tcPr>
            <w:tcW w:w="1134" w:type="dxa"/>
            <w:gridSpan w:val="2"/>
            <w:tcBorders>
              <w:top w:val="single" w:color="auto" w:sz="4" w:space="0"/>
              <w:left w:val="single" w:color="auto" w:sz="4" w:space="0"/>
              <w:bottom w:val="single" w:color="auto" w:sz="4" w:space="0"/>
              <w:right w:val="single" w:color="auto" w:sz="4" w:space="0"/>
            </w:tcBorders>
            <w:vAlign w:val="center"/>
          </w:tcPr>
          <w:p w14:paraId="5A8A39E2">
            <w:pPr>
              <w:widowControl/>
              <w:wordWrap w:val="0"/>
              <w:jc w:val="center"/>
              <w:rPr>
                <w:rFonts w:ascii="宋体" w:hAnsi="宋体" w:cs="宋体"/>
                <w:sz w:val="24"/>
              </w:rPr>
            </w:pPr>
            <w:r>
              <w:rPr>
                <w:sz w:val="24"/>
              </w:rPr>
              <w:t>电子技术集训平台</w:t>
            </w:r>
          </w:p>
        </w:tc>
        <w:tc>
          <w:tcPr>
            <w:tcW w:w="709" w:type="dxa"/>
            <w:tcBorders>
              <w:top w:val="single" w:color="auto" w:sz="4" w:space="0"/>
              <w:left w:val="single" w:color="auto" w:sz="4" w:space="0"/>
              <w:bottom w:val="single" w:color="auto" w:sz="4" w:space="0"/>
              <w:right w:val="single" w:color="auto" w:sz="4" w:space="0"/>
            </w:tcBorders>
            <w:vAlign w:val="center"/>
          </w:tcPr>
          <w:p w14:paraId="6D452598">
            <w:pPr>
              <w:wordWrap w:val="0"/>
              <w:jc w:val="center"/>
              <w:rPr>
                <w:rFonts w:ascii="宋体" w:hAnsi="宋体" w:cs="宋体"/>
                <w:sz w:val="24"/>
              </w:rPr>
            </w:pPr>
            <w:r>
              <w:rPr>
                <w:rFonts w:hint="eastAsia"/>
                <w:sz w:val="24"/>
              </w:rPr>
              <w:t>套</w:t>
            </w:r>
          </w:p>
        </w:tc>
        <w:tc>
          <w:tcPr>
            <w:tcW w:w="709" w:type="dxa"/>
            <w:tcBorders>
              <w:top w:val="single" w:color="auto" w:sz="4" w:space="0"/>
              <w:left w:val="single" w:color="auto" w:sz="4" w:space="0"/>
              <w:bottom w:val="single" w:color="auto" w:sz="4" w:space="0"/>
              <w:right w:val="single" w:color="auto" w:sz="4" w:space="0"/>
            </w:tcBorders>
            <w:vAlign w:val="center"/>
          </w:tcPr>
          <w:p w14:paraId="070576CF">
            <w:pPr>
              <w:wordWrap w:val="0"/>
              <w:jc w:val="center"/>
              <w:rPr>
                <w:rFonts w:ascii="宋体" w:hAnsi="宋体" w:cs="宋体"/>
                <w:sz w:val="24"/>
              </w:rPr>
            </w:pPr>
            <w:r>
              <w:rPr>
                <w:rFonts w:hint="eastAsia"/>
                <w:sz w:val="24"/>
              </w:rPr>
              <w:t>14</w:t>
            </w:r>
          </w:p>
        </w:tc>
        <w:tc>
          <w:tcPr>
            <w:tcW w:w="5244" w:type="dxa"/>
            <w:tcBorders>
              <w:top w:val="single" w:color="auto" w:sz="4" w:space="0"/>
              <w:left w:val="single" w:color="auto" w:sz="4" w:space="0"/>
              <w:bottom w:val="single" w:color="auto" w:sz="4" w:space="0"/>
              <w:right w:val="single" w:color="auto" w:sz="4" w:space="0"/>
            </w:tcBorders>
            <w:vAlign w:val="center"/>
          </w:tcPr>
          <w:p w14:paraId="2A343E78">
            <w:pPr>
              <w:wordWrap w:val="0"/>
              <w:ind w:firstLine="9718"/>
              <w:rPr>
                <w:sz w:val="24"/>
              </w:rPr>
            </w:pPr>
            <w:r>
              <w:rPr>
                <w:rFonts w:hint="eastAsia"/>
                <w:b/>
                <w:bCs/>
                <w:sz w:val="24"/>
              </w:rPr>
              <w:t>一一、工作台：</w:t>
            </w:r>
            <w:r>
              <w:rPr>
                <w:b/>
                <w:bCs/>
                <w:sz w:val="24"/>
              </w:rPr>
              <w:br w:type="textWrapping" w:clear="all"/>
            </w:r>
            <w:r>
              <w:rPr>
                <w:rFonts w:hint="eastAsia"/>
                <w:sz w:val="24"/>
              </w:rPr>
              <w:t>1、结构尺寸：≥L2600mm×W1800mm×H2000mm，采用L字形设计。</w:t>
            </w:r>
            <w:r>
              <w:rPr>
                <w:sz w:val="24"/>
              </w:rPr>
              <w:br w:type="textWrapping" w:clear="all"/>
            </w:r>
            <w:r>
              <w:rPr>
                <w:rFonts w:hint="eastAsia"/>
                <w:sz w:val="24"/>
              </w:rPr>
              <w:t>2、操作桌：≥L1800mm×W800mm×H700mm，铝型材骨架，桌面25mm厚专业面板。</w:t>
            </w:r>
            <w:r>
              <w:rPr>
                <w:sz w:val="24"/>
              </w:rPr>
              <w:br w:type="textWrapping" w:clear="all"/>
            </w:r>
            <w:r>
              <w:rPr>
                <w:rFonts w:hint="eastAsia"/>
                <w:sz w:val="24"/>
              </w:rPr>
              <w:t>3、电脑桌：≥L1800mm×W800mm×H700mm，铝型材骨架，桌面25mm厚专业面板。</w:t>
            </w:r>
            <w:r>
              <w:rPr>
                <w:sz w:val="24"/>
              </w:rPr>
              <w:br w:type="textWrapping" w:clear="all"/>
            </w:r>
            <w:r>
              <w:rPr>
                <w:rFonts w:hint="eastAsia"/>
                <w:sz w:val="24"/>
              </w:rPr>
              <w:t>4、</w:t>
            </w:r>
            <w:r>
              <w:rPr>
                <w:sz w:val="24"/>
              </w:rPr>
              <w:t>LED</w:t>
            </w:r>
            <w:r>
              <w:rPr>
                <w:rFonts w:hint="eastAsia"/>
                <w:sz w:val="24"/>
              </w:rPr>
              <w:t>灯光</w:t>
            </w:r>
            <w:r>
              <w:rPr>
                <w:sz w:val="24"/>
              </w:rPr>
              <w:t>：钢板冷轧钣金工艺精制而成，表面静电喷塑，配置创意现代条形LED灯，</w:t>
            </w:r>
            <w:r>
              <w:rPr>
                <w:rFonts w:hint="eastAsia"/>
                <w:sz w:val="24"/>
              </w:rPr>
              <w:t>周围</w:t>
            </w:r>
            <w:r>
              <w:rPr>
                <w:sz w:val="24"/>
              </w:rPr>
              <w:t>内嵌LED灯带。</w:t>
            </w:r>
            <w:r>
              <w:rPr>
                <w:sz w:val="24"/>
              </w:rPr>
              <w:br w:type="textWrapping" w:clear="all"/>
            </w:r>
            <w:r>
              <w:rPr>
                <w:rFonts w:hint="eastAsia"/>
                <w:sz w:val="24"/>
              </w:rPr>
              <w:t>5、</w:t>
            </w:r>
            <w:r>
              <w:rPr>
                <w:sz w:val="24"/>
              </w:rPr>
              <w:t>工具网孔挂板：钢板冷轧钣金工艺精制而成，表面静电喷塑，可挂置常用线材、工具、耗材等。</w:t>
            </w:r>
            <w:r>
              <w:rPr>
                <w:sz w:val="24"/>
              </w:rPr>
              <w:br w:type="textWrapping" w:clear="all"/>
            </w:r>
            <w:r>
              <w:rPr>
                <w:rFonts w:hint="eastAsia"/>
                <w:b/>
                <w:bCs/>
                <w:sz w:val="24"/>
              </w:rPr>
              <w:t>二、实训屏</w:t>
            </w:r>
            <w:r>
              <w:rPr>
                <w:b/>
                <w:bCs/>
                <w:sz w:val="24"/>
              </w:rPr>
              <w:br w:type="textWrapping" w:clear="all"/>
            </w:r>
            <w:r>
              <w:rPr>
                <w:rFonts w:hint="eastAsia"/>
                <w:sz w:val="24"/>
              </w:rPr>
              <w:t>结构尺寸≥L1077mm×W215mm×H189mm，采用Q235冷轧钢板与铝合金型材相结合。采用模块化配置方式，包括电源控制器模块、数字示波器模块、函数信号发生器、可编程直流电源、智能通讯枢纽、智能控制模块，设有漏电保护开关，可对漏电、触电、过流、短路进行保护。</w:t>
            </w:r>
            <w:r>
              <w:rPr>
                <w:sz w:val="24"/>
              </w:rPr>
              <w:br w:type="textWrapping" w:clear="all"/>
            </w:r>
            <w:r>
              <w:rPr>
                <w:rFonts w:hint="eastAsia" w:ascii="宋体" w:hAnsi="宋体" w:cs="宋体"/>
                <w:szCs w:val="21"/>
              </w:rPr>
              <w:t>▲</w:t>
            </w:r>
            <w:r>
              <w:rPr>
                <w:rFonts w:hint="eastAsia"/>
                <w:sz w:val="24"/>
              </w:rPr>
              <w:t>1、可编程直流电源：</w:t>
            </w:r>
            <w:r>
              <w:rPr>
                <w:sz w:val="24"/>
              </w:rPr>
              <w:br w:type="textWrapping" w:clear="all"/>
            </w:r>
            <w:r>
              <w:rPr>
                <w:rFonts w:hint="eastAsia"/>
                <w:sz w:val="24"/>
              </w:rPr>
              <w:t>（1）</w:t>
            </w:r>
            <w:r>
              <w:rPr>
                <w:sz w:val="24"/>
              </w:rPr>
              <w:t>电源</w:t>
            </w:r>
            <w:r>
              <w:rPr>
                <w:rFonts w:hint="eastAsia"/>
                <w:sz w:val="24"/>
              </w:rPr>
              <w:t>要求</w:t>
            </w:r>
            <w:r>
              <w:rPr>
                <w:sz w:val="24"/>
              </w:rPr>
              <w:t>：AC 100V/120V/220V/230V</w:t>
            </w:r>
            <w:r>
              <w:rPr>
                <w:rFonts w:hint="eastAsia"/>
                <w:sz w:val="24"/>
              </w:rPr>
              <w:t>，50～60Hz</w:t>
            </w:r>
            <w:r>
              <w:rPr>
                <w:sz w:val="24"/>
              </w:rPr>
              <w:t>；</w:t>
            </w:r>
            <w:r>
              <w:rPr>
                <w:sz w:val="24"/>
              </w:rPr>
              <w:br w:type="textWrapping" w:clear="all"/>
            </w:r>
            <w:r>
              <w:rPr>
                <w:rFonts w:hint="eastAsia"/>
                <w:sz w:val="24"/>
              </w:rPr>
              <w:t>（2）CH1、CH2通道输出特性：0～32V可调，0～3.2A可调；</w:t>
            </w:r>
            <w:r>
              <w:rPr>
                <w:sz w:val="24"/>
              </w:rPr>
              <w:br w:type="textWrapping" w:clear="all"/>
            </w:r>
            <w:r>
              <w:rPr>
                <w:rFonts w:hint="eastAsia"/>
                <w:sz w:val="24"/>
              </w:rPr>
              <w:t>（3）CH3输出特性：电压可调，输出电流±3%/3.2A；</w:t>
            </w:r>
            <w:r>
              <w:rPr>
                <w:sz w:val="24"/>
              </w:rPr>
              <w:br w:type="textWrapping" w:clear="all"/>
            </w:r>
            <w:r>
              <w:rPr>
                <w:rFonts w:hint="eastAsia"/>
                <w:sz w:val="24"/>
              </w:rPr>
              <w:t>（4）</w:t>
            </w:r>
            <w:r>
              <w:rPr>
                <w:sz w:val="24"/>
              </w:rPr>
              <w:t>输出功率</w:t>
            </w:r>
            <w:r>
              <w:rPr>
                <w:rFonts w:hint="eastAsia"/>
                <w:sz w:val="24"/>
              </w:rPr>
              <w:t>：≥</w:t>
            </w:r>
            <w:r>
              <w:rPr>
                <w:sz w:val="24"/>
              </w:rPr>
              <w:t>2</w:t>
            </w:r>
            <w:r>
              <w:rPr>
                <w:rFonts w:hint="eastAsia"/>
                <w:sz w:val="24"/>
              </w:rPr>
              <w:t>00</w:t>
            </w:r>
            <w:r>
              <w:rPr>
                <w:sz w:val="24"/>
              </w:rPr>
              <w:t>W</w:t>
            </w:r>
            <w:r>
              <w:rPr>
                <w:rFonts w:hint="eastAsia"/>
                <w:sz w:val="24"/>
              </w:rPr>
              <w:t>；</w:t>
            </w:r>
            <w:r>
              <w:rPr>
                <w:sz w:val="24"/>
              </w:rPr>
              <w:br w:type="textWrapping" w:clear="all"/>
            </w:r>
            <w:r>
              <w:rPr>
                <w:rFonts w:hint="eastAsia"/>
                <w:sz w:val="24"/>
              </w:rPr>
              <w:t>（5）并联模式：电源调节率 ≤0.01%+3mV，负载调解率 ≤0.01%±3mV(额定电流≤3A)，≤0.02%±30mV(额定电流≥3A)</w:t>
            </w:r>
            <w:r>
              <w:rPr>
                <w:sz w:val="24"/>
              </w:rPr>
              <w:br w:type="textWrapping" w:clear="all"/>
            </w:r>
            <w:r>
              <w:rPr>
                <w:rFonts w:hint="eastAsia"/>
                <w:sz w:val="24"/>
              </w:rPr>
              <w:t>（6）串联模式：电源调节率 ≤0.01%+5mV，负载调节率 ≤300mV，误差≤0.01%±10mV(10~30V空载)（接入负载≤300mV），≤0.5%±30mV(0~9.99V空载)（接入负载≤300mV）</w:t>
            </w:r>
            <w:r>
              <w:rPr>
                <w:sz w:val="24"/>
              </w:rPr>
              <w:br w:type="textWrapping" w:clear="all"/>
            </w:r>
            <w:r>
              <w:rPr>
                <w:rFonts w:hint="eastAsia"/>
                <w:sz w:val="24"/>
              </w:rPr>
              <w:t>（7）分辨率：</w:t>
            </w:r>
            <w:r>
              <w:rPr>
                <w:sz w:val="24"/>
              </w:rPr>
              <w:t>电压10mV，电流1mA；</w:t>
            </w:r>
            <w:r>
              <w:rPr>
                <w:sz w:val="24"/>
              </w:rPr>
              <w:br w:type="textWrapping" w:clear="all"/>
            </w:r>
            <w:r>
              <w:rPr>
                <w:rFonts w:hint="eastAsia"/>
                <w:sz w:val="24"/>
              </w:rPr>
              <w:t>（8）设置精确度</w:t>
            </w:r>
            <w:r>
              <w:rPr>
                <w:sz w:val="24"/>
              </w:rPr>
              <w:t>(25℃±5℃)：电压≤0.1%+3mV</w:t>
            </w:r>
            <w:r>
              <w:rPr>
                <w:rFonts w:hint="eastAsia"/>
                <w:sz w:val="24"/>
              </w:rPr>
              <w:t>，</w:t>
            </w:r>
            <w:r>
              <w:rPr>
                <w:sz w:val="24"/>
              </w:rPr>
              <w:t>电流≤0.5%+2mA</w:t>
            </w:r>
            <w:r>
              <w:rPr>
                <w:rFonts w:hint="eastAsia"/>
                <w:sz w:val="24"/>
              </w:rPr>
              <w:t>；</w:t>
            </w:r>
            <w:r>
              <w:rPr>
                <w:sz w:val="24"/>
              </w:rPr>
              <w:br w:type="textWrapping" w:clear="all"/>
            </w:r>
            <w:r>
              <w:rPr>
                <w:rFonts w:hint="eastAsia"/>
                <w:sz w:val="24"/>
              </w:rPr>
              <w:t>（9）</w:t>
            </w:r>
            <w:r>
              <w:rPr>
                <w:sz w:val="24"/>
              </w:rPr>
              <w:t>温度系数：电压/电流≤300ppm/℃</w:t>
            </w:r>
            <w:r>
              <w:rPr>
                <w:rFonts w:hint="eastAsia"/>
                <w:sz w:val="24"/>
              </w:rPr>
              <w:t>；</w:t>
            </w:r>
            <w:r>
              <w:rPr>
                <w:sz w:val="24"/>
              </w:rPr>
              <w:br w:type="textWrapping" w:clear="all"/>
            </w:r>
            <w:r>
              <w:rPr>
                <w:rFonts w:hint="eastAsia"/>
                <w:sz w:val="24"/>
              </w:rPr>
              <w:t>（10）</w:t>
            </w:r>
            <w:r>
              <w:rPr>
                <w:sz w:val="24"/>
              </w:rPr>
              <w:t>电压上升/延时</w:t>
            </w:r>
            <w:r>
              <w:rPr>
                <w:rFonts w:hint="eastAsia"/>
                <w:sz w:val="24"/>
              </w:rPr>
              <w:t>：</w:t>
            </w:r>
            <w:r>
              <w:rPr>
                <w:sz w:val="24"/>
              </w:rPr>
              <w:t>≤100ms(10% Rated load)；</w:t>
            </w:r>
            <w:r>
              <w:rPr>
                <w:sz w:val="24"/>
              </w:rPr>
              <w:br w:type="textWrapping" w:clear="all"/>
            </w:r>
            <w:r>
              <w:rPr>
                <w:rFonts w:hint="eastAsia"/>
                <w:sz w:val="24"/>
              </w:rPr>
              <w:t>（11）</w:t>
            </w:r>
            <w:r>
              <w:rPr>
                <w:sz w:val="24"/>
              </w:rPr>
              <w:t>并联/串联负载效应：≤0.1%+0.1V</w:t>
            </w:r>
            <w:r>
              <w:rPr>
                <w:rFonts w:hint="eastAsia"/>
                <w:sz w:val="24"/>
              </w:rPr>
              <w:t>；</w:t>
            </w:r>
            <w:r>
              <w:rPr>
                <w:sz w:val="24"/>
              </w:rPr>
              <w:br w:type="textWrapping" w:clear="all"/>
            </w:r>
            <w:r>
              <w:rPr>
                <w:rFonts w:hint="eastAsia"/>
                <w:sz w:val="24"/>
              </w:rPr>
              <w:t>（12）</w:t>
            </w:r>
            <w:r>
              <w:rPr>
                <w:sz w:val="24"/>
              </w:rPr>
              <w:t>纹波与噪声：</w:t>
            </w:r>
            <w:r>
              <w:rPr>
                <w:rFonts w:hint="eastAsia"/>
                <w:sz w:val="24"/>
              </w:rPr>
              <w:t>电压</w:t>
            </w:r>
            <w:r>
              <w:rPr>
                <w:sz w:val="24"/>
              </w:rPr>
              <w:t>≤1mVrms(5Hz~1MHz)，电流≤3mArms</w:t>
            </w:r>
            <w:r>
              <w:rPr>
                <w:rFonts w:hint="eastAsia"/>
                <w:sz w:val="24"/>
              </w:rPr>
              <w:t>；</w:t>
            </w:r>
            <w:r>
              <w:rPr>
                <w:sz w:val="24"/>
              </w:rPr>
              <w:br w:type="textWrapping" w:clear="all"/>
            </w:r>
            <w:r>
              <w:rPr>
                <w:rFonts w:hint="eastAsia"/>
                <w:sz w:val="24"/>
              </w:rPr>
              <w:t>（13）接口：</w:t>
            </w:r>
            <w:r>
              <w:rPr>
                <w:sz w:val="24"/>
              </w:rPr>
              <w:t>USB、RS-232、Digital I/O</w:t>
            </w:r>
            <w:r>
              <w:rPr>
                <w:rFonts w:hint="eastAsia"/>
                <w:sz w:val="24"/>
              </w:rPr>
              <w:t>；</w:t>
            </w:r>
            <w:r>
              <w:rPr>
                <w:sz w:val="24"/>
              </w:rPr>
              <w:br w:type="textWrapping" w:clear="all"/>
            </w:r>
            <w:r>
              <w:rPr>
                <w:rFonts w:hint="eastAsia"/>
                <w:sz w:val="24"/>
              </w:rPr>
              <w:t>（14）</w:t>
            </w:r>
            <w:r>
              <w:rPr>
                <w:sz w:val="24"/>
              </w:rPr>
              <w:t>显示类型 EBTN LCD显示屏</w:t>
            </w:r>
            <w:r>
              <w:rPr>
                <w:rFonts w:hint="eastAsia"/>
                <w:sz w:val="24"/>
              </w:rPr>
              <w:t>；</w:t>
            </w:r>
            <w:r>
              <w:rPr>
                <w:sz w:val="24"/>
              </w:rPr>
              <w:br w:type="textWrapping" w:clear="all"/>
            </w:r>
            <w:r>
              <w:rPr>
                <w:rFonts w:hint="eastAsia"/>
                <w:sz w:val="24"/>
              </w:rPr>
              <w:t>（15）</w:t>
            </w:r>
            <w:r>
              <w:rPr>
                <w:sz w:val="24"/>
              </w:rPr>
              <w:t>尺寸</w:t>
            </w:r>
            <w:r>
              <w:rPr>
                <w:rFonts w:hint="eastAsia"/>
                <w:sz w:val="24"/>
              </w:rPr>
              <w:t>≥</w:t>
            </w:r>
            <w:r>
              <w:rPr>
                <w:sz w:val="24"/>
              </w:rPr>
              <w:t>W2</w:t>
            </w:r>
            <w:r>
              <w:rPr>
                <w:rFonts w:hint="eastAsia"/>
                <w:sz w:val="24"/>
              </w:rPr>
              <w:t>0</w:t>
            </w:r>
            <w:r>
              <w:rPr>
                <w:sz w:val="24"/>
              </w:rPr>
              <w:t>0</w:t>
            </w:r>
            <w:r>
              <w:rPr>
                <w:rFonts w:hint="eastAsia"/>
                <w:sz w:val="24"/>
              </w:rPr>
              <w:t>×</w:t>
            </w:r>
            <w:r>
              <w:rPr>
                <w:sz w:val="24"/>
              </w:rPr>
              <w:t>H1</w:t>
            </w:r>
            <w:r>
              <w:rPr>
                <w:rFonts w:hint="eastAsia"/>
                <w:sz w:val="24"/>
              </w:rPr>
              <w:t>0</w:t>
            </w:r>
            <w:r>
              <w:rPr>
                <w:sz w:val="24"/>
              </w:rPr>
              <w:t>8</w:t>
            </w:r>
            <w:r>
              <w:rPr>
                <w:rFonts w:hint="eastAsia"/>
                <w:sz w:val="24"/>
              </w:rPr>
              <w:t>×</w:t>
            </w:r>
            <w:r>
              <w:rPr>
                <w:sz w:val="24"/>
              </w:rPr>
              <w:t>L3</w:t>
            </w:r>
            <w:r>
              <w:rPr>
                <w:rFonts w:hint="eastAsia"/>
                <w:sz w:val="24"/>
              </w:rPr>
              <w:t>0</w:t>
            </w:r>
            <w:r>
              <w:rPr>
                <w:sz w:val="24"/>
              </w:rPr>
              <w:t>7</w:t>
            </w:r>
            <w:r>
              <w:rPr>
                <w:rFonts w:hint="eastAsia"/>
                <w:sz w:val="24"/>
              </w:rPr>
              <w:t>（</w:t>
            </w:r>
            <w:r>
              <w:rPr>
                <w:sz w:val="24"/>
              </w:rPr>
              <w:t>mm</w:t>
            </w:r>
            <w:r>
              <w:rPr>
                <w:rFonts w:hint="eastAsia"/>
                <w:sz w:val="24"/>
              </w:rPr>
              <w:t>）；</w:t>
            </w:r>
            <w:r>
              <w:rPr>
                <w:sz w:val="24"/>
              </w:rPr>
              <w:br w:type="textWrapping" w:clear="all"/>
            </w:r>
            <w:r>
              <w:rPr>
                <w:sz w:val="24"/>
              </w:rPr>
              <w:t>（</w:t>
            </w:r>
            <w:r>
              <w:rPr>
                <w:rFonts w:hint="eastAsia"/>
                <w:sz w:val="24"/>
              </w:rPr>
              <w:t>16</w:t>
            </w:r>
            <w:r>
              <w:rPr>
                <w:sz w:val="24"/>
              </w:rPr>
              <w:t>）重量</w:t>
            </w:r>
            <w:r>
              <w:rPr>
                <w:rFonts w:hint="eastAsia"/>
                <w:sz w:val="24"/>
              </w:rPr>
              <w:t>≥9</w:t>
            </w:r>
            <w:r>
              <w:rPr>
                <w:sz w:val="24"/>
              </w:rPr>
              <w:t>kg</w:t>
            </w:r>
            <w:r>
              <w:rPr>
                <w:rFonts w:hint="eastAsia"/>
                <w:sz w:val="24"/>
              </w:rPr>
              <w:t>；</w:t>
            </w:r>
            <w:r>
              <w:rPr>
                <w:sz w:val="24"/>
              </w:rPr>
              <w:br w:type="textWrapping" w:clear="all"/>
            </w:r>
            <w:r>
              <w:rPr>
                <w:rFonts w:hint="eastAsia"/>
                <w:sz w:val="24"/>
              </w:rPr>
              <w:t>（17）配备：电源线1条，使用手册1本，测试棒 2条；</w:t>
            </w:r>
            <w:r>
              <w:rPr>
                <w:sz w:val="24"/>
              </w:rPr>
              <w:br w:type="textWrapping" w:clear="all"/>
            </w:r>
            <w:r>
              <w:rPr>
                <w:rFonts w:hint="eastAsia"/>
                <w:sz w:val="24"/>
              </w:rPr>
              <w:t>（18）支持虚拟仪器体系结构(VISA)标准通讯接口，支持上位机通过VISA接口SDK进行监控仪器，导出故障记录，包括短路和过流等异常操作记录。</w:t>
            </w:r>
            <w:r>
              <w:rPr>
                <w:sz w:val="24"/>
              </w:rPr>
              <w:br w:type="textWrapping" w:clear="all"/>
            </w:r>
            <w:r>
              <w:rPr>
                <w:rFonts w:hint="eastAsia" w:ascii="宋体" w:hAnsi="宋体" w:cs="宋体"/>
                <w:szCs w:val="21"/>
              </w:rPr>
              <w:t>▲</w:t>
            </w:r>
            <w:r>
              <w:rPr>
                <w:rFonts w:hint="eastAsia"/>
                <w:sz w:val="24"/>
              </w:rPr>
              <w:t>2、数字示波器：</w:t>
            </w:r>
            <w:r>
              <w:rPr>
                <w:sz w:val="24"/>
              </w:rPr>
              <w:br w:type="textWrapping" w:clear="all"/>
            </w:r>
            <w:r>
              <w:rPr>
                <w:rFonts w:hint="eastAsia"/>
                <w:sz w:val="24"/>
              </w:rPr>
              <w:t>（1）带宽</w:t>
            </w:r>
            <w:r>
              <w:rPr>
                <w:sz w:val="24"/>
              </w:rPr>
              <w:t>≥</w:t>
            </w:r>
            <w:r>
              <w:rPr>
                <w:rFonts w:hint="eastAsia"/>
                <w:sz w:val="24"/>
              </w:rPr>
              <w:t>200MHz，最大采样率</w:t>
            </w:r>
            <w:r>
              <w:rPr>
                <w:sz w:val="24"/>
              </w:rPr>
              <w:t>≥</w:t>
            </w:r>
            <w:r>
              <w:rPr>
                <w:rFonts w:hint="eastAsia"/>
                <w:sz w:val="24"/>
              </w:rPr>
              <w:t>2GSa/s；</w:t>
            </w:r>
            <w:r>
              <w:rPr>
                <w:sz w:val="24"/>
              </w:rPr>
              <w:br w:type="textWrapping" w:clear="all"/>
            </w:r>
            <w:r>
              <w:rPr>
                <w:rFonts w:hint="eastAsia"/>
                <w:sz w:val="24"/>
              </w:rPr>
              <w:t>（2）模拟通道数</w:t>
            </w:r>
            <w:r>
              <w:rPr>
                <w:sz w:val="24"/>
              </w:rPr>
              <w:t>≥</w:t>
            </w:r>
            <w:r>
              <w:rPr>
                <w:rFonts w:hint="eastAsia"/>
                <w:sz w:val="24"/>
              </w:rPr>
              <w:t>4个；</w:t>
            </w:r>
            <w:r>
              <w:rPr>
                <w:sz w:val="24"/>
              </w:rPr>
              <w:br w:type="textWrapping" w:clear="all"/>
            </w:r>
            <w:r>
              <w:rPr>
                <w:rFonts w:hint="eastAsia"/>
                <w:sz w:val="24"/>
              </w:rPr>
              <w:t>（3）存储深度≥56Mpts；</w:t>
            </w:r>
            <w:r>
              <w:rPr>
                <w:sz w:val="24"/>
              </w:rPr>
              <w:br w:type="textWrapping" w:clear="all"/>
            </w:r>
            <w:r>
              <w:rPr>
                <w:rFonts w:hint="eastAsia"/>
                <w:sz w:val="24"/>
              </w:rPr>
              <w:t>（4）</w:t>
            </w:r>
            <w:r>
              <w:rPr>
                <w:sz w:val="24"/>
              </w:rPr>
              <w:t>垂直档位</w:t>
            </w:r>
            <w:r>
              <w:rPr>
                <w:rFonts w:hint="eastAsia"/>
                <w:sz w:val="24"/>
              </w:rPr>
              <w:t>：</w:t>
            </w:r>
            <w:r>
              <w:rPr>
                <w:sz w:val="24"/>
              </w:rPr>
              <w:t>500μV/div</w:t>
            </w:r>
            <w:r>
              <w:rPr>
                <w:rFonts w:hint="eastAsia"/>
                <w:sz w:val="24"/>
              </w:rPr>
              <w:t>~</w:t>
            </w:r>
            <w:r>
              <w:rPr>
                <w:sz w:val="24"/>
              </w:rPr>
              <w:t>20 V/div</w:t>
            </w:r>
            <w:r>
              <w:rPr>
                <w:rFonts w:hint="eastAsia"/>
                <w:sz w:val="24"/>
              </w:rPr>
              <w:t>；</w:t>
            </w:r>
            <w:r>
              <w:rPr>
                <w:sz w:val="24"/>
              </w:rPr>
              <w:br w:type="textWrapping" w:clear="all"/>
            </w:r>
            <w:r>
              <w:rPr>
                <w:rFonts w:hint="eastAsia"/>
                <w:sz w:val="24"/>
              </w:rPr>
              <w:t>（5）水平挡位：5ns/div~50s/div；</w:t>
            </w:r>
            <w:r>
              <w:rPr>
                <w:sz w:val="24"/>
              </w:rPr>
              <w:br w:type="textWrapping" w:clear="all"/>
            </w:r>
            <w:r>
              <w:rPr>
                <w:rFonts w:hint="eastAsia"/>
                <w:sz w:val="24"/>
              </w:rPr>
              <w:t>（6）低本底噪声：＜100uVrms；</w:t>
            </w:r>
            <w:r>
              <w:rPr>
                <w:sz w:val="24"/>
              </w:rPr>
              <w:br w:type="textWrapping" w:clear="all"/>
            </w:r>
            <w:r>
              <w:rPr>
                <w:rFonts w:hint="eastAsia"/>
                <w:sz w:val="24"/>
              </w:rPr>
              <w:t>（7）液晶屏≥7英寸WVGA（800×480）TFT；</w:t>
            </w:r>
            <w:r>
              <w:rPr>
                <w:sz w:val="24"/>
              </w:rPr>
              <w:br w:type="textWrapping" w:clear="all"/>
            </w:r>
            <w:r>
              <w:rPr>
                <w:rFonts w:hint="eastAsia"/>
                <w:sz w:val="24"/>
              </w:rPr>
              <w:t>（8）最高波形捕获率≥500,000wfms/s，支持触发输出（Trigger Out）验证波形捕获率；</w:t>
            </w:r>
            <w:r>
              <w:rPr>
                <w:sz w:val="24"/>
              </w:rPr>
              <w:br w:type="textWrapping" w:clear="all"/>
            </w:r>
            <w:r>
              <w:rPr>
                <w:rFonts w:hint="eastAsia"/>
                <w:sz w:val="24"/>
              </w:rPr>
              <w:t>（9）支持</w:t>
            </w:r>
            <w:r>
              <w:rPr>
                <w:sz w:val="24"/>
              </w:rPr>
              <w:t>波形运算功能（FFT、加、减、乘、除、数字滤波、逻辑运算和高级运算）</w:t>
            </w:r>
            <w:r>
              <w:rPr>
                <w:rFonts w:hint="eastAsia"/>
                <w:sz w:val="24"/>
              </w:rPr>
              <w:t>；</w:t>
            </w:r>
            <w:r>
              <w:rPr>
                <w:sz w:val="24"/>
              </w:rPr>
              <w:br w:type="textWrapping" w:clear="all"/>
            </w:r>
            <w:r>
              <w:rPr>
                <w:rFonts w:hint="eastAsia"/>
                <w:sz w:val="24"/>
              </w:rPr>
              <w:t>（10）</w:t>
            </w:r>
            <w:r>
              <w:rPr>
                <w:sz w:val="24"/>
              </w:rPr>
              <w:t>丰富的触发功能</w:t>
            </w:r>
            <w:r>
              <w:rPr>
                <w:rFonts w:hint="eastAsia"/>
                <w:sz w:val="24"/>
              </w:rPr>
              <w:t>：边沿，脉宽，欠幅，超幅，N边沿，延迟，超时，持续时间，建立/保持，斜率，视频，码型；</w:t>
            </w:r>
            <w:r>
              <w:rPr>
                <w:sz w:val="24"/>
              </w:rPr>
              <w:br w:type="textWrapping" w:clear="all"/>
            </w:r>
            <w:r>
              <w:rPr>
                <w:rFonts w:hint="eastAsia"/>
                <w:sz w:val="24"/>
              </w:rPr>
              <w:t>（11）支持RS232/UART、I2C、SPI、CAN全内存硬件解码；</w:t>
            </w:r>
            <w:r>
              <w:rPr>
                <w:sz w:val="24"/>
              </w:rPr>
              <w:br w:type="textWrapping" w:clear="all"/>
            </w:r>
            <w:r>
              <w:rPr>
                <w:rFonts w:hint="eastAsia"/>
                <w:sz w:val="24"/>
              </w:rPr>
              <w:t>（12）支持WEB访问和控制；</w:t>
            </w:r>
            <w:r>
              <w:rPr>
                <w:sz w:val="24"/>
              </w:rPr>
              <w:br w:type="textWrapping" w:clear="all"/>
            </w:r>
            <w:r>
              <w:rPr>
                <w:rFonts w:hint="eastAsia"/>
                <w:sz w:val="24"/>
              </w:rPr>
              <w:t>（13）配备接口：USB Host，USB Device，LAN，EXT Trig</w:t>
            </w:r>
            <w:r>
              <w:rPr>
                <w:sz w:val="24"/>
              </w:rPr>
              <w:t>，</w:t>
            </w:r>
            <w:r>
              <w:rPr>
                <w:rFonts w:hint="eastAsia"/>
                <w:sz w:val="24"/>
              </w:rPr>
              <w:t>AUX Out；</w:t>
            </w:r>
            <w:r>
              <w:rPr>
                <w:sz w:val="24"/>
              </w:rPr>
              <w:br w:type="textWrapping" w:clear="all"/>
            </w:r>
            <w:r>
              <w:rPr>
                <w:rFonts w:hint="eastAsia"/>
                <w:sz w:val="24"/>
              </w:rPr>
              <w:t>（14）支持逻辑分析仪模块；支持虚拟仪器体系结构(VISA)标准通讯接口，支持上位机通过VISA接口SDK进行监控仪器，导出监测波形数据，截取仪表 屏幕全部画面，并能上传作为考核评分依据。</w:t>
            </w:r>
            <w:r>
              <w:rPr>
                <w:sz w:val="24"/>
              </w:rPr>
              <w:br w:type="textWrapping" w:clear="all"/>
            </w:r>
            <w:r>
              <w:rPr>
                <w:rFonts w:hint="eastAsia" w:ascii="宋体" w:hAnsi="宋体" w:cs="宋体"/>
                <w:szCs w:val="21"/>
              </w:rPr>
              <w:t>▲</w:t>
            </w:r>
            <w:r>
              <w:rPr>
                <w:rFonts w:hint="eastAsia"/>
                <w:sz w:val="24"/>
              </w:rPr>
              <w:t>3、函数信号发生器：</w:t>
            </w:r>
            <w:r>
              <w:rPr>
                <w:sz w:val="24"/>
              </w:rPr>
              <w:br w:type="textWrapping" w:clear="all"/>
            </w:r>
            <w:r>
              <w:rPr>
                <w:rFonts w:hint="eastAsia"/>
                <w:sz w:val="24"/>
              </w:rPr>
              <w:t>（1）输出波形：正弦波、方波、斜波/锯齿波、脉冲波、谐波、噪声、直流、表达式、任意波形等；</w:t>
            </w:r>
            <w:r>
              <w:rPr>
                <w:sz w:val="24"/>
              </w:rPr>
              <w:br w:type="textWrapping" w:clear="all"/>
            </w:r>
            <w:r>
              <w:rPr>
                <w:rFonts w:hint="eastAsia"/>
                <w:sz w:val="24"/>
              </w:rPr>
              <w:t>（2）输出频率范围：正弦波：1µHz~100MHz，方波：1µHz~30MHz，任意波：1µHz~20MHz，采用DDS技术等性能双通道独立输出，内置16次谐波发生器，内置不小于7位精度的宽频带频率计，频率范围：100mHz~800MHz</w:t>
            </w:r>
            <w:r>
              <w:rPr>
                <w:sz w:val="24"/>
              </w:rPr>
              <w:br w:type="textWrapping" w:clear="all"/>
            </w:r>
            <w:r>
              <w:rPr>
                <w:rFonts w:hint="eastAsia"/>
                <w:sz w:val="24"/>
              </w:rPr>
              <w:t>（3）输出幅值(高阻)：2mVpp~20Vpp之间连续可调输出幅值误差在±1%左右</w:t>
            </w:r>
            <w:r>
              <w:rPr>
                <w:sz w:val="24"/>
              </w:rPr>
              <w:br w:type="textWrapping" w:clear="all"/>
            </w:r>
            <w:r>
              <w:rPr>
                <w:rFonts w:hint="eastAsia"/>
                <w:sz w:val="24"/>
              </w:rPr>
              <w:t>（4）垂直分辨率：16bit，采样率：500MS/s，</w:t>
            </w:r>
            <w:r>
              <w:rPr>
                <w:sz w:val="24"/>
              </w:rPr>
              <w:t>双通道同时逐点独立输出最大任意波长度：16Mpts</w:t>
            </w:r>
            <w:r>
              <w:rPr>
                <w:sz w:val="24"/>
              </w:rPr>
              <w:br w:type="textWrapping" w:clear="all"/>
            </w:r>
            <w:r>
              <w:rPr>
                <w:sz w:val="24"/>
              </w:rPr>
              <w:t>（5）模拟数字调制类型：AM、FM、PM、ASK、FSK、PSK、BPSK、QPSK、OSK、DSB-AM、PWM、SUM、QAM，具有表达式编辑输出功能，具有通道叠加、通道复制功能</w:t>
            </w:r>
            <w:r>
              <w:rPr>
                <w:sz w:val="24"/>
              </w:rPr>
              <w:br w:type="textWrapping" w:clear="all"/>
            </w:r>
            <w:r>
              <w:rPr>
                <w:sz w:val="24"/>
              </w:rPr>
              <w:t>（6）显示：8英寸WVGA（800×480）TFT液晶屏，同时显示两路频率、幅值等信息</w:t>
            </w:r>
            <w:r>
              <w:rPr>
                <w:rFonts w:hint="eastAsia"/>
                <w:sz w:val="24"/>
              </w:rPr>
              <w:t>；</w:t>
            </w:r>
            <w:r>
              <w:rPr>
                <w:sz w:val="24"/>
              </w:rPr>
              <w:br w:type="textWrapping" w:clear="all"/>
            </w:r>
            <w:r>
              <w:rPr>
                <w:rFonts w:hint="eastAsia"/>
                <w:sz w:val="24"/>
              </w:rPr>
              <w:t>（7）配置</w:t>
            </w:r>
            <w:r>
              <w:rPr>
                <w:sz w:val="24"/>
              </w:rPr>
              <w:t>USB Device、USB Host、LAN接口，支持U盘存储及系统升级。</w:t>
            </w:r>
            <w:r>
              <w:rPr>
                <w:sz w:val="24"/>
              </w:rPr>
              <w:br w:type="textWrapping" w:clear="all"/>
            </w:r>
            <w:r>
              <w:rPr>
                <w:rFonts w:hint="eastAsia"/>
                <w:sz w:val="24"/>
              </w:rPr>
              <w:t>（8）</w:t>
            </w:r>
            <w:r>
              <w:rPr>
                <w:sz w:val="24"/>
              </w:rPr>
              <w:t>支持上位机监控、操作仪器</w:t>
            </w:r>
            <w:r>
              <w:rPr>
                <w:rFonts w:hint="eastAsia"/>
                <w:sz w:val="24"/>
              </w:rPr>
              <w:t>。支持虚拟仪器体系结构(VISA)标准通讯接口，支持上位机通过VISA接口SDK进行监控仪器，导出双通道波形数据，截取仪表屏幕全部画面，并能上传作为考核评分依据。</w:t>
            </w:r>
            <w:r>
              <w:rPr>
                <w:sz w:val="24"/>
              </w:rPr>
              <w:br w:type="textWrapping" w:clear="all"/>
            </w:r>
            <w:r>
              <w:rPr>
                <w:rFonts w:hint="eastAsia"/>
                <w:sz w:val="24"/>
              </w:rPr>
              <w:t>4、智能通讯枢纽：</w:t>
            </w:r>
            <w:r>
              <w:rPr>
                <w:sz w:val="24"/>
              </w:rPr>
              <w:br w:type="textWrapping" w:clear="all"/>
            </w:r>
            <w:r>
              <w:rPr>
                <w:rFonts w:hint="eastAsia"/>
                <w:sz w:val="24"/>
              </w:rPr>
              <w:t>通过智能算法与数据解析能力的结合，实现实时监测及精准指令响应，推动设备管理向智能化和数字化转型。其主要功能包括：</w:t>
            </w:r>
            <w:r>
              <w:rPr>
                <w:sz w:val="24"/>
              </w:rPr>
              <w:br w:type="textWrapping" w:clear="all"/>
            </w:r>
            <w:r>
              <w:rPr>
                <w:rFonts w:hint="eastAsia"/>
                <w:sz w:val="24"/>
              </w:rPr>
              <w:t>（1）实时数据获取。能够实时获取数字示波器、函数信号发生器、可编程直流电源和智能控制模块的数据信息。</w:t>
            </w:r>
            <w:r>
              <w:rPr>
                <w:sz w:val="24"/>
              </w:rPr>
              <w:t>通过虚拟仪器体系结构(VISA)标准通讯接口连接三大仪器(示波器、直流电源、函数信号发生器)，实时监控仪表过程数据</w:t>
            </w:r>
            <w:r>
              <w:rPr>
                <w:rFonts w:hint="eastAsia"/>
                <w:sz w:val="24"/>
              </w:rPr>
              <w:t>。</w:t>
            </w:r>
            <w:r>
              <w:rPr>
                <w:sz w:val="24"/>
              </w:rPr>
              <w:br w:type="textWrapping" w:clear="all"/>
            </w:r>
            <w:r>
              <w:rPr>
                <w:rFonts w:hint="eastAsia"/>
                <w:sz w:val="24"/>
              </w:rPr>
              <w:t>（2）图像传输：</w:t>
            </w:r>
            <w:r>
              <w:rPr>
                <w:sz w:val="24"/>
              </w:rPr>
              <w:t>支持截取示波器和函数信号发生器的完整屏幕图像和波形数据，实时监控直流电源状态数据并能记录故障信息，采集图像和数据支持上传服务器作为比赛或考核的评分依据。</w:t>
            </w:r>
            <w:r>
              <w:rPr>
                <w:sz w:val="24"/>
              </w:rPr>
              <w:br w:type="textWrapping" w:clear="all"/>
            </w:r>
            <w:r>
              <w:rPr>
                <w:rFonts w:hint="eastAsia"/>
                <w:sz w:val="24"/>
              </w:rPr>
              <w:t>（3）智能控制指令下发。能够根据实时数据分析结果，向模块下发精准的控制指令。</w:t>
            </w:r>
            <w:r>
              <w:rPr>
                <w:sz w:val="24"/>
              </w:rPr>
              <w:t>含工位/赛项的设定和显示，根据比赛或训练状态</w:t>
            </w:r>
            <w:r>
              <w:rPr>
                <w:rFonts w:hint="eastAsia"/>
                <w:sz w:val="24"/>
              </w:rPr>
              <w:t>对应</w:t>
            </w:r>
            <w:r>
              <w:rPr>
                <w:sz w:val="24"/>
              </w:rPr>
              <w:t>呼叫机制，包括：疑问/医疗/设备问题/去卫生间/申请评分/取消/完成，操作呼叫按钮后主屏响应时间不超过1秒钟；自动统计呼叫次数/取消次数/完成次数，所有操作记录及时间节点以列表会话展示，</w:t>
            </w:r>
            <w:r>
              <w:rPr>
                <w:rFonts w:hint="eastAsia"/>
                <w:sz w:val="24"/>
              </w:rPr>
              <w:t>能够</w:t>
            </w:r>
            <w:r>
              <w:rPr>
                <w:sz w:val="24"/>
              </w:rPr>
              <w:t>查询操作记录。</w:t>
            </w:r>
            <w:r>
              <w:rPr>
                <w:rFonts w:hint="eastAsia"/>
                <w:sz w:val="24"/>
              </w:rPr>
              <w:t>智能通讯枢纽</w:t>
            </w:r>
            <w:r>
              <w:rPr>
                <w:sz w:val="24"/>
              </w:rPr>
              <w:t>的呼叫系统与手持呼叫牌相互兼容，既能同时存在，也能独立工作。</w:t>
            </w:r>
            <w:r>
              <w:rPr>
                <w:sz w:val="24"/>
              </w:rPr>
              <w:br w:type="textWrapping" w:clear="all"/>
            </w:r>
            <w:r>
              <w:rPr>
                <w:rFonts w:hint="eastAsia"/>
                <w:sz w:val="24"/>
              </w:rPr>
              <w:t>5、智能控制模块：</w:t>
            </w:r>
            <w:r>
              <w:rPr>
                <w:sz w:val="24"/>
              </w:rPr>
              <w:br w:type="textWrapping" w:clear="all"/>
            </w:r>
            <w:r>
              <w:rPr>
                <w:rFonts w:hint="eastAsia"/>
                <w:sz w:val="24"/>
              </w:rPr>
              <w:t>（1）</w:t>
            </w:r>
            <w:r>
              <w:rPr>
                <w:sz w:val="24"/>
              </w:rPr>
              <w:t>关键参数实时监测：能实时控制多媒体电源、照明灯开关、信号灯等相关硬件配件，实时监控设备的电源电压/电流/功率等参数，记录设备使用功耗和时长，电压/电流/功率等以曲线图实时展示变化曲线。</w:t>
            </w:r>
            <w:r>
              <w:rPr>
                <w:sz w:val="24"/>
              </w:rPr>
              <w:br w:type="textWrapping" w:clear="all"/>
            </w:r>
            <w:r>
              <w:rPr>
                <w:rFonts w:hint="eastAsia"/>
                <w:sz w:val="24"/>
              </w:rPr>
              <w:t>（2）</w:t>
            </w:r>
            <w:r>
              <w:rPr>
                <w:sz w:val="24"/>
              </w:rPr>
              <w:t>动态灯控制</w:t>
            </w:r>
            <w:r>
              <w:rPr>
                <w:rFonts w:hint="eastAsia"/>
                <w:sz w:val="24"/>
              </w:rPr>
              <w:t>：</w:t>
            </w:r>
            <w:r>
              <w:rPr>
                <w:sz w:val="24"/>
              </w:rPr>
              <w:t>采用智能灯控制技术，系统能够动态展示设备运行情况及现场状态。通过色彩变化增强现场互动性与信息传递效率</w:t>
            </w:r>
            <w:r>
              <w:rPr>
                <w:rFonts w:hint="eastAsia"/>
                <w:sz w:val="24"/>
              </w:rPr>
              <w:t>。绿灯代表运行，黄灯代表预警，红灯代表停止，蜂鸣器鸣叫。颜色：红/黄/绿，底座声音音量85分贝。</w:t>
            </w:r>
            <w:r>
              <w:rPr>
                <w:sz w:val="24"/>
              </w:rPr>
              <w:br w:type="textWrapping" w:clear="all"/>
            </w:r>
            <w:r>
              <w:rPr>
                <w:rFonts w:hint="eastAsia"/>
                <w:sz w:val="24"/>
              </w:rPr>
              <w:t>（3</w:t>
            </w:r>
            <w:r>
              <w:rPr>
                <w:sz w:val="24"/>
              </w:rPr>
              <w:t>）</w:t>
            </w:r>
            <w:r>
              <w:rPr>
                <w:rFonts w:hint="eastAsia"/>
                <w:sz w:val="24"/>
              </w:rPr>
              <w:t>智能照明调节：</w:t>
            </w:r>
            <w:r>
              <w:rPr>
                <w:sz w:val="24"/>
              </w:rPr>
              <w:t>系统集成光照</w:t>
            </w:r>
            <w:r>
              <w:rPr>
                <w:rFonts w:hint="eastAsia"/>
                <w:sz w:val="24"/>
              </w:rPr>
              <w:t>控制</w:t>
            </w:r>
            <w:r>
              <w:rPr>
                <w:sz w:val="24"/>
              </w:rPr>
              <w:t>器，实时</w:t>
            </w:r>
            <w:r>
              <w:rPr>
                <w:rFonts w:hint="eastAsia"/>
                <w:sz w:val="24"/>
              </w:rPr>
              <w:t>感知</w:t>
            </w:r>
            <w:r>
              <w:rPr>
                <w:sz w:val="24"/>
              </w:rPr>
              <w:t>环境光信息，</w:t>
            </w:r>
            <w:r>
              <w:rPr>
                <w:rFonts w:hint="eastAsia"/>
                <w:sz w:val="24"/>
              </w:rPr>
              <w:t>控制</w:t>
            </w:r>
            <w:r>
              <w:rPr>
                <w:sz w:val="24"/>
              </w:rPr>
              <w:t>灯棚的</w:t>
            </w:r>
            <w:r>
              <w:rPr>
                <w:rFonts w:hint="eastAsia"/>
                <w:sz w:val="24"/>
              </w:rPr>
              <w:t>亮灭</w:t>
            </w:r>
            <w:r>
              <w:rPr>
                <w:sz w:val="24"/>
              </w:rPr>
              <w:t>，整体照明效果提升，实现节能减排，符合现代环保理念</w:t>
            </w:r>
            <w:r>
              <w:rPr>
                <w:rFonts w:hint="eastAsia"/>
                <w:sz w:val="24"/>
              </w:rPr>
              <w:t>。</w:t>
            </w:r>
            <w:r>
              <w:rPr>
                <w:sz w:val="24"/>
              </w:rPr>
              <w:br w:type="textWrapping" w:clear="all"/>
            </w:r>
            <w:r>
              <w:rPr>
                <w:rFonts w:hint="eastAsia"/>
                <w:sz w:val="24"/>
              </w:rPr>
              <w:t>（4）</w:t>
            </w:r>
            <w:r>
              <w:rPr>
                <w:sz w:val="24"/>
              </w:rPr>
              <w:t>电源管理：系统通过多路电源控制，灵活管理仪器和工具的供电需求</w:t>
            </w:r>
            <w:r>
              <w:rPr>
                <w:rFonts w:hint="eastAsia"/>
                <w:sz w:val="24"/>
              </w:rPr>
              <w:t>。</w:t>
            </w:r>
            <w:r>
              <w:rPr>
                <w:sz w:val="24"/>
              </w:rPr>
              <w:br w:type="textWrapping" w:clear="all"/>
            </w:r>
            <w:r>
              <w:rPr>
                <w:rFonts w:hint="eastAsia"/>
                <w:sz w:val="24"/>
              </w:rPr>
              <w:t>（5）</w:t>
            </w:r>
            <w:r>
              <w:rPr>
                <w:sz w:val="24"/>
              </w:rPr>
              <w:t>呼叫系统的无线通信</w:t>
            </w:r>
            <w:r>
              <w:rPr>
                <w:rFonts w:hint="eastAsia"/>
                <w:sz w:val="24"/>
              </w:rPr>
              <w:t>：</w:t>
            </w:r>
            <w:r>
              <w:rPr>
                <w:sz w:val="24"/>
              </w:rPr>
              <w:t>集成高频无线通信模块，支持即时通讯功能，实现快速呼叫系统的响应。</w:t>
            </w:r>
            <w:r>
              <w:rPr>
                <w:sz w:val="24"/>
              </w:rPr>
              <w:br w:type="textWrapping" w:clear="all"/>
            </w:r>
            <w:r>
              <w:rPr>
                <w:rFonts w:hint="eastAsia" w:ascii="宋体" w:hAnsi="宋体" w:cs="宋体"/>
                <w:szCs w:val="21"/>
              </w:rPr>
              <w:t>▲</w:t>
            </w:r>
            <w:r>
              <w:rPr>
                <w:rFonts w:hint="eastAsia"/>
                <w:sz w:val="24"/>
              </w:rPr>
              <w:t>6、智能控制终端：</w:t>
            </w:r>
            <w:r>
              <w:rPr>
                <w:sz w:val="24"/>
              </w:rPr>
              <w:br w:type="textWrapping" w:clear="all"/>
            </w:r>
            <w:r>
              <w:rPr>
                <w:rFonts w:hint="eastAsia"/>
                <w:sz w:val="24"/>
              </w:rPr>
              <w:t>智能控制终端分由硬件部分和软件两部分组成，硬件配置如下：</w:t>
            </w:r>
            <w:r>
              <w:rPr>
                <w:sz w:val="24"/>
              </w:rPr>
              <w:br w:type="textWrapping" w:clear="all"/>
            </w:r>
            <w:r>
              <w:rPr>
                <w:rFonts w:hint="eastAsia"/>
                <w:sz w:val="24"/>
              </w:rPr>
              <w:t>（1）屏幕≥10英寸电容触摸屏；</w:t>
            </w:r>
            <w:r>
              <w:rPr>
                <w:sz w:val="24"/>
              </w:rPr>
              <w:br w:type="textWrapping" w:clear="all"/>
            </w:r>
            <w:r>
              <w:rPr>
                <w:rFonts w:hint="eastAsia"/>
                <w:sz w:val="24"/>
              </w:rPr>
              <w:t>（2）网口：RJ45×1支持千兆网络；</w:t>
            </w:r>
            <w:r>
              <w:rPr>
                <w:sz w:val="24"/>
              </w:rPr>
              <w:br w:type="textWrapping" w:clear="all"/>
            </w:r>
            <w:r>
              <w:rPr>
                <w:rFonts w:hint="eastAsia"/>
                <w:sz w:val="24"/>
              </w:rPr>
              <w:t>（3）无线网络：内置高性能Wi-Fi模块和蓝牙无线模块；</w:t>
            </w:r>
            <w:r>
              <w:rPr>
                <w:sz w:val="24"/>
              </w:rPr>
              <w:br w:type="textWrapping" w:clear="all"/>
            </w:r>
            <w:r>
              <w:rPr>
                <w:rFonts w:hint="eastAsia"/>
                <w:sz w:val="24"/>
              </w:rPr>
              <w:t>（4）系统Windows 10同等或以上；</w:t>
            </w:r>
            <w:r>
              <w:rPr>
                <w:sz w:val="24"/>
              </w:rPr>
              <w:br w:type="textWrapping" w:clear="all"/>
            </w:r>
            <w:r>
              <w:rPr>
                <w:rFonts w:hint="eastAsia"/>
                <w:sz w:val="24"/>
              </w:rPr>
              <w:t>（5）显示分辨率≥1920×1280，</w:t>
            </w:r>
            <w:r>
              <w:rPr>
                <w:sz w:val="24"/>
              </w:rPr>
              <w:t>显示比例</w:t>
            </w:r>
            <w:r>
              <w:rPr>
                <w:rFonts w:hint="eastAsia"/>
                <w:sz w:val="24"/>
              </w:rPr>
              <w:t>16：9；</w:t>
            </w:r>
            <w:r>
              <w:rPr>
                <w:sz w:val="24"/>
              </w:rPr>
              <w:br w:type="textWrapping" w:clear="all"/>
            </w:r>
            <w:r>
              <w:rPr>
                <w:rFonts w:hint="eastAsia"/>
                <w:sz w:val="24"/>
              </w:rPr>
              <w:t>（6）USB口数量≥4个；</w:t>
            </w:r>
            <w:r>
              <w:rPr>
                <w:sz w:val="24"/>
              </w:rPr>
              <w:br w:type="textWrapping" w:clear="all"/>
            </w:r>
            <w:r>
              <w:rPr>
                <w:rFonts w:hint="eastAsia"/>
                <w:sz w:val="24"/>
              </w:rPr>
              <w:t>（7）安装方式：</w:t>
            </w:r>
            <w:r>
              <w:rPr>
                <w:sz w:val="24"/>
              </w:rPr>
              <w:t>嵌入实训屏面板安装</w:t>
            </w:r>
            <w:r>
              <w:rPr>
                <w:rFonts w:hint="eastAsia"/>
                <w:sz w:val="24"/>
              </w:rPr>
              <w:t>；</w:t>
            </w:r>
            <w:r>
              <w:rPr>
                <w:sz w:val="24"/>
              </w:rPr>
              <w:br w:type="textWrapping" w:clear="all"/>
            </w:r>
            <w:r>
              <w:rPr>
                <w:rFonts w:hint="eastAsia"/>
                <w:sz w:val="24"/>
              </w:rPr>
              <w:t>软件配置如下：</w:t>
            </w:r>
            <w:r>
              <w:rPr>
                <w:sz w:val="24"/>
              </w:rPr>
              <w:br w:type="textWrapping" w:clear="all"/>
            </w:r>
            <w:r>
              <w:rPr>
                <w:sz w:val="24"/>
              </w:rPr>
              <w:t>（1）仪器管理系统</w:t>
            </w:r>
            <w:r>
              <w:rPr>
                <w:rFonts w:hint="eastAsia"/>
                <w:sz w:val="24"/>
              </w:rPr>
              <w:t>。通过虚拟仪器体系结构（VISA）标准通讯接口，系统能够高效地连接示波器、直流电源和函数信号发生器，能够实时监控仪器的过程数据；用户可以截取示波器和函数信号发生器的完整屏幕图像和波形数据，便于数据分析和记录；系统支持对直流电源的三个通道状态数据进行实时监控；所采集的图像和数据可以上传至服务器，作为比赛或考核的评分依据。</w:t>
            </w:r>
            <w:r>
              <w:rPr>
                <w:sz w:val="24"/>
              </w:rPr>
              <w:t>集成呼叫系统、</w:t>
            </w:r>
            <w:r>
              <w:rPr>
                <w:rFonts w:hint="eastAsia"/>
                <w:sz w:val="24"/>
              </w:rPr>
              <w:t>仪器</w:t>
            </w:r>
            <w:r>
              <w:rPr>
                <w:sz w:val="24"/>
              </w:rPr>
              <w:t>管理、PCB状态采集器、工位记录仪、电源管理、能耗监控、数据上传服务器等功能。</w:t>
            </w:r>
            <w:r>
              <w:rPr>
                <w:sz w:val="24"/>
              </w:rPr>
              <w:br w:type="textWrapping" w:clear="all"/>
            </w:r>
            <w:r>
              <w:rPr>
                <w:rFonts w:hint="eastAsia"/>
                <w:sz w:val="24"/>
              </w:rPr>
              <w:t>（2）</w:t>
            </w:r>
            <w:r>
              <w:rPr>
                <w:sz w:val="24"/>
              </w:rPr>
              <w:t>行为</w:t>
            </w:r>
            <w:r>
              <w:rPr>
                <w:rFonts w:hint="eastAsia"/>
                <w:sz w:val="24"/>
              </w:rPr>
              <w:t>记录</w:t>
            </w:r>
            <w:r>
              <w:rPr>
                <w:sz w:val="24"/>
              </w:rPr>
              <w:t>系统</w:t>
            </w:r>
            <w:r>
              <w:rPr>
                <w:rFonts w:hint="eastAsia"/>
                <w:sz w:val="24"/>
              </w:rPr>
              <w:t>。通过摄像头监测操作过程，便于后续审查；支持录制和回放操作过程，便于事后分析与教学；定期对操作行为进行统计记录，提供给管理人员和教师用于安全培训或统计分析。能够记录原理绘图/PCB设计/编程过程、电路板安装与焊接过程、电路板调试过程、未佩戴护目镜、未佩戴防静电手环、手甩电烙铁、元器件掉落弯下身寻找过程等。</w:t>
            </w:r>
            <w:r>
              <w:rPr>
                <w:sz w:val="24"/>
              </w:rPr>
              <w:br w:type="textWrapping" w:clear="all"/>
            </w:r>
            <w:r>
              <w:rPr>
                <w:rFonts w:hint="eastAsia"/>
                <w:sz w:val="24"/>
              </w:rPr>
              <w:t>（3）</w:t>
            </w:r>
            <w:r>
              <w:rPr>
                <w:sz w:val="24"/>
              </w:rPr>
              <w:t>设备监控系统</w:t>
            </w:r>
            <w:r>
              <w:rPr>
                <w:rFonts w:hint="eastAsia"/>
                <w:sz w:val="24"/>
              </w:rPr>
              <w:t>。能够</w:t>
            </w:r>
            <w:r>
              <w:rPr>
                <w:sz w:val="24"/>
              </w:rPr>
              <w:t>识别并连接USB或以太网接口的摄像头实时预览，图像分辨率</w:t>
            </w:r>
            <w:r>
              <w:rPr>
                <w:rFonts w:hint="eastAsia"/>
                <w:sz w:val="24"/>
              </w:rPr>
              <w:t>≥</w:t>
            </w:r>
            <w:r>
              <w:rPr>
                <w:sz w:val="24"/>
              </w:rPr>
              <w:t>1920×1080像素，监控范围包括电子工作台编程区、实训屏面板、工作台面、学生活动区；支持高清录像，以列表方式管理录像视频文件，并能直接播放视频或关闭播放；视频文件支持上传服务器作为考核过程评分；支持学生信息登入和验证，将学生信息与上传服务器的数据进行关联。</w:t>
            </w:r>
            <w:r>
              <w:rPr>
                <w:sz w:val="24"/>
              </w:rPr>
              <w:br w:type="textWrapping" w:clear="all"/>
            </w:r>
            <w:r>
              <w:rPr>
                <w:sz w:val="24"/>
              </w:rPr>
              <w:t>（4）PCB状态采集</w:t>
            </w:r>
            <w:r>
              <w:rPr>
                <w:rFonts w:hint="eastAsia"/>
                <w:sz w:val="24"/>
              </w:rPr>
              <w:t>系统。能够</w:t>
            </w:r>
            <w:r>
              <w:rPr>
                <w:sz w:val="24"/>
              </w:rPr>
              <w:t>识别并连接USB或以太网接口的摄像头实时预览，支持拍照上传服务器作为比赛/考核的评分依据，支持图像放大倍数</w:t>
            </w:r>
            <w:r>
              <w:rPr>
                <w:rFonts w:hint="eastAsia"/>
                <w:sz w:val="24"/>
              </w:rPr>
              <w:t>≥</w:t>
            </w:r>
            <w:r>
              <w:rPr>
                <w:sz w:val="24"/>
              </w:rPr>
              <w:t>20倍。</w:t>
            </w:r>
            <w:r>
              <w:rPr>
                <w:rFonts w:hint="eastAsia"/>
                <w:sz w:val="24"/>
              </w:rPr>
              <w:t>可以手动或自动获取PCB工作数据及图像，实时记录PCB工作状态和故障现象，获取结果能够以源文件形式保存用于比赛过程分析和赛后溯源，也可以插入Office做报告记录。</w:t>
            </w:r>
            <w:r>
              <w:rPr>
                <w:sz w:val="24"/>
              </w:rPr>
              <w:br w:type="textWrapping" w:clear="all"/>
            </w:r>
            <w:r>
              <w:rPr>
                <w:rFonts w:hint="eastAsia"/>
                <w:b/>
                <w:bCs/>
                <w:sz w:val="24"/>
              </w:rPr>
              <w:t>三、工具柜：</w:t>
            </w:r>
            <w:r>
              <w:rPr>
                <w:b/>
                <w:bCs/>
                <w:sz w:val="24"/>
              </w:rPr>
              <w:br w:type="textWrapping" w:clear="all"/>
            </w:r>
            <w:r>
              <w:rPr>
                <w:rFonts w:hint="eastAsia"/>
                <w:sz w:val="24"/>
              </w:rPr>
              <w:t>1、结构尺寸≥L405mm×W500mm×H605mm，采用Q235冷轧钢板焊接而成，表面静电喷塑，工具柜下装带刹车的万向轮，使工具柜可以随意固定和移动。</w:t>
            </w:r>
            <w:r>
              <w:rPr>
                <w:sz w:val="24"/>
              </w:rPr>
              <w:br w:type="textWrapping" w:clear="all"/>
            </w:r>
            <w:r>
              <w:rPr>
                <w:rFonts w:hint="eastAsia"/>
                <w:sz w:val="24"/>
              </w:rPr>
              <w:t>2、组成与配置：工具柜设计有四层抽屉，使用分隔条分隔成三个空间，</w:t>
            </w:r>
            <w:r>
              <w:rPr>
                <w:sz w:val="24"/>
              </w:rPr>
              <w:t>可放置实训电路板、套装配件、元器件、工具、耗材、测量仪表等</w:t>
            </w:r>
            <w:r>
              <w:rPr>
                <w:rFonts w:hint="eastAsia"/>
                <w:sz w:val="24"/>
              </w:rPr>
              <w:t>，第四层为大容量柜，可放置套装配件、工具包、开发板、仿真器、测量仪表等，</w:t>
            </w:r>
            <w:r>
              <w:rPr>
                <w:sz w:val="24"/>
              </w:rPr>
              <w:t>拉开抽屉，各种电子元件分类整齐。</w:t>
            </w:r>
            <w:r>
              <w:rPr>
                <w:sz w:val="24"/>
              </w:rPr>
              <w:br w:type="textWrapping" w:clear="all"/>
            </w:r>
            <w:r>
              <w:rPr>
                <w:rFonts w:hint="eastAsia" w:ascii="宋体" w:hAnsi="宋体" w:cs="宋体"/>
                <w:szCs w:val="21"/>
              </w:rPr>
              <w:t>▲</w:t>
            </w:r>
            <w:r>
              <w:rPr>
                <w:rFonts w:hint="eastAsia"/>
                <w:b/>
                <w:bCs/>
                <w:sz w:val="24"/>
              </w:rPr>
              <w:t>四、嵌入式编程与电路设计平台：</w:t>
            </w:r>
            <w:r>
              <w:rPr>
                <w:b/>
                <w:bCs/>
                <w:sz w:val="24"/>
              </w:rPr>
              <w:br w:type="textWrapping" w:clear="all"/>
            </w:r>
            <w:r>
              <w:rPr>
                <w:rFonts w:hint="eastAsia"/>
                <w:sz w:val="24"/>
              </w:rPr>
              <w:t>1、软件：</w:t>
            </w:r>
            <w:r>
              <w:rPr>
                <w:sz w:val="24"/>
              </w:rPr>
              <w:br w:type="textWrapping" w:clear="all"/>
            </w:r>
            <w:r>
              <w:rPr>
                <w:rFonts w:hint="eastAsia"/>
                <w:sz w:val="24"/>
              </w:rPr>
              <w:t>（1）安装Windows10</w:t>
            </w:r>
            <w:r>
              <w:rPr>
                <w:sz w:val="24"/>
              </w:rPr>
              <w:t>同等或以上</w:t>
            </w:r>
            <w:r>
              <w:rPr>
                <w:rFonts w:hint="eastAsia"/>
                <w:sz w:val="24"/>
              </w:rPr>
              <w:t>中文操作系统；</w:t>
            </w:r>
            <w:r>
              <w:rPr>
                <w:sz w:val="24"/>
              </w:rPr>
              <w:br w:type="textWrapping" w:clear="all"/>
            </w:r>
            <w:r>
              <w:rPr>
                <w:rFonts w:hint="eastAsia"/>
                <w:sz w:val="24"/>
              </w:rPr>
              <w:t>（2）安装LTspice、STM32CubeIDE、Fusion360、</w:t>
            </w:r>
            <w:r>
              <w:rPr>
                <w:sz w:val="24"/>
              </w:rPr>
              <w:t>STM32CubeProgrammer</w:t>
            </w:r>
            <w:r>
              <w:rPr>
                <w:rFonts w:hint="eastAsia"/>
                <w:sz w:val="24"/>
              </w:rPr>
              <w:t>软件；</w:t>
            </w:r>
            <w:r>
              <w:rPr>
                <w:sz w:val="24"/>
              </w:rPr>
              <w:br w:type="textWrapping" w:clear="all"/>
            </w:r>
            <w:r>
              <w:rPr>
                <w:rFonts w:hint="eastAsia"/>
                <w:sz w:val="24"/>
              </w:rPr>
              <w:t>（3）office编辑软件及配套驱动程序、</w:t>
            </w:r>
            <w:r>
              <w:rPr>
                <w:sz w:val="24"/>
              </w:rPr>
              <w:t>局域网文件收发软件</w:t>
            </w:r>
            <w:r>
              <w:rPr>
                <w:rFonts w:hint="eastAsia"/>
                <w:sz w:val="24"/>
              </w:rPr>
              <w:t>。</w:t>
            </w:r>
            <w:r>
              <w:rPr>
                <w:b/>
                <w:bCs/>
                <w:sz w:val="24"/>
              </w:rPr>
              <w:br w:type="textWrapping" w:clear="all"/>
            </w:r>
            <w:r>
              <w:rPr>
                <w:rFonts w:hint="eastAsia"/>
                <w:sz w:val="24"/>
              </w:rPr>
              <w:t>2、硬件：</w:t>
            </w:r>
            <w:r>
              <w:rPr>
                <w:sz w:val="24"/>
              </w:rPr>
              <w:br w:type="textWrapping" w:clear="all"/>
            </w:r>
            <w:r>
              <w:rPr>
                <w:rFonts w:hint="eastAsia"/>
                <w:sz w:val="24"/>
              </w:rPr>
              <w:t>（1）CPU</w:t>
            </w:r>
            <w:r>
              <w:rPr>
                <w:sz w:val="24"/>
              </w:rPr>
              <w:t>同等</w:t>
            </w:r>
            <w:r>
              <w:rPr>
                <w:rFonts w:hint="eastAsia"/>
                <w:sz w:val="24"/>
              </w:rPr>
              <w:t>R7-8845HS</w:t>
            </w:r>
            <w:r>
              <w:rPr>
                <w:sz w:val="24"/>
              </w:rPr>
              <w:t>或以上</w:t>
            </w:r>
            <w:r>
              <w:rPr>
                <w:rFonts w:hint="eastAsia"/>
                <w:sz w:val="24"/>
              </w:rPr>
              <w:t>；</w:t>
            </w:r>
            <w:r>
              <w:rPr>
                <w:sz w:val="24"/>
              </w:rPr>
              <w:br w:type="textWrapping" w:clear="all"/>
            </w:r>
            <w:r>
              <w:rPr>
                <w:rFonts w:hint="eastAsia"/>
                <w:sz w:val="24"/>
              </w:rPr>
              <w:t>（2）内存≥32GB双通道DDR5-5600MHz；</w:t>
            </w:r>
            <w:r>
              <w:rPr>
                <w:sz w:val="24"/>
              </w:rPr>
              <w:br w:type="textWrapping" w:clear="all"/>
            </w:r>
            <w:r>
              <w:rPr>
                <w:rFonts w:hint="eastAsia"/>
                <w:sz w:val="24"/>
              </w:rPr>
              <w:t>（3）硬盘≥1TB SSD；</w:t>
            </w:r>
            <w:r>
              <w:rPr>
                <w:sz w:val="24"/>
              </w:rPr>
              <w:br w:type="textWrapping" w:clear="all"/>
            </w:r>
            <w:r>
              <w:rPr>
                <w:rFonts w:hint="eastAsia"/>
                <w:sz w:val="24"/>
              </w:rPr>
              <w:t>（4）显卡≥参照或相当于AMD Radeon 780M，显存</w:t>
            </w:r>
            <w:r>
              <w:rPr>
                <w:sz w:val="24"/>
              </w:rPr>
              <w:t>≥</w:t>
            </w:r>
            <w:r>
              <w:rPr>
                <w:rFonts w:hint="eastAsia"/>
                <w:sz w:val="24"/>
              </w:rPr>
              <w:t>2GB，支持4屏4K显示器同时显示；</w:t>
            </w:r>
            <w:r>
              <w:rPr>
                <w:sz w:val="24"/>
              </w:rPr>
              <w:br w:type="textWrapping" w:clear="all"/>
            </w:r>
            <w:r>
              <w:rPr>
                <w:rFonts w:hint="eastAsia"/>
                <w:sz w:val="24"/>
              </w:rPr>
              <w:t>（5）配备接口USB3.2 Gen2×2，USB2.0×2；3.5mm音频口， USB4 TpyeC×2，HDMI2.1×2，RJ45×1；</w:t>
            </w:r>
            <w:r>
              <w:rPr>
                <w:sz w:val="24"/>
              </w:rPr>
              <w:br w:type="textWrapping" w:clear="all"/>
            </w:r>
            <w:r>
              <w:rPr>
                <w:rFonts w:hint="eastAsia"/>
                <w:sz w:val="24"/>
              </w:rPr>
              <w:t>（6）支持Tpyec-C供电；</w:t>
            </w:r>
            <w:r>
              <w:rPr>
                <w:sz w:val="24"/>
              </w:rPr>
              <w:br w:type="textWrapping" w:clear="all"/>
            </w:r>
            <w:r>
              <w:rPr>
                <w:rFonts w:hint="eastAsia"/>
                <w:sz w:val="24"/>
              </w:rPr>
              <w:t>（7）支持2500Mbps有线连接、支持802.11ax 2x2/WiFi6无线连接、蓝牙5.2无线连接；</w:t>
            </w:r>
            <w:r>
              <w:rPr>
                <w:sz w:val="24"/>
              </w:rPr>
              <w:br w:type="textWrapping" w:clear="all"/>
            </w:r>
            <w:r>
              <w:rPr>
                <w:rFonts w:hint="eastAsia"/>
                <w:sz w:val="24"/>
              </w:rPr>
              <w:t>（8）配备显示器数量≥2台，屏幕尺寸≥27英寸，IPS显示面板；</w:t>
            </w:r>
            <w:r>
              <w:rPr>
                <w:sz w:val="24"/>
              </w:rPr>
              <w:br w:type="textWrapping" w:clear="all"/>
            </w:r>
            <w:r>
              <w:rPr>
                <w:rFonts w:hint="eastAsia"/>
                <w:sz w:val="24"/>
              </w:rPr>
              <w:t>（9）显示器最佳分辨率≥3840×2160@60Hz，亮度≥300cd/㎡，色域≥100% sRGB；</w:t>
            </w:r>
            <w:r>
              <w:rPr>
                <w:sz w:val="24"/>
              </w:rPr>
              <w:br w:type="textWrapping" w:clear="all"/>
            </w:r>
            <w:r>
              <w:rPr>
                <w:rFonts w:hint="eastAsia"/>
                <w:sz w:val="24"/>
              </w:rPr>
              <w:t>（10）显示器配备HDMI2.0×2和DP1.4×1音频输出接口；</w:t>
            </w:r>
            <w:r>
              <w:rPr>
                <w:sz w:val="24"/>
              </w:rPr>
              <w:br w:type="textWrapping" w:clear="all"/>
            </w:r>
            <w:r>
              <w:rPr>
                <w:rFonts w:hint="eastAsia"/>
                <w:sz w:val="24"/>
              </w:rPr>
              <w:t>（11）配置有线鼠标、标准键盘、5轮液压升降椅。</w:t>
            </w:r>
            <w:r>
              <w:rPr>
                <w:b/>
                <w:bCs/>
                <w:sz w:val="24"/>
              </w:rPr>
              <w:br w:type="textWrapping" w:clear="all"/>
            </w:r>
            <w:r>
              <w:rPr>
                <w:rFonts w:hint="eastAsia"/>
                <w:b/>
                <w:bCs/>
                <w:sz w:val="24"/>
              </w:rPr>
              <w:t>五 、UPS电源：</w:t>
            </w:r>
            <w:r>
              <w:rPr>
                <w:rFonts w:hint="eastAsia"/>
                <w:sz w:val="24"/>
              </w:rPr>
              <w:t>额定容量≥1kVA/600W；单相220V输入，单相220V输出；</w:t>
            </w:r>
            <w:r>
              <w:rPr>
                <w:sz w:val="24"/>
              </w:rPr>
              <w:br w:type="textWrapping" w:clear="all"/>
            </w:r>
            <w:r>
              <w:rPr>
                <w:rFonts w:hint="eastAsia"/>
                <w:b/>
                <w:bCs/>
                <w:sz w:val="24"/>
              </w:rPr>
              <w:t>六、焊接调试工具：</w:t>
            </w:r>
            <w:r>
              <w:rPr>
                <w:b/>
                <w:bCs/>
                <w:sz w:val="24"/>
              </w:rPr>
              <w:br w:type="textWrapping" w:clear="all"/>
            </w:r>
            <w:r>
              <w:rPr>
                <w:rFonts w:hint="eastAsia"/>
                <w:sz w:val="24"/>
              </w:rPr>
              <w:t>1、手持式</w:t>
            </w:r>
            <w:r>
              <w:rPr>
                <w:sz w:val="24"/>
              </w:rPr>
              <w:t>自动量程数字万用表</w:t>
            </w:r>
            <w:r>
              <w:rPr>
                <w:rFonts w:hint="eastAsia"/>
                <w:sz w:val="24"/>
              </w:rPr>
              <w:t>：</w:t>
            </w:r>
            <w:r>
              <w:rPr>
                <w:sz w:val="24"/>
              </w:rPr>
              <w:br w:type="textWrapping" w:clear="all"/>
            </w:r>
            <w:r>
              <w:rPr>
                <w:rFonts w:hint="eastAsia"/>
                <w:sz w:val="24"/>
              </w:rPr>
              <w:t>显示位数：四位半（22000），自动量程，真有效值测量，频率响应40Hz-10kHz，具有低通滤波功能，ACV+DCV功能，占空比测量，NCV功能，二极管和三极管测量功能，LCD背光，模拟条46段显示，LCD尺寸≥38.8mm×63.5mm，整机尺寸≥183mm×85mm×50mm。直流电压：0.01mV~1000V；交流电压：0.01mV~1000V；直流电流：0.01uA~20A；交流电流：0.01uA~20A；电阻测量：0.01Ω~220MΩ；频率测量：10Hz~220MHz；电容测量：1pF~220mF；三极管测量：1~1000β。</w:t>
            </w:r>
            <w:r>
              <w:rPr>
                <w:b/>
                <w:bCs/>
                <w:sz w:val="24"/>
              </w:rPr>
              <w:br w:type="textWrapping" w:clear="all"/>
            </w:r>
            <w:r>
              <w:rPr>
                <w:rFonts w:hint="eastAsia"/>
                <w:sz w:val="24"/>
              </w:rPr>
              <w:t>2、便携式编程器：配置主机、20Pin的2.54间距排线、T口USB线、4Pin线</w:t>
            </w:r>
            <w:r>
              <w:rPr>
                <w:b/>
                <w:bCs/>
                <w:sz w:val="24"/>
              </w:rPr>
              <w:br w:type="textWrapping" w:clear="all"/>
            </w:r>
            <w:r>
              <w:rPr>
                <w:rFonts w:hint="eastAsia"/>
                <w:sz w:val="24"/>
              </w:rPr>
              <w:t>3、智能大功率恒温焊台：</w:t>
            </w:r>
            <w:r>
              <w:rPr>
                <w:sz w:val="24"/>
              </w:rPr>
              <w:br w:type="textWrapping" w:clear="all"/>
            </w:r>
            <w:r>
              <w:rPr>
                <w:rFonts w:hint="eastAsia"/>
                <w:sz w:val="24"/>
              </w:rPr>
              <w:t>烙铁风枪二合一，工作电压AC220V/50Hz，主机输出功率≥650W，外形体积≥150mm×130mm×99mm。热风枪输出功率≥560W，温度范围100℃~500℃，气流量≥120L/min。烙铁手柄输出功率≥90W，温度范围180℃~480℃，600M系列烙铁头。</w:t>
            </w:r>
            <w:r>
              <w:rPr>
                <w:b/>
                <w:bCs/>
                <w:sz w:val="24"/>
              </w:rPr>
              <w:br w:type="textWrapping" w:clear="all"/>
            </w:r>
            <w:r>
              <w:rPr>
                <w:rFonts w:hint="eastAsia"/>
                <w:sz w:val="24"/>
              </w:rPr>
              <w:t>4、指针式游标卡尺：</w:t>
            </w:r>
            <w:r>
              <w:rPr>
                <w:sz w:val="24"/>
              </w:rPr>
              <w:br w:type="textWrapping" w:clear="all"/>
            </w:r>
            <w:r>
              <w:rPr>
                <w:rFonts w:hint="eastAsia"/>
                <w:sz w:val="24"/>
              </w:rPr>
              <w:t>量程0-200mm，分度值0.02，带指针式测量显示装置。</w:t>
            </w:r>
            <w:r>
              <w:rPr>
                <w:sz w:val="24"/>
              </w:rPr>
              <w:br w:type="textWrapping" w:clear="all"/>
            </w:r>
            <w:r>
              <w:rPr>
                <w:rFonts w:hint="eastAsia"/>
                <w:sz w:val="24"/>
              </w:rPr>
              <w:t>5、焊接排烟机：</w:t>
            </w:r>
            <w:r>
              <w:rPr>
                <w:sz w:val="24"/>
              </w:rPr>
              <w:br w:type="textWrapping" w:clear="all"/>
            </w:r>
            <w:r>
              <w:rPr>
                <w:rFonts w:hint="eastAsia"/>
                <w:sz w:val="24"/>
              </w:rPr>
              <w:t>工作电源AC220V/50HZ，最大风量≥100(CFM)，额定功率22W，尺寸≥150mm×210mm×130mm(WxHxD)。</w:t>
            </w:r>
            <w:r>
              <w:rPr>
                <w:b/>
                <w:bCs/>
                <w:sz w:val="24"/>
              </w:rPr>
              <w:br w:type="textWrapping" w:clear="all"/>
            </w:r>
            <w:r>
              <w:rPr>
                <w:rFonts w:hint="eastAsia"/>
                <w:sz w:val="24"/>
              </w:rPr>
              <w:t>6、台式放大镜：</w:t>
            </w:r>
            <w:r>
              <w:rPr>
                <w:sz w:val="24"/>
              </w:rPr>
              <w:br w:type="textWrapping" w:clear="all"/>
            </w:r>
            <w:r>
              <w:rPr>
                <w:rFonts w:hint="eastAsia"/>
                <w:sz w:val="24"/>
              </w:rPr>
              <w:t>光学镜片，放大倍数≥20倍，光线亮度可调，不锈钢支架，22W环形荧光灯，镜片直径≥127mm，可向折叠节臂长210mm</w:t>
            </w:r>
            <w:r>
              <w:rPr>
                <w:rFonts w:hint="eastAsia"/>
                <w:b/>
                <w:bCs/>
                <w:sz w:val="24"/>
              </w:rPr>
              <w:t>，</w:t>
            </w:r>
            <w:r>
              <w:rPr>
                <w:rFonts w:hint="eastAsia"/>
                <w:sz w:val="24"/>
              </w:rPr>
              <w:t>可自如折叠。</w:t>
            </w:r>
            <w:r>
              <w:rPr>
                <w:b/>
                <w:bCs/>
                <w:sz w:val="24"/>
              </w:rPr>
              <w:br w:type="textWrapping" w:clear="all"/>
            </w:r>
            <w:r>
              <w:rPr>
                <w:rFonts w:hint="eastAsia"/>
                <w:sz w:val="24"/>
              </w:rPr>
              <w:t>7、专业电子维修工具包：</w:t>
            </w:r>
            <w:r>
              <w:rPr>
                <w:sz w:val="24"/>
              </w:rPr>
              <w:br w:type="textWrapping" w:clear="all"/>
            </w:r>
            <w:r>
              <w:rPr>
                <w:rFonts w:hint="eastAsia"/>
                <w:sz w:val="24"/>
              </w:rPr>
              <w:t>配备26件不同工具，采用拉链工具包收纳，工具包尺寸≥265mm×330mm×45mm。</w:t>
            </w:r>
            <w:r>
              <w:rPr>
                <w:b/>
                <w:bCs/>
                <w:sz w:val="24"/>
              </w:rPr>
              <w:t xml:space="preserve"> </w:t>
            </w:r>
            <w:r>
              <w:rPr>
                <w:b/>
                <w:bCs/>
                <w:sz w:val="24"/>
              </w:rPr>
              <w:br w:type="textWrapping" w:clear="all"/>
            </w:r>
            <w:r>
              <w:rPr>
                <w:rFonts w:hint="eastAsia"/>
                <w:sz w:val="24"/>
              </w:rPr>
              <w:t>8、手腕带测试仪：</w:t>
            </w:r>
            <w:r>
              <w:rPr>
                <w:sz w:val="24"/>
              </w:rPr>
              <w:br w:type="textWrapping" w:clear="all"/>
            </w:r>
            <w:r>
              <w:rPr>
                <w:rFonts w:hint="eastAsia"/>
                <w:sz w:val="24"/>
              </w:rPr>
              <w:t>电池供电，测试阻抗。</w:t>
            </w:r>
            <w:r>
              <w:rPr>
                <w:b/>
                <w:bCs/>
                <w:sz w:val="24"/>
              </w:rPr>
              <w:br w:type="textWrapping" w:clear="all"/>
            </w:r>
            <w:r>
              <w:rPr>
                <w:rFonts w:hint="eastAsia"/>
                <w:sz w:val="24"/>
              </w:rPr>
              <w:t>9、护目镜：</w:t>
            </w:r>
            <w:r>
              <w:rPr>
                <w:sz w:val="24"/>
              </w:rPr>
              <w:br w:type="textWrapping" w:clear="all"/>
            </w:r>
            <w:r>
              <w:rPr>
                <w:rFonts w:hint="eastAsia"/>
                <w:sz w:val="24"/>
              </w:rPr>
              <w:t>防雾防刮擦、安全防护眼镜。</w:t>
            </w:r>
            <w:r>
              <w:rPr>
                <w:sz w:val="24"/>
              </w:rPr>
              <w:br w:type="textWrapping" w:clear="all"/>
            </w:r>
            <w:r>
              <w:rPr>
                <w:rFonts w:hint="eastAsia"/>
                <w:sz w:val="24"/>
              </w:rPr>
              <w:t>10、桌面式计算器：</w:t>
            </w:r>
            <w:r>
              <w:rPr>
                <w:sz w:val="24"/>
              </w:rPr>
              <w:br w:type="textWrapping" w:clear="all"/>
            </w:r>
            <w:r>
              <w:rPr>
                <w:rFonts w:hint="eastAsia"/>
                <w:sz w:val="24"/>
              </w:rPr>
              <w:t>屏幕最大显示位数≥12位数</w:t>
            </w:r>
            <w:r>
              <w:rPr>
                <w:sz w:val="24"/>
              </w:rPr>
              <w:t>，金属面板，双电能源，15°仰角</w:t>
            </w:r>
            <w:r>
              <w:rPr>
                <w:rFonts w:hint="eastAsia"/>
                <w:sz w:val="24"/>
              </w:rPr>
              <w:t>。</w:t>
            </w:r>
            <w:r>
              <w:rPr>
                <w:sz w:val="24"/>
              </w:rPr>
              <w:br w:type="textWrapping" w:clear="all"/>
            </w:r>
            <w:r>
              <w:rPr>
                <w:rFonts w:hint="eastAsia"/>
                <w:sz w:val="24"/>
              </w:rPr>
              <w:t>11、工业数码显微镜：</w:t>
            </w:r>
            <w:r>
              <w:rPr>
                <w:sz w:val="24"/>
              </w:rPr>
              <w:br w:type="textWrapping" w:clear="all"/>
            </w:r>
            <w:r>
              <w:rPr>
                <w:rFonts w:hint="eastAsia"/>
                <w:sz w:val="24"/>
              </w:rPr>
              <w:t>分辨率≥2000万像素，显示屏≥10寸高清显示屏，放大倍数1-1200倍连续放大可调，物距：10mm至无限远，可拍照录像，有LED补光光源，配USB、HDMI接口。</w:t>
            </w:r>
            <w:r>
              <w:rPr>
                <w:sz w:val="24"/>
              </w:rPr>
              <w:br w:type="textWrapping" w:clear="all"/>
            </w:r>
            <w:r>
              <w:rPr>
                <w:rFonts w:hint="eastAsia"/>
                <w:b/>
                <w:bCs/>
                <w:sz w:val="24"/>
              </w:rPr>
              <w:t>七、集训与训练</w:t>
            </w:r>
            <w:r>
              <w:rPr>
                <w:b/>
                <w:bCs/>
                <w:sz w:val="24"/>
              </w:rPr>
              <w:t>云助手在线训练平台</w:t>
            </w:r>
            <w:r>
              <w:rPr>
                <w:sz w:val="24"/>
              </w:rPr>
              <w:br w:type="textWrapping" w:clear="all"/>
            </w:r>
            <w:r>
              <w:rPr>
                <w:rFonts w:hint="eastAsia"/>
                <w:sz w:val="24"/>
              </w:rPr>
              <w:t>（一）总体要求</w:t>
            </w:r>
            <w:r>
              <w:rPr>
                <w:sz w:val="24"/>
              </w:rPr>
              <w:br w:type="textWrapping" w:clear="all"/>
            </w:r>
            <w:r>
              <w:rPr>
                <w:rFonts w:hint="eastAsia" w:ascii="宋体" w:hAnsi="宋体" w:cs="宋体"/>
                <w:szCs w:val="21"/>
              </w:rPr>
              <w:t>▲</w:t>
            </w:r>
            <w:r>
              <w:rPr>
                <w:rFonts w:hint="eastAsia"/>
                <w:sz w:val="24"/>
              </w:rPr>
              <w:t>1、</w:t>
            </w:r>
            <w:r>
              <w:rPr>
                <w:sz w:val="24"/>
              </w:rPr>
              <w:t>集训与训练云助手在线训练平台与本项目电子技术集训平台共同构成“</w:t>
            </w:r>
            <w:r>
              <w:rPr>
                <w:rFonts w:hint="eastAsia"/>
                <w:sz w:val="24"/>
              </w:rPr>
              <w:t>线下</w:t>
            </w:r>
            <w:r>
              <w:rPr>
                <w:sz w:val="24"/>
              </w:rPr>
              <w:t>实训设备+</w:t>
            </w:r>
            <w:r>
              <w:rPr>
                <w:rFonts w:hint="eastAsia"/>
                <w:sz w:val="24"/>
              </w:rPr>
              <w:t>线上训练</w:t>
            </w:r>
            <w:r>
              <w:rPr>
                <w:sz w:val="24"/>
              </w:rPr>
              <w:t>资源+理论题库+训练任务+评分记录+学习分析”的</w:t>
            </w:r>
            <w:r>
              <w:rPr>
                <w:rFonts w:hint="eastAsia"/>
                <w:sz w:val="24"/>
              </w:rPr>
              <w:t>世赛</w:t>
            </w:r>
            <w:r>
              <w:rPr>
                <w:sz w:val="24"/>
              </w:rPr>
              <w:t>电子技术集训支撑体系，用于</w:t>
            </w:r>
            <w:r>
              <w:rPr>
                <w:rFonts w:hint="eastAsia"/>
                <w:sz w:val="24"/>
              </w:rPr>
              <w:t>开展世赛</w:t>
            </w:r>
            <w:r>
              <w:rPr>
                <w:sz w:val="24"/>
              </w:rPr>
              <w:t>电子技术</w:t>
            </w:r>
            <w:r>
              <w:rPr>
                <w:rFonts w:hint="eastAsia"/>
                <w:sz w:val="24"/>
              </w:rPr>
              <w:t>训练</w:t>
            </w:r>
            <w:r>
              <w:rPr>
                <w:sz w:val="24"/>
              </w:rPr>
              <w:t>资源学习、训练任务管理、理论测验、实操评分、学习记录和数据统计分析等应用。</w:t>
            </w:r>
            <w:r>
              <w:rPr>
                <w:sz w:val="24"/>
              </w:rPr>
              <w:br w:type="textWrapping" w:clear="all"/>
            </w:r>
            <w:r>
              <w:rPr>
                <w:rFonts w:hint="eastAsia" w:ascii="宋体" w:hAnsi="宋体" w:cs="宋体"/>
                <w:szCs w:val="21"/>
              </w:rPr>
              <w:t>▲</w:t>
            </w:r>
            <w:r>
              <w:rPr>
                <w:rFonts w:hint="eastAsia"/>
                <w:sz w:val="24"/>
              </w:rPr>
              <w:t>2、</w:t>
            </w:r>
            <w:r>
              <w:rPr>
                <w:sz w:val="24"/>
              </w:rPr>
              <w:t>集训与训练云助手在线训练平台须作为电子技术集训平台的配套训练资源与教学管理支撑系统，与电子技术集训平台同步配置、同步交付、同步开通</w:t>
            </w:r>
            <w:r>
              <w:rPr>
                <w:rFonts w:hint="eastAsia"/>
                <w:sz w:val="24"/>
              </w:rPr>
              <w:t>。</w:t>
            </w:r>
            <w:r>
              <w:rPr>
                <w:sz w:val="24"/>
              </w:rPr>
              <w:t>在线训练平台授权数量不少于本项目电子技术集训平台采购数量</w:t>
            </w:r>
            <w:r>
              <w:rPr>
                <w:rFonts w:hint="eastAsia"/>
                <w:sz w:val="24"/>
              </w:rPr>
              <w:t>，</w:t>
            </w:r>
            <w:r>
              <w:rPr>
                <w:sz w:val="24"/>
              </w:rPr>
              <w:t>平台授权须独立配置、独立开通，不得以少量授权、多套设备共用授权、公共账号、临时试用账号、演示账号或采购完成后另行开通的方式替代。不</w:t>
            </w:r>
            <w:r>
              <w:rPr>
                <w:rFonts w:hint="eastAsia"/>
                <w:sz w:val="24"/>
              </w:rPr>
              <w:t>得采用</w:t>
            </w:r>
            <w:r>
              <w:rPr>
                <w:sz w:val="24"/>
              </w:rPr>
              <w:t>与本项目训练内容无关的通用课程平台、普通题库平台或临时演示系统单独替代</w:t>
            </w:r>
            <w:r>
              <w:rPr>
                <w:rFonts w:hint="eastAsia"/>
                <w:sz w:val="24"/>
              </w:rPr>
              <w:t>。</w:t>
            </w:r>
            <w:r>
              <w:rPr>
                <w:sz w:val="24"/>
              </w:rPr>
              <w:br w:type="textWrapping" w:clear="all"/>
            </w:r>
            <w:r>
              <w:rPr>
                <w:rFonts w:hint="eastAsia"/>
                <w:sz w:val="24"/>
              </w:rPr>
              <w:t>（二）功能要求</w:t>
            </w:r>
            <w:r>
              <w:rPr>
                <w:sz w:val="24"/>
              </w:rPr>
              <w:br w:type="textWrapping" w:clear="all"/>
            </w:r>
            <w:r>
              <w:rPr>
                <w:rFonts w:hint="eastAsia"/>
                <w:sz w:val="24"/>
              </w:rPr>
              <w:t>1、工作台：提供集中式数据展示工作台，须在同一界面内聚合展示以下信息：当前学习任务进度、近期评分待办、学习路径完成率、最新学习动态。工作台须支持快速跳转至主要操作模块，跳转层级不超过2级。</w:t>
            </w:r>
            <w:r>
              <w:rPr>
                <w:sz w:val="24"/>
              </w:rPr>
              <w:br w:type="textWrapping" w:clear="all"/>
            </w:r>
            <w:r>
              <w:rPr>
                <w:rFonts w:hint="eastAsia"/>
                <w:sz w:val="24"/>
              </w:rPr>
              <w:t>2、路径式学习：系统须为学生提供结构化、阶段递进的学习路径，路径须按技能等级分层规划，每条路径包含不少于3个阶段。路径完成进度须以可视化方式呈现。</w:t>
            </w:r>
            <w:r>
              <w:rPr>
                <w:sz w:val="24"/>
              </w:rPr>
              <w:br w:type="textWrapping" w:clear="all"/>
            </w:r>
            <w:r>
              <w:rPr>
                <w:rFonts w:hint="eastAsia"/>
                <w:sz w:val="24"/>
              </w:rPr>
              <w:t>3评分成绩：</w:t>
            </w:r>
            <w:r>
              <w:rPr>
                <w:sz w:val="24"/>
              </w:rPr>
              <w:br w:type="textWrapping" w:clear="all"/>
            </w:r>
            <w:r>
              <w:rPr>
                <w:rFonts w:hint="eastAsia"/>
                <w:sz w:val="24"/>
              </w:rPr>
              <w:t>（1）评分管理：支持教师对学生学习表现进行在线评分操作，评分结果须实时同步至学生端；支持按阶段维度筛选查看评分记录；历史评分记录须可追溯，不可删除。</w:t>
            </w:r>
            <w:r>
              <w:rPr>
                <w:sz w:val="24"/>
              </w:rPr>
              <w:br w:type="textWrapping" w:clear="all"/>
            </w:r>
            <w:r>
              <w:rPr>
                <w:rFonts w:hint="eastAsia"/>
                <w:sz w:val="24"/>
              </w:rPr>
              <w:t>（2）实操成绩：支持记录和管理学生每次实操任务的得分，成绩须细化至评分表中各子模块指标层级；支持成绩导出为PDF格式。</w:t>
            </w:r>
            <w:r>
              <w:rPr>
                <w:sz w:val="24"/>
              </w:rPr>
              <w:br w:type="textWrapping" w:clear="all"/>
            </w:r>
            <w:r>
              <w:rPr>
                <w:rFonts w:hint="eastAsia"/>
                <w:sz w:val="24"/>
              </w:rPr>
              <w:t>（3）理论成绩：支持记录学生每次理论考试的得分及答题详情。</w:t>
            </w:r>
            <w:r>
              <w:rPr>
                <w:sz w:val="24"/>
              </w:rPr>
              <w:br w:type="textWrapping" w:clear="all"/>
            </w:r>
            <w:r>
              <w:rPr>
                <w:rFonts w:hint="eastAsia"/>
                <w:sz w:val="24"/>
              </w:rPr>
              <w:t>4、学习记录：</w:t>
            </w:r>
            <w:r>
              <w:rPr>
                <w:sz w:val="24"/>
              </w:rPr>
              <w:br w:type="textWrapping" w:clear="all"/>
            </w:r>
            <w:r>
              <w:rPr>
                <w:rFonts w:hint="eastAsia"/>
                <w:sz w:val="24"/>
              </w:rPr>
              <w:t>（1）课程学习记录：须记录学生每个课程章节的最近学习时间、学习时长，数据保留周期不少于12个月。</w:t>
            </w:r>
            <w:r>
              <w:rPr>
                <w:sz w:val="24"/>
              </w:rPr>
              <w:br w:type="textWrapping" w:clear="all"/>
            </w:r>
            <w:r>
              <w:rPr>
                <w:rFonts w:hint="eastAsia"/>
                <w:sz w:val="24"/>
              </w:rPr>
              <w:t>（2）理论测验记录：须保存学生每次理论测验的作答内容、得分、用时及错题详情，支持按测验结果筛选查询。</w:t>
            </w:r>
            <w:r>
              <w:rPr>
                <w:sz w:val="24"/>
              </w:rPr>
              <w:br w:type="textWrapping" w:clear="all"/>
            </w:r>
            <w:r>
              <w:rPr>
                <w:rFonts w:hint="eastAsia"/>
                <w:sz w:val="24"/>
              </w:rPr>
              <w:t>（3）实操测验记录：支持记录学生每次实操测验的任务名称、提交时间、评分结果及评语。</w:t>
            </w:r>
            <w:r>
              <w:rPr>
                <w:sz w:val="24"/>
              </w:rPr>
              <w:br w:type="textWrapping" w:clear="all"/>
            </w:r>
            <w:r>
              <w:rPr>
                <w:rFonts w:hint="eastAsia"/>
                <w:sz w:val="24"/>
              </w:rPr>
              <w:t>（4）待我评分：须以列表形式集中展示所有待评分任务，自动按提交时间逆序排序。</w:t>
            </w:r>
            <w:r>
              <w:rPr>
                <w:sz w:val="24"/>
              </w:rPr>
              <w:br w:type="textWrapping" w:clear="all"/>
            </w:r>
            <w:r>
              <w:rPr>
                <w:rFonts w:hint="eastAsia"/>
                <w:sz w:val="24"/>
              </w:rPr>
              <w:t>（5）我的反馈：学生提交文字反馈，运维端可查看并回复，回复内容学生可见。</w:t>
            </w:r>
            <w:r>
              <w:rPr>
                <w:sz w:val="24"/>
              </w:rPr>
              <w:br w:type="textWrapping" w:clear="all"/>
            </w:r>
            <w:r>
              <w:rPr>
                <w:rFonts w:hint="eastAsia"/>
                <w:sz w:val="24"/>
              </w:rPr>
              <w:t>5、分析报告：</w:t>
            </w:r>
            <w:r>
              <w:rPr>
                <w:sz w:val="24"/>
              </w:rPr>
              <w:br w:type="textWrapping" w:clear="all"/>
            </w:r>
            <w:r>
              <w:rPr>
                <w:rFonts w:hint="eastAsia"/>
                <w:sz w:val="24"/>
              </w:rPr>
              <w:t>（1）学习报告：须支持按学习积累、实操测验、理论测验三个维度统计学习数据，学习数据需同时呈现总计、今日、本周、本月四个维度的数据。</w:t>
            </w:r>
            <w:r>
              <w:rPr>
                <w:sz w:val="24"/>
              </w:rPr>
              <w:br w:type="textWrapping" w:clear="all"/>
            </w:r>
            <w:r>
              <w:rPr>
                <w:rFonts w:hint="eastAsia"/>
                <w:sz w:val="24"/>
              </w:rPr>
              <w:t>①学习积累维度需具体包含：</w:t>
            </w:r>
            <w:r>
              <w:rPr>
                <w:sz w:val="24"/>
              </w:rPr>
              <w:br w:type="textWrapping" w:clear="all"/>
            </w:r>
            <w:r>
              <w:rPr>
                <w:rFonts w:hint="eastAsia"/>
                <w:sz w:val="24"/>
              </w:rPr>
              <w:t>学习时长（时/分），学习次数（次），完成章节（个），点亮知识点（个），帮助同学评分（次）</w:t>
            </w:r>
            <w:r>
              <w:rPr>
                <w:sz w:val="24"/>
              </w:rPr>
              <w:br w:type="textWrapping" w:clear="all"/>
            </w:r>
            <w:r>
              <w:rPr>
                <w:rFonts w:hint="eastAsia"/>
                <w:sz w:val="24"/>
              </w:rPr>
              <w:t>②实操测验维度需具体包含：</w:t>
            </w:r>
            <w:r>
              <w:rPr>
                <w:sz w:val="24"/>
              </w:rPr>
              <w:br w:type="textWrapping" w:clear="all"/>
            </w:r>
            <w:r>
              <w:rPr>
                <w:rFonts w:hint="eastAsia"/>
                <w:sz w:val="24"/>
              </w:rPr>
              <w:t>累计时长（时/分），测验次数（次），通过章节（个）</w:t>
            </w:r>
            <w:r>
              <w:rPr>
                <w:sz w:val="24"/>
              </w:rPr>
              <w:br w:type="textWrapping" w:clear="all"/>
            </w:r>
            <w:r>
              <w:rPr>
                <w:rFonts w:hint="eastAsia"/>
                <w:sz w:val="24"/>
              </w:rPr>
              <w:t>③理论测验维度需具体包含：</w:t>
            </w:r>
            <w:r>
              <w:rPr>
                <w:sz w:val="24"/>
              </w:rPr>
              <w:br w:type="textWrapping" w:clear="all"/>
            </w:r>
            <w:r>
              <w:rPr>
                <w:rFonts w:hint="eastAsia"/>
                <w:sz w:val="24"/>
              </w:rPr>
              <w:t>累计时长（时/分），测验次数（次），通过章节（个）</w:t>
            </w:r>
            <w:r>
              <w:rPr>
                <w:sz w:val="24"/>
              </w:rPr>
              <w:br w:type="textWrapping" w:clear="all"/>
            </w:r>
            <w:r>
              <w:rPr>
                <w:rFonts w:hint="eastAsia"/>
                <w:sz w:val="24"/>
              </w:rPr>
              <w:t>（2）知识图谱：须以可视化图谱方式展示电子技术各知识点之间的关联关系与层级结构；图谱须与学习路径联动，已掌握知识点与未掌握知识点须以不同状态标注；图谱节点须可点击跳转至对应学习资源。</w:t>
            </w:r>
            <w:r>
              <w:rPr>
                <w:sz w:val="24"/>
              </w:rPr>
              <w:br w:type="textWrapping" w:clear="all"/>
            </w:r>
            <w:r>
              <w:rPr>
                <w:rFonts w:hint="eastAsia"/>
                <w:sz w:val="24"/>
              </w:rPr>
              <w:t>（3）榜单分析：须支持按学习进度、学习成果、学习数据三个维度分别生成排行榜；榜单数据须实时更新，更新间隔不超过1小时。支持按阶段、班级、数据环比筛选榜单呈现数据。数据环比支持按月、周、日筛选。</w:t>
            </w:r>
            <w:r>
              <w:rPr>
                <w:sz w:val="24"/>
              </w:rPr>
              <w:br w:type="textWrapping" w:clear="all"/>
            </w:r>
            <w:r>
              <w:rPr>
                <w:rFonts w:hint="eastAsia" w:ascii="宋体" w:hAnsi="宋体" w:cs="宋体"/>
                <w:szCs w:val="21"/>
              </w:rPr>
              <w:t>▲</w:t>
            </w:r>
            <w:r>
              <w:rPr>
                <w:rFonts w:hint="eastAsia"/>
                <w:sz w:val="24"/>
              </w:rPr>
              <w:t>6、</w:t>
            </w:r>
            <w:r>
              <w:rPr>
                <w:sz w:val="24"/>
              </w:rPr>
              <w:t>电子技术理论题库资源</w:t>
            </w:r>
            <w:r>
              <w:rPr>
                <w:rFonts w:hint="eastAsia"/>
                <w:sz w:val="24"/>
              </w:rPr>
              <w:t>：</w:t>
            </w:r>
            <w:r>
              <w:rPr>
                <w:sz w:val="24"/>
              </w:rPr>
              <w:br w:type="textWrapping" w:clear="all"/>
            </w:r>
            <w:r>
              <w:rPr>
                <w:rFonts w:hint="eastAsia"/>
                <w:sz w:val="24"/>
              </w:rPr>
              <w:t xml:space="preserve">    </w:t>
            </w:r>
            <w:r>
              <w:rPr>
                <w:sz w:val="24"/>
              </w:rPr>
              <w:t>内置电子技术理论题库数量</w:t>
            </w:r>
            <w:r>
              <w:rPr>
                <w:rFonts w:hint="eastAsia"/>
                <w:sz w:val="24"/>
              </w:rPr>
              <w:t>≥</w:t>
            </w:r>
            <w:r>
              <w:rPr>
                <w:sz w:val="24"/>
              </w:rPr>
              <w:t>1500道，题库内容须覆盖电路分析基础、模拟电子技术基础、数字电子技术基础、电子元器件识别与使用、电路设计与仿真工具、电路装调与仪器使用、嵌入式编程基础等类型内容。重复题、无明确电子技术知识点归属</w:t>
            </w:r>
            <w:r>
              <w:rPr>
                <w:rFonts w:hint="eastAsia"/>
                <w:sz w:val="24"/>
              </w:rPr>
              <w:t>和</w:t>
            </w:r>
            <w:r>
              <w:rPr>
                <w:sz w:val="24"/>
              </w:rPr>
              <w:t>与电子技术训练无关的题目</w:t>
            </w:r>
            <w:r>
              <w:rPr>
                <w:rFonts w:hint="eastAsia"/>
                <w:sz w:val="24"/>
              </w:rPr>
              <w:t>，</w:t>
            </w:r>
            <w:r>
              <w:rPr>
                <w:sz w:val="24"/>
              </w:rPr>
              <w:t>不计入题库数量。</w:t>
            </w:r>
            <w:r>
              <w:rPr>
                <w:sz w:val="24"/>
              </w:rPr>
              <w:br w:type="textWrapping" w:clear="all"/>
            </w:r>
            <w:r>
              <w:rPr>
                <w:rFonts w:hint="eastAsia" w:ascii="宋体" w:hAnsi="宋体" w:cs="宋体"/>
                <w:szCs w:val="21"/>
              </w:rPr>
              <w:t>▲</w:t>
            </w:r>
            <w:r>
              <w:rPr>
                <w:rFonts w:hint="eastAsia"/>
                <w:sz w:val="24"/>
              </w:rPr>
              <w:t>7、</w:t>
            </w:r>
            <w:r>
              <w:rPr>
                <w:sz w:val="24"/>
              </w:rPr>
              <w:t>电子技术视频课程资源</w:t>
            </w:r>
            <w:r>
              <w:rPr>
                <w:rFonts w:hint="eastAsia"/>
                <w:sz w:val="24"/>
              </w:rPr>
              <w:t>：</w:t>
            </w:r>
            <w:r>
              <w:rPr>
                <w:sz w:val="24"/>
              </w:rPr>
              <w:br w:type="textWrapping" w:clear="all"/>
            </w:r>
            <w:r>
              <w:rPr>
                <w:rFonts w:hint="eastAsia"/>
                <w:sz w:val="24"/>
              </w:rPr>
              <w:t>1.内置电子技术视频课程资源数量≥</w:t>
            </w:r>
            <w:r>
              <w:rPr>
                <w:sz w:val="24"/>
              </w:rPr>
              <w:t>90个。</w:t>
            </w:r>
            <w:r>
              <w:rPr>
                <w:sz w:val="24"/>
              </w:rPr>
              <w:br w:type="textWrapping" w:clear="all"/>
            </w:r>
            <w:r>
              <w:rPr>
                <w:rFonts w:hint="eastAsia"/>
                <w:sz w:val="24"/>
              </w:rPr>
              <w:t>2.</w:t>
            </w:r>
            <w:r>
              <w:rPr>
                <w:sz w:val="24"/>
              </w:rPr>
              <w:t>每个视频课程须具备独立标题、所属知识点。</w:t>
            </w:r>
            <w:r>
              <w:rPr>
                <w:sz w:val="24"/>
              </w:rPr>
              <w:br w:type="textWrapping" w:clear="all"/>
            </w:r>
            <w:r>
              <w:rPr>
                <w:rFonts w:hint="eastAsia"/>
                <w:sz w:val="24"/>
              </w:rPr>
              <w:t>3.</w:t>
            </w:r>
            <w:r>
              <w:rPr>
                <w:sz w:val="24"/>
              </w:rPr>
              <w:t>视频主题须至少覆盖电路分析基础、模拟电子技术基础、数字电子技术基础、电子元器件识别与使用、电路设计与仿真工具、电路装调与仪器使用、嵌入式编程基础等课程模块。</w:t>
            </w:r>
            <w:r>
              <w:rPr>
                <w:sz w:val="24"/>
              </w:rPr>
              <w:br w:type="textWrapping" w:clear="all"/>
            </w:r>
            <w:r>
              <w:rPr>
                <w:rFonts w:hint="eastAsia"/>
                <w:sz w:val="24"/>
              </w:rPr>
              <w:t>4.须支持在线播放，视频格式须为</w:t>
            </w:r>
            <w:r>
              <w:rPr>
                <w:sz w:val="24"/>
              </w:rPr>
              <w:t>MP4或其他主流浏览器可直接播放的视频格式，画面应清晰、声音应清楚，能够满足教学观看和训练指导需要。</w:t>
            </w:r>
            <w:r>
              <w:rPr>
                <w:sz w:val="24"/>
              </w:rPr>
              <w:br w:type="textWrapping" w:clear="all"/>
            </w:r>
            <w:r>
              <w:rPr>
                <w:rFonts w:hint="eastAsia"/>
                <w:sz w:val="24"/>
              </w:rPr>
              <w:t>5.</w:t>
            </w:r>
            <w:r>
              <w:rPr>
                <w:sz w:val="24"/>
              </w:rPr>
              <w:t>单个视频课程有效教学时长不少于3分钟</w:t>
            </w:r>
            <w:r>
              <w:rPr>
                <w:rFonts w:hint="eastAsia"/>
                <w:sz w:val="24"/>
              </w:rPr>
              <w:t>，</w:t>
            </w:r>
            <w:r>
              <w:rPr>
                <w:sz w:val="24"/>
              </w:rPr>
              <w:t>平台内置视频课程总有效教学时长不少于500分钟</w:t>
            </w:r>
            <w:r>
              <w:rPr>
                <w:rFonts w:hint="eastAsia"/>
                <w:sz w:val="24"/>
              </w:rPr>
              <w:t>，</w:t>
            </w:r>
            <w:r>
              <w:rPr>
                <w:sz w:val="24"/>
              </w:rPr>
              <w:t>片头片尾、宣传介绍、平台操作说明、重复内容、无实质教学内容的时长不得计入有效教学时长</w:t>
            </w:r>
            <w:r>
              <w:rPr>
                <w:rFonts w:hint="eastAsia"/>
                <w:sz w:val="24"/>
              </w:rPr>
              <w:t>。</w:t>
            </w:r>
            <w:r>
              <w:rPr>
                <w:sz w:val="24"/>
              </w:rPr>
              <w:br w:type="textWrapping" w:clear="all"/>
            </w:r>
            <w:r>
              <w:rPr>
                <w:rFonts w:hint="eastAsia"/>
                <w:sz w:val="24"/>
              </w:rPr>
              <w:t>6.一视频拆分、重复上传、无明确主题、与电子技术训练无关的视频，不计入内置视频课程数量。</w:t>
            </w:r>
            <w:r>
              <w:rPr>
                <w:sz w:val="24"/>
              </w:rPr>
              <w:br w:type="textWrapping" w:clear="all"/>
            </w:r>
            <w:r>
              <w:rPr>
                <w:rFonts w:hint="eastAsia"/>
                <w:sz w:val="24"/>
              </w:rPr>
              <w:t>7.课程资源清单作为内置课程资源验收参考依据，供应商所提供平台的课程资源数量、课程模块覆盖范围和课程主题匹配度须满足本项要求。</w:t>
            </w:r>
            <w:r>
              <w:rPr>
                <w:sz w:val="24"/>
              </w:rPr>
              <w:t>电子技术视频课程资源应</w:t>
            </w:r>
            <w:r>
              <w:rPr>
                <w:rFonts w:hint="eastAsia"/>
                <w:sz w:val="24"/>
              </w:rPr>
              <w:t>满足</w:t>
            </w:r>
            <w:r>
              <w:rPr>
                <w:sz w:val="24"/>
              </w:rPr>
              <w:t>下方所列</w:t>
            </w:r>
            <w:r>
              <w:rPr>
                <w:rFonts w:hint="eastAsia"/>
                <w:sz w:val="24"/>
              </w:rPr>
              <w:t>课程主题：</w:t>
            </w:r>
            <w:r>
              <w:rPr>
                <w:sz w:val="24"/>
              </w:rPr>
              <w:br w:type="textWrapping" w:clear="all"/>
            </w:r>
            <w:r>
              <w:rPr>
                <w:rFonts w:hint="eastAsia"/>
                <w:sz w:val="24"/>
              </w:rPr>
              <w:t>7.1</w:t>
            </w:r>
            <w:r>
              <w:rPr>
                <w:sz w:val="24"/>
              </w:rPr>
              <w:t>电路分析基础</w:t>
            </w:r>
            <w:r>
              <w:rPr>
                <w:rFonts w:hint="eastAsia"/>
                <w:sz w:val="24"/>
              </w:rPr>
              <w:t>模块：</w:t>
            </w:r>
            <w:r>
              <w:rPr>
                <w:sz w:val="24"/>
              </w:rPr>
              <w:br w:type="textWrapping" w:clear="all"/>
            </w:r>
            <w:r>
              <w:rPr>
                <w:rFonts w:hint="eastAsia"/>
                <w:sz w:val="24"/>
              </w:rPr>
              <w:t>系统、物理量和电位；电压、电流和电阻；欧姆定律、能量和功率；串联电路；并联电路；串并联电路；磁和电磁；交流电流和电压；电容器；</w:t>
            </w:r>
            <w:r>
              <w:rPr>
                <w:sz w:val="24"/>
              </w:rPr>
              <w:t>RC电路</w:t>
            </w:r>
            <w:r>
              <w:rPr>
                <w:rFonts w:hint="eastAsia"/>
                <w:sz w:val="24"/>
              </w:rPr>
              <w:t>；电感器；</w:t>
            </w:r>
            <w:r>
              <w:rPr>
                <w:sz w:val="24"/>
              </w:rPr>
              <w:t>RL电路</w:t>
            </w:r>
            <w:r>
              <w:rPr>
                <w:rFonts w:hint="eastAsia"/>
                <w:sz w:val="24"/>
              </w:rPr>
              <w:t>；</w:t>
            </w:r>
            <w:r>
              <w:rPr>
                <w:sz w:val="24"/>
              </w:rPr>
              <w:t>RLC电路及谐振</w:t>
            </w:r>
            <w:r>
              <w:rPr>
                <w:rFonts w:hint="eastAsia"/>
                <w:sz w:val="24"/>
              </w:rPr>
              <w:t>；变压器。</w:t>
            </w:r>
            <w:r>
              <w:rPr>
                <w:sz w:val="24"/>
              </w:rPr>
              <w:br w:type="textWrapping" w:clear="all"/>
            </w:r>
            <w:r>
              <w:rPr>
                <w:rFonts w:hint="eastAsia"/>
                <w:sz w:val="24"/>
              </w:rPr>
              <w:t>7.2模拟电子技术基础模块：</w:t>
            </w:r>
            <w:r>
              <w:rPr>
                <w:sz w:val="24"/>
              </w:rPr>
              <w:br w:type="textWrapping" w:clear="all"/>
            </w:r>
            <w:r>
              <w:rPr>
                <w:rFonts w:hint="eastAsia"/>
                <w:sz w:val="24"/>
              </w:rPr>
              <w:t>基本模拟概念；二极管及其应用；三极管及其应用；场效应管及其应用；多级放大器、</w:t>
            </w:r>
            <w:r>
              <w:rPr>
                <w:sz w:val="24"/>
              </w:rPr>
              <w:t>RF放大器和功率放大器</w:t>
            </w:r>
            <w:r>
              <w:rPr>
                <w:rFonts w:hint="eastAsia"/>
                <w:sz w:val="24"/>
              </w:rPr>
              <w:t>；运算放大器；运算放大器响应；基本运算放大器电路；有源滤波器；振荡器和定时器；稳压器；结型场效应管放大电路；绝缘栅场效应管放大电路；反相比例运算电路；低通滤波电路；高通滤波电路；三极管共射放大电路；三极管共集放大电路；三极管共基放大电路。</w:t>
            </w:r>
            <w:r>
              <w:rPr>
                <w:sz w:val="24"/>
              </w:rPr>
              <w:br w:type="textWrapping" w:clear="all"/>
            </w:r>
            <w:r>
              <w:rPr>
                <w:rFonts w:hint="eastAsia"/>
                <w:sz w:val="24"/>
              </w:rPr>
              <w:t>7.3数字电子技术基础模块：</w:t>
            </w:r>
            <w:r>
              <w:rPr>
                <w:sz w:val="24"/>
              </w:rPr>
              <w:br w:type="textWrapping" w:clear="all"/>
            </w:r>
            <w:r>
              <w:rPr>
                <w:rFonts w:hint="eastAsia"/>
                <w:sz w:val="24"/>
              </w:rPr>
              <w:t>数字系统简介；数制、运算和编码；逻辑门和组合门；组合逻辑；组合逻辑功能模块；锁存器、触发器与定时器；移位寄存器；计数器。</w:t>
            </w:r>
            <w:r>
              <w:rPr>
                <w:sz w:val="24"/>
              </w:rPr>
              <w:br w:type="textWrapping" w:clear="all"/>
            </w:r>
            <w:r>
              <w:rPr>
                <w:rFonts w:hint="eastAsia"/>
                <w:sz w:val="24"/>
              </w:rPr>
              <w:t>7.4电子元器件识别与使用：</w:t>
            </w:r>
            <w:r>
              <w:rPr>
                <w:sz w:val="24"/>
              </w:rPr>
              <w:br w:type="textWrapping" w:clear="all"/>
            </w:r>
            <w:r>
              <w:rPr>
                <w:rFonts w:hint="eastAsia"/>
                <w:sz w:val="24"/>
              </w:rPr>
              <w:t>常用元器件识别；电阻器的识别与使用；电容器的识别与使用；电感器与变压器的识别与使用；二极管的识别与使用；晶体管的识别与使用；集成电路（</w:t>
            </w:r>
            <w:r>
              <w:rPr>
                <w:sz w:val="24"/>
              </w:rPr>
              <w:t>IC）的识别与使用</w:t>
            </w:r>
            <w:r>
              <w:rPr>
                <w:rFonts w:hint="eastAsia"/>
                <w:sz w:val="24"/>
              </w:rPr>
              <w:t>；传感器的识别与使用。</w:t>
            </w:r>
            <w:r>
              <w:rPr>
                <w:sz w:val="24"/>
              </w:rPr>
              <w:br w:type="textWrapping" w:clear="all"/>
            </w:r>
            <w:r>
              <w:rPr>
                <w:rFonts w:hint="eastAsia"/>
                <w:sz w:val="24"/>
              </w:rPr>
              <w:t>7.5电路设计与仿真工具模块：</w:t>
            </w:r>
          </w:p>
          <w:p w14:paraId="3751C490">
            <w:pPr>
              <w:wordWrap w:val="0"/>
              <w:rPr>
                <w:rFonts w:ascii="宋体" w:hAnsi="宋体" w:cs="仿宋"/>
                <w:sz w:val="24"/>
                <w:lang w:bidi="ar"/>
              </w:rPr>
            </w:pPr>
            <w:r>
              <w:rPr>
                <w:sz w:val="24"/>
              </w:rPr>
              <w:t>LTspice仿真</w:t>
            </w:r>
            <w:r>
              <w:rPr>
                <w:rFonts w:hint="eastAsia"/>
                <w:sz w:val="24"/>
              </w:rPr>
              <w:t>；</w:t>
            </w:r>
            <w:r>
              <w:rPr>
                <w:sz w:val="24"/>
              </w:rPr>
              <w:t>LTspice 基础操作</w:t>
            </w:r>
            <w:r>
              <w:rPr>
                <w:rFonts w:hint="eastAsia"/>
                <w:sz w:val="24"/>
              </w:rPr>
              <w:t>；独立信号源；</w:t>
            </w:r>
            <w:r>
              <w:rPr>
                <w:sz w:val="24"/>
              </w:rPr>
              <w:t>BVBI行为电压源和行为电流源</w:t>
            </w:r>
            <w:r>
              <w:rPr>
                <w:rFonts w:hint="eastAsia"/>
                <w:sz w:val="24"/>
              </w:rPr>
              <w:t>；四种受控源；基础与有源器件；仿真分析类型；逻辑与变量控制；</w:t>
            </w:r>
            <w:r>
              <w:rPr>
                <w:sz w:val="24"/>
              </w:rPr>
              <w:t>Proteus仿真</w:t>
            </w:r>
            <w:r>
              <w:rPr>
                <w:rFonts w:hint="eastAsia"/>
                <w:sz w:val="24"/>
              </w:rPr>
              <w:t>；</w:t>
            </w:r>
            <w:r>
              <w:rPr>
                <w:sz w:val="24"/>
              </w:rPr>
              <w:t>Fusion 360 软件基础</w:t>
            </w:r>
            <w:r>
              <w:rPr>
                <w:rFonts w:hint="eastAsia"/>
                <w:sz w:val="24"/>
              </w:rPr>
              <w:t>；</w:t>
            </w:r>
            <w:r>
              <w:rPr>
                <w:sz w:val="24"/>
              </w:rPr>
              <w:t>PCB设计（原理图）</w:t>
            </w:r>
            <w:r>
              <w:rPr>
                <w:rFonts w:hint="eastAsia"/>
                <w:sz w:val="24"/>
              </w:rPr>
              <w:t>；</w:t>
            </w:r>
            <w:r>
              <w:rPr>
                <w:sz w:val="24"/>
              </w:rPr>
              <w:t>PCB布局入门</w:t>
            </w:r>
            <w:r>
              <w:rPr>
                <w:rFonts w:hint="eastAsia"/>
                <w:sz w:val="24"/>
              </w:rPr>
              <w:t>；</w:t>
            </w:r>
            <w:r>
              <w:rPr>
                <w:sz w:val="24"/>
              </w:rPr>
              <w:t>PCB布线规范</w:t>
            </w:r>
            <w:r>
              <w:rPr>
                <w:rFonts w:hint="eastAsia"/>
                <w:sz w:val="24"/>
              </w:rPr>
              <w:t>；</w:t>
            </w:r>
            <w:r>
              <w:rPr>
                <w:sz w:val="24"/>
              </w:rPr>
              <w:t>PCB元件库设计</w:t>
            </w:r>
            <w:r>
              <w:rPr>
                <w:rFonts w:hint="eastAsia"/>
                <w:sz w:val="24"/>
              </w:rPr>
              <w:t>；生产文件输出；原理图绘制技巧。</w:t>
            </w:r>
            <w:r>
              <w:rPr>
                <w:sz w:val="24"/>
              </w:rPr>
              <w:br w:type="textWrapping" w:clear="all"/>
            </w:r>
            <w:r>
              <w:rPr>
                <w:rFonts w:hint="eastAsia"/>
                <w:sz w:val="24"/>
              </w:rPr>
              <w:t>7.6</w:t>
            </w:r>
            <w:r>
              <w:rPr>
                <w:sz w:val="24"/>
              </w:rPr>
              <w:t>电路装调与仪器使用</w:t>
            </w:r>
            <w:r>
              <w:rPr>
                <w:rFonts w:hint="eastAsia"/>
                <w:sz w:val="24"/>
              </w:rPr>
              <w:t>模块：</w:t>
            </w:r>
            <w:r>
              <w:rPr>
                <w:sz w:val="24"/>
              </w:rPr>
              <w:br w:type="textWrapping" w:clear="all"/>
            </w:r>
            <w:r>
              <w:rPr>
                <w:rFonts w:hint="eastAsia"/>
                <w:sz w:val="24"/>
              </w:rPr>
              <w:t>排故技巧；直流稳压电源使用；示波器使用指南；信号发生器使用；万用表使用规范；</w:t>
            </w:r>
            <w:r>
              <w:rPr>
                <w:sz w:val="24"/>
              </w:rPr>
              <w:t>DIP-8 芯片焊接工艺</w:t>
            </w:r>
            <w:r>
              <w:rPr>
                <w:rFonts w:hint="eastAsia"/>
                <w:sz w:val="24"/>
              </w:rPr>
              <w:t>；</w:t>
            </w:r>
            <w:r>
              <w:rPr>
                <w:sz w:val="24"/>
              </w:rPr>
              <w:t>SMT 贴片工艺入门</w:t>
            </w:r>
            <w:r>
              <w:rPr>
                <w:rFonts w:hint="eastAsia"/>
                <w:sz w:val="24"/>
              </w:rPr>
              <w:t>；</w:t>
            </w:r>
            <w:r>
              <w:rPr>
                <w:sz w:val="24"/>
              </w:rPr>
              <w:t>SMT 进阶工艺</w:t>
            </w:r>
            <w:r>
              <w:rPr>
                <w:rFonts w:hint="eastAsia"/>
                <w:sz w:val="24"/>
              </w:rPr>
              <w:t>。</w:t>
            </w:r>
            <w:r>
              <w:rPr>
                <w:sz w:val="24"/>
              </w:rPr>
              <w:br w:type="textWrapping" w:clear="all"/>
            </w:r>
            <w:r>
              <w:rPr>
                <w:rFonts w:hint="eastAsia"/>
                <w:sz w:val="24"/>
              </w:rPr>
              <w:t>7.7</w:t>
            </w:r>
            <w:r>
              <w:rPr>
                <w:sz w:val="24"/>
              </w:rPr>
              <w:t>嵌入式编程基础</w:t>
            </w:r>
            <w:r>
              <w:rPr>
                <w:rFonts w:hint="eastAsia"/>
                <w:sz w:val="24"/>
              </w:rPr>
              <w:t>模块：</w:t>
            </w:r>
            <w:r>
              <w:rPr>
                <w:sz w:val="24"/>
              </w:rPr>
              <w:br w:type="textWrapping" w:clear="all"/>
            </w:r>
            <w:r>
              <w:rPr>
                <w:sz w:val="24"/>
              </w:rPr>
              <w:t>C语言概述</w:t>
            </w:r>
            <w:r>
              <w:rPr>
                <w:rFonts w:hint="eastAsia"/>
                <w:sz w:val="24"/>
              </w:rPr>
              <w:t>；数据类型与变量；运算符与表达式；控制结构；数组与字符串；结构体与联合体；指针与内存管理；文件操作；模块化编程与函数；预处理器与宏定义；</w:t>
            </w:r>
            <w:r>
              <w:rPr>
                <w:sz w:val="24"/>
              </w:rPr>
              <w:t>STM32概述</w:t>
            </w:r>
            <w:r>
              <w:rPr>
                <w:rFonts w:hint="eastAsia"/>
                <w:sz w:val="24"/>
              </w:rPr>
              <w:t>；开发环境搭建；</w:t>
            </w:r>
            <w:r>
              <w:rPr>
                <w:sz w:val="24"/>
              </w:rPr>
              <w:t>GPIO（通用输入输出端口）</w:t>
            </w:r>
            <w:r>
              <w:rPr>
                <w:rFonts w:hint="eastAsia"/>
                <w:sz w:val="24"/>
              </w:rPr>
              <w:t>；第一个</w:t>
            </w:r>
            <w:r>
              <w:rPr>
                <w:sz w:val="24"/>
              </w:rPr>
              <w:t>STM32程序</w:t>
            </w:r>
            <w:r>
              <w:rPr>
                <w:rFonts w:hint="eastAsia"/>
                <w:sz w:val="24"/>
              </w:rPr>
              <w:t>；中断程序；定时器与计数器；</w:t>
            </w:r>
            <w:r>
              <w:rPr>
                <w:sz w:val="24"/>
              </w:rPr>
              <w:t>UART（通用异步收发器）</w:t>
            </w:r>
            <w:r>
              <w:rPr>
                <w:rFonts w:hint="eastAsia"/>
                <w:sz w:val="24"/>
              </w:rPr>
              <w:t>；</w:t>
            </w:r>
            <w:r>
              <w:rPr>
                <w:sz w:val="24"/>
              </w:rPr>
              <w:t>I2C通讯协议</w:t>
            </w:r>
            <w:r>
              <w:rPr>
                <w:rFonts w:hint="eastAsia"/>
                <w:sz w:val="24"/>
              </w:rPr>
              <w:t>；</w:t>
            </w:r>
            <w:r>
              <w:rPr>
                <w:sz w:val="24"/>
              </w:rPr>
              <w:t>SPI通讯协议</w:t>
            </w:r>
            <w:r>
              <w:rPr>
                <w:rFonts w:hint="eastAsia"/>
                <w:sz w:val="24"/>
              </w:rPr>
              <w:t>；</w:t>
            </w:r>
            <w:r>
              <w:rPr>
                <w:sz w:val="24"/>
              </w:rPr>
              <w:t>ADC（模数转换器）</w:t>
            </w:r>
            <w:r>
              <w:rPr>
                <w:rFonts w:hint="eastAsia"/>
                <w:sz w:val="24"/>
              </w:rPr>
              <w:t>；</w:t>
            </w:r>
            <w:r>
              <w:rPr>
                <w:sz w:val="24"/>
              </w:rPr>
              <w:t>DAC（数模转换器）</w:t>
            </w:r>
            <w:r>
              <w:rPr>
                <w:rFonts w:hint="eastAsia"/>
                <w:sz w:val="24"/>
              </w:rPr>
              <w:t>；</w:t>
            </w:r>
            <w:r>
              <w:rPr>
                <w:sz w:val="24"/>
              </w:rPr>
              <w:t>PWM(脉宽调制)</w:t>
            </w:r>
            <w:r>
              <w:rPr>
                <w:rFonts w:hint="eastAsia"/>
                <w:sz w:val="24"/>
              </w:rPr>
              <w:t>。</w:t>
            </w:r>
            <w:r>
              <w:rPr>
                <w:sz w:val="24"/>
              </w:rPr>
              <w:br w:type="textWrapping" w:clear="all"/>
            </w:r>
            <w:r>
              <w:rPr>
                <w:rFonts w:hint="eastAsia"/>
                <w:sz w:val="24"/>
              </w:rPr>
              <w:t>8、服务模式：</w:t>
            </w:r>
            <w:r>
              <w:rPr>
                <w:sz w:val="24"/>
              </w:rPr>
              <w:br w:type="textWrapping" w:clear="all"/>
            </w:r>
            <w:r>
              <w:rPr>
                <w:rFonts w:hint="eastAsia"/>
                <w:sz w:val="24"/>
              </w:rPr>
              <w:t>采用SaaS云服务模式部署，无需额外配置专用服务器。</w:t>
            </w:r>
            <w:r>
              <w:rPr>
                <w:sz w:val="24"/>
              </w:rPr>
              <w:br w:type="textWrapping" w:clear="all"/>
            </w:r>
            <w:r>
              <w:rPr>
                <w:rFonts w:hint="eastAsia"/>
                <w:sz w:val="24"/>
              </w:rPr>
              <w:t>（1）服务使用年限</w:t>
            </w:r>
            <w:bookmarkStart w:id="29" w:name="OLE_LINK1"/>
            <w:r>
              <w:rPr>
                <w:rFonts w:hint="eastAsia"/>
                <w:sz w:val="24"/>
              </w:rPr>
              <w:t>≥</w:t>
            </w:r>
            <w:bookmarkEnd w:id="29"/>
            <w:r>
              <w:rPr>
                <w:rFonts w:hint="eastAsia"/>
                <w:sz w:val="24"/>
              </w:rPr>
              <w:t>3年，自验收合格之日起计算；</w:t>
            </w:r>
            <w:r>
              <w:rPr>
                <w:sz w:val="24"/>
              </w:rPr>
              <w:br w:type="textWrapping" w:clear="all"/>
            </w:r>
            <w:r>
              <w:rPr>
                <w:rFonts w:hint="eastAsia"/>
                <w:sz w:val="24"/>
              </w:rPr>
              <w:t>（2）平台年可用性≥99.5%，因平台自身故障导致的不可用时长每月累计≤4小时；</w:t>
            </w:r>
            <w:r>
              <w:rPr>
                <w:sz w:val="24"/>
              </w:rPr>
              <w:br w:type="textWrapping" w:clear="all"/>
            </w:r>
            <w:r>
              <w:rPr>
                <w:rFonts w:hint="eastAsia"/>
                <w:sz w:val="24"/>
              </w:rPr>
              <w:t>（3）平台用户数据须每日自动备份，备份数据保留周期≥180天。</w:t>
            </w:r>
            <w:r>
              <w:rPr>
                <w:sz w:val="24"/>
              </w:rPr>
              <w:br w:type="textWrapping" w:clear="all"/>
            </w:r>
            <w:r>
              <w:rPr>
                <w:rFonts w:hint="eastAsia"/>
                <w:b/>
                <w:bCs/>
                <w:sz w:val="24"/>
              </w:rPr>
              <w:t>八、辅助设施材料：</w:t>
            </w:r>
            <w:r>
              <w:rPr>
                <w:b/>
                <w:bCs/>
                <w:sz w:val="24"/>
              </w:rPr>
              <w:br w:type="textWrapping" w:clear="all"/>
            </w:r>
            <w:r>
              <w:rPr>
                <w:rFonts w:hint="eastAsia"/>
                <w:sz w:val="24"/>
              </w:rPr>
              <w:t>1、烙铁头：刀头、圆头、马蹄头、扁头；</w:t>
            </w:r>
            <w:r>
              <w:rPr>
                <w:sz w:val="24"/>
              </w:rPr>
              <w:br w:type="textWrapping" w:clear="all"/>
            </w:r>
            <w:r>
              <w:rPr>
                <w:rFonts w:hint="eastAsia"/>
                <w:sz w:val="24"/>
              </w:rPr>
              <w:t>2、示波器探头线：带线夹；</w:t>
            </w:r>
            <w:r>
              <w:rPr>
                <w:sz w:val="24"/>
              </w:rPr>
              <w:br w:type="textWrapping" w:clear="all"/>
            </w:r>
            <w:r>
              <w:rPr>
                <w:rFonts w:hint="eastAsia"/>
                <w:sz w:val="24"/>
              </w:rPr>
              <w:t>3、BNC连接线：长50cm，黑色，两端BNC接头；</w:t>
            </w:r>
            <w:r>
              <w:rPr>
                <w:sz w:val="24"/>
              </w:rPr>
              <w:br w:type="textWrapping" w:clear="all"/>
            </w:r>
            <w:r>
              <w:rPr>
                <w:rFonts w:hint="eastAsia"/>
                <w:sz w:val="24"/>
              </w:rPr>
              <w:t>4、迭对插头连线：长50cm黑色、长50cm红色、长1m绿色、长50cm红色、长50cm黑色；</w:t>
            </w:r>
            <w:r>
              <w:rPr>
                <w:sz w:val="24"/>
              </w:rPr>
              <w:br w:type="textWrapping" w:clear="all"/>
            </w:r>
            <w:r>
              <w:rPr>
                <w:rFonts w:hint="eastAsia"/>
                <w:sz w:val="24"/>
              </w:rPr>
              <w:t>5、电源测试钩：红色小号40mm×8mm×3mm、黑色小号40mm×8mm×3mm。</w:t>
            </w:r>
            <w:r>
              <w:rPr>
                <w:sz w:val="24"/>
              </w:rPr>
              <w:br w:type="textWrapping" w:clear="all"/>
            </w:r>
            <w:r>
              <w:rPr>
                <w:rFonts w:hint="eastAsia"/>
                <w:sz w:val="24"/>
              </w:rPr>
              <w:t>6、USB转接线：A型公插头转A型母口1.5m黑色；</w:t>
            </w:r>
            <w:r>
              <w:rPr>
                <w:sz w:val="24"/>
              </w:rPr>
              <w:br w:type="textWrapping" w:clear="all"/>
            </w:r>
            <w:r>
              <w:rPr>
                <w:rFonts w:hint="eastAsia"/>
                <w:sz w:val="24"/>
              </w:rPr>
              <w:t>7、大单挂钩：10mm×40mm×L100mm；</w:t>
            </w:r>
            <w:r>
              <w:rPr>
                <w:sz w:val="24"/>
              </w:rPr>
              <w:br w:type="textWrapping" w:clear="all"/>
            </w:r>
            <w:r>
              <w:rPr>
                <w:rFonts w:hint="eastAsia"/>
                <w:sz w:val="24"/>
              </w:rPr>
              <w:t>8、锯用挂钩：10mm×40mm×4mm；</w:t>
            </w:r>
            <w:r>
              <w:rPr>
                <w:sz w:val="24"/>
              </w:rPr>
              <w:br w:type="textWrapping" w:clear="all"/>
            </w:r>
            <w:r>
              <w:rPr>
                <w:rFonts w:hint="eastAsia"/>
                <w:sz w:val="24"/>
              </w:rPr>
              <w:t>9、蓝色／单芯导线：安装线0.33mm 20AWG 耐高温300m/卷；</w:t>
            </w:r>
            <w:r>
              <w:rPr>
                <w:sz w:val="24"/>
              </w:rPr>
              <w:br w:type="textWrapping" w:clear="all"/>
            </w:r>
            <w:r>
              <w:rPr>
                <w:rFonts w:hint="eastAsia"/>
                <w:sz w:val="24"/>
              </w:rPr>
              <w:t>10、黑色／单芯导线：</w:t>
            </w:r>
            <w:r>
              <w:rPr>
                <w:rFonts w:hint="eastAsia"/>
                <w:sz w:val="24"/>
                <w:lang w:bidi="ar"/>
              </w:rPr>
              <w:t>安装线</w:t>
            </w:r>
            <w:r>
              <w:rPr>
                <w:rFonts w:hint="eastAsia"/>
                <w:sz w:val="24"/>
              </w:rPr>
              <w:t>0.33mm 20AWG 耐高温</w:t>
            </w:r>
            <w:r>
              <w:rPr>
                <w:rFonts w:hint="eastAsia"/>
                <w:sz w:val="24"/>
                <w:lang w:bidi="ar"/>
              </w:rPr>
              <w:t>300m/卷；</w:t>
            </w:r>
            <w:r>
              <w:rPr>
                <w:sz w:val="24"/>
                <w:lang w:bidi="ar"/>
              </w:rPr>
              <w:br w:type="textWrapping" w:clear="all"/>
            </w:r>
            <w:r>
              <w:rPr>
                <w:rFonts w:hint="eastAsia"/>
                <w:sz w:val="24"/>
              </w:rPr>
              <w:t>11、红色／单芯导线：安装线0.33mm 20AWG 耐高温300m/卷；</w:t>
            </w:r>
            <w:r>
              <w:rPr>
                <w:sz w:val="24"/>
              </w:rPr>
              <w:br w:type="textWrapping" w:clear="all"/>
            </w:r>
            <w:r>
              <w:rPr>
                <w:rFonts w:hint="eastAsia"/>
                <w:sz w:val="24"/>
              </w:rPr>
              <w:t>12、镀锡铜线：0.5mm²/50m；</w:t>
            </w:r>
            <w:r>
              <w:rPr>
                <w:sz w:val="24"/>
              </w:rPr>
              <w:br w:type="textWrapping" w:clear="all"/>
            </w:r>
            <w:r>
              <w:rPr>
                <w:rFonts w:hint="eastAsia"/>
                <w:sz w:val="24"/>
              </w:rPr>
              <w:t>13、焊锡丝：</w:t>
            </w:r>
            <w:r>
              <w:rPr>
                <w:sz w:val="24"/>
              </w:rPr>
              <w:t>Φ0.8mm，</w:t>
            </w:r>
            <w:r>
              <w:rPr>
                <w:rFonts w:hint="eastAsia"/>
                <w:sz w:val="24"/>
              </w:rPr>
              <w:t>5</w:t>
            </w:r>
            <w:r>
              <w:rPr>
                <w:sz w:val="24"/>
              </w:rPr>
              <w:t>00g</w:t>
            </w:r>
            <w:r>
              <w:rPr>
                <w:rFonts w:hint="eastAsia"/>
                <w:sz w:val="24"/>
              </w:rPr>
              <w:t>/</w:t>
            </w:r>
            <w:r>
              <w:rPr>
                <w:sz w:val="24"/>
              </w:rPr>
              <w:t>卷</w:t>
            </w:r>
            <w:r>
              <w:rPr>
                <w:rFonts w:hint="eastAsia"/>
                <w:sz w:val="24"/>
              </w:rPr>
              <w:t>，</w:t>
            </w:r>
            <w:r>
              <w:rPr>
                <w:sz w:val="24"/>
              </w:rPr>
              <w:t>Φ0.5mm，</w:t>
            </w:r>
            <w:r>
              <w:rPr>
                <w:rFonts w:hint="eastAsia"/>
                <w:sz w:val="24"/>
              </w:rPr>
              <w:t>5</w:t>
            </w:r>
            <w:r>
              <w:rPr>
                <w:sz w:val="24"/>
              </w:rPr>
              <w:t>00g</w:t>
            </w:r>
            <w:r>
              <w:rPr>
                <w:rFonts w:hint="eastAsia"/>
                <w:sz w:val="24"/>
              </w:rPr>
              <w:t>/</w:t>
            </w:r>
            <w:r>
              <w:rPr>
                <w:sz w:val="24"/>
              </w:rPr>
              <w:t>卷</w:t>
            </w:r>
            <w:r>
              <w:rPr>
                <w:rFonts w:hint="eastAsia"/>
                <w:sz w:val="24"/>
              </w:rPr>
              <w:t>；</w:t>
            </w:r>
            <w:r>
              <w:rPr>
                <w:sz w:val="24"/>
              </w:rPr>
              <w:br w:type="textWrapping" w:clear="all"/>
            </w:r>
            <w:r>
              <w:rPr>
                <w:rFonts w:hint="eastAsia"/>
                <w:sz w:val="24"/>
              </w:rPr>
              <w:t>14、吸锡线：宽度2.5mm、长度1.5m；</w:t>
            </w:r>
            <w:r>
              <w:rPr>
                <w:sz w:val="24"/>
              </w:rPr>
              <w:br w:type="textWrapping" w:clear="all"/>
            </w:r>
            <w:r>
              <w:rPr>
                <w:rFonts w:hint="eastAsia"/>
                <w:sz w:val="24"/>
              </w:rPr>
              <w:t>15、焊剂去除剂：62环保型400mL</w:t>
            </w:r>
            <w:r>
              <w:rPr>
                <w:sz w:val="24"/>
              </w:rPr>
              <w:t>（带刷头）</w:t>
            </w:r>
            <w:r>
              <w:rPr>
                <w:rFonts w:hint="eastAsia"/>
                <w:sz w:val="24"/>
              </w:rPr>
              <w:t>；</w:t>
            </w:r>
            <w:r>
              <w:rPr>
                <w:sz w:val="24"/>
              </w:rPr>
              <w:br w:type="textWrapping" w:clear="all"/>
            </w:r>
            <w:r>
              <w:rPr>
                <w:rFonts w:hint="eastAsia"/>
                <w:sz w:val="24"/>
              </w:rPr>
              <w:t>16、</w:t>
            </w:r>
            <w:r>
              <w:rPr>
                <w:sz w:val="24"/>
              </w:rPr>
              <w:t>无铅助焊膏</w:t>
            </w:r>
            <w:r>
              <w:rPr>
                <w:rFonts w:hint="eastAsia"/>
                <w:sz w:val="24"/>
              </w:rPr>
              <w:t>：</w:t>
            </w:r>
            <w:r>
              <w:rPr>
                <w:sz w:val="24"/>
              </w:rPr>
              <w:t>223中性10cc（带推管+针头）</w:t>
            </w:r>
            <w:r>
              <w:rPr>
                <w:rFonts w:hint="eastAsia"/>
                <w:sz w:val="24"/>
              </w:rPr>
              <w:t>；</w:t>
            </w:r>
            <w:r>
              <w:rPr>
                <w:sz w:val="24"/>
              </w:rPr>
              <w:br w:type="textWrapping" w:clear="all"/>
            </w:r>
            <w:r>
              <w:rPr>
                <w:rFonts w:hint="eastAsia"/>
                <w:sz w:val="24"/>
              </w:rPr>
              <w:t>17、PVC绝缘胶带：0.15mm×18mm，≤9m；</w:t>
            </w:r>
            <w:r>
              <w:rPr>
                <w:sz w:val="24"/>
              </w:rPr>
              <w:br w:type="textWrapping" w:clear="all"/>
            </w:r>
            <w:r>
              <w:rPr>
                <w:rFonts w:hint="eastAsia"/>
                <w:sz w:val="24"/>
              </w:rPr>
              <w:t>18、电缆扎带：3mm×100mm 白色；</w:t>
            </w:r>
            <w:r>
              <w:rPr>
                <w:sz w:val="24"/>
              </w:rPr>
              <w:br w:type="textWrapping" w:clear="all"/>
            </w:r>
            <w:r>
              <w:rPr>
                <w:rFonts w:hint="eastAsia"/>
                <w:sz w:val="24"/>
              </w:rPr>
              <w:t>19、热缩管套装：彩色780个套装(盒装)；</w:t>
            </w:r>
            <w:r>
              <w:rPr>
                <w:sz w:val="24"/>
              </w:rPr>
              <w:br w:type="textWrapping" w:clear="all"/>
            </w:r>
            <w:r>
              <w:rPr>
                <w:rFonts w:hint="eastAsia"/>
                <w:sz w:val="24"/>
              </w:rPr>
              <w:t>20、防静电自封袋：130mm×180mm；</w:t>
            </w:r>
            <w:r>
              <w:rPr>
                <w:sz w:val="24"/>
              </w:rPr>
              <w:br w:type="textWrapping" w:clear="all"/>
            </w:r>
            <w:r>
              <w:rPr>
                <w:rFonts w:hint="eastAsia"/>
                <w:sz w:val="24"/>
              </w:rPr>
              <w:t>21、</w:t>
            </w:r>
            <w:r>
              <w:rPr>
                <w:sz w:val="24"/>
              </w:rPr>
              <w:t>不锈钢空心针</w:t>
            </w:r>
            <w:r>
              <w:rPr>
                <w:rFonts w:hint="eastAsia"/>
                <w:sz w:val="24"/>
              </w:rPr>
              <w:t>：空心规格0.8/1.0/1.2/1.4/1.6/1.8/2.0mm，实心针规格1.2mm，8个装。</w:t>
            </w:r>
            <w:r>
              <w:rPr>
                <w:sz w:val="24"/>
              </w:rPr>
              <w:br w:type="textWrapping" w:clear="all"/>
            </w:r>
            <w:r>
              <w:rPr>
                <w:rFonts w:hint="eastAsia"/>
                <w:b/>
                <w:bCs/>
                <w:sz w:val="24"/>
              </w:rPr>
              <w:t>九、集训工位呼叫器：</w:t>
            </w:r>
            <w:r>
              <w:rPr>
                <w:b/>
                <w:bCs/>
                <w:sz w:val="24"/>
              </w:rPr>
              <w:br w:type="textWrapping" w:clear="all"/>
            </w:r>
            <w:r>
              <w:rPr>
                <w:rFonts w:hint="eastAsia"/>
                <w:sz w:val="24"/>
              </w:rPr>
              <w:t>1、</w:t>
            </w:r>
            <w:r>
              <w:rPr>
                <w:sz w:val="24"/>
              </w:rPr>
              <w:t>尺寸</w:t>
            </w:r>
            <w:r>
              <w:rPr>
                <w:rFonts w:hint="eastAsia"/>
                <w:sz w:val="24"/>
              </w:rPr>
              <w:t>≥</w:t>
            </w:r>
            <w:r>
              <w:rPr>
                <w:sz w:val="24"/>
              </w:rPr>
              <w:t>220mm×78mm×12mm；</w:t>
            </w:r>
            <w:r>
              <w:rPr>
                <w:sz w:val="24"/>
              </w:rPr>
              <w:br w:type="textWrapping" w:clear="all"/>
            </w:r>
            <w:r>
              <w:rPr>
                <w:rFonts w:hint="eastAsia"/>
                <w:sz w:val="24"/>
              </w:rPr>
              <w:t>2、</w:t>
            </w:r>
            <w:r>
              <w:rPr>
                <w:sz w:val="24"/>
              </w:rPr>
              <w:t>全ABS外壳材质</w:t>
            </w:r>
            <w:r>
              <w:rPr>
                <w:rFonts w:hint="eastAsia"/>
                <w:sz w:val="24"/>
              </w:rPr>
              <w:t>，</w:t>
            </w:r>
            <w:r>
              <w:rPr>
                <w:sz w:val="24"/>
              </w:rPr>
              <w:t>LCD显示屏；</w:t>
            </w:r>
            <w:r>
              <w:rPr>
                <w:sz w:val="24"/>
              </w:rPr>
              <w:br w:type="textWrapping" w:clear="all"/>
            </w:r>
            <w:r>
              <w:rPr>
                <w:rFonts w:hint="eastAsia"/>
                <w:sz w:val="24"/>
              </w:rPr>
              <w:t>3、</w:t>
            </w:r>
            <w:r>
              <w:rPr>
                <w:sz w:val="24"/>
              </w:rPr>
              <w:t>电池容量≥4200mAh</w:t>
            </w:r>
            <w:r>
              <w:rPr>
                <w:rFonts w:hint="eastAsia"/>
                <w:sz w:val="24"/>
              </w:rPr>
              <w:t>，</w:t>
            </w:r>
            <w:r>
              <w:rPr>
                <w:sz w:val="24"/>
              </w:rPr>
              <w:t>待机时间</w:t>
            </w:r>
            <w:r>
              <w:rPr>
                <w:rFonts w:hint="eastAsia"/>
                <w:sz w:val="24"/>
              </w:rPr>
              <w:t>≥</w:t>
            </w:r>
            <w:r>
              <w:rPr>
                <w:sz w:val="24"/>
              </w:rPr>
              <w:t>10天；</w:t>
            </w:r>
            <w:r>
              <w:rPr>
                <w:sz w:val="24"/>
              </w:rPr>
              <w:br w:type="textWrapping" w:clear="all"/>
            </w:r>
            <w:r>
              <w:rPr>
                <w:rFonts w:hint="eastAsia"/>
                <w:sz w:val="24"/>
              </w:rPr>
              <w:t>4、</w:t>
            </w:r>
            <w:r>
              <w:rPr>
                <w:sz w:val="24"/>
              </w:rPr>
              <w:t>支持六类事件呼叫，同步倒计时显示</w:t>
            </w:r>
            <w:r>
              <w:rPr>
                <w:rFonts w:hint="eastAsia"/>
                <w:sz w:val="24"/>
              </w:rPr>
              <w:t>屏</w:t>
            </w:r>
            <w:r>
              <w:rPr>
                <w:sz w:val="24"/>
              </w:rPr>
              <w:t>。</w:t>
            </w:r>
          </w:p>
        </w:tc>
        <w:tc>
          <w:tcPr>
            <w:tcW w:w="1134" w:type="dxa"/>
            <w:gridSpan w:val="2"/>
            <w:tcBorders>
              <w:top w:val="single" w:color="auto" w:sz="4" w:space="0"/>
              <w:left w:val="single" w:color="auto" w:sz="4" w:space="0"/>
              <w:bottom w:val="single" w:color="auto" w:sz="4" w:space="0"/>
              <w:right w:val="single" w:color="auto" w:sz="4" w:space="0"/>
            </w:tcBorders>
            <w:vAlign w:val="center"/>
          </w:tcPr>
          <w:p w14:paraId="0B1A2C52">
            <w:pPr>
              <w:widowControl/>
              <w:wordWrap w:val="0"/>
              <w:jc w:val="center"/>
              <w:rPr>
                <w:rFonts w:ascii="宋体" w:hAnsi="宋体" w:cs="宋体"/>
                <w:sz w:val="24"/>
              </w:rPr>
            </w:pPr>
            <w:r>
              <w:rPr>
                <w:rFonts w:hint="eastAsia"/>
                <w:sz w:val="24"/>
              </w:rPr>
              <w:t>1680000</w:t>
            </w:r>
          </w:p>
        </w:tc>
      </w:tr>
      <w:tr w14:paraId="3442E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694" w:type="dxa"/>
            <w:tcBorders>
              <w:top w:val="single" w:color="auto" w:sz="4" w:space="0"/>
              <w:left w:val="single" w:color="auto" w:sz="4" w:space="0"/>
              <w:bottom w:val="single" w:color="auto" w:sz="4" w:space="0"/>
              <w:right w:val="single" w:color="auto" w:sz="4" w:space="0"/>
            </w:tcBorders>
            <w:vAlign w:val="center"/>
          </w:tcPr>
          <w:p w14:paraId="7F4CCB56">
            <w:pPr>
              <w:wordWrap w:val="0"/>
              <w:spacing w:line="360" w:lineRule="auto"/>
              <w:jc w:val="center"/>
              <w:rPr>
                <w:rFonts w:ascii="宋体" w:hAnsi="宋体" w:cs="宋体"/>
                <w:sz w:val="24"/>
              </w:rPr>
            </w:pPr>
            <w:r>
              <w:rPr>
                <w:rFonts w:hint="eastAsia" w:ascii="宋体" w:hAnsi="宋体" w:cs="宋体"/>
                <w:sz w:val="24"/>
              </w:rPr>
              <w:t>2</w:t>
            </w:r>
          </w:p>
        </w:tc>
        <w:tc>
          <w:tcPr>
            <w:tcW w:w="1134" w:type="dxa"/>
            <w:gridSpan w:val="2"/>
            <w:tcBorders>
              <w:top w:val="single" w:color="auto" w:sz="4" w:space="0"/>
              <w:left w:val="single" w:color="auto" w:sz="4" w:space="0"/>
              <w:bottom w:val="single" w:color="auto" w:sz="4" w:space="0"/>
              <w:right w:val="single" w:color="auto" w:sz="4" w:space="0"/>
            </w:tcBorders>
            <w:vAlign w:val="center"/>
          </w:tcPr>
          <w:p w14:paraId="663DE5FF">
            <w:pPr>
              <w:widowControl/>
              <w:wordWrap w:val="0"/>
              <w:jc w:val="center"/>
              <w:rPr>
                <w:rFonts w:ascii="宋体" w:hAnsi="宋体" w:cs="宋体"/>
                <w:sz w:val="24"/>
              </w:rPr>
            </w:pPr>
            <w:r>
              <w:rPr>
                <w:rFonts w:hint="eastAsia"/>
                <w:sz w:val="24"/>
              </w:rPr>
              <w:t>电子技术训练资源耗材工具</w:t>
            </w:r>
          </w:p>
        </w:tc>
        <w:tc>
          <w:tcPr>
            <w:tcW w:w="709" w:type="dxa"/>
            <w:tcBorders>
              <w:top w:val="single" w:color="auto" w:sz="4" w:space="0"/>
              <w:left w:val="single" w:color="auto" w:sz="4" w:space="0"/>
              <w:bottom w:val="single" w:color="auto" w:sz="4" w:space="0"/>
              <w:right w:val="single" w:color="auto" w:sz="4" w:space="0"/>
            </w:tcBorders>
            <w:vAlign w:val="center"/>
          </w:tcPr>
          <w:p w14:paraId="356B7BD8">
            <w:pPr>
              <w:widowControl/>
              <w:wordWrap w:val="0"/>
              <w:jc w:val="center"/>
              <w:rPr>
                <w:rFonts w:ascii="宋体" w:hAnsi="宋体" w:cs="宋体"/>
                <w:sz w:val="24"/>
              </w:rPr>
            </w:pPr>
            <w:r>
              <w:rPr>
                <w:rFonts w:hint="eastAsia" w:ascii="宋体" w:hAnsi="宋体" w:cs="宋体"/>
                <w:sz w:val="24"/>
              </w:rPr>
              <w:t>套</w:t>
            </w:r>
          </w:p>
        </w:tc>
        <w:tc>
          <w:tcPr>
            <w:tcW w:w="709" w:type="dxa"/>
            <w:tcBorders>
              <w:top w:val="single" w:color="auto" w:sz="4" w:space="0"/>
              <w:left w:val="single" w:color="auto" w:sz="4" w:space="0"/>
              <w:bottom w:val="single" w:color="auto" w:sz="4" w:space="0"/>
              <w:right w:val="single" w:color="auto" w:sz="4" w:space="0"/>
            </w:tcBorders>
            <w:vAlign w:val="center"/>
          </w:tcPr>
          <w:p w14:paraId="5E99C4A0">
            <w:pPr>
              <w:widowControl/>
              <w:wordWrap w:val="0"/>
              <w:jc w:val="center"/>
              <w:rPr>
                <w:rFonts w:ascii="宋体" w:hAnsi="宋体" w:cs="宋体"/>
                <w:sz w:val="24"/>
              </w:rPr>
            </w:pPr>
            <w:r>
              <w:rPr>
                <w:rFonts w:hint="eastAsia" w:ascii="宋体" w:hAnsi="宋体" w:cs="宋体"/>
                <w:sz w:val="24"/>
              </w:rPr>
              <w:t>1</w:t>
            </w:r>
          </w:p>
        </w:tc>
        <w:tc>
          <w:tcPr>
            <w:tcW w:w="5244" w:type="dxa"/>
            <w:tcBorders>
              <w:top w:val="single" w:color="auto" w:sz="4" w:space="0"/>
              <w:left w:val="single" w:color="auto" w:sz="4" w:space="0"/>
              <w:bottom w:val="single" w:color="auto" w:sz="4" w:space="0"/>
              <w:right w:val="single" w:color="auto" w:sz="4" w:space="0"/>
            </w:tcBorders>
            <w:vAlign w:val="center"/>
          </w:tcPr>
          <w:p w14:paraId="25FBD830">
            <w:pPr>
              <w:pStyle w:val="234"/>
              <w:wordWrap w:val="0"/>
              <w:rPr>
                <w:rFonts w:ascii="宋体" w:hAnsi="宋体"/>
              </w:rPr>
            </w:pPr>
            <w:r>
              <w:rPr>
                <w:rFonts w:hint="eastAsia" w:ascii="宋体" w:hAnsi="宋体" w:cs="宋体"/>
                <w:szCs w:val="21"/>
              </w:rPr>
              <w:t>▲</w:t>
            </w:r>
            <w:r>
              <w:rPr>
                <w:rFonts w:hint="eastAsia" w:ascii="宋体" w:hAnsi="宋体"/>
              </w:rPr>
              <w:t>本设备需集成108种训练套件。每种套件包含硬件套装、配套训练资源包，所有训练材料满足世界技能大赛电子技术项目国家集训队训练要求。</w:t>
            </w:r>
          </w:p>
          <w:p w14:paraId="5097644A">
            <w:pPr>
              <w:pStyle w:val="234"/>
              <w:wordWrap w:val="0"/>
              <w:rPr>
                <w:rFonts w:ascii="宋体" w:hAnsi="宋体"/>
                <w:b/>
                <w:bCs/>
              </w:rPr>
            </w:pPr>
            <w:r>
              <w:rPr>
                <w:rFonts w:hint="eastAsia" w:ascii="宋体" w:hAnsi="宋体"/>
                <w:b/>
                <w:bCs/>
              </w:rPr>
              <w:t>一、配套训练资源包要求</w:t>
            </w:r>
          </w:p>
          <w:p w14:paraId="12B26ECB">
            <w:pPr>
              <w:pStyle w:val="234"/>
              <w:wordWrap w:val="0"/>
              <w:rPr>
                <w:rFonts w:ascii="宋体" w:hAnsi="宋体"/>
              </w:rPr>
            </w:pPr>
            <w:r>
              <w:rPr>
                <w:rFonts w:ascii="宋体" w:hAnsi="宋体"/>
              </w:rPr>
              <w:t>包括但不限于如下材料：任务说明书、工程文件、评分表、参考答案。</w:t>
            </w:r>
          </w:p>
          <w:p w14:paraId="171DF7D0">
            <w:pPr>
              <w:pStyle w:val="234"/>
              <w:wordWrap w:val="0"/>
              <w:rPr>
                <w:rFonts w:ascii="宋体" w:hAnsi="宋体"/>
              </w:rPr>
            </w:pPr>
            <w:r>
              <w:rPr>
                <w:rFonts w:hint="eastAsia" w:ascii="宋体" w:hAnsi="宋体" w:cs="宋体"/>
                <w:szCs w:val="21"/>
              </w:rPr>
              <w:t>▲</w:t>
            </w:r>
            <w:r>
              <w:rPr>
                <w:rFonts w:hint="eastAsia" w:ascii="宋体" w:hAnsi="宋体"/>
              </w:rPr>
              <w:t>（1）</w:t>
            </w:r>
            <w:r>
              <w:rPr>
                <w:rFonts w:ascii="宋体" w:hAnsi="宋体"/>
              </w:rPr>
              <w:t>任务说明书：按照</w:t>
            </w:r>
            <w:r>
              <w:rPr>
                <w:rFonts w:hint="eastAsia" w:ascii="宋体" w:hAnsi="宋体"/>
              </w:rPr>
              <w:t>第47、46、45届</w:t>
            </w:r>
            <w:r>
              <w:rPr>
                <w:rFonts w:ascii="宋体" w:hAnsi="宋体"/>
              </w:rPr>
              <w:t>世界技能大赛电子技术赛项任务书标准进行编制，内容须包含简介</w:t>
            </w:r>
            <w:r>
              <w:rPr>
                <w:rFonts w:hint="eastAsia" w:ascii="宋体" w:hAnsi="宋体"/>
              </w:rPr>
              <w:t>、</w:t>
            </w:r>
            <w:r>
              <w:rPr>
                <w:rFonts w:ascii="宋体" w:hAnsi="宋体"/>
              </w:rPr>
              <w:t>任务描述、具体任务要求、配分等完整章节结构。每份任务说明书须包含不少于3个独立子任务模块</w:t>
            </w:r>
            <w:r>
              <w:rPr>
                <w:rFonts w:hint="eastAsia" w:ascii="宋体" w:hAnsi="宋体"/>
              </w:rPr>
              <w:t>，</w:t>
            </w:r>
            <w:r>
              <w:rPr>
                <w:rFonts w:ascii="宋体" w:hAnsi="宋体"/>
              </w:rPr>
              <w:t>各子任务配分须明确标注且加总与总配分一致。</w:t>
            </w:r>
          </w:p>
          <w:p w14:paraId="659EA787">
            <w:pPr>
              <w:pStyle w:val="234"/>
              <w:wordWrap w:val="0"/>
              <w:rPr>
                <w:rFonts w:ascii="宋体" w:hAnsi="宋体"/>
              </w:rPr>
            </w:pPr>
            <w:r>
              <w:rPr>
                <w:rFonts w:hint="eastAsia" w:ascii="宋体" w:hAnsi="宋体" w:cs="宋体"/>
                <w:szCs w:val="21"/>
              </w:rPr>
              <w:t>▲</w:t>
            </w:r>
            <w:r>
              <w:rPr>
                <w:rFonts w:hint="eastAsia" w:ascii="宋体" w:hAnsi="宋体"/>
              </w:rPr>
              <w:t>（2）</w:t>
            </w:r>
            <w:r>
              <w:rPr>
                <w:rFonts w:ascii="宋体" w:hAnsi="宋体"/>
              </w:rPr>
              <w:t>工程文件</w:t>
            </w:r>
            <w:r>
              <w:rPr>
                <w:rFonts w:hint="eastAsia" w:ascii="宋体" w:hAnsi="宋体"/>
              </w:rPr>
              <w:t>（支持fusion360格式）</w:t>
            </w:r>
            <w:r>
              <w:rPr>
                <w:rFonts w:ascii="宋体" w:hAnsi="宋体"/>
              </w:rPr>
              <w:t>：须包含电路设计工程、元件库文件、数据手册（PDF格式）、答题纸、PCB设计用原理图文件</w:t>
            </w:r>
            <w:r>
              <w:rPr>
                <w:rFonts w:hint="eastAsia" w:ascii="宋体" w:hAnsi="宋体"/>
              </w:rPr>
              <w:t>（fsch或兼容格式）、PCB原理图文件（fsch或兼容格式）、PCB文件（fbrd或兼容格式）、</w:t>
            </w:r>
            <w:r>
              <w:rPr>
                <w:rFonts w:ascii="宋体" w:hAnsi="宋体"/>
              </w:rPr>
              <w:t>Gerber文件</w:t>
            </w:r>
            <w:r>
              <w:rPr>
                <w:rFonts w:hint="eastAsia" w:ascii="宋体" w:hAnsi="宋体"/>
              </w:rPr>
              <w:t>。</w:t>
            </w:r>
          </w:p>
          <w:p w14:paraId="4219E930">
            <w:pPr>
              <w:pStyle w:val="234"/>
              <w:wordWrap w:val="0"/>
              <w:rPr>
                <w:rFonts w:ascii="宋体" w:hAnsi="宋体"/>
              </w:rPr>
            </w:pPr>
            <w:r>
              <w:rPr>
                <w:rFonts w:hint="eastAsia" w:ascii="宋体" w:hAnsi="宋体" w:cs="宋体"/>
                <w:szCs w:val="21"/>
              </w:rPr>
              <w:t>▲</w:t>
            </w:r>
            <w:r>
              <w:rPr>
                <w:rFonts w:hint="eastAsia" w:ascii="宋体" w:hAnsi="宋体"/>
              </w:rPr>
              <w:t>（3）</w:t>
            </w:r>
            <w:r>
              <w:rPr>
                <w:rFonts w:ascii="宋体" w:hAnsi="宋体"/>
              </w:rPr>
              <w:t>评分表：按照世界技能大赛电子技术赛项评分表标准进行编制，内容包含：任务名称、模块配分、子模块编号、子模块名称、指标类型（客观或主观）、指标描述、主观等级、指标详细描述、测量依据、技能点、指标配分。</w:t>
            </w:r>
          </w:p>
          <w:p w14:paraId="0E41CCF7">
            <w:pPr>
              <w:pStyle w:val="234"/>
              <w:wordWrap w:val="0"/>
              <w:rPr>
                <w:rFonts w:ascii="宋体" w:hAnsi="宋体"/>
              </w:rPr>
            </w:pPr>
            <w:r>
              <w:rPr>
                <w:rFonts w:hint="eastAsia" w:ascii="宋体" w:hAnsi="宋体" w:cs="宋体"/>
                <w:szCs w:val="21"/>
              </w:rPr>
              <w:t>▲</w:t>
            </w:r>
            <w:r>
              <w:rPr>
                <w:rFonts w:hint="eastAsia" w:ascii="宋体" w:hAnsi="宋体"/>
              </w:rPr>
              <w:t>（4）</w:t>
            </w:r>
            <w:r>
              <w:rPr>
                <w:rFonts w:ascii="宋体" w:hAnsi="宋体"/>
              </w:rPr>
              <w:t>参考答案：须包含原理图设计答案、原理图设计讲解、PCB设计答案。</w:t>
            </w:r>
          </w:p>
          <w:p w14:paraId="11BA9137">
            <w:pPr>
              <w:pStyle w:val="234"/>
              <w:wordWrap w:val="0"/>
              <w:rPr>
                <w:rFonts w:ascii="宋体" w:hAnsi="宋体"/>
              </w:rPr>
            </w:pPr>
            <w:r>
              <w:rPr>
                <w:rFonts w:hint="eastAsia" w:ascii="宋体" w:hAnsi="宋体" w:cs="宋体"/>
                <w:szCs w:val="21"/>
              </w:rPr>
              <w:t>▲</w:t>
            </w:r>
            <w:r>
              <w:rPr>
                <w:rFonts w:hint="eastAsia" w:ascii="宋体" w:hAnsi="宋体"/>
              </w:rPr>
              <w:t>（5）</w:t>
            </w:r>
            <w:r>
              <w:rPr>
                <w:rFonts w:ascii="宋体" w:hAnsi="宋体"/>
              </w:rPr>
              <w:t>资源包可支持在线使用（在</w:t>
            </w:r>
            <w:r>
              <w:rPr>
                <w:rFonts w:hint="eastAsia" w:ascii="宋体" w:hAnsi="宋体"/>
              </w:rPr>
              <w:t>“电子技术训练云助手”</w:t>
            </w:r>
            <w:r>
              <w:rPr>
                <w:rFonts w:ascii="宋体" w:hAnsi="宋体"/>
              </w:rPr>
              <w:t>中使用）与离线使用（可从</w:t>
            </w:r>
            <w:r>
              <w:rPr>
                <w:rFonts w:hint="eastAsia" w:ascii="宋体" w:hAnsi="宋体"/>
              </w:rPr>
              <w:t>“电子技术训练云助手”</w:t>
            </w:r>
            <w:r>
              <w:rPr>
                <w:rFonts w:ascii="宋体" w:hAnsi="宋体"/>
              </w:rPr>
              <w:t>中下载资源资料）两种模式。</w:t>
            </w:r>
          </w:p>
          <w:p w14:paraId="29C32CBD">
            <w:pPr>
              <w:wordWrap w:val="0"/>
              <w:rPr>
                <w:b/>
                <w:bCs/>
                <w:sz w:val="24"/>
              </w:rPr>
            </w:pPr>
            <w:r>
              <w:rPr>
                <w:rFonts w:hint="eastAsia"/>
                <w:b/>
                <w:bCs/>
                <w:sz w:val="24"/>
              </w:rPr>
              <w:t>二、硬件套装清单（每种各10件）</w:t>
            </w:r>
          </w:p>
          <w:p w14:paraId="02C09C82">
            <w:pPr>
              <w:pStyle w:val="234"/>
              <w:wordWrap w:val="0"/>
              <w:rPr>
                <w:rFonts w:ascii="宋体" w:hAnsi="宋体"/>
              </w:rPr>
            </w:pPr>
            <w:r>
              <w:rPr>
                <w:rFonts w:hint="eastAsia" w:ascii="宋体" w:hAnsi="宋体"/>
              </w:rPr>
              <w:t>1、分立元件门电路：由分立元件如晶体管、电阻、电容等元器件组成，供电电压：+5V。</w:t>
            </w:r>
          </w:p>
          <w:p w14:paraId="169F4EFA">
            <w:pPr>
              <w:pStyle w:val="234"/>
              <w:wordWrap w:val="0"/>
              <w:rPr>
                <w:rFonts w:ascii="宋体" w:hAnsi="宋体"/>
              </w:rPr>
            </w:pPr>
            <w:r>
              <w:rPr>
                <w:rFonts w:hint="eastAsia" w:ascii="宋体" w:hAnsi="宋体"/>
              </w:rPr>
              <w:t>2、脉冲型(主从)触发器：由CD4013、按键、LED等元器件组成，供电电压：+5V。</w:t>
            </w:r>
          </w:p>
          <w:p w14:paraId="1E554A54">
            <w:pPr>
              <w:pStyle w:val="234"/>
              <w:wordWrap w:val="0"/>
              <w:rPr>
                <w:rFonts w:ascii="宋体" w:hAnsi="宋体"/>
              </w:rPr>
            </w:pPr>
            <w:r>
              <w:rPr>
                <w:rFonts w:hint="eastAsia" w:ascii="宋体" w:hAnsi="宋体"/>
              </w:rPr>
              <w:t>3、边沿型D触发器：由CD4013、按键、LED等元器件组成，供电电压：+5V。</w:t>
            </w:r>
          </w:p>
          <w:p w14:paraId="27952C5C">
            <w:pPr>
              <w:pStyle w:val="234"/>
              <w:wordWrap w:val="0"/>
              <w:rPr>
                <w:rFonts w:ascii="宋体" w:hAnsi="宋体"/>
              </w:rPr>
            </w:pPr>
            <w:r>
              <w:rPr>
                <w:rFonts w:hint="eastAsia" w:ascii="宋体" w:hAnsi="宋体"/>
              </w:rPr>
              <w:t>4、施密特触发器：由运算放大器、电阻、电容、按键、LED等元器件组成，供电电压：+5V。</w:t>
            </w:r>
          </w:p>
          <w:p w14:paraId="7C94D43A">
            <w:pPr>
              <w:pStyle w:val="234"/>
              <w:wordWrap w:val="0"/>
              <w:rPr>
                <w:rFonts w:ascii="宋体" w:hAnsi="宋体"/>
              </w:rPr>
            </w:pPr>
            <w:r>
              <w:rPr>
                <w:rFonts w:hint="eastAsia" w:ascii="宋体" w:hAnsi="宋体"/>
              </w:rPr>
              <w:t>5、74LS75寄存器：由74LS75芯片、按键、LED等元器件组成，供电电压：+5V。</w:t>
            </w:r>
          </w:p>
          <w:p w14:paraId="6639D6A1">
            <w:pPr>
              <w:pStyle w:val="234"/>
              <w:wordWrap w:val="0"/>
              <w:rPr>
                <w:rFonts w:ascii="宋体" w:hAnsi="宋体"/>
              </w:rPr>
            </w:pPr>
            <w:r>
              <w:rPr>
                <w:rFonts w:hint="eastAsia" w:ascii="宋体" w:hAnsi="宋体"/>
              </w:rPr>
              <w:t>6、同步十进制计数器：由CD4518、CD4026、按键、LED等元器件组成，供电电压：+5V。</w:t>
            </w:r>
          </w:p>
          <w:p w14:paraId="402CA0FF">
            <w:pPr>
              <w:pStyle w:val="234"/>
              <w:wordWrap w:val="0"/>
              <w:rPr>
                <w:rFonts w:ascii="宋体" w:hAnsi="宋体"/>
              </w:rPr>
            </w:pPr>
            <w:r>
              <w:rPr>
                <w:rFonts w:hint="eastAsia" w:ascii="宋体" w:hAnsi="宋体"/>
              </w:rPr>
              <w:t>7、同步二进制计数器：由CD4026、CD4024、按键、LED等元器件组成，供电电压：+5V。</w:t>
            </w:r>
          </w:p>
          <w:p w14:paraId="76A48D2E">
            <w:pPr>
              <w:pStyle w:val="234"/>
              <w:wordWrap w:val="0"/>
              <w:rPr>
                <w:rFonts w:ascii="宋体" w:hAnsi="宋体"/>
              </w:rPr>
            </w:pPr>
            <w:r>
              <w:rPr>
                <w:rFonts w:hint="eastAsia" w:ascii="宋体" w:hAnsi="宋体"/>
              </w:rPr>
              <w:t>8、与或非电路：由分立元件如晶体管、电阻、电容等元器件组成，供电电压：+5V。</w:t>
            </w:r>
          </w:p>
          <w:p w14:paraId="4AABD437">
            <w:pPr>
              <w:pStyle w:val="234"/>
              <w:wordWrap w:val="0"/>
              <w:rPr>
                <w:rFonts w:ascii="宋体" w:hAnsi="宋体"/>
              </w:rPr>
            </w:pPr>
            <w:r>
              <w:rPr>
                <w:rFonts w:hint="eastAsia" w:ascii="宋体" w:hAnsi="宋体"/>
              </w:rPr>
              <w:t>9、编码器：由编码器芯片、按键、LED等元器件组成，供电电压：+5V。</w:t>
            </w:r>
          </w:p>
          <w:p w14:paraId="2F52EED3">
            <w:pPr>
              <w:pStyle w:val="234"/>
              <w:wordWrap w:val="0"/>
              <w:rPr>
                <w:rFonts w:ascii="宋体" w:hAnsi="宋体"/>
              </w:rPr>
            </w:pPr>
            <w:r>
              <w:rPr>
                <w:rFonts w:hint="eastAsia" w:ascii="宋体" w:hAnsi="宋体"/>
              </w:rPr>
              <w:t>10、译码器：由译码器芯片、按键、LED等元器件组成，供电电压：+5V。</w:t>
            </w:r>
          </w:p>
          <w:p w14:paraId="0BE2CE0A">
            <w:pPr>
              <w:pStyle w:val="234"/>
              <w:wordWrap w:val="0"/>
              <w:rPr>
                <w:rFonts w:ascii="宋体" w:hAnsi="宋体"/>
              </w:rPr>
            </w:pPr>
            <w:r>
              <w:rPr>
                <w:rFonts w:hint="eastAsia" w:ascii="宋体" w:hAnsi="宋体"/>
              </w:rPr>
              <w:t>11、全加器：由运算放大器、电阻、电容、按键、LED等元器件组成，供电电压：+5V。</w:t>
            </w:r>
          </w:p>
          <w:p w14:paraId="6FCEB367">
            <w:pPr>
              <w:pStyle w:val="234"/>
              <w:wordWrap w:val="0"/>
              <w:rPr>
                <w:rFonts w:ascii="宋体" w:hAnsi="宋体"/>
              </w:rPr>
            </w:pPr>
            <w:r>
              <w:rPr>
                <w:rFonts w:hint="eastAsia" w:ascii="宋体" w:hAnsi="宋体"/>
              </w:rPr>
              <w:t>12、数据选择器：由74HC151、按键、LED等元器件组成，供电电压：+5V。</w:t>
            </w:r>
          </w:p>
          <w:p w14:paraId="52B9587F">
            <w:pPr>
              <w:pStyle w:val="234"/>
              <w:wordWrap w:val="0"/>
              <w:rPr>
                <w:rFonts w:ascii="宋体" w:hAnsi="宋体"/>
              </w:rPr>
            </w:pPr>
            <w:r>
              <w:rPr>
                <w:rFonts w:hint="eastAsia" w:ascii="宋体" w:hAnsi="宋体"/>
              </w:rPr>
              <w:t>13、数值比较器：由74HC85、按键、LED等元器件组成，供电电压：+5V。</w:t>
            </w:r>
          </w:p>
          <w:p w14:paraId="45F1E099">
            <w:pPr>
              <w:pStyle w:val="234"/>
              <w:wordWrap w:val="0"/>
              <w:rPr>
                <w:rFonts w:ascii="宋体" w:hAnsi="宋体"/>
              </w:rPr>
            </w:pPr>
            <w:r>
              <w:rPr>
                <w:rFonts w:hint="eastAsia" w:ascii="宋体" w:hAnsi="宋体"/>
              </w:rPr>
              <w:t>14、基本RS触发器：由分立元件如晶体管、电阻、电容等元器件组成，供电电压：+5V。</w:t>
            </w:r>
          </w:p>
          <w:p w14:paraId="75ACFC08">
            <w:pPr>
              <w:pStyle w:val="234"/>
              <w:wordWrap w:val="0"/>
              <w:rPr>
                <w:rFonts w:ascii="宋体" w:hAnsi="宋体"/>
              </w:rPr>
            </w:pPr>
            <w:r>
              <w:rPr>
                <w:rFonts w:hint="eastAsia" w:ascii="宋体" w:hAnsi="宋体"/>
              </w:rPr>
              <w:t>15、电平型RS触发器：由74HC74、按键、LED等元器件组成，供电电压：+5V。</w:t>
            </w:r>
          </w:p>
          <w:p w14:paraId="0B5E355E">
            <w:pPr>
              <w:pStyle w:val="234"/>
              <w:wordWrap w:val="0"/>
              <w:rPr>
                <w:rFonts w:ascii="宋体" w:hAnsi="宋体"/>
              </w:rPr>
            </w:pPr>
            <w:r>
              <w:rPr>
                <w:rFonts w:hint="eastAsia" w:ascii="宋体" w:hAnsi="宋体"/>
              </w:rPr>
              <w:t>16、异步二进制计数器：由CD4026、CD4024、按键、LED等元器件组成，供电电压：+5V。</w:t>
            </w:r>
          </w:p>
          <w:p w14:paraId="07132C59">
            <w:pPr>
              <w:pStyle w:val="234"/>
              <w:wordWrap w:val="0"/>
              <w:rPr>
                <w:rFonts w:ascii="宋体" w:hAnsi="宋体"/>
              </w:rPr>
            </w:pPr>
            <w:r>
              <w:rPr>
                <w:rFonts w:hint="eastAsia" w:ascii="宋体" w:hAnsi="宋体"/>
              </w:rPr>
              <w:t>17、异步十进制计数器：由CD4518、CD4026、按键、LED等元器件组成，供电电压：+5V。</w:t>
            </w:r>
          </w:p>
          <w:p w14:paraId="5214B8CB">
            <w:pPr>
              <w:pStyle w:val="234"/>
              <w:wordWrap w:val="0"/>
              <w:rPr>
                <w:rFonts w:ascii="宋体" w:hAnsi="宋体"/>
              </w:rPr>
            </w:pPr>
            <w:r>
              <w:rPr>
                <w:rFonts w:hint="eastAsia" w:ascii="宋体" w:hAnsi="宋体"/>
              </w:rPr>
              <w:t>18、移位寄存器：由74HC165、74HC164、按键、LED等元器件组成，供电电压：+5V。</w:t>
            </w:r>
          </w:p>
          <w:p w14:paraId="10A3A607">
            <w:pPr>
              <w:pStyle w:val="234"/>
              <w:wordWrap w:val="0"/>
              <w:rPr>
                <w:rFonts w:ascii="宋体" w:hAnsi="宋体"/>
              </w:rPr>
            </w:pPr>
            <w:r>
              <w:rPr>
                <w:rFonts w:hint="eastAsia" w:ascii="宋体" w:hAnsi="宋体"/>
              </w:rPr>
              <w:t>19、多谐振荡器：由运算放大器、电阻、电容、按键、LED等元器件组成，供电电压：+5V。</w:t>
            </w:r>
          </w:p>
          <w:p w14:paraId="32CFB84E">
            <w:pPr>
              <w:pStyle w:val="234"/>
              <w:wordWrap w:val="0"/>
              <w:rPr>
                <w:rFonts w:ascii="宋体" w:hAnsi="宋体"/>
              </w:rPr>
            </w:pPr>
            <w:r>
              <w:rPr>
                <w:rFonts w:hint="eastAsia" w:ascii="宋体" w:hAnsi="宋体"/>
              </w:rPr>
              <w:t>20、555单稳态定时器：由NE555、电阻、电容、按键、LED等元器件组成，供电电压：+5V。</w:t>
            </w:r>
          </w:p>
          <w:p w14:paraId="1D2DEBA7">
            <w:pPr>
              <w:pStyle w:val="234"/>
              <w:wordWrap w:val="0"/>
              <w:rPr>
                <w:rFonts w:ascii="宋体" w:hAnsi="宋体"/>
              </w:rPr>
            </w:pPr>
            <w:r>
              <w:rPr>
                <w:rFonts w:hint="eastAsia" w:ascii="宋体" w:hAnsi="宋体"/>
              </w:rPr>
              <w:t>21、555多谐振荡器电路：由NE555、电阻、电容、按键、LED等元器件组成，供电电压：+5V。</w:t>
            </w:r>
          </w:p>
          <w:p w14:paraId="24CA1684">
            <w:pPr>
              <w:pStyle w:val="234"/>
              <w:wordWrap w:val="0"/>
              <w:rPr>
                <w:rFonts w:ascii="宋体" w:hAnsi="宋体"/>
              </w:rPr>
            </w:pPr>
            <w:r>
              <w:rPr>
                <w:rFonts w:hint="eastAsia" w:ascii="宋体" w:hAnsi="宋体"/>
              </w:rPr>
              <w:t>22、基本共射放大电路：由晶体管、电阻、电容等元器件组成，供电电压：+5V。</w:t>
            </w:r>
          </w:p>
          <w:p w14:paraId="1BBF5D01">
            <w:pPr>
              <w:pStyle w:val="234"/>
              <w:wordWrap w:val="0"/>
              <w:rPr>
                <w:rFonts w:ascii="宋体" w:hAnsi="宋体"/>
              </w:rPr>
            </w:pPr>
            <w:r>
              <w:rPr>
                <w:rFonts w:hint="eastAsia" w:ascii="宋体" w:hAnsi="宋体"/>
              </w:rPr>
              <w:t>23、基本共集放大电路：由晶体管、电阻、电容等元器件组成，供电电压：+5V。</w:t>
            </w:r>
          </w:p>
          <w:p w14:paraId="34129366">
            <w:pPr>
              <w:pStyle w:val="234"/>
              <w:wordWrap w:val="0"/>
              <w:rPr>
                <w:rFonts w:ascii="宋体" w:hAnsi="宋体"/>
              </w:rPr>
            </w:pPr>
            <w:r>
              <w:rPr>
                <w:rFonts w:hint="eastAsia" w:ascii="宋体" w:hAnsi="宋体"/>
              </w:rPr>
              <w:t>24、基本共基放大电路：由晶体管、电阻、电容等元器件组成，供电电压：+5V。</w:t>
            </w:r>
          </w:p>
          <w:p w14:paraId="55729C71">
            <w:pPr>
              <w:pStyle w:val="234"/>
              <w:wordWrap w:val="0"/>
              <w:rPr>
                <w:rFonts w:ascii="宋体" w:hAnsi="宋体"/>
              </w:rPr>
            </w:pPr>
            <w:r>
              <w:rPr>
                <w:rFonts w:hint="eastAsia" w:ascii="宋体" w:hAnsi="宋体"/>
              </w:rPr>
              <w:t>25、结型场效应管放大电路：由结型场效应管、电阻、电容等元器件组成，供电电压：+5V。</w:t>
            </w:r>
          </w:p>
          <w:p w14:paraId="494A6979">
            <w:pPr>
              <w:pStyle w:val="234"/>
              <w:wordWrap w:val="0"/>
              <w:rPr>
                <w:rFonts w:ascii="宋体" w:hAnsi="宋体"/>
              </w:rPr>
            </w:pPr>
            <w:r>
              <w:rPr>
                <w:rFonts w:hint="eastAsia" w:ascii="宋体" w:hAnsi="宋体"/>
              </w:rPr>
              <w:t>26、绝缘栅场效应管放大电路：由绝缘栅场效应管、电阻、电容等元器件组成，供电电压：+5V。</w:t>
            </w:r>
          </w:p>
          <w:p w14:paraId="1DE23997">
            <w:pPr>
              <w:pStyle w:val="234"/>
              <w:wordWrap w:val="0"/>
              <w:rPr>
                <w:rFonts w:ascii="宋体" w:hAnsi="宋体"/>
              </w:rPr>
            </w:pPr>
            <w:r>
              <w:rPr>
                <w:rFonts w:hint="eastAsia" w:ascii="宋体" w:hAnsi="宋体"/>
              </w:rPr>
              <w:t>27、多级放大电路：由多个晶体管、电阻、电容等元器件组成，供电电压：+5V。</w:t>
            </w:r>
          </w:p>
          <w:p w14:paraId="1E480099">
            <w:pPr>
              <w:pStyle w:val="234"/>
              <w:wordWrap w:val="0"/>
              <w:rPr>
                <w:rFonts w:ascii="宋体" w:hAnsi="宋体"/>
              </w:rPr>
            </w:pPr>
            <w:r>
              <w:rPr>
                <w:rFonts w:hint="eastAsia" w:ascii="宋体" w:hAnsi="宋体"/>
              </w:rPr>
              <w:t>28、反相比例运算放大电路：由运算放大器、电阻、电容、按键、LED等元器件组成，供电电压：+5V。</w:t>
            </w:r>
          </w:p>
          <w:p w14:paraId="0B95D7B1">
            <w:pPr>
              <w:pStyle w:val="234"/>
              <w:wordWrap w:val="0"/>
              <w:rPr>
                <w:rFonts w:ascii="宋体" w:hAnsi="宋体"/>
              </w:rPr>
            </w:pPr>
            <w:r>
              <w:rPr>
                <w:rFonts w:hint="eastAsia" w:ascii="宋体" w:hAnsi="宋体"/>
              </w:rPr>
              <w:t>29、同相比例运算放大电路：由运算放大器、电阻、电容、按键、LED等元器件组成，供电电压：+5V。</w:t>
            </w:r>
          </w:p>
          <w:p w14:paraId="27E12F54">
            <w:pPr>
              <w:pStyle w:val="234"/>
              <w:wordWrap w:val="0"/>
              <w:rPr>
                <w:rFonts w:ascii="宋体" w:hAnsi="宋体"/>
              </w:rPr>
            </w:pPr>
            <w:r>
              <w:rPr>
                <w:rFonts w:hint="eastAsia" w:ascii="宋体" w:hAnsi="宋体"/>
              </w:rPr>
              <w:t>30、加减运算电路：由运算放大器、电阻、电容、按键、LED等元器件组成，供电电压：+5V。</w:t>
            </w:r>
          </w:p>
          <w:p w14:paraId="4994F7FD">
            <w:pPr>
              <w:pStyle w:val="234"/>
              <w:wordWrap w:val="0"/>
              <w:rPr>
                <w:rFonts w:ascii="宋体" w:hAnsi="宋体"/>
              </w:rPr>
            </w:pPr>
            <w:r>
              <w:rPr>
                <w:rFonts w:hint="eastAsia" w:ascii="宋体" w:hAnsi="宋体"/>
              </w:rPr>
              <w:t>31、积分微分运算电路：由运算放大器、电阻、电容、按键、LED等元器件组成，供电电压：+5V。</w:t>
            </w:r>
          </w:p>
          <w:p w14:paraId="3AC91445">
            <w:pPr>
              <w:pStyle w:val="234"/>
              <w:wordWrap w:val="0"/>
              <w:rPr>
                <w:rFonts w:ascii="宋体" w:hAnsi="宋体"/>
              </w:rPr>
            </w:pPr>
            <w:r>
              <w:rPr>
                <w:rFonts w:hint="eastAsia" w:ascii="宋体" w:hAnsi="宋体"/>
              </w:rPr>
              <w:t>32、低通滤波电路：由电阻、电容、电感、按键、LED等元器件组成，供电电压：+5V。</w:t>
            </w:r>
          </w:p>
          <w:p w14:paraId="1AC6BAF9">
            <w:pPr>
              <w:pStyle w:val="234"/>
              <w:wordWrap w:val="0"/>
              <w:rPr>
                <w:rFonts w:ascii="宋体" w:hAnsi="宋体"/>
              </w:rPr>
            </w:pPr>
            <w:r>
              <w:rPr>
                <w:rFonts w:hint="eastAsia" w:ascii="宋体" w:hAnsi="宋体"/>
              </w:rPr>
              <w:t>33、高通滤波电路：由电阻、电容、电感、按键、LED等元器件组成，供电电压：+5V。</w:t>
            </w:r>
          </w:p>
          <w:p w14:paraId="4B1E1804">
            <w:pPr>
              <w:pStyle w:val="234"/>
              <w:wordWrap w:val="0"/>
              <w:rPr>
                <w:rFonts w:ascii="宋体" w:hAnsi="宋体"/>
              </w:rPr>
            </w:pPr>
            <w:r>
              <w:rPr>
                <w:rFonts w:hint="eastAsia" w:ascii="宋体" w:hAnsi="宋体"/>
              </w:rPr>
              <w:t>34、正弦波振荡电路：由运算放大器、电阻、电容、电感、按键、LED等元器件组成，供电电压：+5V。</w:t>
            </w:r>
          </w:p>
          <w:p w14:paraId="358D43B9">
            <w:pPr>
              <w:pStyle w:val="234"/>
              <w:wordWrap w:val="0"/>
              <w:rPr>
                <w:rFonts w:ascii="宋体" w:hAnsi="宋体"/>
              </w:rPr>
            </w:pPr>
            <w:r>
              <w:rPr>
                <w:rFonts w:hint="eastAsia" w:ascii="宋体" w:hAnsi="宋体"/>
              </w:rPr>
              <w:t>35、电压比较器电路：由运算放大器、电阻、电容、按键、LED等元器件组成，供电电压：+5V。</w:t>
            </w:r>
          </w:p>
          <w:p w14:paraId="204D09E7">
            <w:pPr>
              <w:pStyle w:val="234"/>
              <w:wordWrap w:val="0"/>
              <w:rPr>
                <w:rFonts w:ascii="宋体" w:hAnsi="宋体"/>
              </w:rPr>
            </w:pPr>
            <w:r>
              <w:rPr>
                <w:rFonts w:hint="eastAsia" w:ascii="宋体" w:hAnsi="宋体"/>
              </w:rPr>
              <w:t>36、矩形波振荡器电路：由运算放大器、电阻、电容、按键、LED等元器件组成，供电电压：+5V。</w:t>
            </w:r>
          </w:p>
          <w:p w14:paraId="346F98A8">
            <w:pPr>
              <w:pStyle w:val="234"/>
              <w:wordWrap w:val="0"/>
              <w:rPr>
                <w:rFonts w:ascii="宋体" w:hAnsi="宋体"/>
              </w:rPr>
            </w:pPr>
            <w:r>
              <w:rPr>
                <w:rFonts w:hint="eastAsia" w:ascii="宋体" w:hAnsi="宋体"/>
              </w:rPr>
              <w:t>37、三角波振荡器电路：由运算放大器、电阻、电容、按键、LED等元器件组成，供电电压：+5V。</w:t>
            </w:r>
          </w:p>
          <w:p w14:paraId="4B6B01C9">
            <w:pPr>
              <w:pStyle w:val="234"/>
              <w:wordWrap w:val="0"/>
              <w:rPr>
                <w:rFonts w:ascii="宋体" w:hAnsi="宋体"/>
              </w:rPr>
            </w:pPr>
            <w:r>
              <w:rPr>
                <w:rFonts w:hint="eastAsia" w:ascii="宋体" w:hAnsi="宋体"/>
              </w:rPr>
              <w:t>38、锯齿波振荡器电路：由运算放大器、电阻、电容、按键、LED等元器件组成，供电电压：+5V。</w:t>
            </w:r>
          </w:p>
          <w:p w14:paraId="5ED01558">
            <w:pPr>
              <w:pStyle w:val="234"/>
              <w:wordWrap w:val="0"/>
              <w:rPr>
                <w:rFonts w:ascii="宋体" w:hAnsi="宋体"/>
              </w:rPr>
            </w:pPr>
            <w:r>
              <w:rPr>
                <w:rFonts w:hint="eastAsia" w:ascii="宋体" w:hAnsi="宋体"/>
              </w:rPr>
              <w:t>39、OTL功率放大器电路：由晶体管、电阻、电容、电感等元器件组成，供电电压：+5V。</w:t>
            </w:r>
          </w:p>
          <w:p w14:paraId="6F82CBD0">
            <w:pPr>
              <w:pStyle w:val="234"/>
              <w:wordWrap w:val="0"/>
              <w:rPr>
                <w:rFonts w:ascii="宋体" w:hAnsi="宋体"/>
              </w:rPr>
            </w:pPr>
            <w:r>
              <w:rPr>
                <w:rFonts w:hint="eastAsia" w:ascii="宋体" w:hAnsi="宋体"/>
              </w:rPr>
              <w:t>40、串联型稳压电源电路：由晶体管、电阻、电容、稳压二极管等元器件组成，供电电压：+5V。</w:t>
            </w:r>
          </w:p>
          <w:p w14:paraId="03246E43">
            <w:pPr>
              <w:pStyle w:val="234"/>
              <w:wordWrap w:val="0"/>
              <w:rPr>
                <w:rFonts w:ascii="宋体" w:hAnsi="宋体"/>
              </w:rPr>
            </w:pPr>
            <w:r>
              <w:rPr>
                <w:rFonts w:hint="eastAsia" w:ascii="宋体" w:hAnsi="宋体"/>
              </w:rPr>
              <w:t>41、集成稳压电源电路：由集成稳压芯片、电阻、电容等元器件组成，供电电压：+5V。</w:t>
            </w:r>
          </w:p>
          <w:p w14:paraId="56165C51">
            <w:pPr>
              <w:pStyle w:val="234"/>
              <w:wordWrap w:val="0"/>
              <w:rPr>
                <w:rFonts w:ascii="宋体" w:hAnsi="宋体"/>
              </w:rPr>
            </w:pPr>
            <w:r>
              <w:rPr>
                <w:rFonts w:hint="eastAsia" w:ascii="宋体" w:hAnsi="宋体"/>
              </w:rPr>
              <w:t>42、助听器电路：助听器主要由麦克风、放大器、受话器、电池、各种音量音调旋钮等元件组成。供电电压：+1、5V</w:t>
            </w:r>
          </w:p>
          <w:p w14:paraId="174F431D">
            <w:pPr>
              <w:pStyle w:val="234"/>
              <w:wordWrap w:val="0"/>
              <w:rPr>
                <w:rFonts w:ascii="宋体" w:hAnsi="宋体"/>
              </w:rPr>
            </w:pPr>
            <w:r>
              <w:rPr>
                <w:rFonts w:hint="eastAsia" w:ascii="宋体" w:hAnsi="宋体"/>
              </w:rPr>
              <w:t>43、话筒放大电路：话筒放大电路由电源电路、前级电路、推动级电路、功放输出级电路四个部分组成。采用二极管、集成运放、电阻、稳压管、三极管等元器件。供电电压：+15V</w:t>
            </w:r>
          </w:p>
          <w:p w14:paraId="19B59237">
            <w:pPr>
              <w:pStyle w:val="234"/>
              <w:wordWrap w:val="0"/>
              <w:rPr>
                <w:rFonts w:ascii="宋体" w:hAnsi="宋体"/>
              </w:rPr>
            </w:pPr>
            <w:r>
              <w:rPr>
                <w:rFonts w:hint="eastAsia" w:ascii="宋体" w:hAnsi="宋体"/>
              </w:rPr>
              <w:t>44、音调控制电路：此电路采用双电源供电，通过调节电位器控制运放的高通低通频率进行放大，最后再进行叠加输出。从而实现音调控制。双供电电压：+12V、-12V</w:t>
            </w:r>
          </w:p>
          <w:p w14:paraId="212FE971">
            <w:pPr>
              <w:pStyle w:val="234"/>
              <w:wordWrap w:val="0"/>
              <w:rPr>
                <w:rFonts w:ascii="宋体" w:hAnsi="宋体"/>
              </w:rPr>
            </w:pPr>
            <w:r>
              <w:rPr>
                <w:rFonts w:hint="eastAsia" w:ascii="宋体" w:hAnsi="宋体"/>
              </w:rPr>
              <w:t>45、功率放大器：电路由电源电路、前级放大、偏置电路、推挽输出电路组成。供电电压：+12V</w:t>
            </w:r>
          </w:p>
          <w:p w14:paraId="052DB1DF">
            <w:pPr>
              <w:pStyle w:val="234"/>
              <w:wordWrap w:val="0"/>
              <w:rPr>
                <w:rFonts w:ascii="宋体" w:hAnsi="宋体"/>
              </w:rPr>
            </w:pPr>
            <w:r>
              <w:rPr>
                <w:rFonts w:hint="eastAsia" w:ascii="宋体" w:hAnsi="宋体"/>
              </w:rPr>
              <w:t>46、串联型稳压电源：由变压器、二极管、集成运放、电阻、稳压管、三极管等元器件组成。供电电压：~220V交流电</w:t>
            </w:r>
          </w:p>
          <w:p w14:paraId="26A289C4">
            <w:pPr>
              <w:pStyle w:val="234"/>
              <w:wordWrap w:val="0"/>
              <w:rPr>
                <w:rFonts w:ascii="宋体" w:hAnsi="宋体"/>
              </w:rPr>
            </w:pPr>
            <w:r>
              <w:rPr>
                <w:rFonts w:hint="eastAsia" w:ascii="宋体" w:hAnsi="宋体"/>
              </w:rPr>
              <w:t>47、抢答器：由按键、电容、电阻、数码管、74LS148等元器件组成。供电电压：+5V</w:t>
            </w:r>
          </w:p>
          <w:p w14:paraId="5B7676C2">
            <w:pPr>
              <w:pStyle w:val="234"/>
              <w:wordWrap w:val="0"/>
              <w:rPr>
                <w:rFonts w:ascii="宋体" w:hAnsi="宋体"/>
              </w:rPr>
            </w:pPr>
            <w:r>
              <w:rPr>
                <w:rFonts w:hint="eastAsia" w:ascii="宋体" w:hAnsi="宋体"/>
              </w:rPr>
              <w:t>48、病房呼叫器：由按键、74AC74N、二极管、电容、LED、蜂鸣器等元器件组成、供电电压：+5V</w:t>
            </w:r>
          </w:p>
          <w:p w14:paraId="75BE19F0">
            <w:pPr>
              <w:pStyle w:val="234"/>
              <w:wordWrap w:val="0"/>
              <w:rPr>
                <w:rFonts w:ascii="宋体" w:hAnsi="宋体"/>
              </w:rPr>
            </w:pPr>
            <w:r>
              <w:rPr>
                <w:rFonts w:hint="eastAsia" w:ascii="宋体" w:hAnsi="宋体"/>
              </w:rPr>
              <w:t>49、流水灯：由开关、NE555振荡器、74AC74N分频器、计数器、电容、电阻、LED、数码管等元器件组成。供电电压：+5V</w:t>
            </w:r>
          </w:p>
          <w:p w14:paraId="45DDB359">
            <w:pPr>
              <w:pStyle w:val="234"/>
              <w:wordWrap w:val="0"/>
              <w:rPr>
                <w:rFonts w:ascii="宋体" w:hAnsi="宋体"/>
              </w:rPr>
            </w:pPr>
            <w:r>
              <w:rPr>
                <w:rFonts w:hint="eastAsia" w:ascii="宋体" w:hAnsi="宋体"/>
              </w:rPr>
              <w:t>50、数值比较：由按键、计数器、译码器、编码器、LED、数值比较器74LS85等元器件组成。供电电压：+5V</w:t>
            </w:r>
          </w:p>
          <w:p w14:paraId="06D8AA3B">
            <w:pPr>
              <w:pStyle w:val="234"/>
              <w:wordWrap w:val="0"/>
              <w:rPr>
                <w:rFonts w:ascii="宋体" w:hAnsi="宋体"/>
              </w:rPr>
            </w:pPr>
            <w:r>
              <w:rPr>
                <w:rFonts w:hint="eastAsia" w:ascii="宋体" w:hAnsi="宋体"/>
              </w:rPr>
              <w:t>51、可调倒计时电路：由拨动开关、电容、电阻、蜂鸣器、二极管、1秒脉冲发生器、比较器、数码管、可预置减计数器等元器件组成。供电电压：+5V</w:t>
            </w:r>
          </w:p>
          <w:p w14:paraId="183D2175">
            <w:pPr>
              <w:pStyle w:val="234"/>
              <w:wordWrap w:val="0"/>
              <w:rPr>
                <w:rFonts w:ascii="宋体" w:hAnsi="宋体"/>
              </w:rPr>
            </w:pPr>
            <w:r>
              <w:rPr>
                <w:rFonts w:hint="eastAsia" w:ascii="宋体" w:hAnsi="宋体"/>
              </w:rPr>
              <w:t>52、数控功率放大器的设计：由运算放大器、DAC（数模转换器）、功率放大器、反馈网络、电阻、电容等元器件组成，供电电压：+5V、±12V。</w:t>
            </w:r>
          </w:p>
          <w:p w14:paraId="5259139D">
            <w:pPr>
              <w:pStyle w:val="234"/>
              <w:wordWrap w:val="0"/>
              <w:rPr>
                <w:rFonts w:ascii="宋体" w:hAnsi="宋体"/>
              </w:rPr>
            </w:pPr>
            <w:r>
              <w:rPr>
                <w:rFonts w:hint="eastAsia" w:ascii="宋体" w:hAnsi="宋体"/>
              </w:rPr>
              <w:t>53、数控步进电源的设计：由DAC、电压调节器、电阻、电容、按键、LED等元器件组成，供电电压：+5V、±12V。</w:t>
            </w:r>
          </w:p>
          <w:p w14:paraId="5D0F1EB3">
            <w:pPr>
              <w:pStyle w:val="234"/>
              <w:wordWrap w:val="0"/>
              <w:rPr>
                <w:rFonts w:ascii="宋体" w:hAnsi="宋体"/>
              </w:rPr>
            </w:pPr>
            <w:r>
              <w:rPr>
                <w:rFonts w:hint="eastAsia" w:ascii="宋体" w:hAnsi="宋体"/>
              </w:rPr>
              <w:t>54、数字电子钟电路的设计：由振荡器、计数器、分频器、显示驱动电路、数码管等元器件组成，供电电压：+5V。</w:t>
            </w:r>
          </w:p>
          <w:p w14:paraId="58168453">
            <w:pPr>
              <w:pStyle w:val="234"/>
              <w:wordWrap w:val="0"/>
              <w:rPr>
                <w:rFonts w:ascii="宋体" w:hAnsi="宋体"/>
              </w:rPr>
            </w:pPr>
            <w:r>
              <w:rPr>
                <w:rFonts w:hint="eastAsia" w:ascii="宋体" w:hAnsi="宋体"/>
              </w:rPr>
              <w:t>55、直流电机控制电路的设计：由H桥驱动电路、PWM控制器、电阻、电容、按键、LED等元器件组成，供电电压：+5V、+12V。</w:t>
            </w:r>
          </w:p>
          <w:p w14:paraId="68AC37BA">
            <w:pPr>
              <w:pStyle w:val="234"/>
              <w:wordWrap w:val="0"/>
              <w:rPr>
                <w:rFonts w:ascii="宋体" w:hAnsi="宋体"/>
              </w:rPr>
            </w:pPr>
            <w:r>
              <w:rPr>
                <w:rFonts w:hint="eastAsia" w:ascii="宋体" w:hAnsi="宋体"/>
              </w:rPr>
              <w:t>56、PID调速电路的设计：由运算放大器、PID控制器、ADC（模数转换器）、PWM输出、驱动电路、电阻、电容等元器件组成，供电电压：+5V。</w:t>
            </w:r>
          </w:p>
          <w:p w14:paraId="4DAEF47E">
            <w:pPr>
              <w:pStyle w:val="234"/>
              <w:wordWrap w:val="0"/>
              <w:rPr>
                <w:rFonts w:ascii="宋体" w:hAnsi="宋体"/>
              </w:rPr>
            </w:pPr>
            <w:r>
              <w:rPr>
                <w:rFonts w:hint="eastAsia" w:ascii="宋体" w:hAnsi="宋体"/>
              </w:rPr>
              <w:t>57、偏移量控制电路的设计：由运算放大器、电阻、电容、按键、LED等元器件组成，供电电压：+5V。</w:t>
            </w:r>
          </w:p>
          <w:p w14:paraId="13195469">
            <w:pPr>
              <w:pStyle w:val="234"/>
              <w:wordWrap w:val="0"/>
              <w:rPr>
                <w:rFonts w:ascii="宋体" w:hAnsi="宋体"/>
              </w:rPr>
            </w:pPr>
            <w:r>
              <w:rPr>
                <w:rFonts w:hint="eastAsia" w:ascii="宋体" w:hAnsi="宋体"/>
              </w:rPr>
              <w:t>58、十字路口交通灯控制电路的设计：由计数器、分频器、驱动电路、LED交通灯等元器件组成，供电电压：+5V。</w:t>
            </w:r>
          </w:p>
          <w:p w14:paraId="4C07D66D">
            <w:pPr>
              <w:pStyle w:val="234"/>
              <w:wordWrap w:val="0"/>
              <w:rPr>
                <w:rFonts w:ascii="宋体" w:hAnsi="宋体"/>
              </w:rPr>
            </w:pPr>
            <w:r>
              <w:rPr>
                <w:rFonts w:hint="eastAsia" w:ascii="宋体" w:hAnsi="宋体"/>
              </w:rPr>
              <w:t>59、自动烘干机电路：由温度传感器、加热元件、风扇控制电路、电阻、电容、按键、LED等元器件组成，供电电压：+5V、+12V。</w:t>
            </w:r>
          </w:p>
          <w:p w14:paraId="3D7BE997">
            <w:pPr>
              <w:pStyle w:val="234"/>
              <w:wordWrap w:val="0"/>
              <w:rPr>
                <w:rFonts w:ascii="宋体" w:hAnsi="宋体"/>
              </w:rPr>
            </w:pPr>
            <w:r>
              <w:rPr>
                <w:rFonts w:hint="eastAsia" w:ascii="宋体" w:hAnsi="宋体"/>
              </w:rPr>
              <w:t>60、温度控制系统：由温度传感器、运算放大器、加热/冷却元件、电阻、电容、按键、LED等元器件组成，供电电压：+5V。</w:t>
            </w:r>
          </w:p>
          <w:p w14:paraId="34B1911B">
            <w:pPr>
              <w:pStyle w:val="234"/>
              <w:wordWrap w:val="0"/>
              <w:rPr>
                <w:rFonts w:ascii="宋体" w:hAnsi="宋体"/>
              </w:rPr>
            </w:pPr>
            <w:r>
              <w:rPr>
                <w:rFonts w:hint="eastAsia" w:ascii="宋体" w:hAnsi="宋体"/>
              </w:rPr>
              <w:t>61、电动车控制系统：由速度传感器、电机驱动电路、电阻、电容、按键、LED等元器件组成，供电电压：+5V、电池电压。</w:t>
            </w:r>
          </w:p>
          <w:p w14:paraId="0D779451">
            <w:pPr>
              <w:pStyle w:val="234"/>
              <w:wordWrap w:val="0"/>
              <w:rPr>
                <w:rFonts w:ascii="宋体" w:hAnsi="宋体"/>
              </w:rPr>
            </w:pPr>
            <w:r>
              <w:rPr>
                <w:rFonts w:hint="eastAsia" w:ascii="宋体" w:hAnsi="宋体"/>
              </w:rPr>
              <w:t>62、数显信号发生器电路：数显信号发生器是以ICL8038为核心，ICL8038是一种具有多种波形输出的精密振荡集成电路，只需调整个别的外部元件就能产生从0.001Hz~300kHz的低失真正弦波、三角波、矩形波等脉冲信号。输出波形的频率和占空比还可以由电流或电阻控制。系统包括信号产生、频率测量与显示，幅值测量与显示、波形整形、电源转换、信号放大与输出六大部分组成。</w:t>
            </w:r>
          </w:p>
          <w:p w14:paraId="29BF32E7">
            <w:pPr>
              <w:pStyle w:val="234"/>
              <w:wordWrap w:val="0"/>
              <w:rPr>
                <w:rFonts w:ascii="宋体" w:hAnsi="宋体"/>
              </w:rPr>
            </w:pPr>
            <w:r>
              <w:rPr>
                <w:rFonts w:hint="eastAsia" w:ascii="宋体" w:hAnsi="宋体"/>
              </w:rPr>
              <w:t>63、10层模拟电梯电路：这个电路包含了一个10层的电梯，7段数码管和LED组指示电梯的楼层—0表示地面层，9表示第九层，你选择要去往的楼层是通过按钮开关实现，LED组将以1Hz的速度按顺序从现有楼层到选择的楼层顺次点亮。</w:t>
            </w:r>
          </w:p>
          <w:p w14:paraId="5EAA7461">
            <w:pPr>
              <w:pStyle w:val="234"/>
              <w:wordWrap w:val="0"/>
              <w:rPr>
                <w:rFonts w:ascii="宋体" w:hAnsi="宋体"/>
              </w:rPr>
            </w:pPr>
            <w:r>
              <w:rPr>
                <w:rFonts w:hint="eastAsia" w:ascii="宋体" w:hAnsi="宋体"/>
              </w:rPr>
              <w:t>64、交通红绿灯控制电路：通过两个拨码开关设置红灯，绿灯的时间。NE555产生时基脉冲。4个数码管分别显示红灯，绿灯的倒计时时间，三种颜色LED指示交通灯光状态。</w:t>
            </w:r>
          </w:p>
          <w:p w14:paraId="4A00D83C">
            <w:pPr>
              <w:pStyle w:val="234"/>
              <w:wordWrap w:val="0"/>
              <w:rPr>
                <w:rFonts w:ascii="宋体" w:hAnsi="宋体"/>
              </w:rPr>
            </w:pPr>
            <w:r>
              <w:rPr>
                <w:rFonts w:hint="eastAsia" w:ascii="宋体" w:hAnsi="宋体"/>
              </w:rPr>
              <w:t>65、占空比检测电路：本电路为占空比检测电路，通过NE555产生占空比可调脉冲，经过分频与倍频，然后计数，检测出脉冲的占空比。</w:t>
            </w:r>
          </w:p>
          <w:p w14:paraId="2F5EC8E6">
            <w:pPr>
              <w:pStyle w:val="234"/>
              <w:wordWrap w:val="0"/>
              <w:rPr>
                <w:rFonts w:ascii="宋体" w:hAnsi="宋体"/>
              </w:rPr>
            </w:pPr>
            <w:r>
              <w:rPr>
                <w:rFonts w:hint="eastAsia" w:ascii="宋体" w:hAnsi="宋体"/>
              </w:rPr>
              <w:t>66、温度报警电路：正常工作时，数码管循环显示1，2，4，8。继电器K1，K2均不工作，LED1-LED4均熄灭。电路可以用一个拨动开关来选择自动模式或是手动模块。当开关SW1处于自动模式时，用一个热敏电阻来检测温度，当温度升高到某一值时，点亮发光二极管LED1，继电器K1工作。并接通报警电路工作，蜂鸣器发出模拟急救车的报警声音，同时，数码管暂停循环显示，停留在当前的字符。在报警状态条件下，此时，再将外部传感器输入信号模拟接通（用短路帽实现，短路帽接通，LED4=1，短路帽断开LED4=0）后，继电器K2工作，LED3点亮。当温度降低到某一值时，电路恢复到正常工作状态。当开关SW1处于手动模式时，用一个按键来模拟热敏电阻，按下按键S1代表温度升高到某一值LED2点亮，再次按下表示温度又降低到了某一值LED2灭，如此循环。手动功能与上述自动模式的功能一致。</w:t>
            </w:r>
          </w:p>
          <w:p w14:paraId="5BE3E5F7">
            <w:pPr>
              <w:pStyle w:val="234"/>
              <w:wordWrap w:val="0"/>
              <w:rPr>
                <w:rFonts w:ascii="宋体" w:hAnsi="宋体"/>
              </w:rPr>
            </w:pPr>
            <w:r>
              <w:rPr>
                <w:rFonts w:hint="eastAsia" w:ascii="宋体" w:hAnsi="宋体"/>
              </w:rPr>
              <w:t>67、热敏打印机：本电路需要设计一个热敏打印机的控制电路，本电路包括电源控制电路、温度比较电路、信息显示屏电路、按键和蜂鸣器、脉冲发生电路、打印头驱动等电路模块。能够实现所需要的内容进行热敏打印。</w:t>
            </w:r>
          </w:p>
          <w:p w14:paraId="5F695ED7">
            <w:pPr>
              <w:pStyle w:val="234"/>
              <w:wordWrap w:val="0"/>
              <w:rPr>
                <w:rFonts w:ascii="宋体" w:hAnsi="宋体"/>
              </w:rPr>
            </w:pPr>
            <w:r>
              <w:rPr>
                <w:rFonts w:hint="eastAsia" w:ascii="宋体" w:hAnsi="宋体"/>
              </w:rPr>
              <w:t>68、点阵游戏板：可支撑3个实训项目：驱动12864、摇杆实验、万年历。由LCD12864、摇杆电位器、无源蜂鸣器、纽扣电池座、电容、电阻等元器件组成。供电电压：+5V</w:t>
            </w:r>
          </w:p>
          <w:p w14:paraId="55079A39">
            <w:pPr>
              <w:pStyle w:val="234"/>
              <w:wordWrap w:val="0"/>
              <w:rPr>
                <w:rFonts w:ascii="宋体" w:hAnsi="宋体"/>
              </w:rPr>
            </w:pPr>
            <w:r>
              <w:rPr>
                <w:rFonts w:hint="eastAsia" w:ascii="宋体" w:hAnsi="宋体"/>
              </w:rPr>
              <w:t>69、矩阵键盘_数码管板：可支撑2个实训项目：密码锁、电子琴。由74HC595、矩阵键盘、蜂鸣器4位数码管等元器件组成。供电电压：+5V</w:t>
            </w:r>
          </w:p>
          <w:p w14:paraId="7D1B45A9">
            <w:pPr>
              <w:pStyle w:val="234"/>
              <w:wordWrap w:val="0"/>
              <w:rPr>
                <w:rFonts w:ascii="宋体" w:hAnsi="宋体"/>
              </w:rPr>
            </w:pPr>
            <w:r>
              <w:rPr>
                <w:rFonts w:hint="eastAsia" w:ascii="宋体" w:hAnsi="宋体"/>
              </w:rPr>
              <w:t>70、舵机控制板：可支撑2个实训项目：舵机、flash实验。由电流传感器模块、低压降线性稳压器、电容、电阻、非自锁开关等元器件组成。供电电压：+5V</w:t>
            </w:r>
          </w:p>
          <w:p w14:paraId="476D8C5C">
            <w:pPr>
              <w:pStyle w:val="234"/>
              <w:wordWrap w:val="0"/>
              <w:rPr>
                <w:rFonts w:ascii="宋体" w:hAnsi="宋体"/>
              </w:rPr>
            </w:pPr>
            <w:r>
              <w:rPr>
                <w:rFonts w:hint="eastAsia" w:ascii="宋体" w:hAnsi="宋体"/>
              </w:rPr>
              <w:t>71、基础外设板：可支撑11个实训项目：点亮一个LED灯、闪烁的LED灯、数码管实验、按键滤波实验、矩阵键盘扫描、秒表、使用串口打印日志、基于USB的VirtualPortCom实验、CRC及RNG实验、看门狗实验、函数信号发生器。由数码管、LED、按键、电容、电阻等元器件组成。供电电压：+5V</w:t>
            </w:r>
          </w:p>
          <w:p w14:paraId="5D8F8177">
            <w:pPr>
              <w:pStyle w:val="234"/>
              <w:wordWrap w:val="0"/>
              <w:rPr>
                <w:rFonts w:ascii="宋体" w:hAnsi="宋体"/>
              </w:rPr>
            </w:pPr>
            <w:r>
              <w:rPr>
                <w:rFonts w:hint="eastAsia" w:ascii="宋体" w:hAnsi="宋体"/>
              </w:rPr>
              <w:t>72、智能手表程序设计：系统使用4个按钮和OLED显示器与用户交互。</w:t>
            </w:r>
          </w:p>
          <w:p w14:paraId="010F2581">
            <w:pPr>
              <w:pStyle w:val="234"/>
              <w:wordWrap w:val="0"/>
              <w:rPr>
                <w:rFonts w:ascii="宋体" w:hAnsi="宋体"/>
              </w:rPr>
            </w:pPr>
            <w:r>
              <w:rPr>
                <w:rFonts w:hint="eastAsia" w:ascii="宋体" w:hAnsi="宋体"/>
              </w:rPr>
              <w:t>73、模拟出租车计价器系统程序设计：本测试项目有“车辆与环境系统”（以下简称：环境系统）与“计价器系统”两部分，其中环境系统是模拟车辆行驶状态和环境，如车辆行驶里程、载客状态（空车/载客）、运行状态（高速/低速）和车辆传感器（温度/湿度）</w:t>
            </w:r>
          </w:p>
          <w:p w14:paraId="0F52D0AC">
            <w:pPr>
              <w:pStyle w:val="234"/>
              <w:wordWrap w:val="0"/>
              <w:rPr>
                <w:rFonts w:ascii="宋体" w:hAnsi="宋体"/>
              </w:rPr>
            </w:pPr>
            <w:r>
              <w:rPr>
                <w:rFonts w:hint="eastAsia" w:ascii="宋体" w:hAnsi="宋体"/>
              </w:rPr>
              <w:t>74、模拟电梯程序设计：模拟一部电梯，小型模拟电梯有4个楼层数字“G、1、2和3”，这是典型住宅用小型电梯。外呼操作面板（LOP）安置在每个楼层，这个面板是由电梯使用者呼叫电梯，是由单信号按钮（和信号指示灯）组成的信号面板。轿厢操作面板（COP）安装在轿厢内部。这个面板是让电梯操作者输入最终的目的楼层。电梯由7个LED灯组成，绿色的LED用于指示楼层，红色的指示楼层之间，电梯不能停留在楼层之间。每个楼层都有外呼操作面板，该面板包含1个外呼按钮和LED指示。内呼操作面板由4个内呼按钮和内呼指示LED组成。</w:t>
            </w:r>
          </w:p>
          <w:p w14:paraId="17193F51">
            <w:pPr>
              <w:pStyle w:val="234"/>
              <w:wordWrap w:val="0"/>
              <w:rPr>
                <w:rFonts w:ascii="宋体" w:hAnsi="宋体"/>
              </w:rPr>
            </w:pPr>
            <w:r>
              <w:rPr>
                <w:rFonts w:hint="eastAsia" w:ascii="宋体" w:hAnsi="宋体"/>
              </w:rPr>
              <w:t>75、模拟地铁嵌入式编程目标板：这是一个地铁系统的模拟。该电路使用+5V，GND、有三条地铁线路，分别为红色、蓝色和绿色LED表示。LCD显示站点信息。</w:t>
            </w:r>
          </w:p>
          <w:p w14:paraId="299578CE">
            <w:pPr>
              <w:pStyle w:val="234"/>
              <w:wordWrap w:val="0"/>
              <w:rPr>
                <w:rFonts w:ascii="宋体" w:hAnsi="宋体"/>
              </w:rPr>
            </w:pPr>
            <w:r>
              <w:rPr>
                <w:rFonts w:hint="eastAsia" w:ascii="宋体" w:hAnsi="宋体"/>
              </w:rPr>
              <w:t>76、多级调速器：由CD4060、自锁按键、CD4020分频电路、积分电路、计数器、霍尔传感器、比较器、驱动电路、数码管、5V直流电机等元器件。供电电压：+5V、-5V</w:t>
            </w:r>
          </w:p>
          <w:p w14:paraId="60406756">
            <w:pPr>
              <w:pStyle w:val="234"/>
              <w:wordWrap w:val="0"/>
              <w:rPr>
                <w:rFonts w:ascii="宋体" w:hAnsi="宋体"/>
              </w:rPr>
            </w:pPr>
            <w:r>
              <w:rPr>
                <w:rFonts w:hint="eastAsia" w:ascii="宋体" w:hAnsi="宋体"/>
              </w:rPr>
              <w:t>77、开关控制环型LED电路板：由按键、4位倒T型电阻网路D/A转换器、压控振荡器、分频器、计数器、74HC08、74HC164、LED等元器件组成。供电电压：+12V、-12V</w:t>
            </w:r>
          </w:p>
          <w:p w14:paraId="58C24D0D">
            <w:pPr>
              <w:pStyle w:val="234"/>
              <w:wordWrap w:val="0"/>
              <w:rPr>
                <w:rFonts w:ascii="宋体" w:hAnsi="宋体"/>
              </w:rPr>
            </w:pPr>
            <w:r>
              <w:rPr>
                <w:rFonts w:hint="eastAsia" w:ascii="宋体" w:hAnsi="宋体"/>
              </w:rPr>
              <w:t>78、灯光亮度调控电路电路板：由按键、多谐振荡器、三位二进制计数器、D/A转换器、比较器、积分电路、光耦隔离、驱动电路、LED等元器件组成。供电电压：+5、6V</w:t>
            </w:r>
          </w:p>
          <w:p w14:paraId="1BC4D9C7">
            <w:pPr>
              <w:pStyle w:val="234"/>
              <w:wordWrap w:val="0"/>
              <w:rPr>
                <w:rFonts w:ascii="宋体" w:hAnsi="宋体"/>
              </w:rPr>
            </w:pPr>
            <w:r>
              <w:rPr>
                <w:rFonts w:hint="eastAsia" w:ascii="宋体" w:hAnsi="宋体"/>
              </w:rPr>
              <w:t>79、可调数字脉冲发生器电路板：由鉴相器、低通滤波器、压控振荡器、分频器、比较器、加/减计数器等元器件组成。供电电压：+5V</w:t>
            </w:r>
          </w:p>
          <w:p w14:paraId="72CBA686">
            <w:pPr>
              <w:pStyle w:val="234"/>
              <w:wordWrap w:val="0"/>
              <w:rPr>
                <w:rFonts w:ascii="宋体" w:hAnsi="宋体"/>
              </w:rPr>
            </w:pPr>
            <w:r>
              <w:rPr>
                <w:rFonts w:hint="eastAsia" w:ascii="宋体" w:hAnsi="宋体"/>
              </w:rPr>
              <w:t>80、超声波测距电路板：由0.56寸1位共阴数码管、插件单联电位器、直插色环电阻、低频放大-PNP型、LED、电容、电阻、2P接插件、双路运放等元器件组成。供电电压：+9V</w:t>
            </w:r>
          </w:p>
          <w:p w14:paraId="3B3E84FC">
            <w:pPr>
              <w:pStyle w:val="234"/>
              <w:wordWrap w:val="0"/>
              <w:rPr>
                <w:rFonts w:ascii="宋体" w:hAnsi="宋体"/>
              </w:rPr>
            </w:pPr>
            <w:r>
              <w:rPr>
                <w:rFonts w:hint="eastAsia" w:ascii="宋体" w:hAnsi="宋体"/>
              </w:rPr>
              <w:t>81、FSK频移键控电路电路板：由晶振、CD4052BC、集成运算放大器、CD4013、插件单联电位器、发光二极管、电阻、电容等元器件组成。供电电压：+5V、-5V</w:t>
            </w:r>
          </w:p>
          <w:p w14:paraId="5256D57A">
            <w:pPr>
              <w:pStyle w:val="234"/>
              <w:wordWrap w:val="0"/>
              <w:rPr>
                <w:rFonts w:ascii="宋体" w:hAnsi="宋体"/>
              </w:rPr>
            </w:pPr>
            <w:r>
              <w:rPr>
                <w:rFonts w:hint="eastAsia" w:ascii="宋体" w:hAnsi="宋体"/>
              </w:rPr>
              <w:t>82、函数信号发生电路电路板：由振荡器、分频器、波形选择器、电阻、电容、按键、LED等元器件组成，供电电压：+5V。</w:t>
            </w:r>
          </w:p>
          <w:p w14:paraId="6120B98B">
            <w:pPr>
              <w:pStyle w:val="234"/>
              <w:wordWrap w:val="0"/>
              <w:rPr>
                <w:rFonts w:ascii="宋体" w:hAnsi="宋体"/>
              </w:rPr>
            </w:pPr>
            <w:r>
              <w:rPr>
                <w:rFonts w:hint="eastAsia" w:ascii="宋体" w:hAnsi="宋体"/>
              </w:rPr>
              <w:t>83、十路编码锁存电路电路板：由编码器、锁存器、电阻、电容、按键、LED等元器件组成，供电电压：+5V。</w:t>
            </w:r>
          </w:p>
          <w:p w14:paraId="7730DDEF">
            <w:pPr>
              <w:pStyle w:val="234"/>
              <w:wordWrap w:val="0"/>
              <w:rPr>
                <w:rFonts w:ascii="宋体" w:hAnsi="宋体"/>
              </w:rPr>
            </w:pPr>
            <w:r>
              <w:rPr>
                <w:rFonts w:hint="eastAsia" w:ascii="宋体" w:hAnsi="宋体"/>
              </w:rPr>
              <w:t>84、二控电源电路板：由电压调节器、电阻、电容、按键、LED等元器件组成，供电电压：+5V、+12V。</w:t>
            </w:r>
          </w:p>
          <w:p w14:paraId="1BE480EC">
            <w:pPr>
              <w:pStyle w:val="234"/>
              <w:wordWrap w:val="0"/>
              <w:rPr>
                <w:rFonts w:ascii="宋体" w:hAnsi="宋体"/>
              </w:rPr>
            </w:pPr>
            <w:r>
              <w:rPr>
                <w:rFonts w:hint="eastAsia" w:ascii="宋体" w:hAnsi="宋体"/>
              </w:rPr>
              <w:t>85、MC14433温度检测电路板：由MC14433芯片、电阻、电容、按键、LED等元器件组成，供电电压：+5V。</w:t>
            </w:r>
          </w:p>
          <w:p w14:paraId="65DD876D">
            <w:pPr>
              <w:pStyle w:val="234"/>
              <w:wordWrap w:val="0"/>
              <w:rPr>
                <w:rFonts w:ascii="宋体" w:hAnsi="宋体"/>
              </w:rPr>
            </w:pPr>
            <w:r>
              <w:rPr>
                <w:rFonts w:hint="eastAsia" w:ascii="宋体" w:hAnsi="宋体"/>
              </w:rPr>
              <w:t>86、microPython矿井救援模拟系统电路板：由电阻、电容、按键、LED等元器件组成，供电电压：+5V。</w:t>
            </w:r>
          </w:p>
          <w:p w14:paraId="421B6D18">
            <w:pPr>
              <w:pStyle w:val="234"/>
              <w:wordWrap w:val="0"/>
              <w:rPr>
                <w:rFonts w:ascii="宋体" w:hAnsi="宋体"/>
              </w:rPr>
            </w:pPr>
            <w:r>
              <w:rPr>
                <w:rFonts w:hint="eastAsia" w:ascii="宋体" w:hAnsi="宋体"/>
              </w:rPr>
              <w:t>87、声音避障小车电路板：由麦克风、放大器、比较器、驱动电路、电阻、电容、按键、LED等元器件组成，供电电压：+5V。</w:t>
            </w:r>
          </w:p>
          <w:p w14:paraId="236020D8">
            <w:pPr>
              <w:pStyle w:val="234"/>
              <w:wordWrap w:val="0"/>
              <w:rPr>
                <w:rFonts w:ascii="宋体" w:hAnsi="宋体"/>
              </w:rPr>
            </w:pPr>
            <w:r>
              <w:rPr>
                <w:rFonts w:hint="eastAsia" w:ascii="宋体" w:hAnsi="宋体"/>
              </w:rPr>
              <w:t>88、D类功放电路电路板：由PWM控制器、功率放大器、扬声器、电阻、电容等元器件组成，供电电压：+5V、+12V。</w:t>
            </w:r>
          </w:p>
          <w:p w14:paraId="193D6F40">
            <w:pPr>
              <w:pStyle w:val="234"/>
              <w:wordWrap w:val="0"/>
              <w:rPr>
                <w:rFonts w:ascii="宋体" w:hAnsi="宋体"/>
              </w:rPr>
            </w:pPr>
            <w:r>
              <w:rPr>
                <w:rFonts w:hint="eastAsia" w:ascii="宋体" w:hAnsi="宋体"/>
              </w:rPr>
              <w:t>89、交通灯控制电路电路板：由计数器、分频器、驱动电路、LED交通灯等元器件组成，供电电压：+5V。</w:t>
            </w:r>
          </w:p>
          <w:p w14:paraId="23CF20C6">
            <w:pPr>
              <w:pStyle w:val="234"/>
              <w:wordWrap w:val="0"/>
              <w:rPr>
                <w:rFonts w:ascii="宋体" w:hAnsi="宋体"/>
              </w:rPr>
            </w:pPr>
            <w:r>
              <w:rPr>
                <w:rFonts w:hint="eastAsia" w:ascii="宋体" w:hAnsi="宋体"/>
              </w:rPr>
              <w:t>90、综合报警器电路板：由传感器、比较器、驱动电路、蜂鸣器、电阻、电容、按键、LED等元器件组成，供电电压：+5V。</w:t>
            </w:r>
          </w:p>
          <w:p w14:paraId="4370AC84">
            <w:pPr>
              <w:pStyle w:val="234"/>
              <w:wordWrap w:val="0"/>
              <w:rPr>
                <w:rFonts w:ascii="宋体" w:hAnsi="宋体"/>
              </w:rPr>
            </w:pPr>
            <w:r>
              <w:rPr>
                <w:rFonts w:hint="eastAsia" w:ascii="宋体" w:hAnsi="宋体"/>
              </w:rPr>
              <w:t>91、八路智力抢答器电路板：由比较器、计数器、驱动电路、按键、LED等元器件组成，供电电压：+5V。</w:t>
            </w:r>
          </w:p>
          <w:p w14:paraId="29B4C35F">
            <w:pPr>
              <w:pStyle w:val="234"/>
              <w:wordWrap w:val="0"/>
              <w:rPr>
                <w:rFonts w:ascii="宋体" w:hAnsi="宋体"/>
              </w:rPr>
            </w:pPr>
            <w:r>
              <w:rPr>
                <w:rFonts w:hint="eastAsia" w:ascii="宋体" w:hAnsi="宋体"/>
              </w:rPr>
              <w:t>92、多路信号检测电路电路板：由传感器、比较器、驱动电路、电阻、电容、按键、LED等元器件组成，供电电压：+5V。</w:t>
            </w:r>
          </w:p>
          <w:p w14:paraId="6D8A106A">
            <w:pPr>
              <w:pStyle w:val="234"/>
              <w:wordWrap w:val="0"/>
              <w:rPr>
                <w:rFonts w:ascii="宋体" w:hAnsi="宋体"/>
              </w:rPr>
            </w:pPr>
            <w:r>
              <w:rPr>
                <w:rFonts w:hint="eastAsia" w:ascii="宋体" w:hAnsi="宋体"/>
              </w:rPr>
              <w:t>93、电子计步器电路板：由加速度传感器、计数器、驱动电路、电阻、电容、按键、LED等元器件组成，供电电压：+5V。</w:t>
            </w:r>
          </w:p>
          <w:p w14:paraId="47A814C0">
            <w:pPr>
              <w:pStyle w:val="234"/>
              <w:wordWrap w:val="0"/>
              <w:rPr>
                <w:rFonts w:ascii="宋体" w:hAnsi="宋体"/>
              </w:rPr>
            </w:pPr>
            <w:r>
              <w:rPr>
                <w:rFonts w:hint="eastAsia" w:ascii="宋体" w:hAnsi="宋体"/>
              </w:rPr>
              <w:t>94、保险柜防盗报警电路板：由传感器、比较器、驱动电路、蜂鸣器、电阻、电容、按键、LED等元器件组成，供电电压：+5V。</w:t>
            </w:r>
          </w:p>
          <w:p w14:paraId="0A768320">
            <w:pPr>
              <w:pStyle w:val="234"/>
              <w:wordWrap w:val="0"/>
              <w:rPr>
                <w:rFonts w:ascii="宋体" w:hAnsi="宋体"/>
              </w:rPr>
            </w:pPr>
            <w:r>
              <w:rPr>
                <w:rFonts w:hint="eastAsia" w:ascii="宋体" w:hAnsi="宋体"/>
              </w:rPr>
              <w:t>95、贴片频率计电路板：由振荡器、计数器、显示驱动电路、数码管、电阻、电容等元器件组成，供电电压：+5V。</w:t>
            </w:r>
          </w:p>
          <w:p w14:paraId="313DCEB7">
            <w:pPr>
              <w:pStyle w:val="234"/>
              <w:wordWrap w:val="0"/>
              <w:rPr>
                <w:rFonts w:ascii="宋体" w:hAnsi="宋体"/>
              </w:rPr>
            </w:pPr>
            <w:r>
              <w:rPr>
                <w:rFonts w:hint="eastAsia" w:ascii="宋体" w:hAnsi="宋体"/>
              </w:rPr>
              <w:t>96、过压欠压多重保护电路电路板：由电压比较器、继电器、电阻、电容、按键、LED等元器件组成，供电电压：+5V。</w:t>
            </w:r>
          </w:p>
          <w:p w14:paraId="3E765339">
            <w:pPr>
              <w:pStyle w:val="234"/>
              <w:wordWrap w:val="0"/>
              <w:rPr>
                <w:rFonts w:ascii="宋体" w:hAnsi="宋体"/>
              </w:rPr>
            </w:pPr>
            <w:r>
              <w:rPr>
                <w:rFonts w:hint="eastAsia" w:ascii="宋体" w:hAnsi="宋体"/>
              </w:rPr>
              <w:t>97、遮挡计数器电路板：由遮挡传感器、计数器芯片、信号处理电路、控制按键、LED显示屏等元器件组成。供电电压：+5V。</w:t>
            </w:r>
          </w:p>
          <w:p w14:paraId="2FEF00E9">
            <w:pPr>
              <w:pStyle w:val="234"/>
              <w:wordWrap w:val="0"/>
              <w:rPr>
                <w:rFonts w:ascii="宋体" w:hAnsi="宋体"/>
              </w:rPr>
            </w:pPr>
            <w:r>
              <w:rPr>
                <w:rFonts w:hint="eastAsia" w:ascii="宋体" w:hAnsi="宋体"/>
              </w:rPr>
              <w:t>98、自调节AI焊台主控电路板：尺寸≥250mm×100mm，黑色，由三路降压电源输出、RJ45接口、STM32G系列主控、Type-C接口、LED显示、仪表放大器、ADS转换器、电动泵组成，供电电压：+24V。</w:t>
            </w:r>
          </w:p>
          <w:p w14:paraId="6B5EB75D">
            <w:pPr>
              <w:pStyle w:val="234"/>
              <w:wordWrap w:val="0"/>
              <w:rPr>
                <w:rFonts w:ascii="宋体" w:hAnsi="宋体"/>
              </w:rPr>
            </w:pPr>
            <w:r>
              <w:rPr>
                <w:rFonts w:hint="eastAsia" w:ascii="宋体" w:hAnsi="宋体"/>
              </w:rPr>
              <w:t>99、焊台HMI电路板：尺寸≥200mm×100mm，黑色，由交互面板接口、双路12V降压电源输出、正交编码器输入、RGB指示灯、PFC连接器、OLED显示器、报警器组成，供电电压：+12V。</w:t>
            </w:r>
          </w:p>
          <w:p w14:paraId="3B854784">
            <w:pPr>
              <w:pStyle w:val="234"/>
              <w:wordWrap w:val="0"/>
              <w:rPr>
                <w:rFonts w:ascii="宋体" w:hAnsi="宋体"/>
              </w:rPr>
            </w:pPr>
            <w:r>
              <w:rPr>
                <w:rFonts w:hint="eastAsia" w:ascii="宋体" w:hAnsi="宋体"/>
              </w:rPr>
              <w:t>100、焊笔电路板：尺寸≥204mm×40mm，黑色，腰线收窄异形板，由RJ45接口、HX2.45端子、双路12V降压电源、STM32G系列主控、LED显示装置、PWM-PID数字恒温模块组成，供电电压：+12V。</w:t>
            </w:r>
          </w:p>
          <w:p w14:paraId="6C705D60">
            <w:pPr>
              <w:pStyle w:val="234"/>
              <w:wordWrap w:val="0"/>
              <w:rPr>
                <w:rFonts w:ascii="宋体" w:hAnsi="宋体"/>
              </w:rPr>
            </w:pPr>
            <w:r>
              <w:rPr>
                <w:rFonts w:hint="eastAsia" w:ascii="宋体" w:hAnsi="宋体"/>
              </w:rPr>
              <w:t>101、热风枪电路板：尺寸≥198mm×60mm，黑色，中框阶梯式异形板，由RJ45接口、双路12V降压电源、STM32G系列主控、LED显示器、功率轴流风扇、霍尔传感器、RGB工作指示灯、HX2.54连接器组成，供电电压：+12V。</w:t>
            </w:r>
          </w:p>
          <w:p w14:paraId="447E21F9">
            <w:pPr>
              <w:pStyle w:val="234"/>
              <w:wordWrap w:val="0"/>
              <w:rPr>
                <w:rFonts w:ascii="宋体" w:hAnsi="宋体"/>
              </w:rPr>
            </w:pPr>
            <w:r>
              <w:rPr>
                <w:rFonts w:hint="eastAsia" w:ascii="宋体" w:hAnsi="宋体"/>
              </w:rPr>
              <w:t>102、吸锡枪电路板：尺寸≥150mm×118mm，黑色，枪式异形板，由RJ45接口、HX5.08接口、双路12V降压电源、STM32G系列主控、RGB工作指示灯、LED显示器、气泵启动开关组成，供电电压：+12V。</w:t>
            </w:r>
          </w:p>
          <w:p w14:paraId="579739D8">
            <w:pPr>
              <w:pStyle w:val="234"/>
              <w:wordWrap w:val="0"/>
              <w:rPr>
                <w:rFonts w:ascii="宋体" w:hAnsi="宋体"/>
              </w:rPr>
            </w:pPr>
            <w:r>
              <w:rPr>
                <w:rFonts w:hint="eastAsia" w:ascii="宋体" w:hAnsi="宋体"/>
              </w:rPr>
              <w:t>103、无线传感器远程采集电路板：尺寸≥148mm×98mm，黑色，由850-931MHz LoRa传输台、USB通信模块、SD存储卡模块、RS485模块、Flash存储器模块和支持Hlink通信协议的主控器模块组成，防静电标识，供电电压：+24V。</w:t>
            </w:r>
          </w:p>
          <w:p w14:paraId="4BAA54DB">
            <w:pPr>
              <w:pStyle w:val="234"/>
              <w:wordWrap w:val="0"/>
              <w:rPr>
                <w:rFonts w:ascii="宋体" w:hAnsi="宋体"/>
              </w:rPr>
            </w:pPr>
            <w:r>
              <w:rPr>
                <w:rFonts w:hint="eastAsia" w:ascii="宋体" w:hAnsi="宋体"/>
              </w:rPr>
              <w:t>104、电机参数测量与显示装置电路板：尺寸≥120mm×113mm，紫板卡，由4位LED转速显示装置，1位LED挡位显示装置，五挡转速电压值设定模块、数字转速切换模块、测速模块、防静电标识组成，供电电压：+24V。</w:t>
            </w:r>
          </w:p>
          <w:p w14:paraId="15362EEF">
            <w:pPr>
              <w:pStyle w:val="234"/>
              <w:wordWrap w:val="0"/>
              <w:rPr>
                <w:rFonts w:ascii="宋体" w:hAnsi="宋体"/>
              </w:rPr>
            </w:pPr>
            <w:r>
              <w:rPr>
                <w:rFonts w:hint="eastAsia" w:ascii="宋体" w:hAnsi="宋体"/>
              </w:rPr>
              <w:t>105、压力测量红外传输装置电路板：尺寸≥105mm×85mm，绿板卡，由压力传感器调理模块、恒压源输出模块、恒流源输出模块、 PWM调制模块、红外调制解调模块、防爬电隔离槽、LED显示模块组成，供电电压：+12V。</w:t>
            </w:r>
          </w:p>
          <w:p w14:paraId="34A0E962">
            <w:pPr>
              <w:pStyle w:val="234"/>
              <w:wordWrap w:val="0"/>
              <w:rPr>
                <w:rFonts w:ascii="宋体" w:hAnsi="宋体"/>
              </w:rPr>
            </w:pPr>
            <w:r>
              <w:rPr>
                <w:rFonts w:hint="eastAsia" w:ascii="宋体" w:hAnsi="宋体"/>
              </w:rPr>
              <w:t>106、新风能源电参数监测电路板：尺寸≥148mm×145mm，紫板，由电压电流检测模块、LED显示装置、电压表头芯片、脉冲信号发生器模块、降压供电模块、负压隔离模块等组成，供电电压：+12V。</w:t>
            </w:r>
          </w:p>
          <w:p w14:paraId="5B969072">
            <w:pPr>
              <w:pStyle w:val="234"/>
              <w:wordWrap w:val="0"/>
              <w:rPr>
                <w:rFonts w:ascii="宋体" w:hAnsi="宋体"/>
              </w:rPr>
            </w:pPr>
            <w:r>
              <w:rPr>
                <w:rFonts w:hint="eastAsia" w:ascii="宋体" w:hAnsi="宋体"/>
              </w:rPr>
              <w:t>107、智能网联汽车座椅安全控制系统电路板：尺寸≥160mm×100mm，紫色，防爬电开槽≥20mm×20mm，由无线信号发送模块、车辆安全控制接收模块、LED显示器、座椅人体红外感应开关、安全带手动开关、硬件编码器、数字解码器、双路降压电源、硬件信号源模块等组成，供电电压：±5V。</w:t>
            </w:r>
          </w:p>
          <w:p w14:paraId="40D4B1CA">
            <w:pPr>
              <w:wordWrap w:val="0"/>
              <w:rPr>
                <w:sz w:val="24"/>
              </w:rPr>
            </w:pPr>
            <w:r>
              <w:rPr>
                <w:rFonts w:hint="eastAsia"/>
                <w:sz w:val="24"/>
              </w:rPr>
              <w:t>108、大功率电调驱动器电路板：尺寸≥95mm×90mm，由200W大功率驱动IC、DAC调制模块、E2C存储器、隔离器、开关管驱动模组、人机交互模块、AWG波形发生器模块等组成，供电电压：+24V。</w:t>
            </w:r>
          </w:p>
          <w:p w14:paraId="5C691633">
            <w:pPr>
              <w:wordWrap w:val="0"/>
              <w:rPr>
                <w:rFonts w:ascii="宋体" w:hAnsi="宋体" w:cs="仿宋"/>
                <w:sz w:val="24"/>
                <w:lang w:bidi="ar"/>
              </w:rPr>
            </w:pPr>
          </w:p>
        </w:tc>
        <w:tc>
          <w:tcPr>
            <w:tcW w:w="1134" w:type="dxa"/>
            <w:gridSpan w:val="2"/>
            <w:tcBorders>
              <w:top w:val="single" w:color="auto" w:sz="4" w:space="0"/>
              <w:left w:val="single" w:color="auto" w:sz="4" w:space="0"/>
              <w:bottom w:val="single" w:color="auto" w:sz="4" w:space="0"/>
              <w:right w:val="single" w:color="auto" w:sz="4" w:space="0"/>
            </w:tcBorders>
            <w:vAlign w:val="center"/>
          </w:tcPr>
          <w:p w14:paraId="11A31D4C">
            <w:pPr>
              <w:widowControl/>
              <w:wordWrap w:val="0"/>
              <w:jc w:val="center"/>
              <w:rPr>
                <w:rFonts w:ascii="宋体" w:hAnsi="宋体" w:cs="宋体"/>
                <w:sz w:val="24"/>
              </w:rPr>
            </w:pPr>
            <w:r>
              <w:rPr>
                <w:rFonts w:hint="eastAsia"/>
                <w:sz w:val="24"/>
              </w:rPr>
              <w:t>150000</w:t>
            </w:r>
          </w:p>
        </w:tc>
      </w:tr>
      <w:tr w14:paraId="66AC5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694" w:type="dxa"/>
            <w:tcBorders>
              <w:top w:val="single" w:color="auto" w:sz="4" w:space="0"/>
              <w:left w:val="single" w:color="auto" w:sz="4" w:space="0"/>
              <w:bottom w:val="single" w:color="auto" w:sz="4" w:space="0"/>
              <w:right w:val="single" w:color="auto" w:sz="4" w:space="0"/>
            </w:tcBorders>
            <w:vAlign w:val="center"/>
          </w:tcPr>
          <w:p w14:paraId="698ECF6E">
            <w:pPr>
              <w:wordWrap w:val="0"/>
              <w:spacing w:line="360" w:lineRule="auto"/>
              <w:jc w:val="center"/>
              <w:rPr>
                <w:rFonts w:ascii="宋体" w:hAnsi="宋体" w:cs="宋体"/>
                <w:sz w:val="24"/>
              </w:rPr>
            </w:pPr>
            <w:r>
              <w:rPr>
                <w:rFonts w:hint="eastAsia" w:ascii="宋体" w:hAnsi="宋体" w:cs="宋体"/>
                <w:sz w:val="24"/>
              </w:rPr>
              <w:t>3</w:t>
            </w:r>
          </w:p>
        </w:tc>
        <w:tc>
          <w:tcPr>
            <w:tcW w:w="1134" w:type="dxa"/>
            <w:gridSpan w:val="2"/>
            <w:tcBorders>
              <w:top w:val="single" w:color="auto" w:sz="4" w:space="0"/>
              <w:left w:val="single" w:color="auto" w:sz="4" w:space="0"/>
              <w:bottom w:val="single" w:color="auto" w:sz="4" w:space="0"/>
              <w:right w:val="single" w:color="auto" w:sz="4" w:space="0"/>
            </w:tcBorders>
            <w:vAlign w:val="center"/>
          </w:tcPr>
          <w:p w14:paraId="492AC59E">
            <w:pPr>
              <w:widowControl/>
              <w:wordWrap w:val="0"/>
              <w:jc w:val="center"/>
              <w:rPr>
                <w:rFonts w:ascii="宋体" w:hAnsi="宋体" w:cs="宋体"/>
                <w:sz w:val="24"/>
              </w:rPr>
            </w:pPr>
            <w:r>
              <w:rPr>
                <w:rFonts w:hint="eastAsia"/>
                <w:sz w:val="24"/>
              </w:rPr>
              <w:t>集训与训练辅助工具</w:t>
            </w:r>
          </w:p>
        </w:tc>
        <w:tc>
          <w:tcPr>
            <w:tcW w:w="709" w:type="dxa"/>
            <w:tcBorders>
              <w:top w:val="single" w:color="auto" w:sz="4" w:space="0"/>
              <w:left w:val="single" w:color="auto" w:sz="4" w:space="0"/>
              <w:bottom w:val="single" w:color="auto" w:sz="4" w:space="0"/>
              <w:right w:val="single" w:color="auto" w:sz="4" w:space="0"/>
            </w:tcBorders>
            <w:vAlign w:val="center"/>
          </w:tcPr>
          <w:p w14:paraId="28359330">
            <w:pPr>
              <w:widowControl/>
              <w:wordWrap w:val="0"/>
              <w:jc w:val="center"/>
              <w:rPr>
                <w:rFonts w:ascii="宋体" w:hAnsi="宋体" w:cs="宋体"/>
                <w:sz w:val="24"/>
              </w:rPr>
            </w:pPr>
            <w:r>
              <w:rPr>
                <w:rFonts w:hint="eastAsia" w:ascii="宋体" w:hAnsi="宋体" w:cs="宋体"/>
                <w:sz w:val="24"/>
              </w:rPr>
              <w:t>套</w:t>
            </w:r>
          </w:p>
        </w:tc>
        <w:tc>
          <w:tcPr>
            <w:tcW w:w="709" w:type="dxa"/>
            <w:tcBorders>
              <w:top w:val="single" w:color="auto" w:sz="4" w:space="0"/>
              <w:left w:val="single" w:color="auto" w:sz="4" w:space="0"/>
              <w:bottom w:val="single" w:color="auto" w:sz="4" w:space="0"/>
              <w:right w:val="single" w:color="auto" w:sz="4" w:space="0"/>
            </w:tcBorders>
            <w:vAlign w:val="center"/>
          </w:tcPr>
          <w:p w14:paraId="74CE198F">
            <w:pPr>
              <w:widowControl/>
              <w:wordWrap w:val="0"/>
              <w:jc w:val="center"/>
              <w:rPr>
                <w:rFonts w:ascii="宋体" w:hAnsi="宋体" w:cs="宋体"/>
                <w:sz w:val="24"/>
              </w:rPr>
            </w:pPr>
            <w:r>
              <w:rPr>
                <w:rFonts w:hint="eastAsia" w:ascii="宋体" w:hAnsi="宋体" w:cs="宋体"/>
                <w:sz w:val="24"/>
              </w:rPr>
              <w:t>1</w:t>
            </w:r>
          </w:p>
        </w:tc>
        <w:tc>
          <w:tcPr>
            <w:tcW w:w="5244" w:type="dxa"/>
            <w:tcBorders>
              <w:top w:val="single" w:color="auto" w:sz="4" w:space="0"/>
              <w:left w:val="single" w:color="auto" w:sz="4" w:space="0"/>
              <w:bottom w:val="single" w:color="auto" w:sz="4" w:space="0"/>
              <w:right w:val="single" w:color="auto" w:sz="4" w:space="0"/>
            </w:tcBorders>
            <w:vAlign w:val="center"/>
          </w:tcPr>
          <w:p w14:paraId="09D7CB34">
            <w:pPr>
              <w:pStyle w:val="234"/>
              <w:wordWrap w:val="0"/>
              <w:rPr>
                <w:rFonts w:ascii="宋体" w:hAnsi="宋体"/>
                <w:b/>
                <w:bCs/>
              </w:rPr>
            </w:pPr>
            <w:r>
              <w:rPr>
                <w:rFonts w:hint="eastAsia" w:ascii="宋体" w:hAnsi="宋体"/>
                <w:b/>
                <w:bCs/>
              </w:rPr>
              <w:t>一、技术研发设备</w:t>
            </w:r>
          </w:p>
          <w:p w14:paraId="49D560C2">
            <w:pPr>
              <w:pStyle w:val="234"/>
              <w:wordWrap w:val="0"/>
              <w:rPr>
                <w:rFonts w:ascii="宋体" w:hAnsi="宋体"/>
              </w:rPr>
            </w:pPr>
            <w:r>
              <w:rPr>
                <w:rFonts w:hint="eastAsia" w:ascii="宋体" w:hAnsi="宋体" w:cs="宋体"/>
                <w:szCs w:val="21"/>
              </w:rPr>
              <w:t>▲</w:t>
            </w:r>
            <w:r>
              <w:rPr>
                <w:rFonts w:ascii="宋体" w:hAnsi="宋体"/>
              </w:rPr>
              <w:t>1、数字示波器</w:t>
            </w:r>
          </w:p>
          <w:p w14:paraId="1B4A3A98">
            <w:pPr>
              <w:pStyle w:val="234"/>
              <w:wordWrap w:val="0"/>
              <w:rPr>
                <w:rFonts w:ascii="宋体" w:hAnsi="宋体"/>
              </w:rPr>
            </w:pPr>
            <w:r>
              <w:rPr>
                <w:rFonts w:hint="eastAsia" w:ascii="宋体" w:hAnsi="宋体"/>
              </w:rPr>
              <w:t>（1）屏幕尺寸≥</w:t>
            </w:r>
            <w:r>
              <w:rPr>
                <w:rFonts w:ascii="宋体" w:hAnsi="宋体"/>
              </w:rPr>
              <w:t>10.1英寸触摸屏</w:t>
            </w:r>
            <w:r>
              <w:rPr>
                <w:rFonts w:hint="eastAsia" w:ascii="宋体" w:hAnsi="宋体"/>
              </w:rPr>
              <w:t>，</w:t>
            </w:r>
            <w:r>
              <w:rPr>
                <w:rFonts w:ascii="宋体" w:hAnsi="宋体"/>
              </w:rPr>
              <w:t>显示屏分辨率≥1024*600；</w:t>
            </w:r>
          </w:p>
          <w:p w14:paraId="6C611AC7">
            <w:pPr>
              <w:pStyle w:val="234"/>
              <w:wordWrap w:val="0"/>
              <w:rPr>
                <w:rFonts w:ascii="宋体" w:hAnsi="宋体"/>
              </w:rPr>
            </w:pPr>
            <w:r>
              <w:rPr>
                <w:rFonts w:hint="eastAsia" w:ascii="宋体" w:hAnsi="宋体"/>
              </w:rPr>
              <w:t>（2）</w:t>
            </w:r>
            <w:r>
              <w:rPr>
                <w:rFonts w:ascii="宋体" w:hAnsi="宋体"/>
              </w:rPr>
              <w:t>模拟带宽≥200MHz；</w:t>
            </w:r>
          </w:p>
          <w:p w14:paraId="4354BA8C">
            <w:pPr>
              <w:pStyle w:val="234"/>
              <w:wordWrap w:val="0"/>
              <w:rPr>
                <w:rFonts w:ascii="宋体" w:hAnsi="宋体"/>
              </w:rPr>
            </w:pPr>
            <w:r>
              <w:rPr>
                <w:rFonts w:hint="eastAsia" w:ascii="宋体" w:hAnsi="宋体"/>
              </w:rPr>
              <w:t>（3）</w:t>
            </w:r>
            <w:r>
              <w:rPr>
                <w:rFonts w:ascii="宋体" w:hAnsi="宋体"/>
              </w:rPr>
              <w:t>通道数≥4通道；</w:t>
            </w:r>
          </w:p>
          <w:p w14:paraId="72AECE24">
            <w:pPr>
              <w:pStyle w:val="234"/>
              <w:wordWrap w:val="0"/>
              <w:rPr>
                <w:rFonts w:ascii="宋体" w:hAnsi="宋体"/>
              </w:rPr>
            </w:pPr>
            <w:r>
              <w:rPr>
                <w:rFonts w:hint="eastAsia" w:ascii="宋体" w:hAnsi="宋体"/>
              </w:rPr>
              <w:t>（4）</w:t>
            </w:r>
            <w:r>
              <w:rPr>
                <w:rFonts w:ascii="宋体" w:hAnsi="宋体"/>
              </w:rPr>
              <w:t>垂直分辨率≥12-bit；</w:t>
            </w:r>
          </w:p>
          <w:p w14:paraId="7617176A">
            <w:pPr>
              <w:pStyle w:val="234"/>
              <w:wordWrap w:val="0"/>
              <w:rPr>
                <w:rFonts w:ascii="宋体" w:hAnsi="宋体"/>
              </w:rPr>
            </w:pPr>
            <w:r>
              <w:rPr>
                <w:rFonts w:hint="eastAsia" w:ascii="宋体" w:hAnsi="宋体"/>
              </w:rPr>
              <w:t>（5）</w:t>
            </w:r>
            <w:r>
              <w:rPr>
                <w:rFonts w:ascii="宋体" w:hAnsi="宋体"/>
              </w:rPr>
              <w:t>最高实时采样率≥2GSa/s（单通道）、1GSa/s（两通道）、500MSa/s（四通道）；</w:t>
            </w:r>
          </w:p>
          <w:p w14:paraId="6E30032C">
            <w:pPr>
              <w:pStyle w:val="234"/>
              <w:wordWrap w:val="0"/>
              <w:rPr>
                <w:rFonts w:ascii="宋体" w:hAnsi="宋体"/>
              </w:rPr>
            </w:pPr>
            <w:r>
              <w:rPr>
                <w:rFonts w:hint="eastAsia" w:ascii="宋体" w:hAnsi="宋体"/>
              </w:rPr>
              <w:t>（6）</w:t>
            </w:r>
            <w:r>
              <w:rPr>
                <w:rFonts w:ascii="宋体" w:hAnsi="宋体"/>
              </w:rPr>
              <w:t>存储深度≥100Mpts/CH（单通道）、50Mpts/CH（两通道）、25Mpts/CH（四通道）；</w:t>
            </w:r>
          </w:p>
          <w:p w14:paraId="45867851">
            <w:pPr>
              <w:pStyle w:val="234"/>
              <w:wordWrap w:val="0"/>
              <w:rPr>
                <w:rFonts w:ascii="宋体" w:hAnsi="宋体"/>
              </w:rPr>
            </w:pPr>
            <w:r>
              <w:rPr>
                <w:rFonts w:hint="eastAsia" w:ascii="宋体" w:hAnsi="宋体"/>
              </w:rPr>
              <w:t>（7）</w:t>
            </w:r>
            <w:r>
              <w:rPr>
                <w:rFonts w:ascii="宋体" w:hAnsi="宋体"/>
              </w:rPr>
              <w:t>接口包含USB、LAN、Pass/Fail、Trigger Out；</w:t>
            </w:r>
          </w:p>
          <w:p w14:paraId="7EEE9C48">
            <w:pPr>
              <w:pStyle w:val="234"/>
              <w:wordWrap w:val="0"/>
              <w:rPr>
                <w:rFonts w:ascii="宋体" w:hAnsi="宋体"/>
              </w:rPr>
            </w:pPr>
            <w:r>
              <w:rPr>
                <w:rFonts w:hint="eastAsia" w:ascii="宋体" w:hAnsi="宋体"/>
              </w:rPr>
              <w:t>（8）</w:t>
            </w:r>
            <w:r>
              <w:rPr>
                <w:rFonts w:ascii="宋体" w:hAnsi="宋体"/>
              </w:rPr>
              <w:t>最高波形捕获率≥500,000wfm/s；</w:t>
            </w:r>
          </w:p>
          <w:p w14:paraId="695A0D28">
            <w:pPr>
              <w:pStyle w:val="234"/>
              <w:wordWrap w:val="0"/>
              <w:rPr>
                <w:rFonts w:ascii="宋体" w:hAnsi="宋体"/>
              </w:rPr>
            </w:pPr>
            <w:r>
              <w:rPr>
                <w:rFonts w:hint="eastAsia" w:ascii="宋体" w:hAnsi="宋体"/>
              </w:rPr>
              <w:t>（9）支持</w:t>
            </w:r>
            <w:r>
              <w:rPr>
                <w:rFonts w:ascii="宋体" w:hAnsi="宋体"/>
              </w:rPr>
              <w:t xml:space="preserve">16路数字通道； </w:t>
            </w:r>
          </w:p>
          <w:p w14:paraId="35893D63">
            <w:pPr>
              <w:pStyle w:val="234"/>
              <w:wordWrap w:val="0"/>
              <w:rPr>
                <w:rFonts w:ascii="宋体" w:hAnsi="宋体"/>
              </w:rPr>
            </w:pPr>
            <w:r>
              <w:rPr>
                <w:rFonts w:hint="eastAsia" w:ascii="宋体" w:hAnsi="宋体"/>
              </w:rPr>
              <w:t>（10）</w:t>
            </w:r>
            <w:r>
              <w:rPr>
                <w:rFonts w:ascii="宋体" w:hAnsi="宋体"/>
              </w:rPr>
              <w:t>支持I2C、SPI、UART、CAN、LIN、CAN FD；</w:t>
            </w:r>
          </w:p>
          <w:p w14:paraId="21A7C5F4">
            <w:pPr>
              <w:pStyle w:val="234"/>
              <w:wordWrap w:val="0"/>
              <w:rPr>
                <w:rFonts w:ascii="宋体" w:hAnsi="宋体"/>
              </w:rPr>
            </w:pPr>
            <w:r>
              <w:rPr>
                <w:rFonts w:hint="eastAsia" w:ascii="宋体" w:hAnsi="宋体"/>
              </w:rPr>
              <w:t>（11）</w:t>
            </w:r>
            <w:r>
              <w:rPr>
                <w:rFonts w:ascii="宋体" w:hAnsi="宋体"/>
              </w:rPr>
              <w:t>支持鼠标和键盘和远程网页控制；</w:t>
            </w:r>
          </w:p>
          <w:p w14:paraId="3008C0D5">
            <w:pPr>
              <w:pStyle w:val="234"/>
              <w:wordWrap w:val="0"/>
              <w:rPr>
                <w:rFonts w:ascii="宋体" w:hAnsi="宋体"/>
              </w:rPr>
            </w:pPr>
            <w:r>
              <w:rPr>
                <w:rFonts w:hint="eastAsia" w:ascii="宋体" w:hAnsi="宋体"/>
              </w:rPr>
              <w:t>（12）</w:t>
            </w:r>
            <w:r>
              <w:rPr>
                <w:rFonts w:ascii="宋体" w:hAnsi="宋体"/>
              </w:rPr>
              <w:t>供电电压220V</w:t>
            </w:r>
            <w:r>
              <w:rPr>
                <w:rFonts w:hint="eastAsia" w:ascii="宋体" w:hAnsi="宋体"/>
              </w:rPr>
              <w:t>/</w:t>
            </w:r>
            <w:r>
              <w:rPr>
                <w:rFonts w:ascii="宋体" w:hAnsi="宋体"/>
              </w:rPr>
              <w:t>AC；</w:t>
            </w:r>
          </w:p>
          <w:p w14:paraId="27823B32">
            <w:pPr>
              <w:pStyle w:val="234"/>
              <w:wordWrap w:val="0"/>
              <w:rPr>
                <w:rFonts w:ascii="宋体" w:hAnsi="宋体"/>
              </w:rPr>
            </w:pPr>
            <w:r>
              <w:rPr>
                <w:rFonts w:hint="eastAsia" w:ascii="宋体" w:hAnsi="宋体"/>
              </w:rPr>
              <w:t>（13）</w:t>
            </w:r>
            <w:r>
              <w:rPr>
                <w:rFonts w:ascii="宋体" w:hAnsi="宋体"/>
              </w:rPr>
              <w:t>净重≥4.1 kg，毛重≥5.6 kg；</w:t>
            </w:r>
          </w:p>
          <w:p w14:paraId="6E9F108B">
            <w:pPr>
              <w:pStyle w:val="234"/>
              <w:wordWrap w:val="0"/>
              <w:rPr>
                <w:rFonts w:ascii="宋体" w:hAnsi="宋体"/>
              </w:rPr>
            </w:pPr>
            <w:r>
              <w:rPr>
                <w:rFonts w:hint="eastAsia" w:ascii="宋体" w:hAnsi="宋体"/>
              </w:rPr>
              <w:t>（14）</w:t>
            </w:r>
            <w:r>
              <w:rPr>
                <w:rFonts w:ascii="宋体" w:hAnsi="宋体"/>
              </w:rPr>
              <w:t>尺寸≥长317mm</w:t>
            </w:r>
            <w:r>
              <w:rPr>
                <w:rFonts w:hint="eastAsia" w:ascii="宋体" w:hAnsi="宋体"/>
              </w:rPr>
              <w:t>×</w:t>
            </w:r>
            <w:r>
              <w:rPr>
                <w:rFonts w:ascii="宋体" w:hAnsi="宋体"/>
              </w:rPr>
              <w:t>宽150mm</w:t>
            </w:r>
            <w:r>
              <w:rPr>
                <w:rFonts w:hint="eastAsia" w:ascii="宋体" w:hAnsi="宋体"/>
              </w:rPr>
              <w:t>×</w:t>
            </w:r>
            <w:r>
              <w:rPr>
                <w:rFonts w:ascii="宋体" w:hAnsi="宋体"/>
              </w:rPr>
              <w:t>高236mm。</w:t>
            </w:r>
          </w:p>
          <w:p w14:paraId="1E6C7FCC">
            <w:pPr>
              <w:pStyle w:val="234"/>
              <w:wordWrap w:val="0"/>
              <w:rPr>
                <w:rFonts w:ascii="宋体" w:hAnsi="宋体"/>
              </w:rPr>
            </w:pPr>
            <w:r>
              <w:rPr>
                <w:rFonts w:hint="eastAsia" w:ascii="宋体" w:hAnsi="宋体" w:cs="宋体"/>
                <w:szCs w:val="21"/>
              </w:rPr>
              <w:t>▲</w:t>
            </w:r>
            <w:r>
              <w:rPr>
                <w:rFonts w:ascii="宋体" w:hAnsi="宋体"/>
              </w:rPr>
              <w:t>2、信号发生器</w:t>
            </w:r>
          </w:p>
          <w:p w14:paraId="72E0DB23">
            <w:pPr>
              <w:pStyle w:val="234"/>
              <w:wordWrap w:val="0"/>
              <w:rPr>
                <w:rFonts w:ascii="宋体" w:hAnsi="宋体"/>
              </w:rPr>
            </w:pPr>
            <w:r>
              <w:rPr>
                <w:rFonts w:hint="eastAsia" w:ascii="宋体" w:hAnsi="宋体"/>
              </w:rPr>
              <w:t>（1）屏幕尺寸≥</w:t>
            </w:r>
            <w:r>
              <w:rPr>
                <w:rFonts w:ascii="宋体" w:hAnsi="宋体"/>
              </w:rPr>
              <w:t>4.3英寸触摸显示屏</w:t>
            </w:r>
            <w:r>
              <w:rPr>
                <w:rFonts w:hint="eastAsia" w:ascii="宋体" w:hAnsi="宋体"/>
              </w:rPr>
              <w:t>，</w:t>
            </w:r>
            <w:r>
              <w:rPr>
                <w:rFonts w:ascii="宋体" w:hAnsi="宋体"/>
              </w:rPr>
              <w:t>显示分辨率≥480</w:t>
            </w:r>
            <w:r>
              <w:rPr>
                <w:rFonts w:hint="eastAsia" w:ascii="宋体" w:hAnsi="宋体"/>
              </w:rPr>
              <w:t>×</w:t>
            </w:r>
            <w:r>
              <w:rPr>
                <w:rFonts w:ascii="宋体" w:hAnsi="宋体"/>
              </w:rPr>
              <w:t>272</w:t>
            </w:r>
            <w:r>
              <w:rPr>
                <w:rFonts w:hint="eastAsia" w:ascii="宋体" w:hAnsi="宋体"/>
              </w:rPr>
              <w:t xml:space="preserve"> </w:t>
            </w:r>
            <w:r>
              <w:rPr>
                <w:rFonts w:ascii="宋体" w:hAnsi="宋体"/>
              </w:rPr>
              <w:t>RGB；</w:t>
            </w:r>
          </w:p>
          <w:p w14:paraId="01A3862A">
            <w:pPr>
              <w:pStyle w:val="234"/>
              <w:wordWrap w:val="0"/>
              <w:rPr>
                <w:rFonts w:ascii="宋体" w:hAnsi="宋体"/>
              </w:rPr>
            </w:pPr>
            <w:r>
              <w:rPr>
                <w:rFonts w:hint="eastAsia" w:ascii="宋体" w:hAnsi="宋体"/>
              </w:rPr>
              <w:t>（2）</w:t>
            </w:r>
            <w:r>
              <w:rPr>
                <w:rFonts w:ascii="宋体" w:hAnsi="宋体"/>
              </w:rPr>
              <w:t>采样率≥1.2GSa/s；</w:t>
            </w:r>
          </w:p>
          <w:p w14:paraId="6C2C1942">
            <w:pPr>
              <w:pStyle w:val="234"/>
              <w:wordWrap w:val="0"/>
              <w:rPr>
                <w:rFonts w:ascii="宋体" w:hAnsi="宋体"/>
              </w:rPr>
            </w:pPr>
            <w:r>
              <w:rPr>
                <w:rFonts w:hint="eastAsia" w:ascii="宋体" w:hAnsi="宋体"/>
              </w:rPr>
              <w:t>（3）</w:t>
            </w:r>
            <w:r>
              <w:rPr>
                <w:rFonts w:ascii="宋体" w:hAnsi="宋体"/>
              </w:rPr>
              <w:t>垂直分辨率≥16bit；</w:t>
            </w:r>
          </w:p>
          <w:p w14:paraId="42C13DDF">
            <w:pPr>
              <w:pStyle w:val="234"/>
              <w:wordWrap w:val="0"/>
              <w:rPr>
                <w:rFonts w:ascii="宋体" w:hAnsi="宋体"/>
              </w:rPr>
            </w:pPr>
            <w:r>
              <w:rPr>
                <w:rFonts w:hint="eastAsia" w:ascii="宋体" w:hAnsi="宋体"/>
              </w:rPr>
              <w:t>（4）</w:t>
            </w:r>
            <w:r>
              <w:rPr>
                <w:rFonts w:ascii="宋体" w:hAnsi="宋体"/>
              </w:rPr>
              <w:t>正弦波输出频率范围1μHz~120MHz；</w:t>
            </w:r>
          </w:p>
          <w:p w14:paraId="1797A270">
            <w:pPr>
              <w:pStyle w:val="234"/>
              <w:wordWrap w:val="0"/>
              <w:rPr>
                <w:rFonts w:ascii="宋体" w:hAnsi="宋体"/>
              </w:rPr>
            </w:pPr>
            <w:r>
              <w:rPr>
                <w:rFonts w:hint="eastAsia" w:ascii="宋体" w:hAnsi="宋体"/>
              </w:rPr>
              <w:t>（5）</w:t>
            </w:r>
            <w:r>
              <w:rPr>
                <w:rFonts w:ascii="宋体" w:hAnsi="宋体"/>
              </w:rPr>
              <w:t>方波频率范围1μHz~25 MHz；</w:t>
            </w:r>
          </w:p>
          <w:p w14:paraId="0CE32DFC">
            <w:pPr>
              <w:pStyle w:val="234"/>
              <w:wordWrap w:val="0"/>
              <w:rPr>
                <w:rFonts w:ascii="宋体" w:hAnsi="宋体"/>
              </w:rPr>
            </w:pPr>
            <w:r>
              <w:rPr>
                <w:rFonts w:hint="eastAsia" w:ascii="宋体" w:hAnsi="宋体"/>
              </w:rPr>
              <w:t>（6）</w:t>
            </w:r>
            <w:r>
              <w:rPr>
                <w:rFonts w:ascii="宋体" w:hAnsi="宋体"/>
              </w:rPr>
              <w:t>脉冲波频率范围1μHz~25 MHz；</w:t>
            </w:r>
          </w:p>
          <w:p w14:paraId="22125762">
            <w:pPr>
              <w:pStyle w:val="234"/>
              <w:wordWrap w:val="0"/>
              <w:rPr>
                <w:rFonts w:ascii="宋体" w:hAnsi="宋体"/>
              </w:rPr>
            </w:pPr>
            <w:r>
              <w:rPr>
                <w:rFonts w:hint="eastAsia" w:ascii="宋体" w:hAnsi="宋体"/>
              </w:rPr>
              <w:t>（7）</w:t>
            </w:r>
            <w:r>
              <w:rPr>
                <w:rFonts w:ascii="宋体" w:hAnsi="宋体"/>
              </w:rPr>
              <w:t>输出通道数≥2通道；</w:t>
            </w:r>
          </w:p>
          <w:p w14:paraId="6C7FEB31">
            <w:pPr>
              <w:pStyle w:val="234"/>
              <w:wordWrap w:val="0"/>
              <w:rPr>
                <w:rFonts w:ascii="宋体" w:hAnsi="宋体"/>
              </w:rPr>
            </w:pPr>
            <w:r>
              <w:rPr>
                <w:rFonts w:hint="eastAsia" w:ascii="宋体" w:hAnsi="宋体"/>
              </w:rPr>
              <w:t>（8）</w:t>
            </w:r>
            <w:r>
              <w:rPr>
                <w:rFonts w:ascii="宋体" w:hAnsi="宋体"/>
              </w:rPr>
              <w:t>最大输出幅度±10V；</w:t>
            </w:r>
          </w:p>
          <w:p w14:paraId="0B56B685">
            <w:pPr>
              <w:pStyle w:val="234"/>
              <w:wordWrap w:val="0"/>
              <w:rPr>
                <w:rFonts w:ascii="宋体" w:hAnsi="宋体"/>
              </w:rPr>
            </w:pPr>
            <w:r>
              <w:rPr>
                <w:rFonts w:hint="eastAsia" w:ascii="宋体" w:hAnsi="宋体"/>
              </w:rPr>
              <w:t>（9）</w:t>
            </w:r>
            <w:r>
              <w:rPr>
                <w:rFonts w:ascii="宋体" w:hAnsi="宋体"/>
              </w:rPr>
              <w:t>任意波长度8pts～8Mpts；</w:t>
            </w:r>
          </w:p>
          <w:p w14:paraId="34316782">
            <w:pPr>
              <w:pStyle w:val="234"/>
              <w:wordWrap w:val="0"/>
              <w:rPr>
                <w:rFonts w:ascii="宋体" w:hAnsi="宋体"/>
              </w:rPr>
            </w:pPr>
            <w:r>
              <w:rPr>
                <w:rFonts w:hint="eastAsia" w:ascii="宋体" w:hAnsi="宋体"/>
              </w:rPr>
              <w:t>（10）</w:t>
            </w:r>
            <w:r>
              <w:rPr>
                <w:rFonts w:ascii="宋体" w:hAnsi="宋体"/>
              </w:rPr>
              <w:t>接口USB Host、USB Device、LAN；</w:t>
            </w:r>
          </w:p>
          <w:p w14:paraId="628B00FC">
            <w:pPr>
              <w:pStyle w:val="234"/>
              <w:wordWrap w:val="0"/>
              <w:rPr>
                <w:rFonts w:ascii="宋体" w:hAnsi="宋体"/>
              </w:rPr>
            </w:pPr>
            <w:r>
              <w:rPr>
                <w:rFonts w:hint="eastAsia" w:ascii="宋体" w:hAnsi="宋体"/>
              </w:rPr>
              <w:t>（11）</w:t>
            </w:r>
            <w:r>
              <w:rPr>
                <w:rFonts w:ascii="宋体" w:hAnsi="宋体"/>
              </w:rPr>
              <w:t>调制功能AM、 FM、PM、FSK、ASK、PSK、DSB-AM、PWM；</w:t>
            </w:r>
          </w:p>
          <w:p w14:paraId="035C5124">
            <w:pPr>
              <w:pStyle w:val="234"/>
              <w:wordWrap w:val="0"/>
              <w:rPr>
                <w:rFonts w:ascii="宋体" w:hAnsi="宋体"/>
              </w:rPr>
            </w:pPr>
            <w:r>
              <w:rPr>
                <w:rFonts w:hint="eastAsia" w:ascii="宋体" w:hAnsi="宋体"/>
              </w:rPr>
              <w:t>（12）</w:t>
            </w:r>
            <w:r>
              <w:rPr>
                <w:rFonts w:ascii="宋体" w:hAnsi="宋体"/>
              </w:rPr>
              <w:t>供电电压220V</w:t>
            </w:r>
            <w:r>
              <w:rPr>
                <w:rFonts w:hint="eastAsia" w:ascii="宋体" w:hAnsi="宋体"/>
              </w:rPr>
              <w:t>/</w:t>
            </w:r>
            <w:r>
              <w:rPr>
                <w:rFonts w:ascii="宋体" w:hAnsi="宋体"/>
              </w:rPr>
              <w:t>AC；</w:t>
            </w:r>
          </w:p>
          <w:p w14:paraId="63645F57">
            <w:pPr>
              <w:pStyle w:val="234"/>
              <w:wordWrap w:val="0"/>
              <w:rPr>
                <w:rFonts w:ascii="宋体" w:hAnsi="宋体"/>
              </w:rPr>
            </w:pPr>
            <w:r>
              <w:rPr>
                <w:rFonts w:hint="eastAsia" w:ascii="宋体" w:hAnsi="宋体"/>
              </w:rPr>
              <w:t>（13）</w:t>
            </w:r>
            <w:r>
              <w:rPr>
                <w:rFonts w:ascii="宋体" w:hAnsi="宋体"/>
              </w:rPr>
              <w:t>净重≥3.43</w:t>
            </w:r>
            <w:r>
              <w:rPr>
                <w:rFonts w:hint="eastAsia" w:ascii="宋体" w:hAnsi="宋体"/>
              </w:rPr>
              <w:t>kg</w:t>
            </w:r>
            <w:r>
              <w:rPr>
                <w:rFonts w:ascii="宋体" w:hAnsi="宋体"/>
              </w:rPr>
              <w:t>、毛重≥4.42</w:t>
            </w:r>
            <w:r>
              <w:rPr>
                <w:rFonts w:hint="eastAsia" w:ascii="宋体" w:hAnsi="宋体"/>
              </w:rPr>
              <w:t>kg</w:t>
            </w:r>
            <w:r>
              <w:rPr>
                <w:rFonts w:ascii="宋体" w:hAnsi="宋体"/>
              </w:rPr>
              <w:t>；</w:t>
            </w:r>
          </w:p>
          <w:p w14:paraId="4151DF94">
            <w:pPr>
              <w:pStyle w:val="234"/>
              <w:wordWrap w:val="0"/>
              <w:rPr>
                <w:rFonts w:ascii="宋体" w:hAnsi="宋体"/>
              </w:rPr>
            </w:pPr>
            <w:r>
              <w:rPr>
                <w:rFonts w:hint="eastAsia" w:ascii="宋体" w:hAnsi="宋体"/>
              </w:rPr>
              <w:t>（14）</w:t>
            </w:r>
            <w:r>
              <w:rPr>
                <w:rFonts w:ascii="宋体" w:hAnsi="宋体"/>
              </w:rPr>
              <w:t>尺寸≥长296mm*宽260mm*高107mm。</w:t>
            </w:r>
          </w:p>
          <w:p w14:paraId="19EBF46C">
            <w:pPr>
              <w:pStyle w:val="234"/>
              <w:wordWrap w:val="0"/>
              <w:rPr>
                <w:rFonts w:ascii="宋体" w:hAnsi="宋体"/>
              </w:rPr>
            </w:pPr>
            <w:r>
              <w:rPr>
                <w:rFonts w:hint="eastAsia" w:ascii="宋体" w:hAnsi="宋体" w:cs="宋体"/>
                <w:szCs w:val="21"/>
              </w:rPr>
              <w:t>▲</w:t>
            </w:r>
            <w:r>
              <w:rPr>
                <w:rFonts w:ascii="宋体" w:hAnsi="宋体"/>
              </w:rPr>
              <w:t>3、大功率可编程直流稳压电源</w:t>
            </w:r>
          </w:p>
          <w:p w14:paraId="61B71028">
            <w:pPr>
              <w:pStyle w:val="234"/>
              <w:wordWrap w:val="0"/>
              <w:rPr>
                <w:rFonts w:ascii="宋体" w:hAnsi="宋体"/>
              </w:rPr>
            </w:pPr>
            <w:r>
              <w:rPr>
                <w:rFonts w:hint="eastAsia" w:ascii="宋体" w:hAnsi="宋体"/>
              </w:rPr>
              <w:t>（1）输出通道≥</w:t>
            </w:r>
            <w:r>
              <w:rPr>
                <w:rFonts w:ascii="宋体" w:hAnsi="宋体"/>
              </w:rPr>
              <w:t>4通道；</w:t>
            </w:r>
          </w:p>
          <w:p w14:paraId="5AA7E493">
            <w:pPr>
              <w:pStyle w:val="234"/>
              <w:wordWrap w:val="0"/>
              <w:rPr>
                <w:rFonts w:ascii="宋体" w:hAnsi="宋体"/>
              </w:rPr>
            </w:pPr>
            <w:r>
              <w:rPr>
                <w:rFonts w:hint="eastAsia" w:ascii="宋体" w:hAnsi="宋体"/>
              </w:rPr>
              <w:t>（2）</w:t>
            </w:r>
            <w:r>
              <w:rPr>
                <w:rFonts w:ascii="宋体" w:hAnsi="宋体"/>
              </w:rPr>
              <w:t>通道1恒定输出电压/电流≥15V/1.5A；</w:t>
            </w:r>
          </w:p>
          <w:p w14:paraId="285FC039">
            <w:pPr>
              <w:pStyle w:val="234"/>
              <w:wordWrap w:val="0"/>
              <w:rPr>
                <w:rFonts w:ascii="宋体" w:hAnsi="宋体"/>
              </w:rPr>
            </w:pPr>
            <w:r>
              <w:rPr>
                <w:rFonts w:hint="eastAsia" w:ascii="宋体" w:hAnsi="宋体"/>
              </w:rPr>
              <w:t>（3）</w:t>
            </w:r>
            <w:r>
              <w:rPr>
                <w:rFonts w:ascii="宋体" w:hAnsi="宋体"/>
              </w:rPr>
              <w:t>通道2和通道3恒定输出电压/电流≥30V/6A；</w:t>
            </w:r>
          </w:p>
          <w:p w14:paraId="59D9E577">
            <w:pPr>
              <w:pStyle w:val="234"/>
              <w:wordWrap w:val="0"/>
              <w:rPr>
                <w:rFonts w:ascii="宋体" w:hAnsi="宋体"/>
              </w:rPr>
            </w:pPr>
            <w:r>
              <w:rPr>
                <w:rFonts w:hint="eastAsia" w:ascii="宋体" w:hAnsi="宋体"/>
              </w:rPr>
              <w:t>（4）</w:t>
            </w:r>
            <w:r>
              <w:rPr>
                <w:rFonts w:ascii="宋体" w:hAnsi="宋体"/>
              </w:rPr>
              <w:t>通道4恒定输出电压/电流≥15V/1A；</w:t>
            </w:r>
          </w:p>
          <w:p w14:paraId="3FD564D5">
            <w:pPr>
              <w:pStyle w:val="234"/>
              <w:wordWrap w:val="0"/>
              <w:rPr>
                <w:rFonts w:ascii="宋体" w:hAnsi="宋体"/>
              </w:rPr>
            </w:pPr>
            <w:r>
              <w:rPr>
                <w:rFonts w:hint="eastAsia" w:ascii="宋体" w:hAnsi="宋体"/>
              </w:rPr>
              <w:t>（5）</w:t>
            </w:r>
            <w:r>
              <w:rPr>
                <w:rFonts w:ascii="宋体" w:hAnsi="宋体"/>
              </w:rPr>
              <w:t>额定输出总功率≥400W；分辨率1mV/1mA；</w:t>
            </w:r>
          </w:p>
          <w:p w14:paraId="04EFE2D8">
            <w:pPr>
              <w:pStyle w:val="234"/>
              <w:wordWrap w:val="0"/>
              <w:rPr>
                <w:rFonts w:ascii="宋体" w:hAnsi="宋体"/>
              </w:rPr>
            </w:pPr>
            <w:r>
              <w:rPr>
                <w:rFonts w:hint="eastAsia" w:ascii="宋体" w:hAnsi="宋体"/>
              </w:rPr>
              <w:t>（6）</w:t>
            </w:r>
            <w:r>
              <w:rPr>
                <w:rFonts w:ascii="宋体" w:hAnsi="宋体"/>
              </w:rPr>
              <w:t>4.3英寸真彩TFT-LCD显示屏</w:t>
            </w:r>
            <w:r>
              <w:rPr>
                <w:rFonts w:hint="eastAsia" w:ascii="宋体" w:hAnsi="宋体"/>
              </w:rPr>
              <w:t>，</w:t>
            </w:r>
            <w:r>
              <w:rPr>
                <w:rFonts w:ascii="宋体" w:hAnsi="宋体"/>
              </w:rPr>
              <w:t>五位电压显示</w:t>
            </w:r>
            <w:r>
              <w:rPr>
                <w:rFonts w:hint="eastAsia" w:ascii="宋体" w:hAnsi="宋体"/>
              </w:rPr>
              <w:t>，</w:t>
            </w:r>
            <w:r>
              <w:rPr>
                <w:rFonts w:ascii="宋体" w:hAnsi="宋体"/>
              </w:rPr>
              <w:t>五位电流显示；</w:t>
            </w:r>
            <w:r>
              <w:rPr>
                <w:rFonts w:hint="eastAsia" w:ascii="宋体" w:hAnsi="宋体"/>
              </w:rPr>
              <w:t>（7）</w:t>
            </w:r>
            <w:r>
              <w:rPr>
                <w:rFonts w:ascii="宋体" w:hAnsi="宋体"/>
              </w:rPr>
              <w:t>供电电压220V</w:t>
            </w:r>
            <w:r>
              <w:rPr>
                <w:rFonts w:hint="eastAsia" w:ascii="宋体" w:hAnsi="宋体"/>
              </w:rPr>
              <w:t>/</w:t>
            </w:r>
            <w:r>
              <w:rPr>
                <w:rFonts w:ascii="宋体" w:hAnsi="宋体"/>
              </w:rPr>
              <w:t>AC；</w:t>
            </w:r>
          </w:p>
          <w:p w14:paraId="2DB745B6">
            <w:pPr>
              <w:pStyle w:val="234"/>
              <w:wordWrap w:val="0"/>
              <w:rPr>
                <w:rFonts w:ascii="宋体" w:hAnsi="宋体"/>
              </w:rPr>
            </w:pPr>
            <w:r>
              <w:rPr>
                <w:rFonts w:hint="eastAsia" w:ascii="宋体" w:hAnsi="宋体"/>
              </w:rPr>
              <w:t>（8）</w:t>
            </w:r>
            <w:r>
              <w:rPr>
                <w:rFonts w:ascii="宋体" w:hAnsi="宋体"/>
              </w:rPr>
              <w:t>重量（仅主机）≥12kg；</w:t>
            </w:r>
          </w:p>
          <w:p w14:paraId="4F1F3020">
            <w:pPr>
              <w:pStyle w:val="234"/>
              <w:wordWrap w:val="0"/>
              <w:rPr>
                <w:rFonts w:ascii="宋体" w:hAnsi="宋体"/>
              </w:rPr>
            </w:pPr>
            <w:r>
              <w:rPr>
                <w:rFonts w:hint="eastAsia" w:ascii="宋体" w:hAnsi="宋体"/>
              </w:rPr>
              <w:t>（9）</w:t>
            </w:r>
            <w:r>
              <w:rPr>
                <w:rFonts w:ascii="宋体" w:hAnsi="宋体"/>
              </w:rPr>
              <w:t>尺寸≥长221mmx宽360mmx高133mm。</w:t>
            </w:r>
          </w:p>
          <w:p w14:paraId="32E5F443">
            <w:pPr>
              <w:pStyle w:val="234"/>
              <w:wordWrap w:val="0"/>
              <w:rPr>
                <w:rFonts w:ascii="宋体" w:hAnsi="宋体"/>
              </w:rPr>
            </w:pPr>
            <w:r>
              <w:rPr>
                <w:rFonts w:hint="eastAsia" w:ascii="宋体" w:hAnsi="宋体" w:cs="宋体"/>
                <w:szCs w:val="21"/>
              </w:rPr>
              <w:t>▲</w:t>
            </w:r>
            <w:r>
              <w:rPr>
                <w:rFonts w:ascii="宋体" w:hAnsi="宋体"/>
              </w:rPr>
              <w:t>4、频谱分析仪</w:t>
            </w:r>
          </w:p>
          <w:p w14:paraId="7153D2E4">
            <w:pPr>
              <w:pStyle w:val="234"/>
              <w:wordWrap w:val="0"/>
              <w:rPr>
                <w:rFonts w:ascii="宋体" w:hAnsi="宋体"/>
              </w:rPr>
            </w:pPr>
            <w:r>
              <w:rPr>
                <w:rFonts w:hint="eastAsia" w:ascii="宋体" w:hAnsi="宋体"/>
              </w:rPr>
              <w:t>（1）屏幕尺寸≥</w:t>
            </w:r>
            <w:r>
              <w:rPr>
                <w:rFonts w:ascii="宋体" w:hAnsi="宋体"/>
              </w:rPr>
              <w:t>10.</w:t>
            </w:r>
            <w:r>
              <w:rPr>
                <w:rFonts w:hint="eastAsia" w:ascii="宋体" w:hAnsi="宋体"/>
              </w:rPr>
              <w:t>1</w:t>
            </w:r>
            <w:r>
              <w:rPr>
                <w:rFonts w:ascii="宋体" w:hAnsi="宋体"/>
              </w:rPr>
              <w:t>英寸</w:t>
            </w:r>
            <w:r>
              <w:rPr>
                <w:rFonts w:hint="eastAsia" w:ascii="宋体" w:hAnsi="宋体"/>
              </w:rPr>
              <w:t>，</w:t>
            </w:r>
            <w:r>
              <w:rPr>
                <w:rFonts w:ascii="宋体" w:hAnsi="宋体"/>
              </w:rPr>
              <w:t>显示分辨率≥1024*600；</w:t>
            </w:r>
          </w:p>
          <w:p w14:paraId="2C233983">
            <w:pPr>
              <w:pStyle w:val="234"/>
              <w:wordWrap w:val="0"/>
              <w:rPr>
                <w:rFonts w:ascii="宋体" w:hAnsi="宋体"/>
              </w:rPr>
            </w:pPr>
            <w:r>
              <w:rPr>
                <w:rFonts w:hint="eastAsia" w:ascii="宋体" w:hAnsi="宋体"/>
              </w:rPr>
              <w:t>（2）</w:t>
            </w:r>
            <w:r>
              <w:rPr>
                <w:rFonts w:ascii="宋体" w:hAnsi="宋体"/>
              </w:rPr>
              <w:t>频率范围9kHz~1.5GHz</w:t>
            </w:r>
            <w:r>
              <w:rPr>
                <w:rFonts w:hint="eastAsia" w:ascii="宋体" w:hAnsi="宋体"/>
              </w:rPr>
              <w:t>，</w:t>
            </w:r>
            <w:r>
              <w:rPr>
                <w:rFonts w:ascii="宋体" w:hAnsi="宋体"/>
              </w:rPr>
              <w:t>频率分辨率1Hz</w:t>
            </w:r>
            <w:r>
              <w:rPr>
                <w:rFonts w:hint="eastAsia" w:ascii="宋体" w:hAnsi="宋体"/>
              </w:rPr>
              <w:t>，</w:t>
            </w:r>
            <w:r>
              <w:rPr>
                <w:rFonts w:ascii="宋体" w:hAnsi="宋体"/>
              </w:rPr>
              <w:t>扫宽范围0 Hz，100 Hz到仪器的最大频率；</w:t>
            </w:r>
          </w:p>
          <w:p w14:paraId="2A8DA8FF">
            <w:pPr>
              <w:pStyle w:val="234"/>
              <w:wordWrap w:val="0"/>
              <w:rPr>
                <w:rFonts w:ascii="宋体" w:hAnsi="宋体"/>
              </w:rPr>
            </w:pPr>
            <w:r>
              <w:rPr>
                <w:rFonts w:hint="eastAsia" w:ascii="宋体" w:hAnsi="宋体"/>
              </w:rPr>
              <w:t>（3）</w:t>
            </w:r>
            <w:r>
              <w:rPr>
                <w:rFonts w:ascii="宋体" w:hAnsi="宋体"/>
              </w:rPr>
              <w:t>基准频率10.000000 MHz；频率计数器分辨率0.01 Hz；</w:t>
            </w:r>
          </w:p>
          <w:p w14:paraId="7D1D1E1B">
            <w:pPr>
              <w:pStyle w:val="234"/>
              <w:wordWrap w:val="0"/>
              <w:rPr>
                <w:rFonts w:ascii="宋体" w:hAnsi="宋体"/>
              </w:rPr>
            </w:pPr>
            <w:r>
              <w:rPr>
                <w:rFonts w:hint="eastAsia" w:ascii="宋体" w:hAnsi="宋体"/>
              </w:rPr>
              <w:t>（4）</w:t>
            </w:r>
            <w:r>
              <w:rPr>
                <w:rFonts w:ascii="宋体" w:hAnsi="宋体"/>
              </w:rPr>
              <w:t>供电电压220V</w:t>
            </w:r>
            <w:r>
              <w:rPr>
                <w:rFonts w:hint="eastAsia" w:ascii="宋体" w:hAnsi="宋体"/>
              </w:rPr>
              <w:t>/</w:t>
            </w:r>
            <w:r>
              <w:rPr>
                <w:rFonts w:ascii="宋体" w:hAnsi="宋体"/>
              </w:rPr>
              <w:t>AC；</w:t>
            </w:r>
          </w:p>
          <w:p w14:paraId="3BC230B4">
            <w:pPr>
              <w:pStyle w:val="234"/>
              <w:wordWrap w:val="0"/>
              <w:rPr>
                <w:rFonts w:ascii="宋体" w:hAnsi="宋体"/>
              </w:rPr>
            </w:pPr>
            <w:r>
              <w:rPr>
                <w:rFonts w:hint="eastAsia" w:ascii="宋体" w:hAnsi="宋体"/>
              </w:rPr>
              <w:t>（5）</w:t>
            </w:r>
            <w:r>
              <w:rPr>
                <w:rFonts w:ascii="宋体" w:hAnsi="宋体"/>
              </w:rPr>
              <w:t>净重≥4.40 kg，毛重≥5.20 kg；</w:t>
            </w:r>
          </w:p>
          <w:p w14:paraId="1537A95C">
            <w:pPr>
              <w:pStyle w:val="234"/>
              <w:wordWrap w:val="0"/>
              <w:rPr>
                <w:rFonts w:ascii="宋体" w:hAnsi="宋体"/>
              </w:rPr>
            </w:pPr>
            <w:r>
              <w:rPr>
                <w:rFonts w:hint="eastAsia" w:ascii="宋体" w:hAnsi="宋体"/>
              </w:rPr>
              <w:t>（6）</w:t>
            </w:r>
            <w:r>
              <w:rPr>
                <w:rFonts w:ascii="宋体" w:hAnsi="宋体"/>
              </w:rPr>
              <w:t>尺寸≥长393mm*宽117mm*高207mm；</w:t>
            </w:r>
          </w:p>
          <w:p w14:paraId="71673242">
            <w:pPr>
              <w:pStyle w:val="234"/>
              <w:wordWrap w:val="0"/>
              <w:rPr>
                <w:rFonts w:ascii="宋体" w:hAnsi="宋体"/>
              </w:rPr>
            </w:pPr>
            <w:r>
              <w:rPr>
                <w:rFonts w:hint="eastAsia" w:ascii="宋体" w:hAnsi="宋体" w:cs="宋体"/>
                <w:szCs w:val="21"/>
              </w:rPr>
              <w:t>▲</w:t>
            </w:r>
            <w:r>
              <w:rPr>
                <w:rFonts w:ascii="宋体" w:hAnsi="宋体"/>
              </w:rPr>
              <w:t>5、台式万用表</w:t>
            </w:r>
          </w:p>
          <w:p w14:paraId="660520A8">
            <w:pPr>
              <w:pStyle w:val="234"/>
              <w:wordWrap w:val="0"/>
              <w:rPr>
                <w:rFonts w:ascii="宋体" w:hAnsi="宋体"/>
              </w:rPr>
            </w:pPr>
            <w:r>
              <w:rPr>
                <w:rFonts w:hint="eastAsia" w:ascii="宋体" w:hAnsi="宋体"/>
              </w:rPr>
              <w:t>（1）屏幕尺寸≥</w:t>
            </w:r>
            <w:r>
              <w:rPr>
                <w:rFonts w:ascii="宋体" w:hAnsi="宋体"/>
              </w:rPr>
              <w:t>5英寸TFT-LCD触摸显示屏；</w:t>
            </w:r>
          </w:p>
          <w:p w14:paraId="0D620C71">
            <w:pPr>
              <w:pStyle w:val="234"/>
              <w:wordWrap w:val="0"/>
              <w:rPr>
                <w:rFonts w:ascii="宋体" w:hAnsi="宋体"/>
              </w:rPr>
            </w:pPr>
            <w:r>
              <w:rPr>
                <w:rFonts w:hint="eastAsia" w:ascii="宋体" w:hAnsi="宋体"/>
              </w:rPr>
              <w:t>（2）</w:t>
            </w:r>
            <w:r>
              <w:rPr>
                <w:rFonts w:ascii="宋体" w:hAnsi="宋体"/>
              </w:rPr>
              <w:t>读数分辨率≥六位半（六又二分之一）；</w:t>
            </w:r>
          </w:p>
          <w:p w14:paraId="2D82EB88">
            <w:pPr>
              <w:pStyle w:val="234"/>
              <w:wordWrap w:val="0"/>
              <w:rPr>
                <w:rFonts w:ascii="宋体" w:hAnsi="宋体"/>
              </w:rPr>
            </w:pPr>
            <w:r>
              <w:rPr>
                <w:rFonts w:hint="eastAsia" w:ascii="宋体" w:hAnsi="宋体"/>
              </w:rPr>
              <w:t>（3）</w:t>
            </w:r>
            <w:r>
              <w:rPr>
                <w:rFonts w:ascii="宋体" w:hAnsi="宋体"/>
              </w:rPr>
              <w:t>支持直流和交流电压、电流测量；支持电阻、二极管、蜂鸣挡、电容测量；</w:t>
            </w:r>
          </w:p>
          <w:p w14:paraId="06816BF4">
            <w:pPr>
              <w:pStyle w:val="234"/>
              <w:wordWrap w:val="0"/>
              <w:rPr>
                <w:rFonts w:ascii="宋体" w:hAnsi="宋体"/>
              </w:rPr>
            </w:pPr>
            <w:r>
              <w:rPr>
                <w:rFonts w:hint="eastAsia" w:ascii="宋体" w:hAnsi="宋体"/>
              </w:rPr>
              <w:t>（4）</w:t>
            </w:r>
            <w:r>
              <w:rPr>
                <w:rFonts w:ascii="宋体" w:hAnsi="宋体"/>
              </w:rPr>
              <w:t>供电电压220V</w:t>
            </w:r>
            <w:r>
              <w:rPr>
                <w:rFonts w:hint="eastAsia" w:ascii="宋体" w:hAnsi="宋体"/>
              </w:rPr>
              <w:t>/</w:t>
            </w:r>
            <w:r>
              <w:rPr>
                <w:rFonts w:ascii="宋体" w:hAnsi="宋体"/>
              </w:rPr>
              <w:t>AC；</w:t>
            </w:r>
          </w:p>
          <w:p w14:paraId="3458345E">
            <w:pPr>
              <w:pStyle w:val="234"/>
              <w:wordWrap w:val="0"/>
              <w:rPr>
                <w:rFonts w:ascii="宋体" w:hAnsi="宋体"/>
              </w:rPr>
            </w:pPr>
            <w:r>
              <w:rPr>
                <w:rFonts w:hint="eastAsia" w:ascii="宋体" w:hAnsi="宋体"/>
              </w:rPr>
              <w:t>（5）</w:t>
            </w:r>
            <w:r>
              <w:rPr>
                <w:rFonts w:ascii="宋体" w:hAnsi="宋体"/>
              </w:rPr>
              <w:t>Count数≥2,200,000；</w:t>
            </w:r>
          </w:p>
          <w:p w14:paraId="1BEEC46C">
            <w:pPr>
              <w:pStyle w:val="234"/>
              <w:wordWrap w:val="0"/>
              <w:rPr>
                <w:rFonts w:ascii="宋体" w:hAnsi="宋体"/>
              </w:rPr>
            </w:pPr>
            <w:r>
              <w:rPr>
                <w:rFonts w:hint="eastAsia" w:ascii="宋体" w:hAnsi="宋体"/>
              </w:rPr>
              <w:t>（6）</w:t>
            </w:r>
            <w:r>
              <w:rPr>
                <w:rFonts w:ascii="宋体" w:hAnsi="宋体"/>
              </w:rPr>
              <w:t>测量种类≥11种；</w:t>
            </w:r>
          </w:p>
          <w:p w14:paraId="637E97BD">
            <w:pPr>
              <w:pStyle w:val="234"/>
              <w:wordWrap w:val="0"/>
              <w:rPr>
                <w:rFonts w:ascii="宋体" w:hAnsi="宋体"/>
              </w:rPr>
            </w:pPr>
            <w:r>
              <w:rPr>
                <w:rFonts w:hint="eastAsia" w:ascii="宋体" w:hAnsi="宋体"/>
              </w:rPr>
              <w:t>（7）</w:t>
            </w:r>
            <w:r>
              <w:rPr>
                <w:rFonts w:ascii="宋体" w:hAnsi="宋体"/>
              </w:rPr>
              <w:t>配备接口USB Host、USB Device、LAN；4种触发模式：自动触发，单次触发，外触发及电平触发；</w:t>
            </w:r>
          </w:p>
          <w:p w14:paraId="7EB2634E">
            <w:pPr>
              <w:pStyle w:val="234"/>
              <w:wordWrap w:val="0"/>
              <w:rPr>
                <w:rFonts w:ascii="宋体" w:hAnsi="宋体"/>
              </w:rPr>
            </w:pPr>
            <w:r>
              <w:rPr>
                <w:rFonts w:hint="eastAsia" w:ascii="宋体" w:hAnsi="宋体"/>
              </w:rPr>
              <w:t>（8）</w:t>
            </w:r>
            <w:r>
              <w:rPr>
                <w:rFonts w:ascii="宋体" w:hAnsi="宋体"/>
              </w:rPr>
              <w:t>4种显示模式：数字显示，条形图，趋势图，直方图；</w:t>
            </w:r>
          </w:p>
          <w:p w14:paraId="262DA77C">
            <w:pPr>
              <w:pStyle w:val="234"/>
              <w:wordWrap w:val="0"/>
              <w:rPr>
                <w:rFonts w:ascii="宋体" w:hAnsi="宋体"/>
              </w:rPr>
            </w:pPr>
            <w:r>
              <w:rPr>
                <w:rFonts w:hint="eastAsia" w:ascii="宋体" w:hAnsi="宋体"/>
              </w:rPr>
              <w:t>（9）</w:t>
            </w:r>
            <w:r>
              <w:rPr>
                <w:rFonts w:ascii="宋体" w:hAnsi="宋体"/>
              </w:rPr>
              <w:t>支持热电偶、热电阻温度传感器及自定义传感器功能；</w:t>
            </w:r>
          </w:p>
          <w:p w14:paraId="55008144">
            <w:pPr>
              <w:pStyle w:val="234"/>
              <w:wordWrap w:val="0"/>
              <w:rPr>
                <w:rFonts w:ascii="宋体" w:hAnsi="宋体"/>
              </w:rPr>
            </w:pPr>
            <w:r>
              <w:rPr>
                <w:rFonts w:hint="eastAsia" w:ascii="宋体" w:hAnsi="宋体"/>
              </w:rPr>
              <w:t>（10）</w:t>
            </w:r>
            <w:r>
              <w:rPr>
                <w:rFonts w:ascii="宋体" w:hAnsi="宋体"/>
              </w:rPr>
              <w:t>支持双显示、中英文菜单；</w:t>
            </w:r>
          </w:p>
          <w:p w14:paraId="62CFC852">
            <w:pPr>
              <w:pStyle w:val="234"/>
              <w:wordWrap w:val="0"/>
              <w:rPr>
                <w:rFonts w:ascii="宋体" w:hAnsi="宋体"/>
              </w:rPr>
            </w:pPr>
            <w:r>
              <w:rPr>
                <w:rFonts w:hint="eastAsia" w:ascii="宋体" w:hAnsi="宋体"/>
              </w:rPr>
              <w:t>（11）</w:t>
            </w:r>
            <w:r>
              <w:rPr>
                <w:rFonts w:ascii="宋体" w:hAnsi="宋体"/>
              </w:rPr>
              <w:t>净重≥4.4 kg；</w:t>
            </w:r>
          </w:p>
          <w:p w14:paraId="784095E0">
            <w:pPr>
              <w:pStyle w:val="234"/>
              <w:wordWrap w:val="0"/>
              <w:rPr>
                <w:rFonts w:ascii="宋体" w:hAnsi="宋体"/>
              </w:rPr>
            </w:pPr>
            <w:r>
              <w:rPr>
                <w:rFonts w:hint="eastAsia" w:ascii="宋体" w:hAnsi="宋体"/>
              </w:rPr>
              <w:t>（12）</w:t>
            </w:r>
            <w:r>
              <w:rPr>
                <w:rFonts w:ascii="宋体" w:hAnsi="宋体"/>
              </w:rPr>
              <w:t>尺寸≥长261mm*宽381mm*高107mm。</w:t>
            </w:r>
          </w:p>
          <w:p w14:paraId="350C1FEF">
            <w:pPr>
              <w:pStyle w:val="234"/>
              <w:wordWrap w:val="0"/>
              <w:rPr>
                <w:rFonts w:ascii="宋体" w:hAnsi="宋体"/>
              </w:rPr>
            </w:pPr>
            <w:r>
              <w:rPr>
                <w:rFonts w:hint="eastAsia" w:ascii="宋体" w:hAnsi="宋体" w:cs="宋体"/>
                <w:szCs w:val="21"/>
              </w:rPr>
              <w:t>▲</w:t>
            </w:r>
            <w:r>
              <w:rPr>
                <w:rFonts w:ascii="宋体" w:hAnsi="宋体"/>
              </w:rPr>
              <w:t>6、可编程电子负载</w:t>
            </w:r>
          </w:p>
          <w:p w14:paraId="52D13038">
            <w:pPr>
              <w:pStyle w:val="234"/>
              <w:wordWrap w:val="0"/>
              <w:rPr>
                <w:rFonts w:ascii="宋体" w:hAnsi="宋体"/>
              </w:rPr>
            </w:pPr>
            <w:r>
              <w:rPr>
                <w:rFonts w:hint="eastAsia" w:ascii="宋体" w:hAnsi="宋体"/>
              </w:rPr>
              <w:t>（1）输入功率≥</w:t>
            </w:r>
            <w:r>
              <w:rPr>
                <w:rFonts w:ascii="宋体" w:hAnsi="宋体"/>
              </w:rPr>
              <w:t>300W</w:t>
            </w:r>
            <w:r>
              <w:rPr>
                <w:rFonts w:hint="eastAsia" w:ascii="宋体" w:hAnsi="宋体"/>
              </w:rPr>
              <w:t>；</w:t>
            </w:r>
          </w:p>
          <w:p w14:paraId="6199CDFD">
            <w:pPr>
              <w:pStyle w:val="234"/>
              <w:wordWrap w:val="0"/>
              <w:rPr>
                <w:rFonts w:ascii="宋体" w:hAnsi="宋体"/>
              </w:rPr>
            </w:pPr>
            <w:r>
              <w:rPr>
                <w:rFonts w:hint="eastAsia" w:ascii="宋体" w:hAnsi="宋体"/>
              </w:rPr>
              <w:t>（2）</w:t>
            </w:r>
            <w:r>
              <w:rPr>
                <w:rFonts w:ascii="宋体" w:hAnsi="宋体"/>
              </w:rPr>
              <w:t>输入通道≥1通道；</w:t>
            </w:r>
          </w:p>
          <w:p w14:paraId="67BBC758">
            <w:pPr>
              <w:pStyle w:val="234"/>
              <w:wordWrap w:val="0"/>
              <w:rPr>
                <w:rFonts w:ascii="宋体" w:hAnsi="宋体"/>
              </w:rPr>
            </w:pPr>
            <w:r>
              <w:rPr>
                <w:rFonts w:hint="eastAsia" w:ascii="宋体" w:hAnsi="宋体"/>
              </w:rPr>
              <w:t>（3）</w:t>
            </w:r>
            <w:r>
              <w:rPr>
                <w:rFonts w:ascii="宋体" w:hAnsi="宋体"/>
              </w:rPr>
              <w:t>面板设置精度0.1 mV/ 0.1 mA</w:t>
            </w:r>
            <w:r>
              <w:rPr>
                <w:rFonts w:hint="eastAsia" w:ascii="宋体" w:hAnsi="宋体"/>
              </w:rPr>
              <w:t>，</w:t>
            </w:r>
            <w:r>
              <w:rPr>
                <w:rFonts w:ascii="宋体" w:hAnsi="宋体"/>
              </w:rPr>
              <w:t>面板回读精度0.1 mV/ 0.1 mA；</w:t>
            </w:r>
            <w:r>
              <w:rPr>
                <w:rFonts w:hint="eastAsia" w:ascii="宋体" w:hAnsi="宋体"/>
              </w:rPr>
              <w:t>（4）</w:t>
            </w:r>
            <w:r>
              <w:rPr>
                <w:rFonts w:ascii="宋体" w:hAnsi="宋体"/>
              </w:rPr>
              <w:t>输入电压≥150V</w:t>
            </w:r>
            <w:r>
              <w:rPr>
                <w:rFonts w:hint="eastAsia" w:ascii="宋体" w:hAnsi="宋体"/>
              </w:rPr>
              <w:t>，</w:t>
            </w:r>
            <w:r>
              <w:rPr>
                <w:rFonts w:ascii="宋体" w:hAnsi="宋体"/>
              </w:rPr>
              <w:t>输入电流≥30A</w:t>
            </w:r>
            <w:r>
              <w:rPr>
                <w:rFonts w:hint="eastAsia" w:ascii="宋体" w:hAnsi="宋体"/>
              </w:rPr>
              <w:t>，</w:t>
            </w:r>
            <w:r>
              <w:rPr>
                <w:rFonts w:ascii="宋体" w:hAnsi="宋体"/>
              </w:rPr>
              <w:t>供电电压220V</w:t>
            </w:r>
            <w:r>
              <w:rPr>
                <w:rFonts w:hint="eastAsia" w:ascii="宋体" w:hAnsi="宋体"/>
              </w:rPr>
              <w:t>/</w:t>
            </w:r>
            <w:r>
              <w:rPr>
                <w:rFonts w:ascii="宋体" w:hAnsi="宋体"/>
              </w:rPr>
              <w:t>AC；</w:t>
            </w:r>
          </w:p>
          <w:p w14:paraId="5111BEA1">
            <w:pPr>
              <w:pStyle w:val="234"/>
              <w:wordWrap w:val="0"/>
              <w:rPr>
                <w:rFonts w:ascii="宋体" w:hAnsi="宋体"/>
              </w:rPr>
            </w:pPr>
            <w:r>
              <w:rPr>
                <w:rFonts w:hint="eastAsia" w:ascii="宋体" w:hAnsi="宋体"/>
              </w:rPr>
              <w:t>（5）</w:t>
            </w:r>
            <w:r>
              <w:rPr>
                <w:rFonts w:ascii="宋体" w:hAnsi="宋体"/>
              </w:rPr>
              <w:t>显示屏≥3.5英寸TFT-LCD；</w:t>
            </w:r>
          </w:p>
          <w:p w14:paraId="78052CC0">
            <w:pPr>
              <w:pStyle w:val="234"/>
              <w:wordWrap w:val="0"/>
              <w:rPr>
                <w:rFonts w:ascii="宋体" w:hAnsi="宋体"/>
              </w:rPr>
            </w:pPr>
            <w:r>
              <w:rPr>
                <w:rFonts w:hint="eastAsia" w:ascii="宋体" w:hAnsi="宋体"/>
              </w:rPr>
              <w:t>（6）</w:t>
            </w:r>
            <w:r>
              <w:rPr>
                <w:rFonts w:ascii="宋体" w:hAnsi="宋体"/>
              </w:rPr>
              <w:t>重量≥5.8kg；</w:t>
            </w:r>
          </w:p>
          <w:p w14:paraId="1138C97E">
            <w:pPr>
              <w:pStyle w:val="234"/>
              <w:wordWrap w:val="0"/>
              <w:rPr>
                <w:rFonts w:ascii="宋体" w:hAnsi="宋体"/>
              </w:rPr>
            </w:pPr>
            <w:r>
              <w:rPr>
                <w:rFonts w:hint="eastAsia" w:ascii="宋体" w:hAnsi="宋体"/>
              </w:rPr>
              <w:t>（7）</w:t>
            </w:r>
            <w:r>
              <w:rPr>
                <w:rFonts w:ascii="宋体" w:hAnsi="宋体"/>
              </w:rPr>
              <w:t>尺寸≥长260mm*宽411mm*高106mm。</w:t>
            </w:r>
          </w:p>
          <w:p w14:paraId="6F86F123">
            <w:pPr>
              <w:pStyle w:val="234"/>
              <w:wordWrap w:val="0"/>
              <w:rPr>
                <w:rFonts w:ascii="宋体" w:hAnsi="宋体"/>
              </w:rPr>
            </w:pPr>
            <w:r>
              <w:rPr>
                <w:rFonts w:hint="eastAsia" w:ascii="宋体" w:hAnsi="宋体" w:cs="宋体"/>
                <w:szCs w:val="21"/>
              </w:rPr>
              <w:t>▲</w:t>
            </w:r>
            <w:r>
              <w:rPr>
                <w:rFonts w:ascii="宋体" w:hAnsi="宋体"/>
              </w:rPr>
              <w:t>7、电路图纸输出扫描平台</w:t>
            </w:r>
          </w:p>
          <w:p w14:paraId="6F0D0093">
            <w:pPr>
              <w:pStyle w:val="234"/>
              <w:wordWrap w:val="0"/>
              <w:rPr>
                <w:rFonts w:ascii="宋体" w:hAnsi="宋体"/>
              </w:rPr>
            </w:pPr>
            <w:r>
              <w:rPr>
                <w:rFonts w:hint="eastAsia" w:ascii="宋体" w:hAnsi="宋体"/>
              </w:rPr>
              <w:t>（1）支持</w:t>
            </w:r>
            <w:r>
              <w:rPr>
                <w:rFonts w:ascii="宋体" w:hAnsi="宋体"/>
              </w:rPr>
              <w:t>A3、A4黑白激光双面操作，自动输稿器；</w:t>
            </w:r>
          </w:p>
          <w:p w14:paraId="35E7B769">
            <w:pPr>
              <w:pStyle w:val="234"/>
              <w:wordWrap w:val="0"/>
              <w:rPr>
                <w:rFonts w:ascii="宋体" w:hAnsi="宋体"/>
              </w:rPr>
            </w:pPr>
            <w:r>
              <w:rPr>
                <w:rFonts w:hint="eastAsia" w:ascii="宋体" w:hAnsi="宋体"/>
              </w:rPr>
              <w:t>（2）</w:t>
            </w:r>
            <w:r>
              <w:rPr>
                <w:rFonts w:ascii="宋体" w:hAnsi="宋体"/>
              </w:rPr>
              <w:t>7英寸彩色触摸屏；</w:t>
            </w:r>
          </w:p>
          <w:p w14:paraId="5D9CB9E9">
            <w:pPr>
              <w:pStyle w:val="234"/>
              <w:wordWrap w:val="0"/>
              <w:rPr>
                <w:rFonts w:ascii="宋体" w:hAnsi="宋体"/>
              </w:rPr>
            </w:pPr>
            <w:r>
              <w:rPr>
                <w:rFonts w:hint="eastAsia" w:ascii="宋体" w:hAnsi="宋体"/>
              </w:rPr>
              <w:t>（3）</w:t>
            </w:r>
            <w:r>
              <w:rPr>
                <w:rFonts w:ascii="宋体" w:hAnsi="宋体"/>
              </w:rPr>
              <w:t>支持Wi-Fi直连；</w:t>
            </w:r>
          </w:p>
          <w:p w14:paraId="15D5920A">
            <w:pPr>
              <w:pStyle w:val="234"/>
              <w:wordWrap w:val="0"/>
              <w:rPr>
                <w:rFonts w:ascii="宋体" w:hAnsi="宋体"/>
              </w:rPr>
            </w:pPr>
            <w:r>
              <w:rPr>
                <w:rFonts w:hint="eastAsia" w:ascii="宋体" w:hAnsi="宋体"/>
              </w:rPr>
              <w:t>（4）</w:t>
            </w:r>
            <w:r>
              <w:rPr>
                <w:rFonts w:ascii="宋体" w:hAnsi="宋体"/>
              </w:rPr>
              <w:t>激光静电转印方式；</w:t>
            </w:r>
          </w:p>
          <w:p w14:paraId="1314E0C1">
            <w:pPr>
              <w:pStyle w:val="234"/>
              <w:wordWrap w:val="0"/>
              <w:rPr>
                <w:rFonts w:ascii="宋体" w:hAnsi="宋体"/>
              </w:rPr>
            </w:pPr>
            <w:r>
              <w:rPr>
                <w:rFonts w:hint="eastAsia" w:ascii="宋体" w:hAnsi="宋体"/>
              </w:rPr>
              <w:t>（5）</w:t>
            </w:r>
            <w:r>
              <w:rPr>
                <w:rFonts w:ascii="宋体" w:hAnsi="宋体"/>
              </w:rPr>
              <w:t>配置10套感光鼓组件NPG59，单鼓总打印页数≥6000页；</w:t>
            </w:r>
          </w:p>
          <w:p w14:paraId="2ADAF6F3">
            <w:pPr>
              <w:pStyle w:val="234"/>
              <w:wordWrap w:val="0"/>
              <w:rPr>
                <w:rFonts w:ascii="宋体" w:hAnsi="宋体"/>
              </w:rPr>
            </w:pPr>
            <w:r>
              <w:rPr>
                <w:rFonts w:hint="eastAsia" w:ascii="宋体" w:hAnsi="宋体"/>
              </w:rPr>
              <w:t>（6）</w:t>
            </w:r>
            <w:r>
              <w:rPr>
                <w:rFonts w:ascii="宋体" w:hAnsi="宋体"/>
              </w:rPr>
              <w:t>内存≥2GB；</w:t>
            </w:r>
          </w:p>
          <w:p w14:paraId="480A1D8F">
            <w:pPr>
              <w:pStyle w:val="234"/>
              <w:wordWrap w:val="0"/>
              <w:rPr>
                <w:rFonts w:ascii="宋体" w:hAnsi="宋体"/>
              </w:rPr>
            </w:pPr>
            <w:r>
              <w:rPr>
                <w:rFonts w:hint="eastAsia" w:ascii="宋体" w:hAnsi="宋体"/>
              </w:rPr>
              <w:t>（7）</w:t>
            </w:r>
            <w:r>
              <w:rPr>
                <w:rFonts w:ascii="宋体" w:hAnsi="宋体"/>
              </w:rPr>
              <w:t>主机电源打开时≤60秒</w:t>
            </w:r>
            <w:r>
              <w:rPr>
                <w:rFonts w:hint="eastAsia" w:ascii="宋体" w:hAnsi="宋体"/>
              </w:rPr>
              <w:t>，</w:t>
            </w:r>
            <w:r>
              <w:rPr>
                <w:rFonts w:ascii="宋体" w:hAnsi="宋体"/>
              </w:rPr>
              <w:t>首页输出时间≤7.4秒；</w:t>
            </w:r>
          </w:p>
          <w:p w14:paraId="4BDB85C3">
            <w:pPr>
              <w:pStyle w:val="234"/>
              <w:wordWrap w:val="0"/>
              <w:rPr>
                <w:rFonts w:ascii="宋体" w:hAnsi="宋体"/>
              </w:rPr>
            </w:pPr>
            <w:r>
              <w:rPr>
                <w:rFonts w:hint="eastAsia" w:ascii="宋体" w:hAnsi="宋体"/>
              </w:rPr>
              <w:t>（8）</w:t>
            </w:r>
            <w:r>
              <w:rPr>
                <w:rFonts w:ascii="宋体" w:hAnsi="宋体"/>
              </w:rPr>
              <w:t>灰度等级256级；复印分辨率≥600dpi×600dpi；</w:t>
            </w:r>
          </w:p>
          <w:p w14:paraId="3A58C184">
            <w:pPr>
              <w:pStyle w:val="234"/>
              <w:wordWrap w:val="0"/>
              <w:rPr>
                <w:rFonts w:ascii="宋体" w:hAnsi="宋体"/>
              </w:rPr>
            </w:pPr>
            <w:r>
              <w:rPr>
                <w:rFonts w:hint="eastAsia" w:ascii="宋体" w:hAnsi="宋体"/>
              </w:rPr>
              <w:t>（9）</w:t>
            </w:r>
            <w:r>
              <w:rPr>
                <w:rFonts w:ascii="宋体" w:hAnsi="宋体"/>
              </w:rPr>
              <w:t>打印分辨率≥600dpi</w:t>
            </w:r>
            <w:r>
              <w:rPr>
                <w:rFonts w:hint="eastAsia" w:ascii="宋体" w:hAnsi="宋体"/>
              </w:rPr>
              <w:t>×</w:t>
            </w:r>
            <w:r>
              <w:rPr>
                <w:rFonts w:ascii="宋体" w:hAnsi="宋体"/>
              </w:rPr>
              <w:t>600dpi；</w:t>
            </w:r>
          </w:p>
          <w:p w14:paraId="04F26987">
            <w:pPr>
              <w:pStyle w:val="234"/>
              <w:wordWrap w:val="0"/>
              <w:rPr>
                <w:rFonts w:ascii="宋体" w:hAnsi="宋体"/>
              </w:rPr>
            </w:pPr>
            <w:r>
              <w:rPr>
                <w:rFonts w:hint="eastAsia" w:ascii="宋体" w:hAnsi="宋体"/>
              </w:rPr>
              <w:t>（10）</w:t>
            </w:r>
            <w:r>
              <w:rPr>
                <w:rFonts w:ascii="宋体" w:hAnsi="宋体"/>
              </w:rPr>
              <w:t>连续输出速度≥25页/分钟；</w:t>
            </w:r>
          </w:p>
          <w:p w14:paraId="40525A84">
            <w:pPr>
              <w:pStyle w:val="234"/>
              <w:wordWrap w:val="0"/>
              <w:rPr>
                <w:rFonts w:ascii="宋体" w:hAnsi="宋体"/>
              </w:rPr>
            </w:pPr>
            <w:r>
              <w:rPr>
                <w:rFonts w:hint="eastAsia" w:ascii="宋体" w:hAnsi="宋体"/>
              </w:rPr>
              <w:t>（11）</w:t>
            </w:r>
            <w:r>
              <w:rPr>
                <w:rFonts w:ascii="宋体" w:hAnsi="宋体"/>
              </w:rPr>
              <w:t>连续复印张数1~9999张；</w:t>
            </w:r>
          </w:p>
          <w:p w14:paraId="1393601A">
            <w:pPr>
              <w:pStyle w:val="234"/>
              <w:wordWrap w:val="0"/>
              <w:rPr>
                <w:rFonts w:ascii="宋体" w:hAnsi="宋体"/>
              </w:rPr>
            </w:pPr>
            <w:r>
              <w:rPr>
                <w:rFonts w:hint="eastAsia" w:ascii="宋体" w:hAnsi="宋体"/>
              </w:rPr>
              <w:t>（12）</w:t>
            </w:r>
            <w:r>
              <w:rPr>
                <w:rFonts w:ascii="宋体" w:hAnsi="宋体"/>
              </w:rPr>
              <w:t>供纸量（80g/m</w:t>
            </w:r>
            <w:r>
              <w:rPr>
                <w:rFonts w:ascii="宋体" w:hAnsi="宋体"/>
                <w:vertAlign w:val="superscript"/>
              </w:rPr>
              <w:t>2</w:t>
            </w:r>
            <w:r>
              <w:rPr>
                <w:rFonts w:ascii="宋体" w:hAnsi="宋体"/>
              </w:rPr>
              <w:t>）250张（前置纸盒）+80张（手送纸盘）可容580张；</w:t>
            </w:r>
          </w:p>
          <w:p w14:paraId="7F25799D">
            <w:pPr>
              <w:pStyle w:val="234"/>
              <w:wordWrap w:val="0"/>
              <w:rPr>
                <w:rFonts w:ascii="宋体" w:hAnsi="宋体"/>
              </w:rPr>
            </w:pPr>
            <w:r>
              <w:rPr>
                <w:rFonts w:hint="eastAsia" w:ascii="宋体" w:hAnsi="宋体"/>
              </w:rPr>
              <w:t>（13）</w:t>
            </w:r>
            <w:r>
              <w:rPr>
                <w:rFonts w:ascii="宋体" w:hAnsi="宋体"/>
              </w:rPr>
              <w:t>电源220V/AC</w:t>
            </w:r>
            <w:r>
              <w:rPr>
                <w:rFonts w:hint="eastAsia" w:ascii="宋体" w:hAnsi="宋体"/>
              </w:rPr>
              <w:t>，</w:t>
            </w:r>
            <w:r>
              <w:rPr>
                <w:rFonts w:ascii="宋体" w:hAnsi="宋体"/>
              </w:rPr>
              <w:t>功耗≤1.5</w:t>
            </w:r>
            <w:r>
              <w:rPr>
                <w:rFonts w:hint="eastAsia" w:ascii="宋体" w:hAnsi="宋体"/>
              </w:rPr>
              <w:t>kW</w:t>
            </w:r>
            <w:r>
              <w:rPr>
                <w:rFonts w:ascii="宋体" w:hAnsi="宋体"/>
              </w:rPr>
              <w:t>；</w:t>
            </w:r>
          </w:p>
          <w:p w14:paraId="37449247">
            <w:pPr>
              <w:pStyle w:val="234"/>
              <w:wordWrap w:val="0"/>
              <w:rPr>
                <w:rFonts w:ascii="宋体" w:hAnsi="宋体"/>
              </w:rPr>
            </w:pPr>
            <w:r>
              <w:rPr>
                <w:rFonts w:hint="eastAsia" w:ascii="宋体" w:hAnsi="宋体"/>
              </w:rPr>
              <w:t>（14）</w:t>
            </w:r>
            <w:r>
              <w:rPr>
                <w:rFonts w:ascii="宋体" w:hAnsi="宋体"/>
              </w:rPr>
              <w:t>主机尺</w:t>
            </w:r>
            <w:r>
              <w:rPr>
                <w:rFonts w:hint="eastAsia" w:ascii="宋体" w:hAnsi="宋体"/>
              </w:rPr>
              <w:t>寸≥长</w:t>
            </w:r>
            <w:r>
              <w:rPr>
                <w:rFonts w:ascii="宋体" w:hAnsi="宋体"/>
              </w:rPr>
              <w:t>626.6mm×宽691.9mm×高615.6mm；</w:t>
            </w:r>
          </w:p>
          <w:p w14:paraId="6BB69A77">
            <w:pPr>
              <w:pStyle w:val="234"/>
              <w:wordWrap w:val="0"/>
              <w:rPr>
                <w:rFonts w:ascii="宋体" w:hAnsi="宋体"/>
              </w:rPr>
            </w:pPr>
            <w:r>
              <w:rPr>
                <w:rFonts w:hint="eastAsia" w:ascii="宋体" w:hAnsi="宋体"/>
              </w:rPr>
              <w:t>（15）</w:t>
            </w:r>
            <w:r>
              <w:rPr>
                <w:rFonts w:ascii="宋体" w:hAnsi="宋体"/>
              </w:rPr>
              <w:t>主机含耗材重量≥39.7kg。</w:t>
            </w:r>
          </w:p>
          <w:p w14:paraId="5467BB38">
            <w:pPr>
              <w:pStyle w:val="234"/>
              <w:wordWrap w:val="0"/>
              <w:rPr>
                <w:rFonts w:ascii="宋体" w:hAnsi="宋体"/>
              </w:rPr>
            </w:pPr>
            <w:r>
              <w:rPr>
                <w:rFonts w:hint="eastAsia" w:ascii="宋体" w:hAnsi="宋体" w:cs="宋体"/>
                <w:szCs w:val="21"/>
              </w:rPr>
              <w:t>▲</w:t>
            </w:r>
            <w:r>
              <w:rPr>
                <w:rFonts w:ascii="宋体" w:hAnsi="宋体"/>
              </w:rPr>
              <w:t>8、电路板外壳制作平台</w:t>
            </w:r>
          </w:p>
          <w:p w14:paraId="67DDD6E4">
            <w:pPr>
              <w:pStyle w:val="234"/>
              <w:wordWrap w:val="0"/>
              <w:rPr>
                <w:rFonts w:ascii="宋体" w:hAnsi="宋体"/>
              </w:rPr>
            </w:pPr>
            <w:r>
              <w:rPr>
                <w:rFonts w:hint="eastAsia" w:ascii="宋体" w:hAnsi="宋体"/>
              </w:rPr>
              <w:t>（1）外形尺寸≥长</w:t>
            </w:r>
            <w:r>
              <w:rPr>
                <w:rFonts w:ascii="宋体" w:hAnsi="宋体"/>
              </w:rPr>
              <w:t>392*宽406*高478mm；</w:t>
            </w:r>
          </w:p>
          <w:p w14:paraId="305BB58E">
            <w:pPr>
              <w:pStyle w:val="234"/>
              <w:wordWrap w:val="0"/>
              <w:rPr>
                <w:rFonts w:ascii="宋体" w:hAnsi="宋体"/>
              </w:rPr>
            </w:pPr>
            <w:r>
              <w:rPr>
                <w:rFonts w:hint="eastAsia" w:ascii="宋体" w:hAnsi="宋体"/>
              </w:rPr>
              <w:t>（2）</w:t>
            </w:r>
            <w:r>
              <w:rPr>
                <w:rFonts w:ascii="宋体" w:hAnsi="宋体"/>
              </w:rPr>
              <w:t>包装重量≥21.3kg；</w:t>
            </w:r>
          </w:p>
          <w:p w14:paraId="2F0C7D45">
            <w:pPr>
              <w:pStyle w:val="234"/>
              <w:wordWrap w:val="0"/>
              <w:rPr>
                <w:rFonts w:ascii="宋体" w:hAnsi="宋体"/>
              </w:rPr>
            </w:pPr>
            <w:r>
              <w:rPr>
                <w:rFonts w:hint="eastAsia" w:ascii="宋体" w:hAnsi="宋体"/>
              </w:rPr>
              <w:t>（3）</w:t>
            </w:r>
            <w:r>
              <w:rPr>
                <w:rFonts w:ascii="宋体" w:hAnsi="宋体"/>
              </w:rPr>
              <w:t>配备AMS2Pro套件，供料缓冲器，多色耗材；</w:t>
            </w:r>
          </w:p>
          <w:p w14:paraId="727F9CD9">
            <w:pPr>
              <w:pStyle w:val="234"/>
              <w:wordWrap w:val="0"/>
              <w:rPr>
                <w:rFonts w:ascii="宋体" w:hAnsi="宋体"/>
              </w:rPr>
            </w:pPr>
            <w:r>
              <w:rPr>
                <w:rFonts w:hint="eastAsia" w:ascii="宋体" w:hAnsi="宋体"/>
              </w:rPr>
              <w:t>（4）</w:t>
            </w:r>
            <w:r>
              <w:rPr>
                <w:rFonts w:ascii="宋体" w:hAnsi="宋体"/>
              </w:rPr>
              <w:t>耗材直径1.75 mm；</w:t>
            </w:r>
          </w:p>
          <w:p w14:paraId="5CD95374">
            <w:pPr>
              <w:pStyle w:val="234"/>
              <w:wordWrap w:val="0"/>
              <w:rPr>
                <w:rFonts w:ascii="宋体" w:hAnsi="宋体"/>
              </w:rPr>
            </w:pPr>
            <w:r>
              <w:rPr>
                <w:rFonts w:hint="eastAsia" w:ascii="宋体" w:hAnsi="宋体"/>
              </w:rPr>
              <w:t>（5）</w:t>
            </w:r>
            <w:r>
              <w:rPr>
                <w:rFonts w:ascii="宋体" w:hAnsi="宋体"/>
              </w:rPr>
              <w:t>打印尺寸≥长256×宽256×高256 mm²；</w:t>
            </w:r>
          </w:p>
          <w:p w14:paraId="70209B50">
            <w:pPr>
              <w:pStyle w:val="234"/>
              <w:wordWrap w:val="0"/>
              <w:rPr>
                <w:rFonts w:ascii="宋体" w:hAnsi="宋体"/>
              </w:rPr>
            </w:pPr>
            <w:r>
              <w:rPr>
                <w:rFonts w:hint="eastAsia" w:ascii="宋体" w:hAnsi="宋体"/>
              </w:rPr>
              <w:t>（6）</w:t>
            </w:r>
            <w:r>
              <w:rPr>
                <w:rFonts w:ascii="宋体" w:hAnsi="宋体"/>
              </w:rPr>
              <w:t>熔融沉积型（FDM）技术；</w:t>
            </w:r>
          </w:p>
          <w:p w14:paraId="41762DDE">
            <w:pPr>
              <w:pStyle w:val="234"/>
              <w:wordWrap w:val="0"/>
              <w:rPr>
                <w:rFonts w:ascii="宋体" w:hAnsi="宋体"/>
              </w:rPr>
            </w:pPr>
            <w:r>
              <w:rPr>
                <w:rFonts w:hint="eastAsia" w:ascii="宋体" w:hAnsi="宋体"/>
              </w:rPr>
              <w:t>（7）</w:t>
            </w:r>
            <w:r>
              <w:rPr>
                <w:rFonts w:ascii="宋体" w:hAnsi="宋体"/>
              </w:rPr>
              <w:t>5英寸854*480触摸屏；</w:t>
            </w:r>
          </w:p>
          <w:p w14:paraId="744542BA">
            <w:pPr>
              <w:pStyle w:val="234"/>
              <w:wordWrap w:val="0"/>
              <w:rPr>
                <w:rFonts w:ascii="宋体" w:hAnsi="宋体"/>
              </w:rPr>
            </w:pPr>
            <w:r>
              <w:rPr>
                <w:rFonts w:hint="eastAsia" w:ascii="宋体" w:hAnsi="宋体"/>
              </w:rPr>
              <w:t>（8）</w:t>
            </w:r>
            <w:r>
              <w:rPr>
                <w:rFonts w:ascii="宋体" w:hAnsi="宋体"/>
              </w:rPr>
              <w:t>内置8 GB EMMC存储</w:t>
            </w:r>
            <w:r>
              <w:rPr>
                <w:rFonts w:hint="eastAsia" w:ascii="宋体" w:hAnsi="宋体"/>
              </w:rPr>
              <w:t>，</w:t>
            </w:r>
            <w:r>
              <w:rPr>
                <w:rFonts w:ascii="宋体" w:hAnsi="宋体"/>
              </w:rPr>
              <w:t>支持外挂U盘；</w:t>
            </w:r>
          </w:p>
          <w:p w14:paraId="3FFEE217">
            <w:pPr>
              <w:pStyle w:val="234"/>
              <w:wordWrap w:val="0"/>
              <w:rPr>
                <w:rFonts w:ascii="宋体" w:hAnsi="宋体"/>
              </w:rPr>
            </w:pPr>
            <w:r>
              <w:rPr>
                <w:rFonts w:hint="eastAsia" w:ascii="宋体" w:hAnsi="宋体"/>
              </w:rPr>
              <w:t>（9）</w:t>
            </w:r>
            <w:r>
              <w:rPr>
                <w:rFonts w:ascii="宋体" w:hAnsi="宋体"/>
              </w:rPr>
              <w:t>供电电压220V</w:t>
            </w:r>
            <w:r>
              <w:rPr>
                <w:rFonts w:hint="eastAsia" w:ascii="宋体" w:hAnsi="宋体"/>
              </w:rPr>
              <w:t>/</w:t>
            </w:r>
            <w:r>
              <w:rPr>
                <w:rFonts w:ascii="宋体" w:hAnsi="宋体"/>
              </w:rPr>
              <w:t>AC；</w:t>
            </w:r>
          </w:p>
          <w:p w14:paraId="737E0760">
            <w:pPr>
              <w:pStyle w:val="234"/>
              <w:wordWrap w:val="0"/>
              <w:rPr>
                <w:rFonts w:ascii="宋体" w:hAnsi="宋体"/>
              </w:rPr>
            </w:pPr>
            <w:r>
              <w:rPr>
                <w:rFonts w:hint="eastAsia" w:ascii="宋体" w:hAnsi="宋体"/>
              </w:rPr>
              <w:t>（10）</w:t>
            </w:r>
            <w:r>
              <w:rPr>
                <w:rFonts w:ascii="宋体" w:hAnsi="宋体"/>
              </w:rPr>
              <w:t>支持触摸屏、手机端应用、电脑端应用操作；</w:t>
            </w:r>
          </w:p>
          <w:p w14:paraId="54808279">
            <w:pPr>
              <w:pStyle w:val="234"/>
              <w:wordWrap w:val="0"/>
              <w:rPr>
                <w:rFonts w:ascii="宋体" w:hAnsi="宋体"/>
              </w:rPr>
            </w:pPr>
            <w:r>
              <w:rPr>
                <w:rFonts w:hint="eastAsia" w:ascii="宋体" w:hAnsi="宋体"/>
              </w:rPr>
              <w:t>（11）</w:t>
            </w:r>
            <w:r>
              <w:rPr>
                <w:rFonts w:ascii="宋体" w:hAnsi="宋体"/>
              </w:rPr>
              <w:t>支持Bambu Studio切片软件</w:t>
            </w:r>
            <w:r>
              <w:rPr>
                <w:rFonts w:hint="eastAsia" w:ascii="宋体" w:hAnsi="宋体"/>
              </w:rPr>
              <w:t>，</w:t>
            </w:r>
            <w:r>
              <w:rPr>
                <w:rFonts w:ascii="宋体" w:hAnsi="宋体"/>
              </w:rPr>
              <w:t>支持MacOS同等或以上、Windows同等或以上、Linux同等或以上系统；</w:t>
            </w:r>
          </w:p>
          <w:p w14:paraId="6319E517">
            <w:pPr>
              <w:pStyle w:val="234"/>
              <w:wordWrap w:val="0"/>
              <w:rPr>
                <w:rFonts w:ascii="宋体" w:hAnsi="宋体"/>
              </w:rPr>
            </w:pPr>
            <w:r>
              <w:rPr>
                <w:rFonts w:hint="eastAsia" w:ascii="宋体" w:hAnsi="宋体"/>
              </w:rPr>
              <w:t>（12）</w:t>
            </w:r>
            <w:r>
              <w:rPr>
                <w:rFonts w:ascii="宋体" w:hAnsi="宋体"/>
              </w:rPr>
              <w:t>塑胶和钢材框架</w:t>
            </w:r>
            <w:r>
              <w:rPr>
                <w:rFonts w:hint="eastAsia" w:ascii="宋体" w:hAnsi="宋体"/>
              </w:rPr>
              <w:t>，</w:t>
            </w:r>
            <w:r>
              <w:rPr>
                <w:rFonts w:ascii="宋体" w:hAnsi="宋体"/>
              </w:rPr>
              <w:t>塑胶和玻璃外壳</w:t>
            </w:r>
            <w:r>
              <w:rPr>
                <w:rFonts w:hint="eastAsia" w:ascii="宋体" w:hAnsi="宋体"/>
              </w:rPr>
              <w:t>，</w:t>
            </w:r>
            <w:r>
              <w:rPr>
                <w:rFonts w:ascii="宋体" w:hAnsi="宋体"/>
              </w:rPr>
              <w:t>硬化钢挤出机齿轮</w:t>
            </w:r>
            <w:r>
              <w:rPr>
                <w:rFonts w:hint="eastAsia" w:ascii="宋体" w:hAnsi="宋体"/>
              </w:rPr>
              <w:t>，</w:t>
            </w:r>
            <w:r>
              <w:rPr>
                <w:rFonts w:ascii="宋体" w:hAnsi="宋体"/>
              </w:rPr>
              <w:t>硬化钢喷嘴；</w:t>
            </w:r>
          </w:p>
          <w:p w14:paraId="23BA9AB9">
            <w:pPr>
              <w:pStyle w:val="234"/>
              <w:wordWrap w:val="0"/>
              <w:rPr>
                <w:rFonts w:ascii="宋体" w:hAnsi="宋体"/>
              </w:rPr>
            </w:pPr>
            <w:r>
              <w:rPr>
                <w:rFonts w:hint="eastAsia" w:ascii="宋体" w:hAnsi="宋体"/>
              </w:rPr>
              <w:t>（13）</w:t>
            </w:r>
            <w:r>
              <w:rPr>
                <w:rFonts w:ascii="宋体" w:hAnsi="宋体"/>
              </w:rPr>
              <w:t>喷嘴最高温度300℃</w:t>
            </w:r>
            <w:r>
              <w:rPr>
                <w:rFonts w:hint="eastAsia" w:ascii="宋体" w:hAnsi="宋体"/>
              </w:rPr>
              <w:t>，</w:t>
            </w:r>
            <w:r>
              <w:rPr>
                <w:rFonts w:ascii="宋体" w:hAnsi="宋体"/>
              </w:rPr>
              <w:t>默认自带喷嘴直径0.4mm</w:t>
            </w:r>
            <w:r>
              <w:rPr>
                <w:rFonts w:hint="eastAsia" w:ascii="宋体" w:hAnsi="宋体"/>
              </w:rPr>
              <w:t>，</w:t>
            </w:r>
            <w:r>
              <w:rPr>
                <w:rFonts w:ascii="宋体" w:hAnsi="宋体"/>
              </w:rPr>
              <w:t>支持喷嘴直径0.2mm、0.4mm、0.6 mm、0.8mm；</w:t>
            </w:r>
          </w:p>
          <w:p w14:paraId="425CB6D6">
            <w:pPr>
              <w:pStyle w:val="234"/>
              <w:wordWrap w:val="0"/>
              <w:rPr>
                <w:rFonts w:ascii="宋体" w:hAnsi="宋体"/>
              </w:rPr>
            </w:pPr>
            <w:r>
              <w:rPr>
                <w:rFonts w:hint="eastAsia" w:ascii="宋体" w:hAnsi="宋体"/>
              </w:rPr>
              <w:t>（14）</w:t>
            </w:r>
            <w:r>
              <w:rPr>
                <w:rFonts w:ascii="宋体" w:hAnsi="宋体"/>
              </w:rPr>
              <w:t>内置工具头切刀</w:t>
            </w:r>
            <w:r>
              <w:rPr>
                <w:rFonts w:hint="eastAsia" w:ascii="宋体" w:hAnsi="宋体"/>
              </w:rPr>
              <w:t>；</w:t>
            </w:r>
          </w:p>
          <w:p w14:paraId="2A0ADED1">
            <w:pPr>
              <w:pStyle w:val="234"/>
              <w:wordWrap w:val="0"/>
              <w:rPr>
                <w:rFonts w:ascii="宋体" w:hAnsi="宋体"/>
              </w:rPr>
            </w:pPr>
            <w:r>
              <w:rPr>
                <w:rFonts w:hint="eastAsia" w:ascii="宋体" w:hAnsi="宋体"/>
              </w:rPr>
              <w:t>（15）</w:t>
            </w:r>
            <w:r>
              <w:rPr>
                <w:rFonts w:ascii="宋体" w:hAnsi="宋体"/>
              </w:rPr>
              <w:t>永磁同步伺服挤出电机；</w:t>
            </w:r>
          </w:p>
          <w:p w14:paraId="00BD3616">
            <w:pPr>
              <w:pStyle w:val="234"/>
              <w:wordWrap w:val="0"/>
              <w:rPr>
                <w:rFonts w:ascii="宋体" w:hAnsi="宋体"/>
              </w:rPr>
            </w:pPr>
            <w:r>
              <w:rPr>
                <w:rFonts w:hint="eastAsia" w:ascii="宋体" w:hAnsi="宋体"/>
              </w:rPr>
              <w:t>（16）</w:t>
            </w:r>
            <w:r>
              <w:rPr>
                <w:rFonts w:ascii="宋体" w:hAnsi="宋体"/>
              </w:rPr>
              <w:t>打印板材质弹性打印钢板；</w:t>
            </w:r>
          </w:p>
          <w:p w14:paraId="575634BD">
            <w:pPr>
              <w:pStyle w:val="234"/>
              <w:wordWrap w:val="0"/>
              <w:rPr>
                <w:rFonts w:ascii="宋体" w:hAnsi="宋体"/>
              </w:rPr>
            </w:pPr>
            <w:r>
              <w:rPr>
                <w:rFonts w:hint="eastAsia" w:ascii="宋体" w:hAnsi="宋体"/>
              </w:rPr>
              <w:t>（17）</w:t>
            </w:r>
            <w:r>
              <w:rPr>
                <w:rFonts w:ascii="宋体" w:hAnsi="宋体"/>
              </w:rPr>
              <w:t>标配纹理 PEI打印板；支持纹理 PEI 打印板、光面 PEI 打印板、增稳低温打印板</w:t>
            </w:r>
            <w:r>
              <w:rPr>
                <w:rFonts w:hint="eastAsia" w:ascii="宋体" w:hAnsi="宋体"/>
              </w:rPr>
              <w:t>，</w:t>
            </w:r>
            <w:r>
              <w:rPr>
                <w:rFonts w:ascii="宋体" w:hAnsi="宋体"/>
              </w:rPr>
              <w:t>热床支持最高温度110℃；</w:t>
            </w:r>
          </w:p>
          <w:p w14:paraId="4364BBC6">
            <w:pPr>
              <w:pStyle w:val="234"/>
              <w:wordWrap w:val="0"/>
              <w:rPr>
                <w:rFonts w:ascii="宋体" w:hAnsi="宋体"/>
              </w:rPr>
            </w:pPr>
            <w:r>
              <w:rPr>
                <w:rFonts w:hint="eastAsia" w:ascii="宋体" w:hAnsi="宋体"/>
              </w:rPr>
              <w:t>（18）</w:t>
            </w:r>
            <w:r>
              <w:rPr>
                <w:rFonts w:ascii="宋体" w:hAnsi="宋体"/>
              </w:rPr>
              <w:t>工具头最大移动速度600 mm/s；工具头最大移动加速度20,000 mm/s²；</w:t>
            </w:r>
          </w:p>
          <w:p w14:paraId="0C55A2C2">
            <w:pPr>
              <w:pStyle w:val="234"/>
              <w:wordWrap w:val="0"/>
              <w:rPr>
                <w:rFonts w:ascii="宋体" w:hAnsi="宋体"/>
              </w:rPr>
            </w:pPr>
            <w:r>
              <w:rPr>
                <w:rFonts w:hint="eastAsia" w:ascii="宋体" w:hAnsi="宋体"/>
              </w:rPr>
              <w:t>（19）</w:t>
            </w:r>
            <w:r>
              <w:rPr>
                <w:rFonts w:ascii="宋体" w:hAnsi="宋体"/>
              </w:rPr>
              <w:t>支持耗材类型PLA、PETG、ABS、ASA、TPU、PLA支撑专用耗材、PLA/PETG 支撑专用耗材、ABS 支撑专用耗材、PET、PA、PC</w:t>
            </w:r>
            <w:r>
              <w:rPr>
                <w:rFonts w:hint="eastAsia" w:ascii="宋体" w:hAnsi="宋体"/>
              </w:rPr>
              <w:t>、</w:t>
            </w:r>
            <w:r>
              <w:rPr>
                <w:rFonts w:ascii="宋体" w:hAnsi="宋体"/>
              </w:rPr>
              <w:t>PVA、PLA-CF、PETG-CF、ABS-GF、ASA-CF、PA6-CF、PA6-GF、PAHT-CF、PPA-CF、PET-CF；</w:t>
            </w:r>
          </w:p>
          <w:p w14:paraId="50C8AF0F">
            <w:pPr>
              <w:pStyle w:val="234"/>
              <w:wordWrap w:val="0"/>
              <w:rPr>
                <w:rFonts w:ascii="宋体" w:hAnsi="宋体"/>
              </w:rPr>
            </w:pPr>
            <w:r>
              <w:rPr>
                <w:rFonts w:hint="eastAsia" w:ascii="宋体" w:hAnsi="宋体"/>
              </w:rPr>
              <w:t>（20）工作</w:t>
            </w:r>
            <w:r>
              <w:rPr>
                <w:rFonts w:ascii="宋体" w:hAnsi="宋体"/>
              </w:rPr>
              <w:t>电压200-240V</w:t>
            </w:r>
            <w:r>
              <w:rPr>
                <w:rFonts w:hint="eastAsia" w:ascii="宋体" w:hAnsi="宋体"/>
              </w:rPr>
              <w:t>/</w:t>
            </w:r>
            <w:r>
              <w:rPr>
                <w:rFonts w:ascii="宋体" w:hAnsi="宋体"/>
              </w:rPr>
              <w:t>AC，50Hz，最大功率1200W@220V；</w:t>
            </w:r>
          </w:p>
          <w:p w14:paraId="0FC24784">
            <w:pPr>
              <w:pStyle w:val="234"/>
              <w:wordWrap w:val="0"/>
              <w:rPr>
                <w:rFonts w:ascii="宋体" w:hAnsi="宋体"/>
              </w:rPr>
            </w:pPr>
            <w:r>
              <w:rPr>
                <w:rFonts w:hint="eastAsia" w:ascii="宋体" w:hAnsi="宋体" w:cs="宋体"/>
                <w:szCs w:val="21"/>
              </w:rPr>
              <w:t>▲</w:t>
            </w:r>
            <w:r>
              <w:rPr>
                <w:rFonts w:ascii="宋体" w:hAnsi="宋体"/>
              </w:rPr>
              <w:t>9、高精密焊接与维修操作展示平台</w:t>
            </w:r>
          </w:p>
          <w:p w14:paraId="7F204A36">
            <w:pPr>
              <w:pStyle w:val="234"/>
              <w:wordWrap w:val="0"/>
              <w:rPr>
                <w:rFonts w:ascii="宋体" w:hAnsi="宋体"/>
              </w:rPr>
            </w:pPr>
            <w:r>
              <w:rPr>
                <w:rFonts w:hint="eastAsia" w:ascii="宋体" w:hAnsi="宋体"/>
              </w:rPr>
              <w:t>（1）目镜支持垂直</w:t>
            </w:r>
            <w:r>
              <w:rPr>
                <w:rFonts w:ascii="宋体" w:hAnsi="宋体"/>
              </w:rPr>
              <w:t>TV拓展接口连接电子目镜使成像同步电脑，可以实现拍照、录像、测量、多人实时观看；</w:t>
            </w:r>
          </w:p>
          <w:p w14:paraId="46D06ABE">
            <w:pPr>
              <w:pStyle w:val="234"/>
              <w:wordWrap w:val="0"/>
              <w:rPr>
                <w:rFonts w:ascii="宋体" w:hAnsi="宋体"/>
              </w:rPr>
            </w:pPr>
            <w:r>
              <w:rPr>
                <w:rFonts w:hint="eastAsia" w:ascii="宋体" w:hAnsi="宋体"/>
              </w:rPr>
              <w:t>（2）</w:t>
            </w:r>
            <w:r>
              <w:rPr>
                <w:rFonts w:ascii="宋体" w:hAnsi="宋体"/>
              </w:rPr>
              <w:t>配置高清4K成相机；</w:t>
            </w:r>
          </w:p>
          <w:p w14:paraId="62929F2B">
            <w:pPr>
              <w:pStyle w:val="234"/>
              <w:wordWrap w:val="0"/>
              <w:rPr>
                <w:rFonts w:ascii="宋体" w:hAnsi="宋体"/>
              </w:rPr>
            </w:pPr>
            <w:r>
              <w:rPr>
                <w:rFonts w:hint="eastAsia" w:ascii="宋体" w:hAnsi="宋体"/>
              </w:rPr>
              <w:t>（3）</w:t>
            </w:r>
            <w:r>
              <w:rPr>
                <w:rFonts w:ascii="宋体" w:hAnsi="宋体"/>
              </w:rPr>
              <w:t>配置11.6英寸高清显示屏；</w:t>
            </w:r>
          </w:p>
          <w:p w14:paraId="127D54C2">
            <w:pPr>
              <w:pStyle w:val="234"/>
              <w:wordWrap w:val="0"/>
              <w:rPr>
                <w:rFonts w:ascii="宋体" w:hAnsi="宋体"/>
              </w:rPr>
            </w:pPr>
            <w:r>
              <w:rPr>
                <w:rFonts w:hint="eastAsia" w:ascii="宋体" w:hAnsi="宋体"/>
              </w:rPr>
              <w:t>（4）</w:t>
            </w:r>
            <w:r>
              <w:rPr>
                <w:rFonts w:ascii="宋体" w:hAnsi="宋体"/>
              </w:rPr>
              <w:t>配置10X/22mm大视野、广角、高眼点；</w:t>
            </w:r>
          </w:p>
          <w:p w14:paraId="573E7F5A">
            <w:pPr>
              <w:pStyle w:val="234"/>
              <w:wordWrap w:val="0"/>
              <w:rPr>
                <w:rFonts w:ascii="宋体" w:hAnsi="宋体"/>
              </w:rPr>
            </w:pPr>
            <w:r>
              <w:rPr>
                <w:rFonts w:hint="eastAsia" w:ascii="宋体" w:hAnsi="宋体"/>
              </w:rPr>
              <w:t>（5）</w:t>
            </w:r>
            <w:r>
              <w:rPr>
                <w:rFonts w:ascii="宋体" w:hAnsi="宋体"/>
              </w:rPr>
              <w:t>工作距离100mm；放大倍数7X~45X连续变倍；</w:t>
            </w:r>
          </w:p>
          <w:p w14:paraId="6D36E51F">
            <w:pPr>
              <w:pStyle w:val="234"/>
              <w:wordWrap w:val="0"/>
              <w:rPr>
                <w:rFonts w:ascii="宋体" w:hAnsi="宋体"/>
              </w:rPr>
            </w:pPr>
            <w:r>
              <w:rPr>
                <w:rFonts w:hint="eastAsia" w:ascii="宋体" w:hAnsi="宋体"/>
              </w:rPr>
              <w:t>（6）</w:t>
            </w:r>
            <w:r>
              <w:rPr>
                <w:rFonts w:ascii="宋体" w:hAnsi="宋体"/>
              </w:rPr>
              <w:t>铰链式观察头；</w:t>
            </w:r>
          </w:p>
          <w:p w14:paraId="4C7CFDB5">
            <w:pPr>
              <w:pStyle w:val="234"/>
              <w:wordWrap w:val="0"/>
              <w:rPr>
                <w:rFonts w:ascii="宋体" w:hAnsi="宋体"/>
              </w:rPr>
            </w:pPr>
            <w:r>
              <w:rPr>
                <w:rFonts w:hint="eastAsia" w:ascii="宋体" w:hAnsi="宋体"/>
              </w:rPr>
              <w:t>（7）</w:t>
            </w:r>
            <w:r>
              <w:rPr>
                <w:rFonts w:ascii="宋体" w:hAnsi="宋体"/>
              </w:rPr>
              <w:t>调焦托架手轮松紧可调、升降范围50mm；</w:t>
            </w:r>
          </w:p>
          <w:p w14:paraId="26C227C8">
            <w:pPr>
              <w:pStyle w:val="234"/>
              <w:wordWrap w:val="0"/>
              <w:rPr>
                <w:rFonts w:ascii="宋体" w:hAnsi="宋体"/>
              </w:rPr>
            </w:pPr>
            <w:r>
              <w:rPr>
                <w:rFonts w:hint="eastAsia" w:ascii="宋体" w:hAnsi="宋体"/>
              </w:rPr>
              <w:t>（8）</w:t>
            </w:r>
            <w:r>
              <w:rPr>
                <w:rFonts w:ascii="宋体" w:hAnsi="宋体"/>
              </w:rPr>
              <w:t>上下单LED灯照明、独立开关亮度可调；</w:t>
            </w:r>
          </w:p>
          <w:p w14:paraId="0D1B91D7">
            <w:pPr>
              <w:pStyle w:val="234"/>
              <w:wordWrap w:val="0"/>
              <w:rPr>
                <w:rFonts w:ascii="宋体" w:hAnsi="宋体"/>
              </w:rPr>
            </w:pPr>
            <w:r>
              <w:rPr>
                <w:rFonts w:hint="eastAsia" w:ascii="宋体" w:hAnsi="宋体"/>
              </w:rPr>
              <w:t>（9）工作</w:t>
            </w:r>
            <w:r>
              <w:rPr>
                <w:rFonts w:ascii="宋体" w:hAnsi="宋体"/>
              </w:rPr>
              <w:t>电压110V～240V</w:t>
            </w:r>
            <w:r>
              <w:rPr>
                <w:rFonts w:hint="eastAsia" w:ascii="宋体" w:hAnsi="宋体"/>
              </w:rPr>
              <w:t>/AC</w:t>
            </w:r>
            <w:r>
              <w:rPr>
                <w:rFonts w:ascii="宋体" w:hAnsi="宋体"/>
              </w:rPr>
              <w:t>；</w:t>
            </w:r>
          </w:p>
          <w:p w14:paraId="242B1A1C">
            <w:pPr>
              <w:pStyle w:val="234"/>
              <w:wordWrap w:val="0"/>
              <w:rPr>
                <w:rFonts w:ascii="宋体" w:hAnsi="宋体"/>
              </w:rPr>
            </w:pPr>
            <w:r>
              <w:rPr>
                <w:rFonts w:hint="eastAsia" w:ascii="宋体" w:hAnsi="宋体"/>
              </w:rPr>
              <w:t>（10）</w:t>
            </w:r>
            <w:r>
              <w:rPr>
                <w:rFonts w:ascii="宋体" w:hAnsi="宋体"/>
              </w:rPr>
              <w:t>载物台直径≥95mm黑白板和透明板；</w:t>
            </w:r>
          </w:p>
          <w:p w14:paraId="7CEC4812">
            <w:pPr>
              <w:pStyle w:val="234"/>
              <w:wordWrap w:val="0"/>
              <w:rPr>
                <w:rFonts w:ascii="宋体" w:hAnsi="宋体"/>
              </w:rPr>
            </w:pPr>
            <w:r>
              <w:rPr>
                <w:rFonts w:hint="eastAsia" w:ascii="宋体" w:hAnsi="宋体"/>
              </w:rPr>
              <w:t>（11）</w:t>
            </w:r>
            <w:r>
              <w:rPr>
                <w:rFonts w:ascii="宋体" w:hAnsi="宋体"/>
              </w:rPr>
              <w:t>立柱高≥240mm；</w:t>
            </w:r>
          </w:p>
          <w:p w14:paraId="16E81FD4">
            <w:pPr>
              <w:pStyle w:val="234"/>
              <w:wordWrap w:val="0"/>
              <w:rPr>
                <w:rFonts w:ascii="宋体" w:hAnsi="宋体"/>
              </w:rPr>
            </w:pPr>
            <w:r>
              <w:rPr>
                <w:rFonts w:hint="eastAsia" w:ascii="宋体" w:hAnsi="宋体"/>
              </w:rPr>
              <w:t>（12）</w:t>
            </w:r>
            <w:r>
              <w:rPr>
                <w:rFonts w:ascii="宋体" w:hAnsi="宋体"/>
              </w:rPr>
              <w:t>立柱直径≥32mm；</w:t>
            </w:r>
          </w:p>
          <w:p w14:paraId="6B7F2C9E">
            <w:pPr>
              <w:pStyle w:val="234"/>
              <w:wordWrap w:val="0"/>
              <w:rPr>
                <w:rFonts w:ascii="宋体" w:hAnsi="宋体"/>
              </w:rPr>
            </w:pPr>
            <w:r>
              <w:rPr>
                <w:rFonts w:hint="eastAsia" w:ascii="宋体" w:hAnsi="宋体"/>
              </w:rPr>
              <w:t>（13）</w:t>
            </w:r>
            <w:r>
              <w:rPr>
                <w:rFonts w:ascii="宋体" w:hAnsi="宋体"/>
              </w:rPr>
              <w:t>底座尺寸≥205×275×40mm；</w:t>
            </w:r>
          </w:p>
          <w:p w14:paraId="10BF0660">
            <w:pPr>
              <w:pStyle w:val="234"/>
              <w:wordWrap w:val="0"/>
              <w:rPr>
                <w:rFonts w:ascii="宋体" w:hAnsi="宋体"/>
              </w:rPr>
            </w:pPr>
            <w:r>
              <w:rPr>
                <w:rFonts w:hint="eastAsia" w:ascii="宋体" w:hAnsi="宋体"/>
              </w:rPr>
              <w:t>（14）</w:t>
            </w:r>
            <w:r>
              <w:rPr>
                <w:rFonts w:ascii="宋体" w:hAnsi="宋体"/>
              </w:rPr>
              <w:t>外箱尺寸510x360x300mm；</w:t>
            </w:r>
          </w:p>
          <w:p w14:paraId="7A31ADE2">
            <w:pPr>
              <w:pStyle w:val="234"/>
              <w:wordWrap w:val="0"/>
              <w:rPr>
                <w:rFonts w:ascii="宋体" w:hAnsi="宋体"/>
                <w:b/>
                <w:bCs/>
              </w:rPr>
            </w:pPr>
            <w:r>
              <w:rPr>
                <w:rFonts w:hint="eastAsia" w:ascii="宋体" w:hAnsi="宋体"/>
              </w:rPr>
              <w:t>（15）</w:t>
            </w:r>
            <w:r>
              <w:rPr>
                <w:rFonts w:ascii="宋体" w:hAnsi="宋体"/>
              </w:rPr>
              <w:t>毛重≥6kg</w:t>
            </w:r>
            <w:r>
              <w:rPr>
                <w:rFonts w:hint="eastAsia" w:ascii="宋体" w:hAnsi="宋体"/>
              </w:rPr>
              <w:t>。</w:t>
            </w:r>
            <w:r>
              <w:rPr>
                <w:rFonts w:ascii="宋体" w:hAnsi="宋体"/>
              </w:rPr>
              <w:br w:type="textWrapping" w:clear="all"/>
            </w:r>
            <w:r>
              <w:rPr>
                <w:rFonts w:hint="eastAsia" w:ascii="宋体" w:hAnsi="宋体"/>
                <w:b/>
                <w:bCs/>
              </w:rPr>
              <w:t>二、培训和集训考核评分辅助设备</w:t>
            </w:r>
          </w:p>
          <w:p w14:paraId="699E0B78">
            <w:pPr>
              <w:pStyle w:val="234"/>
              <w:wordWrap w:val="0"/>
              <w:rPr>
                <w:rFonts w:ascii="宋体" w:hAnsi="宋体"/>
              </w:rPr>
            </w:pPr>
            <w:r>
              <w:rPr>
                <w:rFonts w:hint="eastAsia" w:ascii="宋体" w:hAnsi="宋体" w:cs="宋体"/>
                <w:szCs w:val="21"/>
              </w:rPr>
              <w:t>▲</w:t>
            </w:r>
            <w:r>
              <w:rPr>
                <w:rFonts w:ascii="宋体" w:hAnsi="宋体"/>
              </w:rPr>
              <w:t>1、电路显示与评分培训高清一体机</w:t>
            </w:r>
          </w:p>
          <w:p w14:paraId="3C48F290">
            <w:pPr>
              <w:pStyle w:val="234"/>
              <w:wordWrap w:val="0"/>
              <w:rPr>
                <w:rFonts w:ascii="宋体" w:hAnsi="宋体"/>
              </w:rPr>
            </w:pPr>
            <w:r>
              <w:rPr>
                <w:rFonts w:hint="eastAsia" w:ascii="宋体" w:hAnsi="宋体"/>
              </w:rPr>
              <w:t>（1）显示屏尺寸≥</w:t>
            </w:r>
            <w:r>
              <w:rPr>
                <w:rFonts w:ascii="宋体" w:hAnsi="宋体"/>
              </w:rPr>
              <w:t>100英寸</w:t>
            </w:r>
            <w:r>
              <w:rPr>
                <w:rFonts w:hint="eastAsia" w:ascii="宋体" w:hAnsi="宋体"/>
              </w:rPr>
              <w:t>，</w:t>
            </w:r>
            <w:r>
              <w:rPr>
                <w:rFonts w:ascii="宋体" w:hAnsi="宋体"/>
              </w:rPr>
              <w:t>显示分辨率≥3840×2160；</w:t>
            </w:r>
          </w:p>
          <w:p w14:paraId="4E373298">
            <w:pPr>
              <w:pStyle w:val="234"/>
              <w:wordWrap w:val="0"/>
              <w:rPr>
                <w:rFonts w:ascii="宋体" w:hAnsi="宋体"/>
              </w:rPr>
            </w:pPr>
            <w:r>
              <w:rPr>
                <w:rFonts w:hint="eastAsia" w:ascii="宋体" w:hAnsi="宋体"/>
              </w:rPr>
              <w:t>（2）</w:t>
            </w:r>
            <w:r>
              <w:rPr>
                <w:rFonts w:ascii="宋体" w:hAnsi="宋体"/>
              </w:rPr>
              <w:t>供电电压220V</w:t>
            </w:r>
            <w:r>
              <w:rPr>
                <w:rFonts w:hint="eastAsia" w:ascii="宋体" w:hAnsi="宋体"/>
              </w:rPr>
              <w:t>/</w:t>
            </w:r>
            <w:r>
              <w:rPr>
                <w:rFonts w:ascii="宋体" w:hAnsi="宋体"/>
              </w:rPr>
              <w:t>AC；</w:t>
            </w:r>
          </w:p>
          <w:p w14:paraId="0E0B48D1">
            <w:pPr>
              <w:pStyle w:val="234"/>
              <w:wordWrap w:val="0"/>
              <w:rPr>
                <w:rFonts w:ascii="宋体" w:hAnsi="宋体"/>
              </w:rPr>
            </w:pPr>
            <w:r>
              <w:rPr>
                <w:rFonts w:hint="eastAsia" w:ascii="宋体" w:hAnsi="宋体"/>
              </w:rPr>
              <w:t>（3）</w:t>
            </w:r>
            <w:r>
              <w:rPr>
                <w:rFonts w:ascii="宋体" w:hAnsi="宋体"/>
              </w:rPr>
              <w:t>运行内存≥2GB；</w:t>
            </w:r>
          </w:p>
          <w:p w14:paraId="61C9C18B">
            <w:pPr>
              <w:pStyle w:val="234"/>
              <w:wordWrap w:val="0"/>
              <w:rPr>
                <w:rFonts w:ascii="宋体" w:hAnsi="宋体"/>
              </w:rPr>
            </w:pPr>
            <w:r>
              <w:rPr>
                <w:rFonts w:hint="eastAsia" w:ascii="宋体" w:hAnsi="宋体"/>
              </w:rPr>
              <w:t>（4）</w:t>
            </w:r>
            <w:r>
              <w:rPr>
                <w:rFonts w:ascii="宋体" w:hAnsi="宋体"/>
              </w:rPr>
              <w:t>配备HDMI×2、USB×1、RJ45×1接口；</w:t>
            </w:r>
          </w:p>
          <w:p w14:paraId="58F255E5">
            <w:pPr>
              <w:pStyle w:val="234"/>
              <w:wordWrap w:val="0"/>
              <w:rPr>
                <w:rFonts w:ascii="宋体" w:hAnsi="宋体"/>
              </w:rPr>
            </w:pPr>
            <w:r>
              <w:rPr>
                <w:rFonts w:hint="eastAsia" w:ascii="宋体" w:hAnsi="宋体"/>
              </w:rPr>
              <w:t>（5）</w:t>
            </w:r>
            <w:r>
              <w:rPr>
                <w:rFonts w:ascii="宋体" w:hAnsi="宋体"/>
              </w:rPr>
              <w:t>内置15W×2扬声器；</w:t>
            </w:r>
          </w:p>
          <w:p w14:paraId="3AD50E76">
            <w:pPr>
              <w:pStyle w:val="234"/>
              <w:wordWrap w:val="0"/>
              <w:rPr>
                <w:rFonts w:ascii="宋体" w:hAnsi="宋体"/>
              </w:rPr>
            </w:pPr>
            <w:r>
              <w:rPr>
                <w:rFonts w:hint="eastAsia" w:ascii="宋体" w:hAnsi="宋体"/>
              </w:rPr>
              <w:t>（6）</w:t>
            </w:r>
            <w:r>
              <w:rPr>
                <w:rFonts w:ascii="宋体" w:hAnsi="宋体"/>
              </w:rPr>
              <w:t>支持</w:t>
            </w:r>
            <w:r>
              <w:rPr>
                <w:rFonts w:hint="eastAsia" w:ascii="宋体" w:hAnsi="宋体"/>
              </w:rPr>
              <w:t>Wi-Fi</w:t>
            </w:r>
            <w:r>
              <w:rPr>
                <w:rFonts w:ascii="宋体" w:hAnsi="宋体"/>
              </w:rPr>
              <w:t>、蓝牙无线连接；支持座装、壁挂、移动支架安装；</w:t>
            </w:r>
          </w:p>
          <w:p w14:paraId="7F2F23F1">
            <w:pPr>
              <w:pStyle w:val="234"/>
              <w:wordWrap w:val="0"/>
              <w:rPr>
                <w:rFonts w:ascii="宋体" w:hAnsi="宋体"/>
              </w:rPr>
            </w:pPr>
            <w:r>
              <w:rPr>
                <w:rFonts w:hint="eastAsia" w:ascii="宋体" w:hAnsi="宋体"/>
              </w:rPr>
              <w:t>（7）</w:t>
            </w:r>
            <w:r>
              <w:rPr>
                <w:rFonts w:ascii="宋体" w:hAnsi="宋体"/>
              </w:rPr>
              <w:t>配备翻页笔，支持标注调音遥控器；配备滚轮移动式支架推车；</w:t>
            </w:r>
          </w:p>
          <w:p w14:paraId="658E9F25">
            <w:pPr>
              <w:pStyle w:val="234"/>
              <w:wordWrap w:val="0"/>
              <w:rPr>
                <w:rFonts w:ascii="宋体" w:hAnsi="宋体"/>
              </w:rPr>
            </w:pPr>
            <w:r>
              <w:rPr>
                <w:rFonts w:hint="eastAsia" w:ascii="宋体" w:hAnsi="宋体"/>
              </w:rPr>
              <w:t>（8）</w:t>
            </w:r>
            <w:r>
              <w:rPr>
                <w:rFonts w:ascii="宋体" w:hAnsi="宋体"/>
              </w:rPr>
              <w:t>配备物理投屏器，支持电脑、手机、PAD快捷投屏；</w:t>
            </w:r>
          </w:p>
          <w:p w14:paraId="44FA99E2">
            <w:pPr>
              <w:pStyle w:val="234"/>
              <w:wordWrap w:val="0"/>
              <w:rPr>
                <w:rFonts w:ascii="宋体" w:hAnsi="宋体"/>
              </w:rPr>
            </w:pPr>
            <w:r>
              <w:rPr>
                <w:rFonts w:hint="eastAsia" w:ascii="宋体" w:hAnsi="宋体"/>
              </w:rPr>
              <w:t>（9）</w:t>
            </w:r>
            <w:r>
              <w:rPr>
                <w:rFonts w:ascii="宋体" w:hAnsi="宋体"/>
              </w:rPr>
              <w:t>净重≥64kg</w:t>
            </w:r>
            <w:r>
              <w:rPr>
                <w:rFonts w:hint="eastAsia" w:ascii="宋体" w:hAnsi="宋体"/>
              </w:rPr>
              <w:t>。</w:t>
            </w:r>
          </w:p>
          <w:p w14:paraId="3B1396B6">
            <w:pPr>
              <w:pStyle w:val="234"/>
              <w:wordWrap w:val="0"/>
              <w:rPr>
                <w:rFonts w:ascii="宋体" w:hAnsi="宋体"/>
              </w:rPr>
            </w:pPr>
            <w:r>
              <w:rPr>
                <w:rFonts w:hint="eastAsia" w:ascii="宋体" w:hAnsi="宋体" w:cs="宋体"/>
                <w:szCs w:val="21"/>
              </w:rPr>
              <w:t>▲</w:t>
            </w:r>
            <w:r>
              <w:rPr>
                <w:rFonts w:hint="eastAsia" w:ascii="宋体" w:hAnsi="宋体"/>
              </w:rPr>
              <w:t>2</w:t>
            </w:r>
            <w:r>
              <w:rPr>
                <w:rFonts w:ascii="宋体" w:hAnsi="宋体"/>
              </w:rPr>
              <w:t>、培训语音传输播放系统</w:t>
            </w:r>
          </w:p>
          <w:p w14:paraId="7901659B">
            <w:pPr>
              <w:pStyle w:val="234"/>
              <w:wordWrap w:val="0"/>
              <w:rPr>
                <w:rFonts w:ascii="宋体" w:hAnsi="宋体"/>
              </w:rPr>
            </w:pPr>
            <w:r>
              <w:rPr>
                <w:rFonts w:hint="eastAsia" w:ascii="宋体" w:hAnsi="宋体"/>
              </w:rPr>
              <w:t>（1）功放数量</w:t>
            </w:r>
            <w:r>
              <w:rPr>
                <w:rFonts w:ascii="宋体" w:hAnsi="宋体"/>
              </w:rPr>
              <w:t>1个</w:t>
            </w:r>
            <w:r>
              <w:rPr>
                <w:rFonts w:hint="eastAsia" w:ascii="宋体" w:hAnsi="宋体"/>
              </w:rPr>
              <w:t>，</w:t>
            </w:r>
            <w:r>
              <w:rPr>
                <w:rFonts w:ascii="宋体" w:hAnsi="宋体"/>
              </w:rPr>
              <w:t>功放功率≥150W；</w:t>
            </w:r>
            <w:r>
              <w:rPr>
                <w:rFonts w:ascii="宋体" w:hAnsi="宋体"/>
              </w:rPr>
              <w:br w:type="textWrapping" w:clear="all"/>
            </w:r>
            <w:r>
              <w:rPr>
                <w:rFonts w:hint="eastAsia" w:ascii="宋体" w:hAnsi="宋体"/>
              </w:rPr>
              <w:t>（2）</w:t>
            </w:r>
            <w:r>
              <w:rPr>
                <w:rFonts w:ascii="宋体" w:hAnsi="宋体"/>
              </w:rPr>
              <w:t>功放支持蓝牙5.0连接、USB连接、4路音乐输入、5路话筒输入；</w:t>
            </w:r>
            <w:r>
              <w:rPr>
                <w:rFonts w:ascii="宋体" w:hAnsi="宋体"/>
              </w:rPr>
              <w:br w:type="textWrapping" w:clear="all"/>
            </w:r>
            <w:r>
              <w:rPr>
                <w:rFonts w:hint="eastAsia" w:ascii="宋体" w:hAnsi="宋体"/>
              </w:rPr>
              <w:t>（3）</w:t>
            </w:r>
            <w:r>
              <w:rPr>
                <w:rFonts w:ascii="宋体" w:hAnsi="宋体"/>
              </w:rPr>
              <w:t>功放尺寸≥483mm×365mm×140mm；</w:t>
            </w:r>
            <w:r>
              <w:rPr>
                <w:rFonts w:ascii="宋体" w:hAnsi="宋体"/>
              </w:rPr>
              <w:br w:type="textWrapping" w:clear="all"/>
            </w:r>
            <w:r>
              <w:rPr>
                <w:rFonts w:hint="eastAsia" w:ascii="宋体" w:hAnsi="宋体"/>
              </w:rPr>
              <w:t>（4）</w:t>
            </w:r>
            <w:r>
              <w:rPr>
                <w:rFonts w:ascii="宋体" w:hAnsi="宋体"/>
              </w:rPr>
              <w:t>音响数量4个</w:t>
            </w:r>
            <w:r>
              <w:rPr>
                <w:rFonts w:hint="eastAsia" w:ascii="宋体" w:hAnsi="宋体"/>
              </w:rPr>
              <w:t>，</w:t>
            </w:r>
            <w:r>
              <w:rPr>
                <w:rFonts w:ascii="宋体" w:hAnsi="宋体"/>
              </w:rPr>
              <w:t>音响功率≥30W</w:t>
            </w:r>
            <w:r>
              <w:rPr>
                <w:rFonts w:hint="eastAsia" w:ascii="宋体" w:hAnsi="宋体"/>
              </w:rPr>
              <w:t>，</w:t>
            </w:r>
            <w:r>
              <w:rPr>
                <w:rFonts w:ascii="宋体" w:hAnsi="宋体"/>
              </w:rPr>
              <w:t>单个音响喇叭尺寸10英寸</w:t>
            </w:r>
            <w:r>
              <w:rPr>
                <w:rFonts w:hint="eastAsia" w:ascii="宋体" w:hAnsi="宋体"/>
              </w:rPr>
              <w:t>；（5）</w:t>
            </w:r>
            <w:r>
              <w:rPr>
                <w:rFonts w:ascii="宋体" w:hAnsi="宋体"/>
              </w:rPr>
              <w:t>低音单元×1、3英寸高音单元×2；配手持话筒×2个；</w:t>
            </w:r>
            <w:r>
              <w:rPr>
                <w:rFonts w:ascii="宋体" w:hAnsi="宋体"/>
              </w:rPr>
              <w:br w:type="textWrapping" w:clear="all"/>
            </w:r>
            <w:r>
              <w:rPr>
                <w:rFonts w:hint="eastAsia" w:ascii="宋体" w:hAnsi="宋体"/>
              </w:rPr>
              <w:t>（6）</w:t>
            </w:r>
            <w:r>
              <w:rPr>
                <w:rFonts w:ascii="宋体" w:hAnsi="宋体"/>
              </w:rPr>
              <w:t>配鹅颈话筒×2个；</w:t>
            </w:r>
          </w:p>
          <w:p w14:paraId="189391EC">
            <w:pPr>
              <w:pStyle w:val="234"/>
              <w:wordWrap w:val="0"/>
              <w:rPr>
                <w:rFonts w:ascii="宋体" w:hAnsi="宋体"/>
              </w:rPr>
            </w:pPr>
            <w:r>
              <w:rPr>
                <w:rFonts w:hint="eastAsia" w:ascii="宋体" w:hAnsi="宋体"/>
              </w:rPr>
              <w:t>（7）</w:t>
            </w:r>
            <w:r>
              <w:rPr>
                <w:rFonts w:ascii="宋体" w:hAnsi="宋体"/>
              </w:rPr>
              <w:t>无线接收主机×1台；</w:t>
            </w:r>
          </w:p>
          <w:p w14:paraId="5C2EF535">
            <w:pPr>
              <w:pStyle w:val="234"/>
              <w:wordWrap w:val="0"/>
              <w:rPr>
                <w:rFonts w:ascii="宋体" w:hAnsi="宋体"/>
              </w:rPr>
            </w:pPr>
            <w:r>
              <w:rPr>
                <w:rFonts w:hint="eastAsia" w:ascii="宋体" w:hAnsi="宋体"/>
              </w:rPr>
              <w:t>（8）</w:t>
            </w:r>
            <w:r>
              <w:rPr>
                <w:rFonts w:ascii="宋体" w:hAnsi="宋体"/>
              </w:rPr>
              <w:t>声音系统覆盖范围≥400㎡。</w:t>
            </w:r>
          </w:p>
          <w:p w14:paraId="7EAA3F75">
            <w:pPr>
              <w:pStyle w:val="234"/>
              <w:wordWrap w:val="0"/>
              <w:rPr>
                <w:rFonts w:ascii="宋体" w:hAnsi="宋体"/>
              </w:rPr>
            </w:pPr>
            <w:r>
              <w:rPr>
                <w:rFonts w:hint="eastAsia" w:ascii="宋体" w:hAnsi="宋体" w:cs="宋体"/>
                <w:szCs w:val="21"/>
              </w:rPr>
              <w:t>▲</w:t>
            </w:r>
            <w:r>
              <w:rPr>
                <w:rFonts w:hint="eastAsia" w:ascii="宋体" w:hAnsi="宋体"/>
              </w:rPr>
              <w:t>3</w:t>
            </w:r>
            <w:r>
              <w:rPr>
                <w:rFonts w:ascii="宋体" w:hAnsi="宋体"/>
              </w:rPr>
              <w:t>、培训考核文件无线收发中枢系统</w:t>
            </w:r>
          </w:p>
          <w:p w14:paraId="672A4BA4">
            <w:pPr>
              <w:wordWrap w:val="0"/>
              <w:rPr>
                <w:rFonts w:ascii="宋体" w:hAnsi="宋体" w:cs="仿宋"/>
                <w:sz w:val="24"/>
                <w:lang w:bidi="ar"/>
              </w:rPr>
            </w:pPr>
            <w:r>
              <w:rPr>
                <w:rFonts w:hint="eastAsia"/>
                <w:sz w:val="24"/>
              </w:rPr>
              <w:t>（1）物理尺寸≥</w:t>
            </w:r>
            <w:r>
              <w:rPr>
                <w:sz w:val="24"/>
              </w:rPr>
              <w:t>W330mm×D173mm×H44mm；</w:t>
            </w:r>
            <w:r>
              <w:rPr>
                <w:sz w:val="24"/>
              </w:rPr>
              <w:br w:type="textWrapping" w:clear="all"/>
            </w:r>
            <w:r>
              <w:rPr>
                <w:rFonts w:hint="eastAsia"/>
                <w:sz w:val="24"/>
              </w:rPr>
              <w:t>（2）</w:t>
            </w:r>
            <w:r>
              <w:rPr>
                <w:sz w:val="24"/>
              </w:rPr>
              <w:t>LAN GE接口×1</w:t>
            </w:r>
            <w:r>
              <w:rPr>
                <w:rFonts w:hint="eastAsia"/>
                <w:sz w:val="24"/>
              </w:rPr>
              <w:t>，</w:t>
            </w:r>
            <w:r>
              <w:rPr>
                <w:sz w:val="24"/>
              </w:rPr>
              <w:t>LAN/WAN接口GE×2+2.5GE×1</w:t>
            </w:r>
            <w:r>
              <w:rPr>
                <w:rFonts w:hint="eastAsia"/>
                <w:sz w:val="24"/>
              </w:rPr>
              <w:t>，</w:t>
            </w:r>
            <w:r>
              <w:rPr>
                <w:sz w:val="24"/>
              </w:rPr>
              <w:t>WAN接口GE×1；</w:t>
            </w:r>
            <w:r>
              <w:rPr>
                <w:sz w:val="24"/>
              </w:rPr>
              <w:br w:type="textWrapping" w:clear="all"/>
            </w:r>
            <w:r>
              <w:rPr>
                <w:rFonts w:hint="eastAsia"/>
                <w:sz w:val="24"/>
              </w:rPr>
              <w:t>（3）</w:t>
            </w:r>
            <w:r>
              <w:rPr>
                <w:sz w:val="24"/>
              </w:rPr>
              <w:t>无线速率5400Mbps；</w:t>
            </w:r>
            <w:r>
              <w:rPr>
                <w:sz w:val="24"/>
              </w:rPr>
              <w:br w:type="textWrapping" w:clear="all"/>
            </w:r>
            <w:r>
              <w:rPr>
                <w:rFonts w:hint="eastAsia"/>
                <w:sz w:val="24"/>
              </w:rPr>
              <w:t>（4）</w:t>
            </w:r>
            <w:r>
              <w:rPr>
                <w:sz w:val="24"/>
              </w:rPr>
              <w:t>外置6根5dBi增益全向天线；</w:t>
            </w:r>
            <w:r>
              <w:rPr>
                <w:sz w:val="24"/>
              </w:rPr>
              <w:br w:type="textWrapping" w:clear="all"/>
            </w:r>
            <w:r>
              <w:rPr>
                <w:rFonts w:hint="eastAsia"/>
                <w:sz w:val="24"/>
              </w:rPr>
              <w:t>（5）工作</w:t>
            </w:r>
            <w:r>
              <w:rPr>
                <w:sz w:val="24"/>
              </w:rPr>
              <w:t>电源100</w:t>
            </w:r>
            <w:r>
              <w:rPr>
                <w:rFonts w:hint="eastAsia"/>
                <w:sz w:val="24"/>
              </w:rPr>
              <w:t>-</w:t>
            </w:r>
            <w:r>
              <w:rPr>
                <w:sz w:val="24"/>
              </w:rPr>
              <w:t>240V</w:t>
            </w:r>
            <w:r>
              <w:rPr>
                <w:rFonts w:hint="eastAsia"/>
                <w:sz w:val="24"/>
              </w:rPr>
              <w:t>/</w:t>
            </w:r>
            <w:r>
              <w:rPr>
                <w:sz w:val="24"/>
              </w:rPr>
              <w:t>AC；</w:t>
            </w:r>
            <w:r>
              <w:rPr>
                <w:sz w:val="24"/>
              </w:rPr>
              <w:br w:type="textWrapping" w:clear="all"/>
            </w:r>
            <w:r>
              <w:rPr>
                <w:rFonts w:hint="eastAsia"/>
                <w:sz w:val="24"/>
              </w:rPr>
              <w:t>（6）</w:t>
            </w:r>
            <w:r>
              <w:rPr>
                <w:sz w:val="24"/>
              </w:rPr>
              <w:t>无风扇自然散热；</w:t>
            </w:r>
            <w:r>
              <w:rPr>
                <w:sz w:val="24"/>
              </w:rPr>
              <w:br w:type="textWrapping" w:clear="all"/>
            </w:r>
            <w:r>
              <w:rPr>
                <w:rFonts w:hint="eastAsia"/>
                <w:sz w:val="24"/>
              </w:rPr>
              <w:t>（7）</w:t>
            </w:r>
            <w:r>
              <w:rPr>
                <w:sz w:val="24"/>
              </w:rPr>
              <w:t>整机功耗≤25W；</w:t>
            </w:r>
            <w:r>
              <w:rPr>
                <w:sz w:val="24"/>
              </w:rPr>
              <w:br w:type="textWrapping" w:clear="all"/>
            </w:r>
            <w:r>
              <w:rPr>
                <w:rFonts w:hint="eastAsia"/>
                <w:sz w:val="24"/>
              </w:rPr>
              <w:t>（8）</w:t>
            </w:r>
            <w:r>
              <w:rPr>
                <w:sz w:val="24"/>
              </w:rPr>
              <w:t>支持LAN/WAN切换，支持多WAN口负载均衡；</w:t>
            </w:r>
            <w:r>
              <w:rPr>
                <w:sz w:val="24"/>
              </w:rPr>
              <w:br w:type="textWrapping" w:clear="all"/>
            </w:r>
            <w:r>
              <w:rPr>
                <w:rFonts w:hint="eastAsia"/>
                <w:sz w:val="24"/>
              </w:rPr>
              <w:t>（9）</w:t>
            </w:r>
            <w:r>
              <w:rPr>
                <w:sz w:val="24"/>
              </w:rPr>
              <w:t>支持多SSID，SSID个数10个；</w:t>
            </w:r>
            <w:r>
              <w:rPr>
                <w:sz w:val="24"/>
              </w:rPr>
              <w:br w:type="textWrapping" w:clear="all"/>
            </w:r>
            <w:r>
              <w:rPr>
                <w:rFonts w:hint="eastAsia"/>
                <w:sz w:val="24"/>
              </w:rPr>
              <w:t>（10）</w:t>
            </w:r>
            <w:r>
              <w:rPr>
                <w:sz w:val="24"/>
              </w:rPr>
              <w:t>支持HT20/HT40/HT80/HT160模式；</w:t>
            </w:r>
            <w:r>
              <w:rPr>
                <w:sz w:val="24"/>
              </w:rPr>
              <w:br w:type="textWrapping" w:clear="all"/>
            </w:r>
            <w:r>
              <w:rPr>
                <w:rFonts w:hint="eastAsia"/>
                <w:sz w:val="24"/>
              </w:rPr>
              <w:t>（11）</w:t>
            </w:r>
            <w:r>
              <w:rPr>
                <w:sz w:val="24"/>
              </w:rPr>
              <w:t>支持自动信道选择或手动信道选择；支持接入用户数限制；</w:t>
            </w:r>
            <w:r>
              <w:rPr>
                <w:sz w:val="24"/>
              </w:rPr>
              <w:br w:type="textWrapping" w:clear="all"/>
            </w:r>
            <w:r>
              <w:rPr>
                <w:rFonts w:hint="eastAsia"/>
                <w:sz w:val="24"/>
              </w:rPr>
              <w:t>（12）</w:t>
            </w:r>
            <w:r>
              <w:rPr>
                <w:sz w:val="24"/>
              </w:rPr>
              <w:t>支持客户端隔离；支持SSID广播开启或关闭；</w:t>
            </w:r>
            <w:r>
              <w:rPr>
                <w:sz w:val="24"/>
              </w:rPr>
              <w:br w:type="textWrapping" w:clear="all"/>
            </w:r>
            <w:r>
              <w:rPr>
                <w:rFonts w:hint="eastAsia"/>
                <w:sz w:val="24"/>
              </w:rPr>
              <w:t>（13）</w:t>
            </w:r>
            <w:r>
              <w:rPr>
                <w:sz w:val="24"/>
              </w:rPr>
              <w:t>支持多种加密方式（不加密、WPA、WPA</w:t>
            </w:r>
            <w:r>
              <w:rPr>
                <w:rFonts w:hint="eastAsia"/>
                <w:sz w:val="24"/>
              </w:rPr>
              <w:t>、</w:t>
            </w:r>
            <w:r>
              <w:rPr>
                <w:sz w:val="24"/>
              </w:rPr>
              <w:t>WPA3）；</w:t>
            </w:r>
            <w:r>
              <w:rPr>
                <w:sz w:val="24"/>
              </w:rPr>
              <w:br w:type="textWrapping" w:clear="all"/>
            </w:r>
            <w:r>
              <w:rPr>
                <w:rFonts w:hint="eastAsia"/>
                <w:sz w:val="24"/>
              </w:rPr>
              <w:t>（14）</w:t>
            </w:r>
            <w:r>
              <w:rPr>
                <w:sz w:val="24"/>
              </w:rPr>
              <w:t>支持无线MAC接入控制（白名单、黑名单）；</w:t>
            </w:r>
            <w:r>
              <w:rPr>
                <w:sz w:val="24"/>
              </w:rPr>
              <w:br w:type="textWrapping" w:clear="all"/>
            </w:r>
            <w:r>
              <w:rPr>
                <w:rFonts w:hint="eastAsia"/>
                <w:sz w:val="24"/>
              </w:rPr>
              <w:t>（15）</w:t>
            </w:r>
            <w:r>
              <w:rPr>
                <w:sz w:val="24"/>
              </w:rPr>
              <w:t>支持按百分比设置无线发射功率；</w:t>
            </w:r>
            <w:r>
              <w:rPr>
                <w:sz w:val="24"/>
              </w:rPr>
              <w:br w:type="textWrapping" w:clear="all"/>
            </w:r>
            <w:r>
              <w:rPr>
                <w:rFonts w:hint="eastAsia"/>
                <w:sz w:val="24"/>
              </w:rPr>
              <w:t>（16）</w:t>
            </w:r>
            <w:r>
              <w:rPr>
                <w:sz w:val="24"/>
              </w:rPr>
              <w:t>支持无线接入客户列表显示；</w:t>
            </w:r>
            <w:r>
              <w:rPr>
                <w:sz w:val="24"/>
              </w:rPr>
              <w:br w:type="textWrapping" w:clear="all"/>
            </w:r>
            <w:r>
              <w:rPr>
                <w:rFonts w:hint="eastAsia"/>
                <w:sz w:val="24"/>
              </w:rPr>
              <w:t>（17）</w:t>
            </w:r>
            <w:r>
              <w:rPr>
                <w:sz w:val="24"/>
              </w:rPr>
              <w:t>支持SSID和VLAN绑定；</w:t>
            </w:r>
            <w:r>
              <w:rPr>
                <w:sz w:val="24"/>
              </w:rPr>
              <w:br w:type="textWrapping" w:clear="all"/>
            </w:r>
            <w:r>
              <w:rPr>
                <w:rFonts w:hint="eastAsia"/>
                <w:sz w:val="24"/>
              </w:rPr>
              <w:t>（18）</w:t>
            </w:r>
            <w:r>
              <w:rPr>
                <w:sz w:val="24"/>
              </w:rPr>
              <w:t>支持广播探测功能；</w:t>
            </w:r>
            <w:r>
              <w:rPr>
                <w:sz w:val="24"/>
              </w:rPr>
              <w:br w:type="textWrapping" w:clear="all"/>
            </w:r>
            <w:r>
              <w:rPr>
                <w:rFonts w:hint="eastAsia"/>
                <w:sz w:val="24"/>
              </w:rPr>
              <w:t>（19）</w:t>
            </w:r>
            <w:r>
              <w:rPr>
                <w:sz w:val="24"/>
              </w:rPr>
              <w:t>支持中文SSID（支持UTF-8、GB2312两种编码格式）</w:t>
            </w:r>
            <w:r>
              <w:rPr>
                <w:rFonts w:hint="eastAsia"/>
                <w:sz w:val="24"/>
              </w:rPr>
              <w:t>。</w:t>
            </w:r>
          </w:p>
        </w:tc>
        <w:tc>
          <w:tcPr>
            <w:tcW w:w="1134" w:type="dxa"/>
            <w:gridSpan w:val="2"/>
            <w:tcBorders>
              <w:top w:val="single" w:color="auto" w:sz="4" w:space="0"/>
              <w:left w:val="single" w:color="auto" w:sz="4" w:space="0"/>
              <w:bottom w:val="single" w:color="auto" w:sz="4" w:space="0"/>
              <w:right w:val="single" w:color="auto" w:sz="4" w:space="0"/>
            </w:tcBorders>
            <w:vAlign w:val="center"/>
          </w:tcPr>
          <w:p w14:paraId="797FA950">
            <w:pPr>
              <w:widowControl/>
              <w:wordWrap w:val="0"/>
              <w:jc w:val="center"/>
              <w:rPr>
                <w:rFonts w:ascii="宋体" w:hAnsi="宋体" w:cs="宋体"/>
                <w:sz w:val="24"/>
              </w:rPr>
            </w:pPr>
            <w:r>
              <w:rPr>
                <w:rFonts w:hint="eastAsia"/>
                <w:sz w:val="24"/>
              </w:rPr>
              <w:t>80000</w:t>
            </w:r>
          </w:p>
        </w:tc>
      </w:tr>
      <w:tr w14:paraId="063E6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8490" w:type="dxa"/>
            <w:gridSpan w:val="6"/>
            <w:tcBorders>
              <w:top w:val="single" w:color="auto" w:sz="4" w:space="0"/>
              <w:left w:val="single" w:color="auto" w:sz="4" w:space="0"/>
              <w:bottom w:val="single" w:color="auto" w:sz="4" w:space="0"/>
              <w:right w:val="single" w:color="auto" w:sz="4" w:space="0"/>
            </w:tcBorders>
            <w:vAlign w:val="center"/>
          </w:tcPr>
          <w:p w14:paraId="693CFDE7">
            <w:pPr>
              <w:widowControl/>
              <w:wordWrap w:val="0"/>
              <w:spacing w:line="360" w:lineRule="auto"/>
              <w:jc w:val="center"/>
              <w:rPr>
                <w:rFonts w:ascii="宋体" w:hAnsi="宋体" w:cs="宋体"/>
                <w:sz w:val="24"/>
              </w:rPr>
            </w:pPr>
            <w:r>
              <w:rPr>
                <w:rFonts w:hint="eastAsia" w:ascii="宋体" w:hAnsi="宋体" w:cs="宋体"/>
                <w:sz w:val="24"/>
              </w:rPr>
              <w:t>合  计</w:t>
            </w:r>
          </w:p>
        </w:tc>
        <w:tc>
          <w:tcPr>
            <w:tcW w:w="1134" w:type="dxa"/>
            <w:gridSpan w:val="2"/>
            <w:tcBorders>
              <w:top w:val="single" w:color="auto" w:sz="4" w:space="0"/>
              <w:left w:val="single" w:color="auto" w:sz="4" w:space="0"/>
              <w:bottom w:val="single" w:color="auto" w:sz="4" w:space="0"/>
              <w:right w:val="single" w:color="auto" w:sz="4" w:space="0"/>
            </w:tcBorders>
            <w:vAlign w:val="center"/>
          </w:tcPr>
          <w:p w14:paraId="062BAA6A">
            <w:pPr>
              <w:widowControl/>
              <w:wordWrap w:val="0"/>
              <w:jc w:val="right"/>
              <w:rPr>
                <w:rFonts w:ascii="宋体" w:hAnsi="宋体" w:cs="宋体"/>
                <w:sz w:val="24"/>
              </w:rPr>
            </w:pPr>
            <w:r>
              <w:rPr>
                <w:rFonts w:hint="eastAsia" w:ascii="宋体" w:hAnsi="宋体" w:cs="宋体"/>
                <w:sz w:val="24"/>
                <w:lang w:bidi="ar"/>
              </w:rPr>
              <w:t>1910000</w:t>
            </w:r>
          </w:p>
        </w:tc>
      </w:tr>
      <w:tr w14:paraId="39A13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710" w:type="dxa"/>
            <w:gridSpan w:val="2"/>
            <w:tcBorders>
              <w:top w:val="single" w:color="auto" w:sz="4" w:space="0"/>
              <w:left w:val="single" w:color="auto" w:sz="4" w:space="0"/>
              <w:bottom w:val="single" w:color="auto" w:sz="4" w:space="0"/>
              <w:right w:val="single" w:color="auto" w:sz="4" w:space="0"/>
            </w:tcBorders>
            <w:vAlign w:val="center"/>
          </w:tcPr>
          <w:p w14:paraId="548E00ED">
            <w:pPr>
              <w:widowControl/>
              <w:wordWrap w:val="0"/>
              <w:jc w:val="center"/>
              <w:rPr>
                <w:rFonts w:ascii="宋体" w:hAnsi="宋体" w:cs="宋体"/>
                <w:sz w:val="24"/>
                <w:lang w:bidi="ar"/>
              </w:rPr>
            </w:pPr>
            <w:r>
              <w:rPr>
                <w:rFonts w:hint="eastAsia" w:ascii="宋体" w:hAnsi="宋体" w:cs="宋体"/>
                <w:sz w:val="24"/>
                <w:lang w:bidi="ar"/>
              </w:rPr>
              <w:t>商</w:t>
            </w:r>
          </w:p>
          <w:p w14:paraId="7DD24AFB">
            <w:pPr>
              <w:widowControl/>
              <w:wordWrap w:val="0"/>
              <w:jc w:val="center"/>
              <w:rPr>
                <w:rFonts w:ascii="宋体" w:hAnsi="宋体" w:cs="宋体"/>
                <w:sz w:val="24"/>
                <w:lang w:bidi="ar"/>
              </w:rPr>
            </w:pPr>
            <w:r>
              <w:rPr>
                <w:rFonts w:hint="eastAsia" w:ascii="宋体" w:hAnsi="宋体" w:cs="宋体"/>
                <w:sz w:val="24"/>
                <w:lang w:bidi="ar"/>
              </w:rPr>
              <w:t>务</w:t>
            </w:r>
          </w:p>
          <w:p w14:paraId="265B703B">
            <w:pPr>
              <w:widowControl/>
              <w:wordWrap w:val="0"/>
              <w:jc w:val="center"/>
              <w:rPr>
                <w:rFonts w:ascii="宋体" w:hAnsi="宋体" w:cs="宋体"/>
                <w:sz w:val="24"/>
                <w:lang w:bidi="ar"/>
              </w:rPr>
            </w:pPr>
            <w:r>
              <w:rPr>
                <w:rFonts w:hint="eastAsia" w:ascii="宋体" w:hAnsi="宋体" w:cs="宋体"/>
                <w:sz w:val="24"/>
                <w:lang w:bidi="ar"/>
              </w:rPr>
              <w:t>条</w:t>
            </w:r>
          </w:p>
          <w:p w14:paraId="17CF9EA2">
            <w:pPr>
              <w:widowControl/>
              <w:wordWrap w:val="0"/>
              <w:jc w:val="center"/>
              <w:rPr>
                <w:rFonts w:ascii="宋体" w:hAnsi="宋体" w:cs="宋体"/>
                <w:sz w:val="24"/>
                <w:lang w:bidi="ar"/>
              </w:rPr>
            </w:pPr>
            <w:r>
              <w:rPr>
                <w:rFonts w:hint="eastAsia" w:ascii="宋体" w:hAnsi="宋体" w:cs="宋体"/>
                <w:sz w:val="24"/>
                <w:lang w:bidi="ar"/>
              </w:rPr>
              <w:t>款</w:t>
            </w:r>
          </w:p>
        </w:tc>
        <w:tc>
          <w:tcPr>
            <w:tcW w:w="8914" w:type="dxa"/>
            <w:gridSpan w:val="6"/>
            <w:tcBorders>
              <w:top w:val="single" w:color="auto" w:sz="4" w:space="0"/>
              <w:left w:val="single" w:color="auto" w:sz="4" w:space="0"/>
              <w:bottom w:val="single" w:color="auto" w:sz="4" w:space="0"/>
              <w:right w:val="single" w:color="auto" w:sz="4" w:space="0"/>
            </w:tcBorders>
            <w:vAlign w:val="center"/>
          </w:tcPr>
          <w:p w14:paraId="5C98F1A9">
            <w:pPr>
              <w:wordWrap w:val="0"/>
              <w:spacing w:line="360" w:lineRule="auto"/>
              <w:rPr>
                <w:rFonts w:ascii="宋体" w:hAnsi="宋体" w:cs="宋体"/>
                <w:sz w:val="24"/>
              </w:rPr>
            </w:pPr>
            <w:r>
              <w:rPr>
                <w:rFonts w:hint="eastAsia" w:ascii="宋体" w:hAnsi="宋体" w:cs="宋体"/>
                <w:sz w:val="24"/>
              </w:rPr>
              <w:t>一、合同签订期：自成交通知书发出之日起25日内。</w:t>
            </w:r>
          </w:p>
          <w:p w14:paraId="60D10179">
            <w:pPr>
              <w:wordWrap w:val="0"/>
              <w:spacing w:line="360" w:lineRule="auto"/>
              <w:rPr>
                <w:rFonts w:ascii="宋体" w:hAnsi="宋体" w:cs="宋体"/>
                <w:sz w:val="24"/>
              </w:rPr>
            </w:pPr>
            <w:r>
              <w:rPr>
                <w:rFonts w:hint="eastAsia" w:ascii="宋体" w:hAnsi="宋体" w:cs="宋体"/>
                <w:sz w:val="24"/>
              </w:rPr>
              <w:t>二、交付时间及地点：</w:t>
            </w:r>
          </w:p>
          <w:p w14:paraId="5A652868">
            <w:pPr>
              <w:wordWrap w:val="0"/>
              <w:spacing w:line="360" w:lineRule="auto"/>
              <w:rPr>
                <w:rFonts w:ascii="宋体" w:hAnsi="宋体" w:cs="宋体"/>
                <w:sz w:val="24"/>
              </w:rPr>
            </w:pPr>
            <w:r>
              <w:rPr>
                <w:rFonts w:hint="eastAsia" w:ascii="宋体" w:hAnsi="宋体" w:cs="宋体"/>
                <w:sz w:val="24"/>
              </w:rPr>
              <w:t>交付时间：自合同签订之日起30日内完成交货及安装、调试运行。</w:t>
            </w:r>
          </w:p>
          <w:p w14:paraId="10D6B907">
            <w:pPr>
              <w:wordWrap w:val="0"/>
              <w:spacing w:line="360" w:lineRule="auto"/>
              <w:rPr>
                <w:rFonts w:ascii="宋体" w:hAnsi="宋体" w:cs="宋体"/>
                <w:sz w:val="24"/>
              </w:rPr>
            </w:pPr>
            <w:r>
              <w:rPr>
                <w:rFonts w:hint="eastAsia" w:ascii="宋体" w:hAnsi="宋体" w:cs="宋体"/>
                <w:sz w:val="24"/>
              </w:rPr>
              <w:t>交付地点：广西南宁技师学院指定地点。</w:t>
            </w:r>
          </w:p>
          <w:p w14:paraId="3DBAE320">
            <w:pPr>
              <w:wordWrap w:val="0"/>
              <w:spacing w:line="360" w:lineRule="auto"/>
              <w:rPr>
                <w:rFonts w:ascii="宋体" w:hAnsi="宋体" w:cs="宋体"/>
                <w:sz w:val="24"/>
              </w:rPr>
            </w:pPr>
            <w:r>
              <w:rPr>
                <w:rFonts w:hint="eastAsia" w:ascii="宋体" w:hAnsi="宋体" w:cs="宋体"/>
                <w:sz w:val="24"/>
              </w:rPr>
              <w:t>三、售后服务要求</w:t>
            </w:r>
          </w:p>
          <w:p w14:paraId="7EC9CC78">
            <w:pPr>
              <w:wordWrap w:val="0"/>
              <w:spacing w:line="360" w:lineRule="auto"/>
              <w:rPr>
                <w:rFonts w:ascii="宋体" w:hAnsi="宋体" w:cs="宋体"/>
                <w:sz w:val="24"/>
              </w:rPr>
            </w:pPr>
            <w:r>
              <w:rPr>
                <w:rFonts w:hint="eastAsia" w:ascii="宋体" w:hAnsi="宋体" w:cs="宋体"/>
                <w:sz w:val="24"/>
              </w:rPr>
              <w:t>1、负责送货上门并安装调试合格，按国家有关规定实行“三包”，负责定期回访及维护。</w:t>
            </w:r>
          </w:p>
          <w:p w14:paraId="61A6B449">
            <w:pPr>
              <w:wordWrap w:val="0"/>
              <w:spacing w:line="360" w:lineRule="auto"/>
              <w:rPr>
                <w:rFonts w:ascii="宋体" w:hAnsi="宋体" w:cs="宋体"/>
                <w:sz w:val="24"/>
              </w:rPr>
            </w:pPr>
            <w:r>
              <w:rPr>
                <w:rFonts w:hint="eastAsia" w:ascii="宋体" w:hAnsi="宋体" w:cs="宋体"/>
                <w:szCs w:val="21"/>
              </w:rPr>
              <w:t>▲</w:t>
            </w:r>
            <w:r>
              <w:rPr>
                <w:rFonts w:hint="eastAsia" w:ascii="宋体" w:hAnsi="宋体" w:cs="宋体"/>
                <w:sz w:val="24"/>
              </w:rPr>
              <w:t>2、质保期：自验收合格之日起2年。</w:t>
            </w:r>
          </w:p>
          <w:p w14:paraId="71AE7D3E">
            <w:pPr>
              <w:wordWrap w:val="0"/>
              <w:spacing w:line="360" w:lineRule="auto"/>
              <w:rPr>
                <w:rFonts w:ascii="宋体" w:hAnsi="宋体" w:cs="宋体"/>
                <w:sz w:val="24"/>
              </w:rPr>
            </w:pPr>
            <w:r>
              <w:rPr>
                <w:rFonts w:hint="eastAsia" w:ascii="宋体" w:hAnsi="宋体" w:cs="宋体"/>
                <w:sz w:val="24"/>
              </w:rPr>
              <w:t>质保为整机（整台、整套）及软件，质保期内保证设备的合法性使用，国家强制检测由供应商负责，质保期内的质量责任由成交供应商承担；由于设备质量造成的安全事故由成交供应商承担；质保期内货物故障后成交供应商承诺负责更换新件（费用含在报价内）。</w:t>
            </w:r>
          </w:p>
          <w:p w14:paraId="4E0F0CE4">
            <w:pPr>
              <w:wordWrap w:val="0"/>
              <w:spacing w:line="360" w:lineRule="auto"/>
              <w:rPr>
                <w:rFonts w:ascii="宋体" w:hAnsi="宋体" w:cs="宋体"/>
                <w:sz w:val="24"/>
              </w:rPr>
            </w:pPr>
            <w:r>
              <w:rPr>
                <w:rFonts w:hint="eastAsia" w:ascii="宋体" w:hAnsi="宋体" w:cs="宋体"/>
                <w:szCs w:val="21"/>
              </w:rPr>
              <w:t>▲</w:t>
            </w:r>
            <w:r>
              <w:rPr>
                <w:rFonts w:hint="eastAsia" w:ascii="宋体" w:hAnsi="宋体" w:cs="宋体"/>
                <w:sz w:val="24"/>
              </w:rPr>
              <w:t>3、服务响应时间：7×24小时提供服务。电话报修要求2小时内响应，12个小时内排除故障。</w:t>
            </w:r>
          </w:p>
          <w:p w14:paraId="55C628AA">
            <w:pPr>
              <w:wordWrap w:val="0"/>
              <w:spacing w:line="360" w:lineRule="auto"/>
              <w:rPr>
                <w:rFonts w:ascii="宋体" w:hAnsi="宋体" w:cs="宋体"/>
                <w:sz w:val="24"/>
              </w:rPr>
            </w:pPr>
            <w:r>
              <w:rPr>
                <w:rFonts w:hint="eastAsia" w:ascii="宋体" w:hAnsi="宋体" w:cs="宋体"/>
                <w:szCs w:val="21"/>
              </w:rPr>
              <w:t>▲</w:t>
            </w:r>
            <w:r>
              <w:rPr>
                <w:rFonts w:hint="eastAsia" w:ascii="宋体" w:hAnsi="宋体" w:cs="宋体"/>
                <w:sz w:val="24"/>
              </w:rPr>
              <w:t>4、备品备件要求：维修设备时更换问题部件，并负责备件的运输，具体包括：</w:t>
            </w:r>
          </w:p>
          <w:p w14:paraId="1CAFA814">
            <w:pPr>
              <w:wordWrap w:val="0"/>
              <w:spacing w:line="360" w:lineRule="auto"/>
              <w:rPr>
                <w:rFonts w:ascii="宋体" w:hAnsi="宋体" w:cs="宋体"/>
                <w:sz w:val="24"/>
              </w:rPr>
            </w:pPr>
            <w:r>
              <w:rPr>
                <w:rFonts w:hint="eastAsia" w:ascii="宋体" w:hAnsi="宋体" w:cs="宋体"/>
                <w:sz w:val="24"/>
              </w:rPr>
              <w:t>（1）提供保修所需的备件供应要及时、充足。</w:t>
            </w:r>
          </w:p>
          <w:p w14:paraId="7149A0A0">
            <w:pPr>
              <w:wordWrap w:val="0"/>
              <w:spacing w:line="360" w:lineRule="auto"/>
              <w:rPr>
                <w:rFonts w:ascii="宋体" w:hAnsi="宋体" w:cs="宋体"/>
                <w:sz w:val="24"/>
              </w:rPr>
            </w:pPr>
            <w:r>
              <w:rPr>
                <w:rFonts w:hint="eastAsia" w:ascii="宋体" w:hAnsi="宋体" w:cs="宋体"/>
                <w:sz w:val="24"/>
              </w:rPr>
              <w:t>（2）备件必须是原厂提供的未拆封原装备件。</w:t>
            </w:r>
          </w:p>
          <w:p w14:paraId="1A0715A4">
            <w:pPr>
              <w:wordWrap w:val="0"/>
              <w:spacing w:line="360" w:lineRule="auto"/>
              <w:rPr>
                <w:rFonts w:ascii="宋体" w:hAnsi="宋体" w:cs="宋体"/>
                <w:sz w:val="24"/>
              </w:rPr>
            </w:pPr>
            <w:r>
              <w:rPr>
                <w:rFonts w:hint="eastAsia" w:ascii="宋体" w:hAnsi="宋体" w:cs="宋体"/>
                <w:szCs w:val="21"/>
              </w:rPr>
              <w:t>▲</w:t>
            </w:r>
            <w:r>
              <w:rPr>
                <w:rFonts w:hint="eastAsia" w:ascii="宋体" w:hAnsi="宋体" w:cs="宋体"/>
                <w:sz w:val="24"/>
              </w:rPr>
              <w:t>5、设备安装调试及技术培训：供应商协助进行安装前的准备工作。到货后，供应商安排工程师免费安装。设备安装后，供应商安装工程师为采购人提供为期7天现场培训，培训内容包括：基本原理、结构、操作、软件使用、数据处理、维护保养及简单故障排除，保证采购人的使用人员能正确操作设备，熟练使用设备的各种功能。</w:t>
            </w:r>
          </w:p>
          <w:p w14:paraId="62A1D88A">
            <w:pPr>
              <w:wordWrap w:val="0"/>
              <w:spacing w:line="360" w:lineRule="auto"/>
              <w:rPr>
                <w:rFonts w:ascii="宋体" w:hAnsi="宋体" w:cs="宋体"/>
                <w:sz w:val="24"/>
              </w:rPr>
            </w:pPr>
            <w:r>
              <w:rPr>
                <w:rFonts w:hint="eastAsia" w:ascii="宋体" w:hAnsi="宋体" w:cs="宋体"/>
                <w:sz w:val="24"/>
              </w:rPr>
              <w:t>6、在正常安装、使用过程中，凡是因产品质量问题所造成采购人损失的，成交供应商负责赔偿采购人的一切经济损失。</w:t>
            </w:r>
          </w:p>
          <w:p w14:paraId="195B9A67">
            <w:pPr>
              <w:wordWrap w:val="0"/>
              <w:spacing w:line="360" w:lineRule="auto"/>
              <w:rPr>
                <w:rFonts w:ascii="宋体" w:hAnsi="宋体" w:cs="宋体"/>
                <w:sz w:val="24"/>
              </w:rPr>
            </w:pPr>
            <w:r>
              <w:rPr>
                <w:rFonts w:hint="eastAsia" w:ascii="宋体" w:hAnsi="宋体" w:cs="宋体"/>
                <w:sz w:val="24"/>
              </w:rPr>
              <w:t>7、本政府采购项目现执行的有关政策、法律及法规，如有与国家最新发布的政策、法律及法规相抵触时，供应商必须无条件按照最新规定执行，且造成的损失均由供应商自行承担。</w:t>
            </w:r>
          </w:p>
          <w:p w14:paraId="39A7231C">
            <w:pPr>
              <w:wordWrap w:val="0"/>
              <w:spacing w:line="360" w:lineRule="auto"/>
              <w:rPr>
                <w:rFonts w:ascii="宋体" w:hAnsi="宋体" w:cs="宋体"/>
                <w:sz w:val="24"/>
              </w:rPr>
            </w:pPr>
            <w:r>
              <w:rPr>
                <w:rFonts w:hint="eastAsia" w:ascii="宋体" w:hAnsi="宋体" w:cs="宋体"/>
                <w:sz w:val="24"/>
              </w:rPr>
              <w:t>8、其余按厂家承诺进行。</w:t>
            </w:r>
          </w:p>
          <w:p w14:paraId="2CF0A65C">
            <w:pPr>
              <w:wordWrap w:val="0"/>
              <w:spacing w:line="360" w:lineRule="auto"/>
              <w:rPr>
                <w:rFonts w:ascii="宋体" w:hAnsi="宋体" w:cs="宋体"/>
                <w:sz w:val="24"/>
              </w:rPr>
            </w:pPr>
            <w:r>
              <w:rPr>
                <w:rFonts w:hint="eastAsia" w:ascii="宋体" w:hAnsi="宋体" w:cs="宋体"/>
                <w:sz w:val="24"/>
              </w:rPr>
              <w:t>四、付款方式</w:t>
            </w:r>
            <w:r>
              <w:rPr>
                <w:rFonts w:hint="eastAsia" w:ascii="宋体" w:hAnsi="宋体" w:cs="宋体"/>
                <w:sz w:val="24"/>
              </w:rPr>
              <w:tab/>
            </w:r>
          </w:p>
          <w:p w14:paraId="6561C70B">
            <w:pPr>
              <w:wordWrap w:val="0"/>
              <w:spacing w:line="360" w:lineRule="auto"/>
              <w:rPr>
                <w:rFonts w:ascii="宋体" w:hAnsi="宋体" w:cs="宋体"/>
                <w:sz w:val="24"/>
              </w:rPr>
            </w:pPr>
            <w:r>
              <w:rPr>
                <w:rFonts w:hint="eastAsia" w:ascii="宋体" w:hAnsi="宋体" w:cs="宋体"/>
                <w:sz w:val="24"/>
              </w:rPr>
              <w:t>本项目无预付款，货物经采购人书面验收合格后，成交供应商将发票交采购人向南宁市财政局提交用款申请批复后支付合同款。鉴于本合同款项系使用财政资金支付，采购人在验收合格后向财政部门申请付款，既视为采购人已履行支付义务，具体付款时间以财政部门批复并支付为准。</w:t>
            </w:r>
          </w:p>
          <w:p w14:paraId="144018F1">
            <w:pPr>
              <w:wordWrap w:val="0"/>
              <w:spacing w:line="360" w:lineRule="auto"/>
              <w:rPr>
                <w:rFonts w:ascii="宋体" w:hAnsi="宋体" w:cs="宋体"/>
                <w:sz w:val="24"/>
              </w:rPr>
            </w:pPr>
            <w:r>
              <w:rPr>
                <w:rFonts w:hint="eastAsia" w:ascii="宋体" w:hAnsi="宋体" w:cs="宋体"/>
                <w:sz w:val="24"/>
              </w:rPr>
              <w:t>五、报价要求</w:t>
            </w:r>
          </w:p>
          <w:p w14:paraId="1691CB78">
            <w:pPr>
              <w:wordWrap w:val="0"/>
              <w:spacing w:line="360" w:lineRule="auto"/>
              <w:rPr>
                <w:rFonts w:ascii="宋体" w:hAnsi="宋体" w:cs="宋体"/>
                <w:sz w:val="24"/>
              </w:rPr>
            </w:pPr>
            <w:r>
              <w:rPr>
                <w:rFonts w:hint="eastAsia" w:ascii="宋体" w:hAnsi="宋体" w:cs="宋体"/>
                <w:sz w:val="24"/>
              </w:rPr>
              <w:t>1、报价必须含以下部分，包括：</w:t>
            </w:r>
          </w:p>
          <w:p w14:paraId="67908C22">
            <w:pPr>
              <w:wordWrap w:val="0"/>
              <w:spacing w:line="360" w:lineRule="auto"/>
              <w:rPr>
                <w:rFonts w:ascii="宋体" w:hAnsi="宋体" w:cs="宋体"/>
                <w:sz w:val="24"/>
              </w:rPr>
            </w:pPr>
            <w:r>
              <w:rPr>
                <w:rFonts w:hint="eastAsia" w:ascii="宋体" w:hAnsi="宋体" w:cs="宋体"/>
                <w:sz w:val="24"/>
              </w:rPr>
              <w:t>（1）货物的价格；</w:t>
            </w:r>
          </w:p>
          <w:p w14:paraId="246DC858">
            <w:pPr>
              <w:wordWrap w:val="0"/>
              <w:spacing w:line="360" w:lineRule="auto"/>
              <w:rPr>
                <w:rFonts w:ascii="宋体" w:hAnsi="宋体" w:cs="宋体"/>
                <w:sz w:val="24"/>
              </w:rPr>
            </w:pPr>
            <w:r>
              <w:rPr>
                <w:rFonts w:hint="eastAsia" w:ascii="宋体" w:hAnsi="宋体" w:cs="宋体"/>
                <w:sz w:val="24"/>
              </w:rPr>
              <w:t>（2）必要的保险费用和各项税金；</w:t>
            </w:r>
          </w:p>
          <w:p w14:paraId="75B5721D">
            <w:pPr>
              <w:wordWrap w:val="0"/>
              <w:spacing w:line="360" w:lineRule="auto"/>
              <w:rPr>
                <w:rFonts w:ascii="宋体" w:hAnsi="宋体" w:cs="宋体"/>
                <w:sz w:val="24"/>
              </w:rPr>
            </w:pPr>
            <w:r>
              <w:rPr>
                <w:rFonts w:hint="eastAsia" w:ascii="宋体" w:hAnsi="宋体" w:cs="宋体"/>
                <w:sz w:val="24"/>
              </w:rPr>
              <w:t>（3）其他（如运输、装卸、安装、调试、培训、技术支持、售后服务、更新升级等费用）： 包括货款、随配附件、备品备件、专用工具、包装、运输、装卸、保险、运抵指定交货地点、送货上门服务、现场安装调试、保修等各种费用和售后服务、培训、税金及其他所有成本费用的总和。</w:t>
            </w:r>
          </w:p>
          <w:p w14:paraId="67227959">
            <w:pPr>
              <w:wordWrap w:val="0"/>
              <w:spacing w:line="360" w:lineRule="auto"/>
              <w:rPr>
                <w:rFonts w:ascii="宋体" w:hAnsi="宋体" w:cs="宋体"/>
                <w:sz w:val="24"/>
              </w:rPr>
            </w:pPr>
            <w:r>
              <w:rPr>
                <w:rFonts w:hint="eastAsia" w:ascii="宋体" w:hAnsi="宋体" w:cs="宋体"/>
                <w:sz w:val="24"/>
              </w:rPr>
              <w:t>六、验收标准</w:t>
            </w:r>
          </w:p>
          <w:p w14:paraId="338F633C">
            <w:pPr>
              <w:wordWrap w:val="0"/>
              <w:spacing w:line="360" w:lineRule="auto"/>
              <w:rPr>
                <w:rFonts w:ascii="宋体" w:hAnsi="宋体" w:cs="宋体"/>
                <w:sz w:val="24"/>
              </w:rPr>
            </w:pPr>
            <w:r>
              <w:rPr>
                <w:rFonts w:hint="eastAsia" w:ascii="宋体" w:hAnsi="宋体" w:cs="宋体"/>
                <w:sz w:val="24"/>
              </w:rPr>
              <w:t>1、成交供应商向采购人提供的货物必须是全新的原装产品。</w:t>
            </w:r>
          </w:p>
          <w:p w14:paraId="49DD5B8F">
            <w:pPr>
              <w:wordWrap w:val="0"/>
              <w:spacing w:line="360" w:lineRule="auto"/>
              <w:rPr>
                <w:rFonts w:ascii="宋体" w:hAnsi="宋体" w:cs="宋体"/>
                <w:sz w:val="24"/>
              </w:rPr>
            </w:pPr>
            <w:r>
              <w:rPr>
                <w:rFonts w:hint="eastAsia" w:ascii="宋体" w:hAnsi="宋体" w:cs="宋体"/>
                <w:sz w:val="24"/>
              </w:rPr>
              <w:t>2、验收过程中所产生的一切费用均由成交供应商承担，报价时应考虑相关费用。</w:t>
            </w:r>
          </w:p>
          <w:p w14:paraId="09D25C63">
            <w:pPr>
              <w:wordWrap w:val="0"/>
              <w:spacing w:line="360" w:lineRule="auto"/>
              <w:rPr>
                <w:rFonts w:ascii="宋体" w:hAnsi="宋体" w:cs="宋体"/>
                <w:sz w:val="24"/>
              </w:rPr>
            </w:pPr>
            <w:r>
              <w:rPr>
                <w:rFonts w:hint="eastAsia" w:ascii="宋体" w:hAnsi="宋体" w:cs="宋体"/>
                <w:sz w:val="24"/>
              </w:rPr>
              <w:t>3、成交供应商在货物验收时由采购人对照采购文件的功能目标及技术指标全面核对检验，对所有要求出具的证明文件的原件进行核查，如不符合采购文件的技术需求及要求以及提供虚假承诺的，按相关规定做退货处理及违约处理，成交供应商承担所有责任和费用，采购人保留进一步追究责任的权利。</w:t>
            </w:r>
          </w:p>
          <w:p w14:paraId="7D3F25A2">
            <w:pPr>
              <w:wordWrap w:val="0"/>
              <w:spacing w:line="360" w:lineRule="auto"/>
              <w:rPr>
                <w:rFonts w:ascii="宋体" w:hAnsi="宋体" w:cs="宋体"/>
                <w:sz w:val="24"/>
              </w:rPr>
            </w:pPr>
            <w:r>
              <w:rPr>
                <w:rFonts w:hint="eastAsia" w:ascii="宋体" w:hAnsi="宋体" w:cs="宋体"/>
                <w:sz w:val="24"/>
              </w:rPr>
              <w:t>4、本采购文件的相关要求。</w:t>
            </w:r>
          </w:p>
          <w:p w14:paraId="501A15C3">
            <w:pPr>
              <w:wordWrap w:val="0"/>
              <w:spacing w:line="360" w:lineRule="auto"/>
              <w:rPr>
                <w:rFonts w:ascii="宋体" w:hAnsi="宋体" w:cs="宋体"/>
                <w:sz w:val="24"/>
              </w:rPr>
            </w:pPr>
            <w:r>
              <w:rPr>
                <w:rFonts w:hint="eastAsia" w:ascii="宋体" w:hAnsi="宋体" w:cs="宋体"/>
                <w:sz w:val="24"/>
              </w:rPr>
              <w:t>5、国家相关法律、法规、标准和规范等。</w:t>
            </w:r>
          </w:p>
          <w:p w14:paraId="5E3F78BC">
            <w:pPr>
              <w:wordWrap w:val="0"/>
              <w:spacing w:line="360" w:lineRule="auto"/>
              <w:rPr>
                <w:rFonts w:ascii="宋体" w:hAnsi="宋体" w:cs="宋体"/>
                <w:sz w:val="24"/>
              </w:rPr>
            </w:pPr>
            <w:r>
              <w:rPr>
                <w:rFonts w:hint="eastAsia" w:ascii="宋体" w:hAnsi="宋体" w:cs="宋体"/>
                <w:szCs w:val="21"/>
              </w:rPr>
              <w:t>▲</w:t>
            </w:r>
            <w:r>
              <w:rPr>
                <w:rFonts w:hint="eastAsia" w:ascii="宋体" w:hAnsi="宋体" w:cs="宋体"/>
                <w:sz w:val="24"/>
              </w:rPr>
              <w:t>七、培训要求</w:t>
            </w:r>
            <w:r>
              <w:rPr>
                <w:rFonts w:hint="eastAsia" w:ascii="宋体" w:hAnsi="宋体" w:cs="宋体"/>
                <w:sz w:val="24"/>
              </w:rPr>
              <w:tab/>
            </w:r>
          </w:p>
          <w:p w14:paraId="65A86378">
            <w:pPr>
              <w:wordWrap w:val="0"/>
              <w:spacing w:line="360" w:lineRule="auto"/>
              <w:rPr>
                <w:rFonts w:ascii="宋体" w:hAnsi="宋体" w:cs="宋体"/>
                <w:sz w:val="24"/>
              </w:rPr>
            </w:pPr>
            <w:r>
              <w:rPr>
                <w:rFonts w:hint="eastAsia" w:ascii="宋体" w:hAnsi="宋体" w:cs="宋体"/>
                <w:sz w:val="24"/>
              </w:rPr>
              <w:t>本次采购为了提升学校师资水平从而提高教学质量，同时为保证学校老师能正常使用设备，成交供应商需派工程师到校内开展培训（时间由采购人确定），培训人数不少于10人，时间不少于7天。</w:t>
            </w:r>
          </w:p>
        </w:tc>
      </w:tr>
      <w:tr w14:paraId="3C5FE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710" w:type="dxa"/>
            <w:gridSpan w:val="2"/>
            <w:tcBorders>
              <w:top w:val="single" w:color="auto" w:sz="4" w:space="0"/>
              <w:left w:val="single" w:color="auto" w:sz="4" w:space="0"/>
              <w:bottom w:val="single" w:color="auto" w:sz="4" w:space="0"/>
              <w:right w:val="single" w:color="auto" w:sz="4" w:space="0"/>
            </w:tcBorders>
            <w:vAlign w:val="center"/>
          </w:tcPr>
          <w:p w14:paraId="4116EC98">
            <w:pPr>
              <w:wordWrap w:val="0"/>
              <w:spacing w:line="570" w:lineRule="exact"/>
              <w:jc w:val="center"/>
              <w:rPr>
                <w:rFonts w:ascii="宋体" w:hAnsi="宋体"/>
                <w:sz w:val="24"/>
              </w:rPr>
            </w:pPr>
            <w:r>
              <w:rPr>
                <w:rFonts w:hint="eastAsia" w:ascii="宋体" w:hAnsi="宋体"/>
                <w:sz w:val="24"/>
              </w:rPr>
              <w:t>其他说明</w:t>
            </w:r>
          </w:p>
        </w:tc>
        <w:tc>
          <w:tcPr>
            <w:tcW w:w="8914" w:type="dxa"/>
            <w:gridSpan w:val="6"/>
            <w:tcBorders>
              <w:top w:val="single" w:color="auto" w:sz="4" w:space="0"/>
              <w:left w:val="single" w:color="auto" w:sz="4" w:space="0"/>
              <w:bottom w:val="single" w:color="auto" w:sz="4" w:space="0"/>
              <w:right w:val="single" w:color="auto" w:sz="4" w:space="0"/>
            </w:tcBorders>
          </w:tcPr>
          <w:p w14:paraId="7496185D">
            <w:pPr>
              <w:widowControl/>
              <w:shd w:val="clear" w:color="auto" w:fill="FFFFFF"/>
              <w:wordWrap w:val="0"/>
              <w:spacing w:line="570" w:lineRule="exact"/>
              <w:rPr>
                <w:rFonts w:ascii="宋体" w:hAnsi="宋体"/>
                <w:sz w:val="24"/>
              </w:rPr>
            </w:pPr>
            <w:r>
              <w:rPr>
                <w:rFonts w:hint="eastAsia" w:ascii="宋体" w:hAnsi="宋体"/>
                <w:sz w:val="24"/>
              </w:rPr>
              <w:t>一、进口产品说明</w:t>
            </w:r>
          </w:p>
          <w:p w14:paraId="6E47EEBD">
            <w:pPr>
              <w:wordWrap w:val="0"/>
              <w:spacing w:line="570" w:lineRule="exact"/>
              <w:ind w:firstLine="420"/>
              <w:rPr>
                <w:rFonts w:ascii="宋体" w:hAnsi="宋体"/>
                <w:sz w:val="24"/>
              </w:rPr>
            </w:pPr>
            <w:r>
              <w:rPr>
                <w:rFonts w:hint="eastAsia" w:ascii="宋体" w:hAnsi="宋体"/>
                <w:sz w:val="24"/>
              </w:rPr>
              <w:t>□本表的第项货物所涉及的货物已按规定办妥进口产品采购审核手续，投标产品可选用进口产品；但如选用进口产品时必须为全套原装进口产品（即通过中国海关报关验放进入中国境内且产自关境外的产品），同时响应供应商必须负责办理进口产品所有相关手续并承担所有费用。</w:t>
            </w:r>
            <w:r>
              <w:rPr>
                <w:rFonts w:hint="eastAsia" w:ascii="宋体" w:hAnsi="宋体"/>
                <w:b/>
                <w:bCs/>
                <w:sz w:val="24"/>
              </w:rPr>
              <w:t>其他货物不接受进口产品参与</w:t>
            </w:r>
            <w:r>
              <w:rPr>
                <w:rFonts w:hint="eastAsia" w:ascii="宋体" w:hAnsi="宋体"/>
                <w:b/>
                <w:sz w:val="24"/>
              </w:rPr>
              <w:t>竞</w:t>
            </w:r>
            <w:r>
              <w:rPr>
                <w:rFonts w:hint="eastAsia" w:ascii="宋体" w:hAnsi="宋体"/>
                <w:b/>
                <w:bCs/>
                <w:sz w:val="24"/>
              </w:rPr>
              <w:t>标</w:t>
            </w:r>
            <w:r>
              <w:rPr>
                <w:rFonts w:hint="eastAsia" w:ascii="宋体" w:hAnsi="宋体"/>
                <w:sz w:val="24"/>
              </w:rPr>
              <w:t>，</w:t>
            </w:r>
            <w:r>
              <w:rPr>
                <w:rFonts w:hint="eastAsia" w:ascii="宋体" w:hAnsi="宋体"/>
                <w:b/>
                <w:sz w:val="24"/>
              </w:rPr>
              <w:t>否则响应文件按无效处理。</w:t>
            </w:r>
          </w:p>
          <w:p w14:paraId="47381E34">
            <w:pPr>
              <w:tabs>
                <w:tab w:val="left" w:pos="180"/>
                <w:tab w:val="left" w:pos="1620"/>
              </w:tabs>
              <w:wordWrap w:val="0"/>
              <w:spacing w:line="570" w:lineRule="exact"/>
              <w:ind w:firstLine="420"/>
              <w:rPr>
                <w:rFonts w:ascii="宋体" w:hAnsi="宋体"/>
                <w:sz w:val="24"/>
              </w:rPr>
            </w:pPr>
            <w:r>
              <w:rPr>
                <w:rFonts w:ascii="Segoe UI Symbol" w:hAnsi="Segoe UI Symbol" w:cs="Segoe UI Symbol"/>
                <w:sz w:val="24"/>
              </w:rPr>
              <w:t>☑</w:t>
            </w:r>
            <w:r>
              <w:rPr>
                <w:rFonts w:hint="eastAsia" w:ascii="宋体" w:hAnsi="宋体"/>
                <w:sz w:val="24"/>
              </w:rPr>
              <w:t>本表货物所涉及的货物不接受进口产品（即通过中国海关报关验放进入中国境内且产自关境外的产品）参与竞标，</w:t>
            </w:r>
            <w:r>
              <w:rPr>
                <w:rFonts w:hint="eastAsia" w:ascii="宋体" w:hAnsi="宋体"/>
                <w:b/>
                <w:sz w:val="24"/>
              </w:rPr>
              <w:t>如有进口产品参与竞标的响应文件按无效处理</w:t>
            </w:r>
            <w:r>
              <w:rPr>
                <w:rFonts w:hint="eastAsia" w:ascii="宋体" w:hAnsi="宋体"/>
                <w:sz w:val="24"/>
              </w:rPr>
              <w:t>。</w:t>
            </w:r>
          </w:p>
          <w:p w14:paraId="60085893">
            <w:pPr>
              <w:tabs>
                <w:tab w:val="left" w:pos="180"/>
                <w:tab w:val="left" w:pos="1620"/>
              </w:tabs>
              <w:wordWrap w:val="0"/>
              <w:spacing w:line="570" w:lineRule="exact"/>
              <w:rPr>
                <w:rFonts w:ascii="宋体" w:hAnsi="宋体"/>
                <w:sz w:val="24"/>
              </w:rPr>
            </w:pPr>
            <w:r>
              <w:rPr>
                <w:rFonts w:hint="eastAsia" w:ascii="宋体" w:hAnsi="宋体"/>
                <w:sz w:val="24"/>
              </w:rPr>
              <w:t>▲二、核心产品</w:t>
            </w:r>
          </w:p>
          <w:p w14:paraId="3FB7B31E">
            <w:pPr>
              <w:tabs>
                <w:tab w:val="left" w:pos="180"/>
                <w:tab w:val="left" w:pos="1620"/>
              </w:tabs>
              <w:wordWrap w:val="0"/>
              <w:spacing w:line="570" w:lineRule="exact"/>
              <w:rPr>
                <w:rFonts w:ascii="宋体" w:hAnsi="宋体" w:cs="宋体"/>
                <w:sz w:val="24"/>
              </w:rPr>
            </w:pPr>
            <w:r>
              <w:rPr>
                <w:rFonts w:hint="eastAsia" w:ascii="宋体" w:hAnsi="宋体" w:cs="宋体"/>
                <w:sz w:val="24"/>
              </w:rPr>
              <w:t>“</w:t>
            </w:r>
            <w:r>
              <w:rPr>
                <w:rFonts w:hint="eastAsia" w:ascii="宋体" w:hAnsi="宋体" w:cs="宋体"/>
                <w:b/>
                <w:sz w:val="24"/>
              </w:rPr>
              <w:t>货物需求一览表</w:t>
            </w:r>
            <w:r>
              <w:rPr>
                <w:rFonts w:hint="eastAsia" w:ascii="宋体" w:hAnsi="宋体" w:cs="宋体"/>
                <w:sz w:val="24"/>
              </w:rPr>
              <w:t>”表中的核心产品为序号</w:t>
            </w:r>
            <w:r>
              <w:rPr>
                <w:rFonts w:hint="eastAsia" w:ascii="宋体" w:hAnsi="宋体" w:cs="宋体"/>
                <w:b/>
                <w:bCs/>
                <w:sz w:val="24"/>
              </w:rPr>
              <w:t>第1、2、3项</w:t>
            </w:r>
            <w:r>
              <w:rPr>
                <w:rFonts w:hint="eastAsia" w:ascii="宋体" w:hAnsi="宋体" w:cs="宋体"/>
                <w:sz w:val="24"/>
              </w:rPr>
              <w:t>产品。</w:t>
            </w:r>
          </w:p>
          <w:p w14:paraId="57751222">
            <w:pPr>
              <w:widowControl/>
              <w:shd w:val="clear" w:color="auto" w:fill="FFFFFF"/>
              <w:wordWrap w:val="0"/>
              <w:spacing w:line="570" w:lineRule="exact"/>
              <w:rPr>
                <w:rFonts w:ascii="宋体" w:hAnsi="宋体"/>
                <w:sz w:val="24"/>
              </w:rPr>
            </w:pPr>
            <w:r>
              <w:rPr>
                <w:rFonts w:hint="eastAsia" w:ascii="宋体" w:hAnsi="宋体"/>
                <w:sz w:val="24"/>
              </w:rPr>
              <w:t>三、</w:t>
            </w:r>
            <w:r>
              <w:rPr>
                <w:rFonts w:hint="eastAsia" w:ascii="宋体" w:hAnsi="宋体" w:cs="宋体"/>
                <w:sz w:val="24"/>
              </w:rPr>
              <w:t>本项目采购标的对应的中小企业划分标准所属行业：工业。</w:t>
            </w:r>
          </w:p>
        </w:tc>
      </w:tr>
    </w:tbl>
    <w:p w14:paraId="53B87156">
      <w:pPr>
        <w:ind w:firstLine="420"/>
        <w:jc w:val="center"/>
        <w:rPr>
          <w:rFonts w:ascii="仿宋" w:hAnsi="仿宋" w:eastAsia="仿宋" w:cs="仿宋"/>
          <w:sz w:val="32"/>
          <w:szCs w:val="32"/>
        </w:rPr>
      </w:pPr>
    </w:p>
    <w:p w14:paraId="69F936EF">
      <w:pPr>
        <w:spacing w:line="360" w:lineRule="auto"/>
        <w:jc w:val="left"/>
      </w:pPr>
    </w:p>
    <w:p w14:paraId="30D7D897">
      <w:pPr>
        <w:spacing w:line="428" w:lineRule="exact"/>
        <w:ind w:left="119"/>
        <w:rPr>
          <w:rFonts w:hAnsi="宋体"/>
        </w:rPr>
      </w:pPr>
    </w:p>
    <w:p w14:paraId="52A98C8B">
      <w:pPr>
        <w:spacing w:line="428" w:lineRule="exact"/>
        <w:ind w:left="119"/>
        <w:rPr>
          <w:rFonts w:hAnsi="宋体"/>
        </w:rPr>
      </w:pPr>
    </w:p>
    <w:p w14:paraId="4726025C">
      <w:pPr>
        <w:rPr>
          <w:rFonts w:ascii="微软雅黑" w:hAnsi="微软雅黑" w:eastAsia="微软雅黑" w:cs="微软雅黑"/>
          <w:sz w:val="40"/>
          <w:szCs w:val="40"/>
        </w:rPr>
      </w:pPr>
      <w:r>
        <w:rPr>
          <w:rFonts w:hint="eastAsia" w:ascii="微软雅黑" w:hAnsi="微软雅黑" w:eastAsia="微软雅黑" w:cs="微软雅黑"/>
          <w:sz w:val="32"/>
          <w:szCs w:val="32"/>
        </w:rPr>
        <w:t>附件1</w:t>
      </w:r>
    </w:p>
    <w:p w14:paraId="149E6341">
      <w:pPr>
        <w:spacing w:line="528" w:lineRule="exact"/>
        <w:ind w:left="1871"/>
        <w:rPr>
          <w:rFonts w:ascii="Arial Unicode MS" w:hAnsi="Arial Unicode MS" w:eastAsia="Arial Unicode MS" w:cs="Arial Unicode MS"/>
          <w:sz w:val="40"/>
          <w:szCs w:val="40"/>
        </w:rPr>
      </w:pPr>
      <w:r>
        <w:rPr>
          <w:rFonts w:hint="eastAsia" w:ascii="微软雅黑" w:hAnsi="微软雅黑" w:eastAsia="微软雅黑" w:cs="微软雅黑"/>
          <w:sz w:val="40"/>
          <w:szCs w:val="40"/>
        </w:rPr>
        <w:t>节能产品政府采购品目清单</w:t>
      </w:r>
    </w:p>
    <w:tbl>
      <w:tblPr>
        <w:tblStyle w:val="32"/>
        <w:tblW w:w="9220" w:type="dxa"/>
        <w:tblInd w:w="-15" w:type="dxa"/>
        <w:tblLayout w:type="autofit"/>
        <w:tblCellMar>
          <w:top w:w="0" w:type="dxa"/>
          <w:left w:w="108" w:type="dxa"/>
          <w:bottom w:w="0" w:type="dxa"/>
          <w:right w:w="108" w:type="dxa"/>
        </w:tblCellMar>
      </w:tblPr>
      <w:tblGrid>
        <w:gridCol w:w="660"/>
        <w:gridCol w:w="1116"/>
        <w:gridCol w:w="1516"/>
        <w:gridCol w:w="1620"/>
        <w:gridCol w:w="4540"/>
      </w:tblGrid>
      <w:tr w14:paraId="06101444">
        <w:tblPrEx>
          <w:tblCellMar>
            <w:top w:w="0" w:type="dxa"/>
            <w:left w:w="108" w:type="dxa"/>
            <w:bottom w:w="0" w:type="dxa"/>
            <w:right w:w="108" w:type="dxa"/>
          </w:tblCellMar>
        </w:tblPrEx>
        <w:trPr>
          <w:trHeight w:val="555" w:hRule="atLeast"/>
        </w:trPr>
        <w:tc>
          <w:tcPr>
            <w:tcW w:w="660" w:type="dxa"/>
            <w:tcBorders>
              <w:top w:val="single" w:color="000000" w:sz="8" w:space="0"/>
              <w:left w:val="single" w:color="000000" w:sz="8" w:space="0"/>
              <w:bottom w:val="single" w:color="000000" w:sz="8" w:space="0"/>
              <w:right w:val="single" w:color="000000" w:sz="8" w:space="0"/>
            </w:tcBorders>
            <w:noWrap/>
          </w:tcPr>
          <w:p w14:paraId="1F9158F4">
            <w:pPr>
              <w:widowControl/>
              <w:jc w:val="center"/>
              <w:rPr>
                <w:rFonts w:ascii="宋体" w:hAnsi="宋体" w:cs="宋体"/>
                <w:b/>
                <w:bCs/>
                <w:sz w:val="22"/>
                <w:szCs w:val="22"/>
              </w:rPr>
            </w:pPr>
            <w:r>
              <w:rPr>
                <w:rFonts w:hint="eastAsia" w:ascii="宋体" w:hAnsi="宋体" w:cs="宋体"/>
                <w:b/>
                <w:bCs/>
                <w:sz w:val="22"/>
                <w:szCs w:val="22"/>
              </w:rPr>
              <w:t>品目序号</w:t>
            </w:r>
          </w:p>
        </w:tc>
        <w:tc>
          <w:tcPr>
            <w:tcW w:w="4020" w:type="dxa"/>
            <w:gridSpan w:val="3"/>
            <w:tcBorders>
              <w:top w:val="single" w:color="000000" w:sz="8" w:space="0"/>
              <w:left w:val="nil"/>
              <w:bottom w:val="single" w:color="000000" w:sz="8" w:space="0"/>
              <w:right w:val="single" w:color="000000" w:sz="8" w:space="0"/>
            </w:tcBorders>
            <w:noWrap/>
            <w:vAlign w:val="center"/>
          </w:tcPr>
          <w:p w14:paraId="22231DA3">
            <w:pPr>
              <w:widowControl/>
              <w:jc w:val="center"/>
              <w:rPr>
                <w:rFonts w:ascii="宋体" w:hAnsi="宋体" w:cs="宋体"/>
                <w:b/>
                <w:bCs/>
                <w:sz w:val="22"/>
                <w:szCs w:val="22"/>
              </w:rPr>
            </w:pPr>
            <w:r>
              <w:rPr>
                <w:rFonts w:hint="eastAsia" w:ascii="宋体" w:hAnsi="宋体" w:cs="宋体"/>
                <w:b/>
                <w:bCs/>
                <w:sz w:val="22"/>
                <w:szCs w:val="22"/>
              </w:rPr>
              <w:t>名称</w:t>
            </w:r>
          </w:p>
        </w:tc>
        <w:tc>
          <w:tcPr>
            <w:tcW w:w="4540" w:type="dxa"/>
            <w:tcBorders>
              <w:top w:val="single" w:color="000000" w:sz="8" w:space="0"/>
              <w:left w:val="nil"/>
              <w:bottom w:val="single" w:color="000000" w:sz="8" w:space="0"/>
              <w:right w:val="single" w:color="000000" w:sz="8" w:space="0"/>
            </w:tcBorders>
            <w:noWrap/>
            <w:vAlign w:val="center"/>
          </w:tcPr>
          <w:p w14:paraId="20B8E933">
            <w:pPr>
              <w:widowControl/>
              <w:jc w:val="center"/>
              <w:rPr>
                <w:rFonts w:ascii="宋体" w:hAnsi="宋体" w:cs="宋体"/>
                <w:b/>
                <w:bCs/>
                <w:sz w:val="22"/>
                <w:szCs w:val="22"/>
              </w:rPr>
            </w:pPr>
            <w:r>
              <w:rPr>
                <w:rFonts w:hint="eastAsia" w:ascii="宋体" w:hAnsi="宋体" w:cs="宋体"/>
                <w:b/>
                <w:bCs/>
                <w:sz w:val="22"/>
                <w:szCs w:val="22"/>
              </w:rPr>
              <w:t>依据的标准</w:t>
            </w:r>
          </w:p>
        </w:tc>
      </w:tr>
      <w:tr w14:paraId="0DEDBC61">
        <w:tblPrEx>
          <w:tblCellMar>
            <w:top w:w="0" w:type="dxa"/>
            <w:left w:w="108" w:type="dxa"/>
            <w:bottom w:w="0" w:type="dxa"/>
            <w:right w:w="108" w:type="dxa"/>
          </w:tblCellMar>
        </w:tblPrEx>
        <w:trPr>
          <w:trHeight w:val="495" w:hRule="atLeast"/>
        </w:trPr>
        <w:tc>
          <w:tcPr>
            <w:tcW w:w="660" w:type="dxa"/>
            <w:vMerge w:val="restart"/>
            <w:tcBorders>
              <w:top w:val="nil"/>
              <w:left w:val="single" w:color="000000" w:sz="8" w:space="0"/>
              <w:bottom w:val="single" w:color="000000" w:sz="8" w:space="0"/>
              <w:right w:val="single" w:color="000000" w:sz="8" w:space="0"/>
            </w:tcBorders>
            <w:noWrap/>
            <w:vAlign w:val="center"/>
          </w:tcPr>
          <w:p w14:paraId="652C5FB5">
            <w:pPr>
              <w:widowControl/>
              <w:jc w:val="center"/>
              <w:rPr>
                <w:rFonts w:ascii="宋体" w:hAnsi="宋体" w:cs="宋体"/>
                <w:sz w:val="20"/>
                <w:szCs w:val="20"/>
              </w:rPr>
            </w:pPr>
            <w:r>
              <w:rPr>
                <w:rFonts w:hint="eastAsia" w:ascii="宋体" w:hAnsi="宋体" w:cs="宋体"/>
                <w:sz w:val="20"/>
                <w:szCs w:val="20"/>
              </w:rPr>
              <w:t>1</w:t>
            </w:r>
          </w:p>
        </w:tc>
        <w:tc>
          <w:tcPr>
            <w:tcW w:w="1080" w:type="dxa"/>
            <w:vMerge w:val="restart"/>
            <w:tcBorders>
              <w:top w:val="nil"/>
              <w:left w:val="single" w:color="000000" w:sz="8" w:space="0"/>
              <w:bottom w:val="single" w:color="000000" w:sz="8" w:space="0"/>
              <w:right w:val="single" w:color="000000" w:sz="8" w:space="0"/>
            </w:tcBorders>
            <w:noWrap/>
            <w:vAlign w:val="center"/>
          </w:tcPr>
          <w:p w14:paraId="48578EA9">
            <w:pPr>
              <w:widowControl/>
              <w:jc w:val="center"/>
              <w:rPr>
                <w:rFonts w:ascii="宋体" w:hAnsi="宋体" w:cs="宋体"/>
                <w:sz w:val="20"/>
                <w:szCs w:val="20"/>
              </w:rPr>
            </w:pPr>
            <w:r>
              <w:rPr>
                <w:rFonts w:hint="eastAsia" w:ascii="宋体" w:hAnsi="宋体" w:cs="宋体"/>
                <w:sz w:val="20"/>
                <w:szCs w:val="20"/>
              </w:rPr>
              <w:t>A020101计算机设备</w:t>
            </w:r>
          </w:p>
        </w:tc>
        <w:tc>
          <w:tcPr>
            <w:tcW w:w="1320" w:type="dxa"/>
            <w:tcBorders>
              <w:top w:val="nil"/>
              <w:left w:val="nil"/>
              <w:bottom w:val="single" w:color="000000" w:sz="8" w:space="0"/>
              <w:right w:val="single" w:color="000000" w:sz="8" w:space="0"/>
            </w:tcBorders>
            <w:noWrap/>
            <w:vAlign w:val="center"/>
          </w:tcPr>
          <w:p w14:paraId="5520B020">
            <w:pPr>
              <w:widowControl/>
              <w:jc w:val="center"/>
              <w:rPr>
                <w:rFonts w:ascii="宋体" w:hAnsi="宋体" w:cs="宋体"/>
                <w:sz w:val="20"/>
                <w:szCs w:val="20"/>
              </w:rPr>
            </w:pPr>
            <w:r>
              <w:rPr>
                <w:rFonts w:hint="eastAsia" w:ascii="宋体" w:hAnsi="宋体" w:cs="宋体"/>
                <w:sz w:val="20"/>
                <w:szCs w:val="20"/>
              </w:rPr>
              <w:t>★A02010104台式计算机</w:t>
            </w:r>
          </w:p>
        </w:tc>
        <w:tc>
          <w:tcPr>
            <w:tcW w:w="1620" w:type="dxa"/>
            <w:tcBorders>
              <w:top w:val="nil"/>
              <w:left w:val="nil"/>
              <w:bottom w:val="single" w:color="000000" w:sz="8" w:space="0"/>
              <w:right w:val="single" w:color="000000" w:sz="8" w:space="0"/>
            </w:tcBorders>
            <w:noWrap/>
            <w:vAlign w:val="center"/>
          </w:tcPr>
          <w:p w14:paraId="17705213">
            <w:pPr>
              <w:widowControl/>
              <w:jc w:val="center"/>
              <w:rPr>
                <w:rFonts w:ascii="宋体" w:hAnsi="宋体" w:cs="宋体"/>
                <w:sz w:val="20"/>
                <w:szCs w:val="20"/>
              </w:rPr>
            </w:pPr>
            <w:r>
              <w:rPr>
                <w:rFonts w:hint="eastAsia" w:ascii="宋体" w:hAnsi="宋体" w:cs="宋体"/>
                <w:sz w:val="20"/>
                <w:szCs w:val="20"/>
              </w:rPr>
              <w:t>　</w:t>
            </w:r>
          </w:p>
        </w:tc>
        <w:tc>
          <w:tcPr>
            <w:tcW w:w="4540" w:type="dxa"/>
            <w:tcBorders>
              <w:top w:val="nil"/>
              <w:left w:val="nil"/>
              <w:bottom w:val="single" w:color="000000" w:sz="8" w:space="0"/>
              <w:right w:val="single" w:color="000000" w:sz="8" w:space="0"/>
            </w:tcBorders>
            <w:noWrap/>
            <w:vAlign w:val="center"/>
          </w:tcPr>
          <w:p w14:paraId="02EEB74B">
            <w:pPr>
              <w:widowControl/>
              <w:jc w:val="left"/>
              <w:rPr>
                <w:rFonts w:ascii="宋体" w:hAnsi="宋体" w:cs="宋体"/>
                <w:sz w:val="20"/>
                <w:szCs w:val="20"/>
              </w:rPr>
            </w:pPr>
            <w:r>
              <w:rPr>
                <w:rFonts w:hint="eastAsia" w:ascii="宋体" w:hAnsi="宋体" w:cs="宋体"/>
                <w:sz w:val="20"/>
                <w:szCs w:val="20"/>
              </w:rPr>
              <w:t>《微型计算机能效限定值及能效等级》（GB28380）</w:t>
            </w:r>
          </w:p>
        </w:tc>
      </w:tr>
      <w:tr w14:paraId="7C834FC8">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vAlign w:val="center"/>
          </w:tcPr>
          <w:p w14:paraId="471D9F14">
            <w:pPr>
              <w:widowControl/>
              <w:jc w:val="left"/>
              <w:rPr>
                <w:rFonts w:ascii="宋体" w:hAnsi="宋体" w:cs="宋体"/>
                <w:sz w:val="20"/>
                <w:szCs w:val="20"/>
              </w:rPr>
            </w:pPr>
          </w:p>
        </w:tc>
        <w:tc>
          <w:tcPr>
            <w:tcW w:w="0" w:type="auto"/>
            <w:vMerge w:val="continue"/>
            <w:tcBorders>
              <w:top w:val="nil"/>
              <w:left w:val="single" w:color="000000" w:sz="8" w:space="0"/>
              <w:bottom w:val="single" w:color="000000" w:sz="8" w:space="0"/>
              <w:right w:val="single" w:color="000000" w:sz="8" w:space="0"/>
            </w:tcBorders>
            <w:vAlign w:val="center"/>
          </w:tcPr>
          <w:p w14:paraId="35989D98">
            <w:pPr>
              <w:widowControl/>
              <w:jc w:val="left"/>
              <w:rPr>
                <w:rFonts w:ascii="宋体" w:hAnsi="宋体" w:cs="宋体"/>
                <w:sz w:val="20"/>
                <w:szCs w:val="20"/>
              </w:rPr>
            </w:pPr>
          </w:p>
        </w:tc>
        <w:tc>
          <w:tcPr>
            <w:tcW w:w="1320" w:type="dxa"/>
            <w:tcBorders>
              <w:top w:val="nil"/>
              <w:left w:val="nil"/>
              <w:bottom w:val="single" w:color="000000" w:sz="8" w:space="0"/>
              <w:right w:val="single" w:color="000000" w:sz="8" w:space="0"/>
            </w:tcBorders>
            <w:noWrap/>
            <w:vAlign w:val="center"/>
          </w:tcPr>
          <w:p w14:paraId="464A95DE">
            <w:pPr>
              <w:widowControl/>
              <w:jc w:val="center"/>
              <w:rPr>
                <w:rFonts w:ascii="宋体" w:hAnsi="宋体" w:cs="宋体"/>
                <w:sz w:val="20"/>
                <w:szCs w:val="20"/>
              </w:rPr>
            </w:pPr>
            <w:r>
              <w:rPr>
                <w:rFonts w:hint="eastAsia" w:ascii="宋体" w:hAnsi="宋体" w:cs="宋体"/>
                <w:sz w:val="20"/>
                <w:szCs w:val="20"/>
              </w:rPr>
              <w:t>★A02010105便携式计算机</w:t>
            </w:r>
          </w:p>
        </w:tc>
        <w:tc>
          <w:tcPr>
            <w:tcW w:w="1620" w:type="dxa"/>
            <w:tcBorders>
              <w:top w:val="nil"/>
              <w:left w:val="nil"/>
              <w:bottom w:val="single" w:color="000000" w:sz="8" w:space="0"/>
              <w:right w:val="single" w:color="000000" w:sz="8" w:space="0"/>
            </w:tcBorders>
            <w:noWrap/>
            <w:vAlign w:val="center"/>
          </w:tcPr>
          <w:p w14:paraId="39A3981F">
            <w:pPr>
              <w:widowControl/>
              <w:jc w:val="center"/>
              <w:rPr>
                <w:rFonts w:ascii="宋体" w:hAnsi="宋体" w:cs="宋体"/>
                <w:sz w:val="20"/>
                <w:szCs w:val="20"/>
              </w:rPr>
            </w:pPr>
            <w:r>
              <w:rPr>
                <w:rFonts w:hint="eastAsia" w:ascii="宋体" w:hAnsi="宋体" w:cs="宋体"/>
                <w:sz w:val="20"/>
                <w:szCs w:val="20"/>
              </w:rPr>
              <w:t>　</w:t>
            </w:r>
          </w:p>
        </w:tc>
        <w:tc>
          <w:tcPr>
            <w:tcW w:w="4540" w:type="dxa"/>
            <w:tcBorders>
              <w:top w:val="nil"/>
              <w:left w:val="nil"/>
              <w:bottom w:val="single" w:color="000000" w:sz="8" w:space="0"/>
              <w:right w:val="single" w:color="000000" w:sz="8" w:space="0"/>
            </w:tcBorders>
            <w:noWrap/>
            <w:vAlign w:val="center"/>
          </w:tcPr>
          <w:p w14:paraId="2F09DAB3">
            <w:pPr>
              <w:widowControl/>
              <w:jc w:val="left"/>
              <w:rPr>
                <w:rFonts w:ascii="宋体" w:hAnsi="宋体" w:cs="宋体"/>
                <w:sz w:val="20"/>
                <w:szCs w:val="20"/>
              </w:rPr>
            </w:pPr>
            <w:r>
              <w:rPr>
                <w:rFonts w:hint="eastAsia" w:ascii="宋体" w:hAnsi="宋体" w:cs="宋体"/>
                <w:sz w:val="20"/>
                <w:szCs w:val="20"/>
              </w:rPr>
              <w:t>《微型计算机能效限定值及能效等级》（GB28380）</w:t>
            </w:r>
          </w:p>
        </w:tc>
      </w:tr>
      <w:tr w14:paraId="2BF3CE46">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vAlign w:val="center"/>
          </w:tcPr>
          <w:p w14:paraId="6BEBC83F">
            <w:pPr>
              <w:widowControl/>
              <w:jc w:val="left"/>
              <w:rPr>
                <w:rFonts w:ascii="宋体" w:hAnsi="宋体" w:cs="宋体"/>
                <w:sz w:val="20"/>
                <w:szCs w:val="20"/>
              </w:rPr>
            </w:pPr>
          </w:p>
        </w:tc>
        <w:tc>
          <w:tcPr>
            <w:tcW w:w="0" w:type="auto"/>
            <w:vMerge w:val="continue"/>
            <w:tcBorders>
              <w:top w:val="nil"/>
              <w:left w:val="single" w:color="000000" w:sz="8" w:space="0"/>
              <w:bottom w:val="single" w:color="000000" w:sz="8" w:space="0"/>
              <w:right w:val="single" w:color="000000" w:sz="8" w:space="0"/>
            </w:tcBorders>
            <w:vAlign w:val="center"/>
          </w:tcPr>
          <w:p w14:paraId="7D01B437">
            <w:pPr>
              <w:widowControl/>
              <w:jc w:val="left"/>
              <w:rPr>
                <w:rFonts w:ascii="宋体" w:hAnsi="宋体" w:cs="宋体"/>
                <w:sz w:val="20"/>
                <w:szCs w:val="20"/>
              </w:rPr>
            </w:pPr>
          </w:p>
        </w:tc>
        <w:tc>
          <w:tcPr>
            <w:tcW w:w="1320" w:type="dxa"/>
            <w:tcBorders>
              <w:top w:val="nil"/>
              <w:left w:val="nil"/>
              <w:bottom w:val="single" w:color="000000" w:sz="8" w:space="0"/>
              <w:right w:val="single" w:color="000000" w:sz="8" w:space="0"/>
            </w:tcBorders>
            <w:noWrap/>
            <w:vAlign w:val="center"/>
          </w:tcPr>
          <w:p w14:paraId="46521B82">
            <w:pPr>
              <w:widowControl/>
              <w:jc w:val="center"/>
              <w:rPr>
                <w:rFonts w:ascii="宋体" w:hAnsi="宋体" w:cs="宋体"/>
                <w:sz w:val="20"/>
                <w:szCs w:val="20"/>
              </w:rPr>
            </w:pPr>
            <w:r>
              <w:rPr>
                <w:rFonts w:hint="eastAsia" w:ascii="宋体" w:hAnsi="宋体" w:cs="宋体"/>
                <w:sz w:val="20"/>
                <w:szCs w:val="20"/>
              </w:rPr>
              <w:t>★A02010107平板式微型计算机</w:t>
            </w:r>
          </w:p>
        </w:tc>
        <w:tc>
          <w:tcPr>
            <w:tcW w:w="1620" w:type="dxa"/>
            <w:tcBorders>
              <w:top w:val="nil"/>
              <w:left w:val="nil"/>
              <w:bottom w:val="single" w:color="000000" w:sz="8" w:space="0"/>
              <w:right w:val="single" w:color="000000" w:sz="8" w:space="0"/>
            </w:tcBorders>
            <w:noWrap/>
            <w:vAlign w:val="center"/>
          </w:tcPr>
          <w:p w14:paraId="71C74454">
            <w:pPr>
              <w:widowControl/>
              <w:jc w:val="center"/>
              <w:rPr>
                <w:rFonts w:ascii="宋体" w:hAnsi="宋体" w:cs="宋体"/>
                <w:sz w:val="20"/>
                <w:szCs w:val="20"/>
              </w:rPr>
            </w:pPr>
            <w:r>
              <w:rPr>
                <w:rFonts w:hint="eastAsia" w:ascii="宋体" w:hAnsi="宋体" w:cs="宋体"/>
                <w:sz w:val="20"/>
                <w:szCs w:val="20"/>
              </w:rPr>
              <w:t>　</w:t>
            </w:r>
          </w:p>
        </w:tc>
        <w:tc>
          <w:tcPr>
            <w:tcW w:w="4540" w:type="dxa"/>
            <w:tcBorders>
              <w:top w:val="nil"/>
              <w:left w:val="nil"/>
              <w:bottom w:val="single" w:color="000000" w:sz="8" w:space="0"/>
              <w:right w:val="single" w:color="000000" w:sz="8" w:space="0"/>
            </w:tcBorders>
            <w:noWrap/>
            <w:vAlign w:val="center"/>
          </w:tcPr>
          <w:p w14:paraId="19C7AF39">
            <w:pPr>
              <w:widowControl/>
              <w:jc w:val="left"/>
              <w:rPr>
                <w:rFonts w:ascii="宋体" w:hAnsi="宋体" w:cs="宋体"/>
                <w:sz w:val="20"/>
                <w:szCs w:val="20"/>
              </w:rPr>
            </w:pPr>
            <w:r>
              <w:rPr>
                <w:rFonts w:hint="eastAsia" w:ascii="宋体" w:hAnsi="宋体" w:cs="宋体"/>
                <w:sz w:val="20"/>
                <w:szCs w:val="20"/>
              </w:rPr>
              <w:t>《微型计算机能效限定值及能效等级》（GB28380）</w:t>
            </w:r>
          </w:p>
        </w:tc>
      </w:tr>
      <w:tr w14:paraId="6DF5D0C5">
        <w:tblPrEx>
          <w:tblCellMar>
            <w:top w:w="0" w:type="dxa"/>
            <w:left w:w="108" w:type="dxa"/>
            <w:bottom w:w="0" w:type="dxa"/>
            <w:right w:w="108" w:type="dxa"/>
          </w:tblCellMar>
        </w:tblPrEx>
        <w:trPr>
          <w:trHeight w:val="495" w:hRule="atLeast"/>
        </w:trPr>
        <w:tc>
          <w:tcPr>
            <w:tcW w:w="660" w:type="dxa"/>
            <w:vMerge w:val="restart"/>
            <w:tcBorders>
              <w:top w:val="nil"/>
              <w:left w:val="single" w:color="000000" w:sz="8" w:space="0"/>
              <w:bottom w:val="single" w:color="000000" w:sz="8" w:space="0"/>
              <w:right w:val="single" w:color="000000" w:sz="8" w:space="0"/>
            </w:tcBorders>
            <w:noWrap/>
            <w:vAlign w:val="center"/>
          </w:tcPr>
          <w:p w14:paraId="1396B623">
            <w:pPr>
              <w:widowControl/>
              <w:jc w:val="center"/>
              <w:rPr>
                <w:rFonts w:ascii="宋体" w:hAnsi="宋体" w:cs="宋体"/>
                <w:sz w:val="20"/>
                <w:szCs w:val="20"/>
              </w:rPr>
            </w:pPr>
            <w:r>
              <w:rPr>
                <w:rFonts w:hint="eastAsia" w:ascii="宋体" w:hAnsi="宋体" w:cs="宋体"/>
                <w:sz w:val="20"/>
                <w:szCs w:val="20"/>
              </w:rPr>
              <w:t>2</w:t>
            </w:r>
          </w:p>
        </w:tc>
        <w:tc>
          <w:tcPr>
            <w:tcW w:w="1080" w:type="dxa"/>
            <w:vMerge w:val="restart"/>
            <w:tcBorders>
              <w:top w:val="nil"/>
              <w:left w:val="single" w:color="000000" w:sz="8" w:space="0"/>
              <w:bottom w:val="single" w:color="000000" w:sz="8" w:space="0"/>
              <w:right w:val="single" w:color="000000" w:sz="8" w:space="0"/>
            </w:tcBorders>
            <w:noWrap/>
            <w:vAlign w:val="center"/>
          </w:tcPr>
          <w:p w14:paraId="440FC5F4">
            <w:pPr>
              <w:widowControl/>
              <w:jc w:val="center"/>
              <w:rPr>
                <w:rFonts w:ascii="宋体" w:hAnsi="宋体" w:cs="宋体"/>
                <w:sz w:val="20"/>
                <w:szCs w:val="20"/>
              </w:rPr>
            </w:pPr>
            <w:r>
              <w:rPr>
                <w:rFonts w:hint="eastAsia" w:ascii="宋体" w:hAnsi="宋体" w:cs="宋体"/>
                <w:sz w:val="20"/>
                <w:szCs w:val="20"/>
              </w:rPr>
              <w:t>A020106输入输出设备</w:t>
            </w:r>
          </w:p>
        </w:tc>
        <w:tc>
          <w:tcPr>
            <w:tcW w:w="1320" w:type="dxa"/>
            <w:vMerge w:val="restart"/>
            <w:tcBorders>
              <w:top w:val="nil"/>
              <w:left w:val="single" w:color="000000" w:sz="8" w:space="0"/>
              <w:bottom w:val="single" w:color="000000" w:sz="8" w:space="0"/>
              <w:right w:val="single" w:color="000000" w:sz="8" w:space="0"/>
            </w:tcBorders>
            <w:noWrap/>
            <w:vAlign w:val="center"/>
          </w:tcPr>
          <w:p w14:paraId="65F05F79">
            <w:pPr>
              <w:widowControl/>
              <w:jc w:val="center"/>
              <w:rPr>
                <w:rFonts w:ascii="宋体" w:hAnsi="宋体" w:cs="宋体"/>
                <w:sz w:val="20"/>
                <w:szCs w:val="20"/>
              </w:rPr>
            </w:pPr>
            <w:r>
              <w:rPr>
                <w:rFonts w:hint="eastAsia" w:ascii="宋体" w:hAnsi="宋体" w:cs="宋体"/>
                <w:sz w:val="20"/>
                <w:szCs w:val="20"/>
              </w:rPr>
              <w:t>A02010601打印设备</w:t>
            </w:r>
          </w:p>
        </w:tc>
        <w:tc>
          <w:tcPr>
            <w:tcW w:w="1620" w:type="dxa"/>
            <w:tcBorders>
              <w:top w:val="nil"/>
              <w:left w:val="nil"/>
              <w:bottom w:val="single" w:color="000000" w:sz="8" w:space="0"/>
              <w:right w:val="single" w:color="000000" w:sz="8" w:space="0"/>
            </w:tcBorders>
            <w:noWrap/>
            <w:vAlign w:val="center"/>
          </w:tcPr>
          <w:p w14:paraId="778FC26D">
            <w:pPr>
              <w:widowControl/>
              <w:jc w:val="center"/>
              <w:rPr>
                <w:rFonts w:ascii="宋体" w:hAnsi="宋体" w:cs="宋体"/>
                <w:sz w:val="20"/>
                <w:szCs w:val="20"/>
              </w:rPr>
            </w:pPr>
            <w:r>
              <w:rPr>
                <w:rFonts w:hint="eastAsia" w:ascii="宋体" w:hAnsi="宋体" w:cs="宋体"/>
                <w:sz w:val="20"/>
                <w:szCs w:val="20"/>
              </w:rPr>
              <w:t>A0201060101喷墨打印机</w:t>
            </w:r>
          </w:p>
        </w:tc>
        <w:tc>
          <w:tcPr>
            <w:tcW w:w="4540" w:type="dxa"/>
            <w:tcBorders>
              <w:top w:val="nil"/>
              <w:left w:val="nil"/>
              <w:bottom w:val="single" w:color="000000" w:sz="8" w:space="0"/>
              <w:right w:val="single" w:color="000000" w:sz="8" w:space="0"/>
            </w:tcBorders>
            <w:noWrap/>
            <w:vAlign w:val="center"/>
          </w:tcPr>
          <w:p w14:paraId="10B91ACC">
            <w:pPr>
              <w:widowControl/>
              <w:jc w:val="left"/>
              <w:rPr>
                <w:rFonts w:ascii="宋体" w:hAnsi="宋体" w:cs="宋体"/>
                <w:sz w:val="20"/>
                <w:szCs w:val="20"/>
              </w:rPr>
            </w:pPr>
            <w:r>
              <w:rPr>
                <w:rFonts w:hint="eastAsia" w:ascii="宋体" w:hAnsi="宋体" w:cs="宋体"/>
                <w:sz w:val="20"/>
                <w:szCs w:val="20"/>
              </w:rPr>
              <w:t>《复印机、打印机和传真机能效限定值及能效等级》（GB21521）</w:t>
            </w:r>
          </w:p>
        </w:tc>
      </w:tr>
      <w:tr w14:paraId="211E0EF2">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vAlign w:val="center"/>
          </w:tcPr>
          <w:p w14:paraId="047BC100">
            <w:pPr>
              <w:widowControl/>
              <w:jc w:val="left"/>
              <w:rPr>
                <w:rFonts w:ascii="宋体" w:hAnsi="宋体" w:cs="宋体"/>
                <w:sz w:val="20"/>
                <w:szCs w:val="20"/>
              </w:rPr>
            </w:pPr>
          </w:p>
        </w:tc>
        <w:tc>
          <w:tcPr>
            <w:tcW w:w="0" w:type="auto"/>
            <w:vMerge w:val="continue"/>
            <w:tcBorders>
              <w:top w:val="nil"/>
              <w:left w:val="single" w:color="000000" w:sz="8" w:space="0"/>
              <w:bottom w:val="single" w:color="000000" w:sz="8" w:space="0"/>
              <w:right w:val="single" w:color="000000" w:sz="8" w:space="0"/>
            </w:tcBorders>
            <w:vAlign w:val="center"/>
          </w:tcPr>
          <w:p w14:paraId="16B2DAA5">
            <w:pPr>
              <w:widowControl/>
              <w:jc w:val="left"/>
              <w:rPr>
                <w:rFonts w:ascii="宋体" w:hAnsi="宋体" w:cs="宋体"/>
                <w:sz w:val="20"/>
                <w:szCs w:val="20"/>
              </w:rPr>
            </w:pPr>
          </w:p>
        </w:tc>
        <w:tc>
          <w:tcPr>
            <w:tcW w:w="0" w:type="auto"/>
            <w:vMerge w:val="continue"/>
            <w:tcBorders>
              <w:top w:val="nil"/>
              <w:left w:val="single" w:color="000000" w:sz="8" w:space="0"/>
              <w:bottom w:val="single" w:color="000000" w:sz="8" w:space="0"/>
              <w:right w:val="single" w:color="000000" w:sz="8" w:space="0"/>
            </w:tcBorders>
            <w:vAlign w:val="center"/>
          </w:tcPr>
          <w:p w14:paraId="6B0AC8ED">
            <w:pPr>
              <w:widowControl/>
              <w:jc w:val="left"/>
              <w:rPr>
                <w:rFonts w:ascii="宋体" w:hAnsi="宋体" w:cs="宋体"/>
                <w:sz w:val="20"/>
                <w:szCs w:val="20"/>
              </w:rPr>
            </w:pPr>
          </w:p>
        </w:tc>
        <w:tc>
          <w:tcPr>
            <w:tcW w:w="1620" w:type="dxa"/>
            <w:tcBorders>
              <w:top w:val="nil"/>
              <w:left w:val="nil"/>
              <w:bottom w:val="single" w:color="000000" w:sz="8" w:space="0"/>
              <w:right w:val="single" w:color="000000" w:sz="8" w:space="0"/>
            </w:tcBorders>
            <w:noWrap/>
            <w:vAlign w:val="center"/>
          </w:tcPr>
          <w:p w14:paraId="645B6A22">
            <w:pPr>
              <w:widowControl/>
              <w:jc w:val="center"/>
              <w:rPr>
                <w:rFonts w:ascii="宋体" w:hAnsi="宋体" w:cs="宋体"/>
                <w:sz w:val="20"/>
                <w:szCs w:val="20"/>
              </w:rPr>
            </w:pPr>
            <w:r>
              <w:rPr>
                <w:rFonts w:hint="eastAsia" w:ascii="宋体" w:hAnsi="宋体" w:cs="宋体"/>
                <w:sz w:val="20"/>
                <w:szCs w:val="20"/>
              </w:rPr>
              <w:t>★A0201060102激光打印机</w:t>
            </w:r>
          </w:p>
        </w:tc>
        <w:tc>
          <w:tcPr>
            <w:tcW w:w="4540" w:type="dxa"/>
            <w:tcBorders>
              <w:top w:val="nil"/>
              <w:left w:val="nil"/>
              <w:bottom w:val="single" w:color="000000" w:sz="8" w:space="0"/>
              <w:right w:val="single" w:color="000000" w:sz="8" w:space="0"/>
            </w:tcBorders>
            <w:noWrap/>
            <w:vAlign w:val="center"/>
          </w:tcPr>
          <w:p w14:paraId="49D6AA1E">
            <w:pPr>
              <w:widowControl/>
              <w:jc w:val="left"/>
              <w:rPr>
                <w:rFonts w:ascii="宋体" w:hAnsi="宋体" w:cs="宋体"/>
                <w:sz w:val="20"/>
                <w:szCs w:val="20"/>
              </w:rPr>
            </w:pPr>
            <w:r>
              <w:rPr>
                <w:rFonts w:hint="eastAsia" w:ascii="宋体" w:hAnsi="宋体" w:cs="宋体"/>
                <w:sz w:val="20"/>
                <w:szCs w:val="20"/>
              </w:rPr>
              <w:t>《复印机、打印机和传真机能效限定值及能效等级》（GB21521）</w:t>
            </w:r>
          </w:p>
        </w:tc>
      </w:tr>
      <w:tr w14:paraId="373D0E15">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vAlign w:val="center"/>
          </w:tcPr>
          <w:p w14:paraId="7BB5D300">
            <w:pPr>
              <w:widowControl/>
              <w:jc w:val="left"/>
              <w:rPr>
                <w:rFonts w:ascii="宋体" w:hAnsi="宋体" w:cs="宋体"/>
                <w:sz w:val="20"/>
                <w:szCs w:val="20"/>
              </w:rPr>
            </w:pPr>
          </w:p>
        </w:tc>
        <w:tc>
          <w:tcPr>
            <w:tcW w:w="0" w:type="auto"/>
            <w:vMerge w:val="continue"/>
            <w:tcBorders>
              <w:top w:val="nil"/>
              <w:left w:val="single" w:color="000000" w:sz="8" w:space="0"/>
              <w:bottom w:val="single" w:color="000000" w:sz="8" w:space="0"/>
              <w:right w:val="single" w:color="000000" w:sz="8" w:space="0"/>
            </w:tcBorders>
            <w:vAlign w:val="center"/>
          </w:tcPr>
          <w:p w14:paraId="42C38D06">
            <w:pPr>
              <w:widowControl/>
              <w:jc w:val="left"/>
              <w:rPr>
                <w:rFonts w:ascii="宋体" w:hAnsi="宋体" w:cs="宋体"/>
                <w:sz w:val="20"/>
                <w:szCs w:val="20"/>
              </w:rPr>
            </w:pPr>
          </w:p>
        </w:tc>
        <w:tc>
          <w:tcPr>
            <w:tcW w:w="0" w:type="auto"/>
            <w:vMerge w:val="continue"/>
            <w:tcBorders>
              <w:top w:val="nil"/>
              <w:left w:val="single" w:color="000000" w:sz="8" w:space="0"/>
              <w:bottom w:val="single" w:color="000000" w:sz="8" w:space="0"/>
              <w:right w:val="single" w:color="000000" w:sz="8" w:space="0"/>
            </w:tcBorders>
            <w:vAlign w:val="center"/>
          </w:tcPr>
          <w:p w14:paraId="56314CAF">
            <w:pPr>
              <w:widowControl/>
              <w:jc w:val="left"/>
              <w:rPr>
                <w:rFonts w:ascii="宋体" w:hAnsi="宋体" w:cs="宋体"/>
                <w:sz w:val="20"/>
                <w:szCs w:val="20"/>
              </w:rPr>
            </w:pPr>
          </w:p>
        </w:tc>
        <w:tc>
          <w:tcPr>
            <w:tcW w:w="1620" w:type="dxa"/>
            <w:tcBorders>
              <w:top w:val="nil"/>
              <w:left w:val="nil"/>
              <w:bottom w:val="single" w:color="000000" w:sz="8" w:space="0"/>
              <w:right w:val="single" w:color="000000" w:sz="8" w:space="0"/>
            </w:tcBorders>
            <w:noWrap/>
            <w:vAlign w:val="center"/>
          </w:tcPr>
          <w:p w14:paraId="3C74DE57">
            <w:pPr>
              <w:widowControl/>
              <w:jc w:val="center"/>
              <w:rPr>
                <w:rFonts w:ascii="宋体" w:hAnsi="宋体" w:cs="宋体"/>
                <w:sz w:val="20"/>
                <w:szCs w:val="20"/>
              </w:rPr>
            </w:pPr>
            <w:r>
              <w:rPr>
                <w:rFonts w:hint="eastAsia" w:ascii="宋体" w:hAnsi="宋体" w:cs="宋体"/>
                <w:sz w:val="20"/>
                <w:szCs w:val="20"/>
              </w:rPr>
              <w:t>★A0201060104针式打印机</w:t>
            </w:r>
          </w:p>
        </w:tc>
        <w:tc>
          <w:tcPr>
            <w:tcW w:w="4540" w:type="dxa"/>
            <w:tcBorders>
              <w:top w:val="nil"/>
              <w:left w:val="nil"/>
              <w:bottom w:val="single" w:color="000000" w:sz="8" w:space="0"/>
              <w:right w:val="single" w:color="000000" w:sz="8" w:space="0"/>
            </w:tcBorders>
            <w:noWrap/>
            <w:vAlign w:val="center"/>
          </w:tcPr>
          <w:p w14:paraId="10DB8B47">
            <w:pPr>
              <w:widowControl/>
              <w:jc w:val="left"/>
              <w:rPr>
                <w:rFonts w:ascii="宋体" w:hAnsi="宋体" w:cs="宋体"/>
                <w:sz w:val="20"/>
                <w:szCs w:val="20"/>
              </w:rPr>
            </w:pPr>
            <w:r>
              <w:rPr>
                <w:rFonts w:hint="eastAsia" w:ascii="宋体" w:hAnsi="宋体" w:cs="宋体"/>
                <w:sz w:val="20"/>
                <w:szCs w:val="20"/>
              </w:rPr>
              <w:t>《复印机、打印机和传真机能效限定值及能效等级》（GB21521）</w:t>
            </w:r>
          </w:p>
        </w:tc>
      </w:tr>
      <w:tr w14:paraId="24860935">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vAlign w:val="center"/>
          </w:tcPr>
          <w:p w14:paraId="4B5F83F7">
            <w:pPr>
              <w:widowControl/>
              <w:jc w:val="left"/>
              <w:rPr>
                <w:rFonts w:ascii="宋体" w:hAnsi="宋体" w:cs="宋体"/>
                <w:sz w:val="20"/>
                <w:szCs w:val="20"/>
              </w:rPr>
            </w:pPr>
          </w:p>
        </w:tc>
        <w:tc>
          <w:tcPr>
            <w:tcW w:w="0" w:type="auto"/>
            <w:vMerge w:val="continue"/>
            <w:tcBorders>
              <w:top w:val="nil"/>
              <w:left w:val="single" w:color="000000" w:sz="8" w:space="0"/>
              <w:bottom w:val="single" w:color="000000" w:sz="8" w:space="0"/>
              <w:right w:val="single" w:color="000000" w:sz="8" w:space="0"/>
            </w:tcBorders>
            <w:vAlign w:val="center"/>
          </w:tcPr>
          <w:p w14:paraId="4CF87D08">
            <w:pPr>
              <w:widowControl/>
              <w:jc w:val="left"/>
              <w:rPr>
                <w:rFonts w:ascii="宋体" w:hAnsi="宋体" w:cs="宋体"/>
                <w:sz w:val="20"/>
                <w:szCs w:val="20"/>
              </w:rPr>
            </w:pPr>
          </w:p>
        </w:tc>
        <w:tc>
          <w:tcPr>
            <w:tcW w:w="1320" w:type="dxa"/>
            <w:tcBorders>
              <w:top w:val="nil"/>
              <w:left w:val="nil"/>
              <w:bottom w:val="single" w:color="000000" w:sz="8" w:space="0"/>
              <w:right w:val="single" w:color="000000" w:sz="8" w:space="0"/>
            </w:tcBorders>
            <w:noWrap/>
            <w:vAlign w:val="center"/>
          </w:tcPr>
          <w:p w14:paraId="6FDD9185">
            <w:pPr>
              <w:widowControl/>
              <w:jc w:val="center"/>
              <w:rPr>
                <w:rFonts w:ascii="宋体" w:hAnsi="宋体" w:cs="宋体"/>
                <w:sz w:val="20"/>
                <w:szCs w:val="20"/>
              </w:rPr>
            </w:pPr>
            <w:r>
              <w:rPr>
                <w:rFonts w:hint="eastAsia" w:ascii="宋体" w:hAnsi="宋体" w:cs="宋体"/>
                <w:sz w:val="20"/>
                <w:szCs w:val="20"/>
              </w:rPr>
              <w:t>A02010604显示设备</w:t>
            </w:r>
          </w:p>
        </w:tc>
        <w:tc>
          <w:tcPr>
            <w:tcW w:w="1620" w:type="dxa"/>
            <w:tcBorders>
              <w:top w:val="nil"/>
              <w:left w:val="nil"/>
              <w:bottom w:val="single" w:color="000000" w:sz="8" w:space="0"/>
              <w:right w:val="single" w:color="000000" w:sz="8" w:space="0"/>
            </w:tcBorders>
            <w:noWrap/>
            <w:vAlign w:val="center"/>
          </w:tcPr>
          <w:p w14:paraId="020DF7B5">
            <w:pPr>
              <w:widowControl/>
              <w:jc w:val="center"/>
              <w:rPr>
                <w:rFonts w:ascii="宋体" w:hAnsi="宋体" w:cs="宋体"/>
                <w:sz w:val="20"/>
                <w:szCs w:val="20"/>
              </w:rPr>
            </w:pPr>
            <w:r>
              <w:rPr>
                <w:rFonts w:hint="eastAsia" w:ascii="宋体" w:hAnsi="宋体" w:cs="宋体"/>
                <w:sz w:val="20"/>
                <w:szCs w:val="20"/>
              </w:rPr>
              <w:t>★A0201060401液晶显示器</w:t>
            </w:r>
          </w:p>
        </w:tc>
        <w:tc>
          <w:tcPr>
            <w:tcW w:w="4540" w:type="dxa"/>
            <w:tcBorders>
              <w:top w:val="nil"/>
              <w:left w:val="nil"/>
              <w:bottom w:val="single" w:color="000000" w:sz="8" w:space="0"/>
              <w:right w:val="single" w:color="000000" w:sz="8" w:space="0"/>
            </w:tcBorders>
            <w:noWrap/>
            <w:vAlign w:val="center"/>
          </w:tcPr>
          <w:p w14:paraId="156CE50A">
            <w:pPr>
              <w:widowControl/>
              <w:jc w:val="left"/>
              <w:rPr>
                <w:rFonts w:ascii="宋体" w:hAnsi="宋体" w:cs="宋体"/>
                <w:sz w:val="20"/>
                <w:szCs w:val="20"/>
              </w:rPr>
            </w:pPr>
            <w:r>
              <w:rPr>
                <w:rFonts w:hint="eastAsia" w:ascii="宋体" w:hAnsi="宋体" w:cs="宋体"/>
                <w:sz w:val="20"/>
                <w:szCs w:val="20"/>
              </w:rPr>
              <w:t>《计算机显示器能效限定值及能效等级》（GB21520）</w:t>
            </w:r>
          </w:p>
        </w:tc>
      </w:tr>
      <w:tr w14:paraId="277A7B20">
        <w:tblPrEx>
          <w:tblCellMar>
            <w:top w:w="0" w:type="dxa"/>
            <w:left w:w="108" w:type="dxa"/>
            <w:bottom w:w="0" w:type="dxa"/>
            <w:right w:w="108" w:type="dxa"/>
          </w:tblCellMar>
        </w:tblPrEx>
        <w:trPr>
          <w:trHeight w:val="975" w:hRule="atLeast"/>
        </w:trPr>
        <w:tc>
          <w:tcPr>
            <w:tcW w:w="0" w:type="auto"/>
            <w:vMerge w:val="continue"/>
            <w:tcBorders>
              <w:top w:val="nil"/>
              <w:left w:val="single" w:color="000000" w:sz="8" w:space="0"/>
              <w:bottom w:val="single" w:color="000000" w:sz="8" w:space="0"/>
              <w:right w:val="single" w:color="000000" w:sz="8" w:space="0"/>
            </w:tcBorders>
            <w:vAlign w:val="center"/>
          </w:tcPr>
          <w:p w14:paraId="216FBC53">
            <w:pPr>
              <w:widowControl/>
              <w:jc w:val="left"/>
              <w:rPr>
                <w:rFonts w:ascii="宋体" w:hAnsi="宋体" w:cs="宋体"/>
                <w:sz w:val="20"/>
                <w:szCs w:val="20"/>
              </w:rPr>
            </w:pPr>
          </w:p>
        </w:tc>
        <w:tc>
          <w:tcPr>
            <w:tcW w:w="0" w:type="auto"/>
            <w:vMerge w:val="continue"/>
            <w:tcBorders>
              <w:top w:val="nil"/>
              <w:left w:val="single" w:color="000000" w:sz="8" w:space="0"/>
              <w:bottom w:val="single" w:color="000000" w:sz="8" w:space="0"/>
              <w:right w:val="single" w:color="000000" w:sz="8" w:space="0"/>
            </w:tcBorders>
            <w:vAlign w:val="center"/>
          </w:tcPr>
          <w:p w14:paraId="0B44F2D5">
            <w:pPr>
              <w:widowControl/>
              <w:jc w:val="left"/>
              <w:rPr>
                <w:rFonts w:ascii="宋体" w:hAnsi="宋体" w:cs="宋体"/>
                <w:sz w:val="20"/>
                <w:szCs w:val="20"/>
              </w:rPr>
            </w:pPr>
          </w:p>
        </w:tc>
        <w:tc>
          <w:tcPr>
            <w:tcW w:w="1320" w:type="dxa"/>
            <w:tcBorders>
              <w:top w:val="nil"/>
              <w:left w:val="nil"/>
              <w:bottom w:val="single" w:color="000000" w:sz="8" w:space="0"/>
              <w:right w:val="single" w:color="000000" w:sz="8" w:space="0"/>
            </w:tcBorders>
            <w:noWrap/>
            <w:vAlign w:val="center"/>
          </w:tcPr>
          <w:p w14:paraId="3ABF4529">
            <w:pPr>
              <w:widowControl/>
              <w:jc w:val="center"/>
              <w:rPr>
                <w:rFonts w:ascii="宋体" w:hAnsi="宋体" w:cs="宋体"/>
                <w:sz w:val="20"/>
                <w:szCs w:val="20"/>
              </w:rPr>
            </w:pPr>
            <w:r>
              <w:rPr>
                <w:rFonts w:hint="eastAsia" w:ascii="宋体" w:hAnsi="宋体" w:cs="宋体"/>
                <w:sz w:val="20"/>
                <w:szCs w:val="20"/>
              </w:rPr>
              <w:t>A02010609图形图像输入设备</w:t>
            </w:r>
          </w:p>
        </w:tc>
        <w:tc>
          <w:tcPr>
            <w:tcW w:w="1620" w:type="dxa"/>
            <w:tcBorders>
              <w:top w:val="nil"/>
              <w:left w:val="nil"/>
              <w:bottom w:val="single" w:color="000000" w:sz="8" w:space="0"/>
              <w:right w:val="single" w:color="000000" w:sz="8" w:space="0"/>
            </w:tcBorders>
            <w:noWrap/>
            <w:vAlign w:val="center"/>
          </w:tcPr>
          <w:p w14:paraId="7F5E4C5C">
            <w:pPr>
              <w:widowControl/>
              <w:jc w:val="center"/>
              <w:rPr>
                <w:rFonts w:ascii="宋体" w:hAnsi="宋体" w:cs="宋体"/>
                <w:sz w:val="20"/>
                <w:szCs w:val="20"/>
              </w:rPr>
            </w:pPr>
            <w:r>
              <w:rPr>
                <w:rFonts w:hint="eastAsia" w:ascii="宋体" w:hAnsi="宋体" w:cs="宋体"/>
                <w:sz w:val="20"/>
                <w:szCs w:val="20"/>
              </w:rPr>
              <w:t>A0201060901扫描仪</w:t>
            </w:r>
          </w:p>
        </w:tc>
        <w:tc>
          <w:tcPr>
            <w:tcW w:w="4540" w:type="dxa"/>
            <w:tcBorders>
              <w:top w:val="nil"/>
              <w:left w:val="nil"/>
              <w:bottom w:val="single" w:color="000000" w:sz="8" w:space="0"/>
              <w:right w:val="single" w:color="000000" w:sz="8" w:space="0"/>
            </w:tcBorders>
            <w:noWrap/>
            <w:vAlign w:val="center"/>
          </w:tcPr>
          <w:p w14:paraId="02B73FAF">
            <w:pPr>
              <w:widowControl/>
              <w:jc w:val="left"/>
              <w:rPr>
                <w:rFonts w:ascii="宋体" w:hAnsi="宋体" w:cs="宋体"/>
                <w:sz w:val="20"/>
                <w:szCs w:val="20"/>
              </w:rPr>
            </w:pPr>
            <w:r>
              <w:rPr>
                <w:rFonts w:hint="eastAsia" w:ascii="宋体" w:hAnsi="宋体" w:cs="宋体"/>
                <w:sz w:val="20"/>
                <w:szCs w:val="20"/>
              </w:rPr>
              <w:t>参照《复印机、打印机和传真机能效限定值及能效等级》（GB21521中打印速度为15页/分的针式打印机相关要求中打印速度为15页/分的针式打印机相关要求</w:t>
            </w:r>
          </w:p>
        </w:tc>
      </w:tr>
      <w:tr w14:paraId="36984DA8">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ign w:val="center"/>
          </w:tcPr>
          <w:p w14:paraId="49147966">
            <w:pPr>
              <w:widowControl/>
              <w:jc w:val="center"/>
              <w:rPr>
                <w:rFonts w:ascii="宋体" w:hAnsi="宋体" w:cs="宋体"/>
                <w:sz w:val="20"/>
                <w:szCs w:val="20"/>
              </w:rPr>
            </w:pPr>
            <w:r>
              <w:rPr>
                <w:rFonts w:hint="eastAsia" w:ascii="宋体" w:hAnsi="宋体" w:cs="宋体"/>
                <w:sz w:val="20"/>
                <w:szCs w:val="20"/>
              </w:rPr>
              <w:t>3</w:t>
            </w:r>
          </w:p>
        </w:tc>
        <w:tc>
          <w:tcPr>
            <w:tcW w:w="1080" w:type="dxa"/>
            <w:tcBorders>
              <w:top w:val="nil"/>
              <w:left w:val="nil"/>
              <w:bottom w:val="single" w:color="000000" w:sz="8" w:space="0"/>
              <w:right w:val="single" w:color="000000" w:sz="8" w:space="0"/>
            </w:tcBorders>
            <w:noWrap/>
            <w:vAlign w:val="center"/>
          </w:tcPr>
          <w:p w14:paraId="5820C255">
            <w:pPr>
              <w:widowControl/>
              <w:jc w:val="center"/>
              <w:rPr>
                <w:rFonts w:ascii="宋体" w:hAnsi="宋体" w:cs="宋体"/>
                <w:sz w:val="20"/>
                <w:szCs w:val="20"/>
              </w:rPr>
            </w:pPr>
            <w:r>
              <w:rPr>
                <w:rFonts w:hint="eastAsia" w:ascii="宋体" w:hAnsi="宋体" w:cs="宋体"/>
                <w:sz w:val="20"/>
                <w:szCs w:val="20"/>
              </w:rPr>
              <w:t>A020202投影仪</w:t>
            </w:r>
          </w:p>
        </w:tc>
        <w:tc>
          <w:tcPr>
            <w:tcW w:w="1320" w:type="dxa"/>
            <w:tcBorders>
              <w:top w:val="nil"/>
              <w:left w:val="nil"/>
              <w:bottom w:val="single" w:color="000000" w:sz="8" w:space="0"/>
              <w:right w:val="single" w:color="000000" w:sz="8" w:space="0"/>
            </w:tcBorders>
            <w:noWrap/>
            <w:vAlign w:val="center"/>
          </w:tcPr>
          <w:p w14:paraId="6F32A672">
            <w:pPr>
              <w:widowControl/>
              <w:jc w:val="center"/>
              <w:rPr>
                <w:rFonts w:ascii="宋体" w:hAnsi="宋体" w:cs="宋体"/>
                <w:sz w:val="20"/>
                <w:szCs w:val="20"/>
              </w:rPr>
            </w:pPr>
            <w:r>
              <w:rPr>
                <w:rFonts w:hint="eastAsia" w:ascii="宋体" w:hAnsi="宋体" w:cs="宋体"/>
                <w:sz w:val="20"/>
                <w:szCs w:val="20"/>
              </w:rPr>
              <w:t>　</w:t>
            </w:r>
          </w:p>
        </w:tc>
        <w:tc>
          <w:tcPr>
            <w:tcW w:w="1620" w:type="dxa"/>
            <w:tcBorders>
              <w:top w:val="nil"/>
              <w:left w:val="nil"/>
              <w:bottom w:val="single" w:color="000000" w:sz="8" w:space="0"/>
              <w:right w:val="single" w:color="000000" w:sz="8" w:space="0"/>
            </w:tcBorders>
            <w:noWrap/>
            <w:vAlign w:val="center"/>
          </w:tcPr>
          <w:p w14:paraId="09350ED9">
            <w:pPr>
              <w:widowControl/>
              <w:jc w:val="center"/>
              <w:rPr>
                <w:rFonts w:ascii="宋体" w:hAnsi="宋体" w:cs="宋体"/>
                <w:sz w:val="20"/>
                <w:szCs w:val="20"/>
              </w:rPr>
            </w:pPr>
            <w:r>
              <w:rPr>
                <w:rFonts w:hint="eastAsia" w:ascii="宋体" w:hAnsi="宋体" w:cs="宋体"/>
                <w:sz w:val="20"/>
                <w:szCs w:val="20"/>
              </w:rPr>
              <w:t>　</w:t>
            </w:r>
          </w:p>
        </w:tc>
        <w:tc>
          <w:tcPr>
            <w:tcW w:w="4540" w:type="dxa"/>
            <w:tcBorders>
              <w:top w:val="nil"/>
              <w:left w:val="nil"/>
              <w:bottom w:val="single" w:color="000000" w:sz="8" w:space="0"/>
              <w:right w:val="single" w:color="000000" w:sz="8" w:space="0"/>
            </w:tcBorders>
            <w:noWrap/>
            <w:vAlign w:val="center"/>
          </w:tcPr>
          <w:p w14:paraId="2975C071">
            <w:pPr>
              <w:widowControl/>
              <w:jc w:val="left"/>
              <w:rPr>
                <w:rFonts w:ascii="宋体" w:hAnsi="宋体" w:cs="宋体"/>
                <w:sz w:val="20"/>
                <w:szCs w:val="20"/>
              </w:rPr>
            </w:pPr>
            <w:r>
              <w:rPr>
                <w:rFonts w:hint="eastAsia" w:ascii="宋体" w:hAnsi="宋体" w:cs="宋体"/>
                <w:sz w:val="20"/>
                <w:szCs w:val="20"/>
              </w:rPr>
              <w:t>《投影机能效限定值及能效等级》（GB32028）</w:t>
            </w:r>
          </w:p>
        </w:tc>
      </w:tr>
      <w:tr w14:paraId="491FF046">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ign w:val="center"/>
          </w:tcPr>
          <w:p w14:paraId="2E4A177E">
            <w:pPr>
              <w:widowControl/>
              <w:jc w:val="center"/>
              <w:rPr>
                <w:rFonts w:ascii="宋体" w:hAnsi="宋体" w:cs="宋体"/>
                <w:sz w:val="20"/>
                <w:szCs w:val="20"/>
              </w:rPr>
            </w:pPr>
            <w:r>
              <w:rPr>
                <w:rFonts w:hint="eastAsia" w:ascii="宋体" w:hAnsi="宋体" w:cs="宋体"/>
                <w:sz w:val="20"/>
                <w:szCs w:val="20"/>
              </w:rPr>
              <w:t>4</w:t>
            </w:r>
          </w:p>
        </w:tc>
        <w:tc>
          <w:tcPr>
            <w:tcW w:w="1080" w:type="dxa"/>
            <w:tcBorders>
              <w:top w:val="nil"/>
              <w:left w:val="nil"/>
              <w:bottom w:val="single" w:color="000000" w:sz="8" w:space="0"/>
              <w:right w:val="single" w:color="000000" w:sz="8" w:space="0"/>
            </w:tcBorders>
            <w:noWrap/>
            <w:vAlign w:val="center"/>
          </w:tcPr>
          <w:p w14:paraId="66E0CA0E">
            <w:pPr>
              <w:widowControl/>
              <w:jc w:val="center"/>
              <w:rPr>
                <w:rFonts w:ascii="宋体" w:hAnsi="宋体" w:cs="宋体"/>
                <w:sz w:val="20"/>
                <w:szCs w:val="20"/>
              </w:rPr>
            </w:pPr>
            <w:r>
              <w:rPr>
                <w:rFonts w:hint="eastAsia" w:ascii="宋体" w:hAnsi="宋体" w:cs="宋体"/>
                <w:sz w:val="20"/>
                <w:szCs w:val="20"/>
              </w:rPr>
              <w:t>A020204多功能一体机</w:t>
            </w:r>
          </w:p>
        </w:tc>
        <w:tc>
          <w:tcPr>
            <w:tcW w:w="1320" w:type="dxa"/>
            <w:tcBorders>
              <w:top w:val="nil"/>
              <w:left w:val="nil"/>
              <w:bottom w:val="single" w:color="000000" w:sz="8" w:space="0"/>
              <w:right w:val="single" w:color="000000" w:sz="8" w:space="0"/>
            </w:tcBorders>
            <w:noWrap/>
            <w:vAlign w:val="center"/>
          </w:tcPr>
          <w:p w14:paraId="5148B9B0">
            <w:pPr>
              <w:widowControl/>
              <w:jc w:val="center"/>
              <w:rPr>
                <w:rFonts w:ascii="宋体" w:hAnsi="宋体" w:cs="宋体"/>
                <w:sz w:val="20"/>
                <w:szCs w:val="20"/>
              </w:rPr>
            </w:pPr>
            <w:r>
              <w:rPr>
                <w:rFonts w:hint="eastAsia" w:ascii="宋体" w:hAnsi="宋体" w:cs="宋体"/>
                <w:sz w:val="20"/>
                <w:szCs w:val="20"/>
              </w:rPr>
              <w:t>　</w:t>
            </w:r>
          </w:p>
        </w:tc>
        <w:tc>
          <w:tcPr>
            <w:tcW w:w="1620" w:type="dxa"/>
            <w:tcBorders>
              <w:top w:val="nil"/>
              <w:left w:val="nil"/>
              <w:bottom w:val="single" w:color="000000" w:sz="8" w:space="0"/>
              <w:right w:val="single" w:color="000000" w:sz="8" w:space="0"/>
            </w:tcBorders>
            <w:noWrap/>
            <w:vAlign w:val="center"/>
          </w:tcPr>
          <w:p w14:paraId="668C2C03">
            <w:pPr>
              <w:widowControl/>
              <w:jc w:val="center"/>
              <w:rPr>
                <w:rFonts w:ascii="宋体" w:hAnsi="宋体" w:cs="宋体"/>
                <w:sz w:val="20"/>
                <w:szCs w:val="20"/>
              </w:rPr>
            </w:pPr>
            <w:r>
              <w:rPr>
                <w:rFonts w:hint="eastAsia" w:ascii="宋体" w:hAnsi="宋体" w:cs="宋体"/>
                <w:sz w:val="20"/>
                <w:szCs w:val="20"/>
              </w:rPr>
              <w:t>　</w:t>
            </w:r>
          </w:p>
        </w:tc>
        <w:tc>
          <w:tcPr>
            <w:tcW w:w="4540" w:type="dxa"/>
            <w:tcBorders>
              <w:top w:val="nil"/>
              <w:left w:val="nil"/>
              <w:bottom w:val="single" w:color="000000" w:sz="8" w:space="0"/>
              <w:right w:val="single" w:color="000000" w:sz="8" w:space="0"/>
            </w:tcBorders>
            <w:noWrap/>
            <w:vAlign w:val="center"/>
          </w:tcPr>
          <w:p w14:paraId="0DB151EB">
            <w:pPr>
              <w:widowControl/>
              <w:jc w:val="left"/>
              <w:rPr>
                <w:rFonts w:ascii="宋体" w:hAnsi="宋体" w:cs="宋体"/>
                <w:sz w:val="20"/>
                <w:szCs w:val="20"/>
              </w:rPr>
            </w:pPr>
            <w:r>
              <w:rPr>
                <w:rFonts w:hint="eastAsia" w:ascii="宋体" w:hAnsi="宋体" w:cs="宋体"/>
                <w:sz w:val="20"/>
                <w:szCs w:val="20"/>
              </w:rPr>
              <w:t>《复印机、打印机和传真机能效限定值及能效等级》（GB21521）</w:t>
            </w:r>
          </w:p>
        </w:tc>
      </w:tr>
      <w:tr w14:paraId="37E1221C">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ign w:val="center"/>
          </w:tcPr>
          <w:p w14:paraId="25621EBB">
            <w:pPr>
              <w:widowControl/>
              <w:jc w:val="center"/>
              <w:rPr>
                <w:rFonts w:ascii="宋体" w:hAnsi="宋体" w:cs="宋体"/>
                <w:sz w:val="20"/>
                <w:szCs w:val="20"/>
              </w:rPr>
            </w:pPr>
            <w:r>
              <w:rPr>
                <w:rFonts w:hint="eastAsia" w:ascii="宋体" w:hAnsi="宋体" w:cs="宋体"/>
                <w:sz w:val="20"/>
                <w:szCs w:val="20"/>
              </w:rPr>
              <w:t>5</w:t>
            </w:r>
          </w:p>
        </w:tc>
        <w:tc>
          <w:tcPr>
            <w:tcW w:w="1080" w:type="dxa"/>
            <w:tcBorders>
              <w:top w:val="nil"/>
              <w:left w:val="nil"/>
              <w:bottom w:val="single" w:color="000000" w:sz="8" w:space="0"/>
              <w:right w:val="single" w:color="000000" w:sz="8" w:space="0"/>
            </w:tcBorders>
            <w:noWrap/>
            <w:vAlign w:val="center"/>
          </w:tcPr>
          <w:p w14:paraId="41A33E3F">
            <w:pPr>
              <w:widowControl/>
              <w:jc w:val="center"/>
              <w:rPr>
                <w:rFonts w:ascii="宋体" w:hAnsi="宋体" w:cs="宋体"/>
                <w:sz w:val="20"/>
                <w:szCs w:val="20"/>
              </w:rPr>
            </w:pPr>
            <w:r>
              <w:rPr>
                <w:rFonts w:hint="eastAsia" w:ascii="宋体" w:hAnsi="宋体" w:cs="宋体"/>
                <w:sz w:val="20"/>
                <w:szCs w:val="20"/>
              </w:rPr>
              <w:t>A020519泵</w:t>
            </w:r>
          </w:p>
        </w:tc>
        <w:tc>
          <w:tcPr>
            <w:tcW w:w="1320" w:type="dxa"/>
            <w:tcBorders>
              <w:top w:val="nil"/>
              <w:left w:val="nil"/>
              <w:bottom w:val="single" w:color="000000" w:sz="8" w:space="0"/>
              <w:right w:val="single" w:color="000000" w:sz="8" w:space="0"/>
            </w:tcBorders>
            <w:noWrap/>
            <w:vAlign w:val="center"/>
          </w:tcPr>
          <w:p w14:paraId="6C09BAB8">
            <w:pPr>
              <w:widowControl/>
              <w:jc w:val="center"/>
              <w:rPr>
                <w:rFonts w:ascii="宋体" w:hAnsi="宋体" w:cs="宋体"/>
                <w:sz w:val="20"/>
                <w:szCs w:val="20"/>
              </w:rPr>
            </w:pPr>
            <w:r>
              <w:rPr>
                <w:rFonts w:hint="eastAsia" w:ascii="宋体" w:hAnsi="宋体" w:cs="宋体"/>
                <w:sz w:val="20"/>
                <w:szCs w:val="20"/>
              </w:rPr>
              <w:t>A02051901离心泵</w:t>
            </w:r>
          </w:p>
        </w:tc>
        <w:tc>
          <w:tcPr>
            <w:tcW w:w="1620" w:type="dxa"/>
            <w:tcBorders>
              <w:top w:val="nil"/>
              <w:left w:val="nil"/>
              <w:bottom w:val="single" w:color="000000" w:sz="8" w:space="0"/>
              <w:right w:val="single" w:color="000000" w:sz="8" w:space="0"/>
            </w:tcBorders>
            <w:noWrap/>
            <w:vAlign w:val="center"/>
          </w:tcPr>
          <w:p w14:paraId="03182C9C">
            <w:pPr>
              <w:widowControl/>
              <w:jc w:val="center"/>
              <w:rPr>
                <w:rFonts w:ascii="宋体" w:hAnsi="宋体" w:cs="宋体"/>
                <w:sz w:val="20"/>
                <w:szCs w:val="20"/>
              </w:rPr>
            </w:pPr>
            <w:r>
              <w:rPr>
                <w:rFonts w:hint="eastAsia" w:ascii="宋体" w:hAnsi="宋体" w:cs="宋体"/>
                <w:sz w:val="20"/>
                <w:szCs w:val="20"/>
              </w:rPr>
              <w:t>　</w:t>
            </w:r>
          </w:p>
        </w:tc>
        <w:tc>
          <w:tcPr>
            <w:tcW w:w="4540" w:type="dxa"/>
            <w:tcBorders>
              <w:top w:val="nil"/>
              <w:left w:val="nil"/>
              <w:bottom w:val="single" w:color="000000" w:sz="8" w:space="0"/>
              <w:right w:val="single" w:color="000000" w:sz="8" w:space="0"/>
            </w:tcBorders>
            <w:noWrap/>
            <w:vAlign w:val="center"/>
          </w:tcPr>
          <w:p w14:paraId="35510CFC">
            <w:pPr>
              <w:widowControl/>
              <w:jc w:val="left"/>
              <w:rPr>
                <w:rFonts w:ascii="宋体" w:hAnsi="宋体" w:cs="宋体"/>
                <w:sz w:val="20"/>
                <w:szCs w:val="20"/>
              </w:rPr>
            </w:pPr>
            <w:r>
              <w:rPr>
                <w:rFonts w:hint="eastAsia" w:ascii="宋体" w:hAnsi="宋体" w:cs="宋体"/>
                <w:sz w:val="20"/>
                <w:szCs w:val="20"/>
              </w:rPr>
              <w:t>《清水离心泵能效限定值及节能评价值》（GB19762）</w:t>
            </w:r>
          </w:p>
        </w:tc>
      </w:tr>
      <w:tr w14:paraId="4F0E1713">
        <w:tblPrEx>
          <w:tblCellMar>
            <w:top w:w="0" w:type="dxa"/>
            <w:left w:w="108" w:type="dxa"/>
            <w:bottom w:w="0" w:type="dxa"/>
            <w:right w:w="108" w:type="dxa"/>
          </w:tblCellMar>
        </w:tblPrEx>
        <w:trPr>
          <w:trHeight w:val="735" w:hRule="atLeast"/>
        </w:trPr>
        <w:tc>
          <w:tcPr>
            <w:tcW w:w="660" w:type="dxa"/>
            <w:vMerge w:val="restart"/>
            <w:tcBorders>
              <w:top w:val="nil"/>
              <w:left w:val="single" w:color="000000" w:sz="8" w:space="0"/>
              <w:bottom w:val="single" w:color="000000" w:sz="8" w:space="0"/>
              <w:right w:val="single" w:color="000000" w:sz="8" w:space="0"/>
            </w:tcBorders>
            <w:noWrap/>
            <w:vAlign w:val="center"/>
          </w:tcPr>
          <w:p w14:paraId="36B95691">
            <w:pPr>
              <w:widowControl/>
              <w:jc w:val="center"/>
              <w:rPr>
                <w:rFonts w:ascii="宋体" w:hAnsi="宋体" w:cs="宋体"/>
                <w:sz w:val="20"/>
                <w:szCs w:val="20"/>
              </w:rPr>
            </w:pPr>
            <w:r>
              <w:rPr>
                <w:rFonts w:hint="eastAsia" w:ascii="宋体" w:hAnsi="宋体" w:cs="宋体"/>
                <w:sz w:val="20"/>
                <w:szCs w:val="20"/>
              </w:rPr>
              <w:t>6</w:t>
            </w:r>
          </w:p>
        </w:tc>
        <w:tc>
          <w:tcPr>
            <w:tcW w:w="1080" w:type="dxa"/>
            <w:vMerge w:val="restart"/>
            <w:tcBorders>
              <w:top w:val="nil"/>
              <w:left w:val="single" w:color="000000" w:sz="8" w:space="0"/>
              <w:bottom w:val="single" w:color="000000" w:sz="8" w:space="0"/>
              <w:right w:val="single" w:color="000000" w:sz="8" w:space="0"/>
            </w:tcBorders>
            <w:noWrap/>
            <w:vAlign w:val="center"/>
          </w:tcPr>
          <w:p w14:paraId="47097CA5">
            <w:pPr>
              <w:widowControl/>
              <w:jc w:val="center"/>
              <w:rPr>
                <w:rFonts w:ascii="宋体" w:hAnsi="宋体" w:cs="宋体"/>
                <w:sz w:val="20"/>
                <w:szCs w:val="20"/>
              </w:rPr>
            </w:pPr>
            <w:r>
              <w:rPr>
                <w:rFonts w:hint="eastAsia" w:ascii="宋体" w:hAnsi="宋体" w:cs="宋体"/>
                <w:sz w:val="20"/>
                <w:szCs w:val="20"/>
              </w:rPr>
              <w:t>A020523制冷空调设备</w:t>
            </w:r>
          </w:p>
        </w:tc>
        <w:tc>
          <w:tcPr>
            <w:tcW w:w="1320" w:type="dxa"/>
            <w:vMerge w:val="restart"/>
            <w:tcBorders>
              <w:top w:val="nil"/>
              <w:left w:val="single" w:color="000000" w:sz="8" w:space="0"/>
              <w:bottom w:val="single" w:color="000000" w:sz="8" w:space="0"/>
              <w:right w:val="single" w:color="000000" w:sz="8" w:space="0"/>
            </w:tcBorders>
            <w:noWrap/>
            <w:vAlign w:val="center"/>
          </w:tcPr>
          <w:p w14:paraId="501567AC">
            <w:pPr>
              <w:widowControl/>
              <w:jc w:val="center"/>
              <w:rPr>
                <w:rFonts w:ascii="宋体" w:hAnsi="宋体" w:cs="宋体"/>
                <w:sz w:val="20"/>
                <w:szCs w:val="20"/>
              </w:rPr>
            </w:pPr>
            <w:r>
              <w:rPr>
                <w:rFonts w:hint="eastAsia" w:ascii="宋体" w:hAnsi="宋体" w:cs="宋体"/>
                <w:sz w:val="20"/>
                <w:szCs w:val="20"/>
              </w:rPr>
              <w:t>★A02052301制冷压缩机</w:t>
            </w:r>
          </w:p>
        </w:tc>
        <w:tc>
          <w:tcPr>
            <w:tcW w:w="1620" w:type="dxa"/>
            <w:tcBorders>
              <w:top w:val="nil"/>
              <w:left w:val="nil"/>
              <w:bottom w:val="single" w:color="000000" w:sz="8" w:space="0"/>
              <w:right w:val="single" w:color="000000" w:sz="8" w:space="0"/>
            </w:tcBorders>
            <w:noWrap/>
            <w:vAlign w:val="center"/>
          </w:tcPr>
          <w:p w14:paraId="79D6E019">
            <w:pPr>
              <w:widowControl/>
              <w:jc w:val="center"/>
              <w:rPr>
                <w:rFonts w:ascii="宋体" w:hAnsi="宋体" w:cs="宋体"/>
                <w:sz w:val="20"/>
                <w:szCs w:val="20"/>
              </w:rPr>
            </w:pPr>
            <w:r>
              <w:rPr>
                <w:rFonts w:hint="eastAsia" w:ascii="宋体" w:hAnsi="宋体" w:cs="宋体"/>
                <w:sz w:val="20"/>
                <w:szCs w:val="20"/>
              </w:rPr>
              <w:t>冷水机组</w:t>
            </w:r>
          </w:p>
        </w:tc>
        <w:tc>
          <w:tcPr>
            <w:tcW w:w="4540" w:type="dxa"/>
            <w:tcBorders>
              <w:top w:val="nil"/>
              <w:left w:val="nil"/>
              <w:bottom w:val="single" w:color="000000" w:sz="8" w:space="0"/>
              <w:right w:val="single" w:color="000000" w:sz="8" w:space="0"/>
            </w:tcBorders>
            <w:noWrap/>
            <w:vAlign w:val="center"/>
          </w:tcPr>
          <w:p w14:paraId="7DB63793">
            <w:pPr>
              <w:widowControl/>
              <w:jc w:val="left"/>
              <w:rPr>
                <w:rFonts w:ascii="宋体" w:hAnsi="宋体" w:cs="宋体"/>
                <w:sz w:val="20"/>
                <w:szCs w:val="20"/>
              </w:rPr>
            </w:pPr>
            <w:r>
              <w:rPr>
                <w:rFonts w:hint="eastAsia" w:ascii="宋体" w:hAnsi="宋体" w:cs="宋体"/>
                <w:sz w:val="20"/>
                <w:szCs w:val="20"/>
              </w:rPr>
              <w:t>《冷水机组能效限定值及能效等级》（GB19577），《低环境温度空气源热泵（冷水）机组能效限定值及能效等级》（GB37480）</w:t>
            </w:r>
          </w:p>
        </w:tc>
      </w:tr>
      <w:tr w14:paraId="216C4231">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vAlign w:val="center"/>
          </w:tcPr>
          <w:p w14:paraId="706D2415">
            <w:pPr>
              <w:widowControl/>
              <w:jc w:val="left"/>
              <w:rPr>
                <w:rFonts w:ascii="宋体" w:hAnsi="宋体" w:cs="宋体"/>
                <w:sz w:val="20"/>
                <w:szCs w:val="20"/>
              </w:rPr>
            </w:pPr>
          </w:p>
        </w:tc>
        <w:tc>
          <w:tcPr>
            <w:tcW w:w="0" w:type="auto"/>
            <w:vMerge w:val="continue"/>
            <w:tcBorders>
              <w:top w:val="nil"/>
              <w:left w:val="single" w:color="000000" w:sz="8" w:space="0"/>
              <w:bottom w:val="single" w:color="000000" w:sz="8" w:space="0"/>
              <w:right w:val="single" w:color="000000" w:sz="8" w:space="0"/>
            </w:tcBorders>
            <w:vAlign w:val="center"/>
          </w:tcPr>
          <w:p w14:paraId="07E1E6FB">
            <w:pPr>
              <w:widowControl/>
              <w:jc w:val="left"/>
              <w:rPr>
                <w:rFonts w:ascii="宋体" w:hAnsi="宋体" w:cs="宋体"/>
                <w:sz w:val="20"/>
                <w:szCs w:val="20"/>
              </w:rPr>
            </w:pPr>
          </w:p>
        </w:tc>
        <w:tc>
          <w:tcPr>
            <w:tcW w:w="0" w:type="auto"/>
            <w:vMerge w:val="continue"/>
            <w:tcBorders>
              <w:top w:val="nil"/>
              <w:left w:val="single" w:color="000000" w:sz="8" w:space="0"/>
              <w:bottom w:val="single" w:color="000000" w:sz="8" w:space="0"/>
              <w:right w:val="single" w:color="000000" w:sz="8" w:space="0"/>
            </w:tcBorders>
            <w:vAlign w:val="center"/>
          </w:tcPr>
          <w:p w14:paraId="4182C19F">
            <w:pPr>
              <w:widowControl/>
              <w:jc w:val="left"/>
              <w:rPr>
                <w:rFonts w:ascii="宋体" w:hAnsi="宋体" w:cs="宋体"/>
                <w:sz w:val="20"/>
                <w:szCs w:val="20"/>
              </w:rPr>
            </w:pPr>
          </w:p>
        </w:tc>
        <w:tc>
          <w:tcPr>
            <w:tcW w:w="1620" w:type="dxa"/>
            <w:tcBorders>
              <w:top w:val="nil"/>
              <w:left w:val="nil"/>
              <w:bottom w:val="single" w:color="000000" w:sz="8" w:space="0"/>
              <w:right w:val="single" w:color="000000" w:sz="8" w:space="0"/>
            </w:tcBorders>
            <w:noWrap/>
            <w:vAlign w:val="center"/>
          </w:tcPr>
          <w:p w14:paraId="5D89EDD4">
            <w:pPr>
              <w:widowControl/>
              <w:jc w:val="center"/>
              <w:rPr>
                <w:rFonts w:ascii="宋体" w:hAnsi="宋体" w:cs="宋体"/>
                <w:sz w:val="20"/>
                <w:szCs w:val="20"/>
              </w:rPr>
            </w:pPr>
            <w:r>
              <w:rPr>
                <w:rFonts w:hint="eastAsia" w:ascii="宋体" w:hAnsi="宋体" w:cs="宋体"/>
                <w:sz w:val="20"/>
                <w:szCs w:val="20"/>
              </w:rPr>
              <w:t>水源热泵机组</w:t>
            </w:r>
          </w:p>
        </w:tc>
        <w:tc>
          <w:tcPr>
            <w:tcW w:w="4540" w:type="dxa"/>
            <w:tcBorders>
              <w:top w:val="nil"/>
              <w:left w:val="nil"/>
              <w:bottom w:val="single" w:color="000000" w:sz="8" w:space="0"/>
              <w:right w:val="single" w:color="000000" w:sz="8" w:space="0"/>
            </w:tcBorders>
            <w:noWrap/>
            <w:vAlign w:val="center"/>
          </w:tcPr>
          <w:p w14:paraId="52D45C65">
            <w:pPr>
              <w:widowControl/>
              <w:jc w:val="left"/>
              <w:rPr>
                <w:rFonts w:ascii="宋体" w:hAnsi="宋体" w:cs="宋体"/>
                <w:sz w:val="20"/>
                <w:szCs w:val="20"/>
              </w:rPr>
            </w:pPr>
            <w:r>
              <w:rPr>
                <w:rFonts w:hint="eastAsia" w:ascii="宋体" w:hAnsi="宋体" w:cs="宋体"/>
                <w:sz w:val="20"/>
                <w:szCs w:val="20"/>
              </w:rPr>
              <w:t>《水（地）源热泵机组能效限定值及能效等级》（GB30721）</w:t>
            </w:r>
          </w:p>
        </w:tc>
      </w:tr>
      <w:tr w14:paraId="1D00C346">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vAlign w:val="center"/>
          </w:tcPr>
          <w:p w14:paraId="115A4574">
            <w:pPr>
              <w:widowControl/>
              <w:jc w:val="left"/>
              <w:rPr>
                <w:rFonts w:ascii="宋体" w:hAnsi="宋体" w:cs="宋体"/>
                <w:sz w:val="20"/>
                <w:szCs w:val="20"/>
              </w:rPr>
            </w:pPr>
          </w:p>
        </w:tc>
        <w:tc>
          <w:tcPr>
            <w:tcW w:w="0" w:type="auto"/>
            <w:vMerge w:val="continue"/>
            <w:tcBorders>
              <w:top w:val="nil"/>
              <w:left w:val="single" w:color="000000" w:sz="8" w:space="0"/>
              <w:bottom w:val="single" w:color="000000" w:sz="8" w:space="0"/>
              <w:right w:val="single" w:color="000000" w:sz="8" w:space="0"/>
            </w:tcBorders>
            <w:vAlign w:val="center"/>
          </w:tcPr>
          <w:p w14:paraId="0CFDEB43">
            <w:pPr>
              <w:widowControl/>
              <w:jc w:val="left"/>
              <w:rPr>
                <w:rFonts w:ascii="宋体" w:hAnsi="宋体" w:cs="宋体"/>
                <w:sz w:val="20"/>
                <w:szCs w:val="20"/>
              </w:rPr>
            </w:pPr>
          </w:p>
        </w:tc>
        <w:tc>
          <w:tcPr>
            <w:tcW w:w="0" w:type="auto"/>
            <w:vMerge w:val="continue"/>
            <w:tcBorders>
              <w:top w:val="nil"/>
              <w:left w:val="single" w:color="000000" w:sz="8" w:space="0"/>
              <w:bottom w:val="single" w:color="000000" w:sz="8" w:space="0"/>
              <w:right w:val="single" w:color="000000" w:sz="8" w:space="0"/>
            </w:tcBorders>
            <w:vAlign w:val="center"/>
          </w:tcPr>
          <w:p w14:paraId="07412E82">
            <w:pPr>
              <w:widowControl/>
              <w:jc w:val="left"/>
              <w:rPr>
                <w:rFonts w:ascii="宋体" w:hAnsi="宋体" w:cs="宋体"/>
                <w:sz w:val="20"/>
                <w:szCs w:val="20"/>
              </w:rPr>
            </w:pPr>
          </w:p>
        </w:tc>
        <w:tc>
          <w:tcPr>
            <w:tcW w:w="1620" w:type="dxa"/>
            <w:tcBorders>
              <w:top w:val="nil"/>
              <w:left w:val="nil"/>
              <w:bottom w:val="single" w:color="000000" w:sz="8" w:space="0"/>
              <w:right w:val="single" w:color="000000" w:sz="8" w:space="0"/>
            </w:tcBorders>
            <w:noWrap/>
            <w:vAlign w:val="center"/>
          </w:tcPr>
          <w:p w14:paraId="1D96475C">
            <w:pPr>
              <w:widowControl/>
              <w:jc w:val="center"/>
              <w:rPr>
                <w:rFonts w:ascii="宋体" w:hAnsi="宋体" w:cs="宋体"/>
                <w:sz w:val="20"/>
                <w:szCs w:val="20"/>
              </w:rPr>
            </w:pPr>
            <w:r>
              <w:rPr>
                <w:rFonts w:hint="eastAsia" w:ascii="宋体" w:hAnsi="宋体" w:cs="宋体"/>
                <w:sz w:val="20"/>
                <w:szCs w:val="20"/>
              </w:rPr>
              <w:t>溴化锂吸收式冷水机组</w:t>
            </w:r>
          </w:p>
        </w:tc>
        <w:tc>
          <w:tcPr>
            <w:tcW w:w="4540" w:type="dxa"/>
            <w:tcBorders>
              <w:top w:val="nil"/>
              <w:left w:val="nil"/>
              <w:bottom w:val="single" w:color="000000" w:sz="8" w:space="0"/>
              <w:right w:val="single" w:color="000000" w:sz="8" w:space="0"/>
            </w:tcBorders>
            <w:noWrap/>
            <w:vAlign w:val="center"/>
          </w:tcPr>
          <w:p w14:paraId="5D8D10B5">
            <w:pPr>
              <w:widowControl/>
              <w:jc w:val="left"/>
              <w:rPr>
                <w:rFonts w:ascii="宋体" w:hAnsi="宋体" w:cs="宋体"/>
                <w:sz w:val="20"/>
                <w:szCs w:val="20"/>
              </w:rPr>
            </w:pPr>
            <w:r>
              <w:rPr>
                <w:rFonts w:hint="eastAsia" w:ascii="宋体" w:hAnsi="宋体" w:cs="宋体"/>
                <w:sz w:val="20"/>
                <w:szCs w:val="20"/>
              </w:rPr>
              <w:t>《溴化锂吸收式冷水机组能效限定值及能效等级》（GB29540）</w:t>
            </w:r>
          </w:p>
        </w:tc>
      </w:tr>
      <w:tr w14:paraId="2D89D68B">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vAlign w:val="center"/>
          </w:tcPr>
          <w:p w14:paraId="38B39F89">
            <w:pPr>
              <w:widowControl/>
              <w:jc w:val="left"/>
              <w:rPr>
                <w:rFonts w:ascii="宋体" w:hAnsi="宋体" w:cs="宋体"/>
                <w:sz w:val="20"/>
                <w:szCs w:val="20"/>
              </w:rPr>
            </w:pPr>
          </w:p>
        </w:tc>
        <w:tc>
          <w:tcPr>
            <w:tcW w:w="0" w:type="auto"/>
            <w:vMerge w:val="continue"/>
            <w:tcBorders>
              <w:top w:val="nil"/>
              <w:left w:val="single" w:color="000000" w:sz="8" w:space="0"/>
              <w:bottom w:val="single" w:color="000000" w:sz="8" w:space="0"/>
              <w:right w:val="single" w:color="000000" w:sz="8" w:space="0"/>
            </w:tcBorders>
            <w:vAlign w:val="center"/>
          </w:tcPr>
          <w:p w14:paraId="354DCEB3">
            <w:pPr>
              <w:widowControl/>
              <w:jc w:val="left"/>
              <w:rPr>
                <w:rFonts w:ascii="宋体" w:hAnsi="宋体" w:cs="宋体"/>
                <w:sz w:val="20"/>
                <w:szCs w:val="20"/>
              </w:rPr>
            </w:pPr>
          </w:p>
        </w:tc>
        <w:tc>
          <w:tcPr>
            <w:tcW w:w="1320" w:type="dxa"/>
            <w:vMerge w:val="restart"/>
            <w:tcBorders>
              <w:top w:val="nil"/>
              <w:left w:val="single" w:color="000000" w:sz="8" w:space="0"/>
              <w:bottom w:val="single" w:color="000000" w:sz="8" w:space="0"/>
              <w:right w:val="single" w:color="000000" w:sz="8" w:space="0"/>
            </w:tcBorders>
            <w:noWrap/>
            <w:vAlign w:val="center"/>
          </w:tcPr>
          <w:p w14:paraId="250552B6">
            <w:pPr>
              <w:widowControl/>
              <w:jc w:val="center"/>
              <w:rPr>
                <w:rFonts w:ascii="宋体" w:hAnsi="宋体" w:cs="宋体"/>
                <w:sz w:val="20"/>
                <w:szCs w:val="20"/>
              </w:rPr>
            </w:pPr>
            <w:r>
              <w:rPr>
                <w:rFonts w:hint="eastAsia" w:ascii="宋体" w:hAnsi="宋体" w:cs="宋体"/>
                <w:sz w:val="20"/>
                <w:szCs w:val="20"/>
              </w:rPr>
              <w:t>★A02052305空调机组</w:t>
            </w:r>
          </w:p>
        </w:tc>
        <w:tc>
          <w:tcPr>
            <w:tcW w:w="1620" w:type="dxa"/>
            <w:tcBorders>
              <w:top w:val="nil"/>
              <w:left w:val="nil"/>
              <w:bottom w:val="single" w:color="000000" w:sz="8" w:space="0"/>
              <w:right w:val="single" w:color="000000" w:sz="8" w:space="0"/>
            </w:tcBorders>
            <w:noWrap/>
            <w:vAlign w:val="center"/>
          </w:tcPr>
          <w:p w14:paraId="1A954535">
            <w:pPr>
              <w:widowControl/>
              <w:jc w:val="center"/>
              <w:rPr>
                <w:rFonts w:ascii="宋体" w:hAnsi="宋体" w:cs="宋体"/>
                <w:sz w:val="20"/>
                <w:szCs w:val="20"/>
              </w:rPr>
            </w:pPr>
            <w:r>
              <w:rPr>
                <w:rFonts w:hint="eastAsia" w:ascii="宋体" w:hAnsi="宋体" w:cs="宋体"/>
                <w:sz w:val="20"/>
                <w:szCs w:val="20"/>
              </w:rPr>
              <w:t>多联式空调（热泵）机组(制冷量&gt;14000W)</w:t>
            </w:r>
          </w:p>
        </w:tc>
        <w:tc>
          <w:tcPr>
            <w:tcW w:w="4540" w:type="dxa"/>
            <w:tcBorders>
              <w:top w:val="nil"/>
              <w:left w:val="nil"/>
              <w:bottom w:val="single" w:color="000000" w:sz="8" w:space="0"/>
              <w:right w:val="single" w:color="000000" w:sz="8" w:space="0"/>
            </w:tcBorders>
            <w:noWrap/>
            <w:vAlign w:val="center"/>
          </w:tcPr>
          <w:p w14:paraId="074E5D13">
            <w:pPr>
              <w:widowControl/>
              <w:jc w:val="left"/>
              <w:rPr>
                <w:rFonts w:ascii="宋体" w:hAnsi="宋体" w:cs="宋体"/>
                <w:sz w:val="20"/>
                <w:szCs w:val="20"/>
              </w:rPr>
            </w:pPr>
            <w:r>
              <w:rPr>
                <w:rFonts w:hint="eastAsia" w:ascii="宋体" w:hAnsi="宋体" w:cs="宋体"/>
                <w:sz w:val="20"/>
                <w:szCs w:val="20"/>
              </w:rPr>
              <w:t>《多联式空调（热泵）机组能效限定值及能源效率等级》（GB21454）</w:t>
            </w:r>
          </w:p>
        </w:tc>
      </w:tr>
      <w:tr w14:paraId="79EE6EED">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vAlign w:val="center"/>
          </w:tcPr>
          <w:p w14:paraId="4DE06600">
            <w:pPr>
              <w:widowControl/>
              <w:jc w:val="left"/>
              <w:rPr>
                <w:rFonts w:ascii="宋体" w:hAnsi="宋体" w:cs="宋体"/>
                <w:sz w:val="20"/>
                <w:szCs w:val="20"/>
              </w:rPr>
            </w:pPr>
          </w:p>
        </w:tc>
        <w:tc>
          <w:tcPr>
            <w:tcW w:w="0" w:type="auto"/>
            <w:vMerge w:val="continue"/>
            <w:tcBorders>
              <w:top w:val="nil"/>
              <w:left w:val="single" w:color="000000" w:sz="8" w:space="0"/>
              <w:bottom w:val="single" w:color="000000" w:sz="8" w:space="0"/>
              <w:right w:val="single" w:color="000000" w:sz="8" w:space="0"/>
            </w:tcBorders>
            <w:vAlign w:val="center"/>
          </w:tcPr>
          <w:p w14:paraId="0B37680D">
            <w:pPr>
              <w:widowControl/>
              <w:jc w:val="left"/>
              <w:rPr>
                <w:rFonts w:ascii="宋体" w:hAnsi="宋体" w:cs="宋体"/>
                <w:sz w:val="20"/>
                <w:szCs w:val="20"/>
              </w:rPr>
            </w:pPr>
          </w:p>
        </w:tc>
        <w:tc>
          <w:tcPr>
            <w:tcW w:w="0" w:type="auto"/>
            <w:vMerge w:val="continue"/>
            <w:tcBorders>
              <w:top w:val="nil"/>
              <w:left w:val="single" w:color="000000" w:sz="8" w:space="0"/>
              <w:bottom w:val="single" w:color="000000" w:sz="8" w:space="0"/>
              <w:right w:val="single" w:color="000000" w:sz="8" w:space="0"/>
            </w:tcBorders>
            <w:vAlign w:val="center"/>
          </w:tcPr>
          <w:p w14:paraId="38DE438E">
            <w:pPr>
              <w:widowControl/>
              <w:jc w:val="left"/>
              <w:rPr>
                <w:rFonts w:ascii="宋体" w:hAnsi="宋体" w:cs="宋体"/>
                <w:sz w:val="20"/>
                <w:szCs w:val="20"/>
              </w:rPr>
            </w:pPr>
          </w:p>
        </w:tc>
        <w:tc>
          <w:tcPr>
            <w:tcW w:w="1620" w:type="dxa"/>
            <w:tcBorders>
              <w:top w:val="nil"/>
              <w:left w:val="nil"/>
              <w:bottom w:val="single" w:color="000000" w:sz="8" w:space="0"/>
              <w:right w:val="single" w:color="000000" w:sz="8" w:space="0"/>
            </w:tcBorders>
            <w:noWrap/>
            <w:vAlign w:val="center"/>
          </w:tcPr>
          <w:p w14:paraId="39760243">
            <w:pPr>
              <w:widowControl/>
              <w:jc w:val="center"/>
              <w:rPr>
                <w:rFonts w:ascii="宋体" w:hAnsi="宋体" w:cs="宋体"/>
                <w:sz w:val="20"/>
                <w:szCs w:val="20"/>
              </w:rPr>
            </w:pPr>
            <w:r>
              <w:rPr>
                <w:rFonts w:hint="eastAsia" w:ascii="宋体" w:hAnsi="宋体" w:cs="宋体"/>
                <w:sz w:val="20"/>
                <w:szCs w:val="20"/>
              </w:rPr>
              <w:t>单元式空气调节机(制冷量&gt;14000W</w:t>
            </w:r>
          </w:p>
        </w:tc>
        <w:tc>
          <w:tcPr>
            <w:tcW w:w="4540" w:type="dxa"/>
            <w:tcBorders>
              <w:top w:val="nil"/>
              <w:left w:val="nil"/>
              <w:bottom w:val="single" w:color="000000" w:sz="8" w:space="0"/>
              <w:right w:val="single" w:color="000000" w:sz="8" w:space="0"/>
            </w:tcBorders>
            <w:noWrap/>
            <w:vAlign w:val="center"/>
          </w:tcPr>
          <w:p w14:paraId="37FBA34B">
            <w:pPr>
              <w:widowControl/>
              <w:jc w:val="left"/>
              <w:rPr>
                <w:rFonts w:ascii="宋体" w:hAnsi="宋体" w:cs="宋体"/>
                <w:sz w:val="20"/>
                <w:szCs w:val="20"/>
              </w:rPr>
            </w:pPr>
            <w:r>
              <w:rPr>
                <w:rFonts w:hint="eastAsia" w:ascii="宋体" w:hAnsi="宋体" w:cs="宋体"/>
                <w:sz w:val="20"/>
                <w:szCs w:val="20"/>
              </w:rPr>
              <w:t>《单元式空气调节机能效限定值及能效等级》（GB19576）《风管送风式空调机组能效限定值及能效等级》（GB37479）</w:t>
            </w:r>
          </w:p>
        </w:tc>
      </w:tr>
      <w:tr w14:paraId="5F71682D">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vAlign w:val="center"/>
          </w:tcPr>
          <w:p w14:paraId="5483CB4A">
            <w:pPr>
              <w:widowControl/>
              <w:jc w:val="left"/>
              <w:rPr>
                <w:rFonts w:ascii="宋体" w:hAnsi="宋体" w:cs="宋体"/>
                <w:sz w:val="20"/>
                <w:szCs w:val="20"/>
              </w:rPr>
            </w:pPr>
          </w:p>
        </w:tc>
        <w:tc>
          <w:tcPr>
            <w:tcW w:w="0" w:type="auto"/>
            <w:vMerge w:val="continue"/>
            <w:tcBorders>
              <w:top w:val="nil"/>
              <w:left w:val="single" w:color="000000" w:sz="8" w:space="0"/>
              <w:bottom w:val="single" w:color="000000" w:sz="8" w:space="0"/>
              <w:right w:val="single" w:color="000000" w:sz="8" w:space="0"/>
            </w:tcBorders>
            <w:vAlign w:val="center"/>
          </w:tcPr>
          <w:p w14:paraId="7516EAB4">
            <w:pPr>
              <w:widowControl/>
              <w:jc w:val="left"/>
              <w:rPr>
                <w:rFonts w:ascii="宋体" w:hAnsi="宋体" w:cs="宋体"/>
                <w:sz w:val="20"/>
                <w:szCs w:val="20"/>
              </w:rPr>
            </w:pPr>
          </w:p>
        </w:tc>
        <w:tc>
          <w:tcPr>
            <w:tcW w:w="1320" w:type="dxa"/>
            <w:tcBorders>
              <w:top w:val="nil"/>
              <w:left w:val="nil"/>
              <w:bottom w:val="single" w:color="000000" w:sz="8" w:space="0"/>
              <w:right w:val="single" w:color="000000" w:sz="8" w:space="0"/>
            </w:tcBorders>
            <w:noWrap/>
            <w:vAlign w:val="center"/>
          </w:tcPr>
          <w:p w14:paraId="67D509E2">
            <w:pPr>
              <w:widowControl/>
              <w:jc w:val="center"/>
              <w:rPr>
                <w:rFonts w:ascii="宋体" w:hAnsi="宋体" w:cs="宋体"/>
                <w:sz w:val="20"/>
                <w:szCs w:val="20"/>
              </w:rPr>
            </w:pPr>
            <w:r>
              <w:rPr>
                <w:rFonts w:hint="eastAsia" w:ascii="宋体" w:hAnsi="宋体" w:cs="宋体"/>
                <w:sz w:val="20"/>
                <w:szCs w:val="20"/>
              </w:rPr>
              <w:t>★A02052309专用制冷、空调设备</w:t>
            </w:r>
          </w:p>
        </w:tc>
        <w:tc>
          <w:tcPr>
            <w:tcW w:w="1620" w:type="dxa"/>
            <w:tcBorders>
              <w:top w:val="nil"/>
              <w:left w:val="nil"/>
              <w:bottom w:val="single" w:color="000000" w:sz="8" w:space="0"/>
              <w:right w:val="single" w:color="000000" w:sz="8" w:space="0"/>
            </w:tcBorders>
            <w:noWrap/>
            <w:vAlign w:val="center"/>
          </w:tcPr>
          <w:p w14:paraId="60C2D4A7">
            <w:pPr>
              <w:widowControl/>
              <w:jc w:val="center"/>
              <w:rPr>
                <w:rFonts w:ascii="宋体" w:hAnsi="宋体" w:cs="宋体"/>
                <w:sz w:val="20"/>
                <w:szCs w:val="20"/>
              </w:rPr>
            </w:pPr>
            <w:r>
              <w:rPr>
                <w:rFonts w:hint="eastAsia" w:ascii="宋体" w:hAnsi="宋体" w:cs="宋体"/>
                <w:sz w:val="20"/>
                <w:szCs w:val="20"/>
              </w:rPr>
              <w:t>机房空调</w:t>
            </w:r>
          </w:p>
        </w:tc>
        <w:tc>
          <w:tcPr>
            <w:tcW w:w="4540" w:type="dxa"/>
            <w:tcBorders>
              <w:top w:val="nil"/>
              <w:left w:val="nil"/>
              <w:bottom w:val="single" w:color="000000" w:sz="8" w:space="0"/>
              <w:right w:val="single" w:color="000000" w:sz="8" w:space="0"/>
            </w:tcBorders>
            <w:noWrap/>
            <w:vAlign w:val="center"/>
          </w:tcPr>
          <w:p w14:paraId="34679520">
            <w:pPr>
              <w:widowControl/>
              <w:jc w:val="left"/>
              <w:rPr>
                <w:rFonts w:ascii="宋体" w:hAnsi="宋体" w:cs="宋体"/>
                <w:sz w:val="20"/>
                <w:szCs w:val="20"/>
              </w:rPr>
            </w:pPr>
            <w:r>
              <w:rPr>
                <w:rFonts w:hint="eastAsia" w:ascii="宋体" w:hAnsi="宋体" w:cs="宋体"/>
                <w:sz w:val="20"/>
                <w:szCs w:val="20"/>
              </w:rPr>
              <w:t>《单元式空气调节机能效限定值及能效等级》（GB19576）</w:t>
            </w:r>
          </w:p>
        </w:tc>
      </w:tr>
      <w:tr w14:paraId="58987A04">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vAlign w:val="center"/>
          </w:tcPr>
          <w:p w14:paraId="28F822E8">
            <w:pPr>
              <w:widowControl/>
              <w:jc w:val="left"/>
              <w:rPr>
                <w:rFonts w:ascii="宋体" w:hAnsi="宋体" w:cs="宋体"/>
                <w:sz w:val="20"/>
                <w:szCs w:val="20"/>
              </w:rPr>
            </w:pPr>
          </w:p>
        </w:tc>
        <w:tc>
          <w:tcPr>
            <w:tcW w:w="0" w:type="auto"/>
            <w:vMerge w:val="continue"/>
            <w:tcBorders>
              <w:top w:val="nil"/>
              <w:left w:val="single" w:color="000000" w:sz="8" w:space="0"/>
              <w:bottom w:val="single" w:color="000000" w:sz="8" w:space="0"/>
              <w:right w:val="single" w:color="000000" w:sz="8" w:space="0"/>
            </w:tcBorders>
            <w:vAlign w:val="center"/>
          </w:tcPr>
          <w:p w14:paraId="4D3E3154">
            <w:pPr>
              <w:widowControl/>
              <w:jc w:val="left"/>
              <w:rPr>
                <w:rFonts w:ascii="宋体" w:hAnsi="宋体" w:cs="宋体"/>
                <w:sz w:val="20"/>
                <w:szCs w:val="20"/>
              </w:rPr>
            </w:pPr>
          </w:p>
        </w:tc>
        <w:tc>
          <w:tcPr>
            <w:tcW w:w="1320" w:type="dxa"/>
            <w:tcBorders>
              <w:top w:val="nil"/>
              <w:left w:val="nil"/>
              <w:bottom w:val="single" w:color="000000" w:sz="8" w:space="0"/>
              <w:right w:val="single" w:color="000000" w:sz="8" w:space="0"/>
            </w:tcBorders>
            <w:noWrap/>
            <w:vAlign w:val="center"/>
          </w:tcPr>
          <w:p w14:paraId="5C9E13DC">
            <w:pPr>
              <w:widowControl/>
              <w:jc w:val="center"/>
              <w:rPr>
                <w:rFonts w:ascii="宋体" w:hAnsi="宋体" w:cs="宋体"/>
                <w:sz w:val="20"/>
                <w:szCs w:val="20"/>
              </w:rPr>
            </w:pPr>
            <w:r>
              <w:rPr>
                <w:rFonts w:hint="eastAsia" w:ascii="宋体" w:hAnsi="宋体" w:cs="宋体"/>
                <w:sz w:val="20"/>
                <w:szCs w:val="20"/>
              </w:rPr>
              <w:t>A02052399其他制冷空调设备</w:t>
            </w:r>
          </w:p>
        </w:tc>
        <w:tc>
          <w:tcPr>
            <w:tcW w:w="1620" w:type="dxa"/>
            <w:tcBorders>
              <w:top w:val="nil"/>
              <w:left w:val="nil"/>
              <w:bottom w:val="single" w:color="000000" w:sz="8" w:space="0"/>
              <w:right w:val="single" w:color="000000" w:sz="8" w:space="0"/>
            </w:tcBorders>
            <w:noWrap/>
            <w:vAlign w:val="center"/>
          </w:tcPr>
          <w:p w14:paraId="0A7C51DA">
            <w:pPr>
              <w:widowControl/>
              <w:jc w:val="center"/>
              <w:rPr>
                <w:rFonts w:ascii="宋体" w:hAnsi="宋体" w:cs="宋体"/>
                <w:sz w:val="20"/>
                <w:szCs w:val="20"/>
              </w:rPr>
            </w:pPr>
            <w:r>
              <w:rPr>
                <w:rFonts w:hint="eastAsia" w:ascii="宋体" w:hAnsi="宋体" w:cs="宋体"/>
                <w:sz w:val="20"/>
                <w:szCs w:val="20"/>
              </w:rPr>
              <w:t>冷却塔</w:t>
            </w:r>
          </w:p>
        </w:tc>
        <w:tc>
          <w:tcPr>
            <w:tcW w:w="4540" w:type="dxa"/>
            <w:tcBorders>
              <w:top w:val="nil"/>
              <w:left w:val="nil"/>
              <w:bottom w:val="single" w:color="000000" w:sz="8" w:space="0"/>
              <w:right w:val="single" w:color="000000" w:sz="8" w:space="0"/>
            </w:tcBorders>
            <w:noWrap/>
            <w:vAlign w:val="center"/>
          </w:tcPr>
          <w:p w14:paraId="138DEBC3">
            <w:pPr>
              <w:widowControl/>
              <w:jc w:val="left"/>
              <w:rPr>
                <w:rFonts w:ascii="宋体" w:hAnsi="宋体" w:cs="宋体"/>
                <w:sz w:val="20"/>
                <w:szCs w:val="20"/>
              </w:rPr>
            </w:pPr>
            <w:r>
              <w:rPr>
                <w:rFonts w:hint="eastAsia" w:ascii="宋体" w:hAnsi="宋体" w:cs="宋体"/>
                <w:sz w:val="20"/>
                <w:szCs w:val="20"/>
              </w:rPr>
              <w:t>《机械通风冷却塔第1部分：中小型开式冷却塔》（GB/T7190.1）；《机械通风冷却塔第2部分：大型开式冷却塔》（GB/T7190.2）</w:t>
            </w:r>
          </w:p>
        </w:tc>
      </w:tr>
      <w:tr w14:paraId="1F8B6971">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ign w:val="center"/>
          </w:tcPr>
          <w:p w14:paraId="4C9C131E">
            <w:pPr>
              <w:widowControl/>
              <w:jc w:val="center"/>
              <w:rPr>
                <w:rFonts w:ascii="宋体" w:hAnsi="宋体" w:cs="宋体"/>
                <w:sz w:val="20"/>
                <w:szCs w:val="20"/>
              </w:rPr>
            </w:pPr>
            <w:r>
              <w:rPr>
                <w:rFonts w:hint="eastAsia" w:ascii="宋体" w:hAnsi="宋体" w:cs="宋体"/>
                <w:sz w:val="20"/>
                <w:szCs w:val="20"/>
              </w:rPr>
              <w:t>7</w:t>
            </w:r>
          </w:p>
        </w:tc>
        <w:tc>
          <w:tcPr>
            <w:tcW w:w="1080" w:type="dxa"/>
            <w:tcBorders>
              <w:top w:val="nil"/>
              <w:left w:val="nil"/>
              <w:bottom w:val="single" w:color="000000" w:sz="8" w:space="0"/>
              <w:right w:val="single" w:color="000000" w:sz="8" w:space="0"/>
            </w:tcBorders>
            <w:noWrap/>
            <w:vAlign w:val="center"/>
          </w:tcPr>
          <w:p w14:paraId="2597B86B">
            <w:pPr>
              <w:widowControl/>
              <w:jc w:val="center"/>
              <w:rPr>
                <w:rFonts w:ascii="宋体" w:hAnsi="宋体" w:cs="宋体"/>
                <w:sz w:val="20"/>
                <w:szCs w:val="20"/>
              </w:rPr>
            </w:pPr>
            <w:r>
              <w:rPr>
                <w:rFonts w:hint="eastAsia" w:ascii="宋体" w:hAnsi="宋体" w:cs="宋体"/>
                <w:sz w:val="20"/>
                <w:szCs w:val="20"/>
              </w:rPr>
              <w:t>A020601电机</w:t>
            </w:r>
          </w:p>
        </w:tc>
        <w:tc>
          <w:tcPr>
            <w:tcW w:w="1320" w:type="dxa"/>
            <w:tcBorders>
              <w:top w:val="nil"/>
              <w:left w:val="nil"/>
              <w:bottom w:val="single" w:color="000000" w:sz="8" w:space="0"/>
              <w:right w:val="single" w:color="000000" w:sz="8" w:space="0"/>
            </w:tcBorders>
            <w:noWrap/>
            <w:vAlign w:val="center"/>
          </w:tcPr>
          <w:p w14:paraId="4BF6942C">
            <w:pPr>
              <w:widowControl/>
              <w:jc w:val="center"/>
              <w:rPr>
                <w:rFonts w:ascii="宋体" w:hAnsi="宋体" w:cs="宋体"/>
                <w:sz w:val="20"/>
                <w:szCs w:val="20"/>
              </w:rPr>
            </w:pPr>
            <w:r>
              <w:rPr>
                <w:rFonts w:hint="eastAsia" w:ascii="宋体" w:hAnsi="宋体" w:cs="宋体"/>
                <w:sz w:val="20"/>
                <w:szCs w:val="20"/>
              </w:rPr>
              <w:t>　</w:t>
            </w:r>
          </w:p>
        </w:tc>
        <w:tc>
          <w:tcPr>
            <w:tcW w:w="1620" w:type="dxa"/>
            <w:tcBorders>
              <w:top w:val="nil"/>
              <w:left w:val="nil"/>
              <w:bottom w:val="single" w:color="000000" w:sz="8" w:space="0"/>
              <w:right w:val="single" w:color="000000" w:sz="8" w:space="0"/>
            </w:tcBorders>
            <w:noWrap/>
            <w:vAlign w:val="center"/>
          </w:tcPr>
          <w:p w14:paraId="55CA1937">
            <w:pPr>
              <w:widowControl/>
              <w:jc w:val="center"/>
              <w:rPr>
                <w:rFonts w:ascii="宋体" w:hAnsi="宋体" w:cs="宋体"/>
                <w:sz w:val="20"/>
                <w:szCs w:val="20"/>
              </w:rPr>
            </w:pPr>
            <w:r>
              <w:rPr>
                <w:rFonts w:hint="eastAsia" w:ascii="宋体" w:hAnsi="宋体" w:cs="宋体"/>
                <w:sz w:val="20"/>
                <w:szCs w:val="20"/>
              </w:rPr>
              <w:t>　</w:t>
            </w:r>
          </w:p>
        </w:tc>
        <w:tc>
          <w:tcPr>
            <w:tcW w:w="4540" w:type="dxa"/>
            <w:tcBorders>
              <w:top w:val="nil"/>
              <w:left w:val="nil"/>
              <w:bottom w:val="single" w:color="000000" w:sz="8" w:space="0"/>
              <w:right w:val="single" w:color="000000" w:sz="8" w:space="0"/>
            </w:tcBorders>
            <w:noWrap/>
            <w:vAlign w:val="center"/>
          </w:tcPr>
          <w:p w14:paraId="762F911D">
            <w:pPr>
              <w:widowControl/>
              <w:jc w:val="left"/>
              <w:rPr>
                <w:rFonts w:ascii="宋体" w:hAnsi="宋体" w:cs="宋体"/>
                <w:sz w:val="20"/>
                <w:szCs w:val="20"/>
              </w:rPr>
            </w:pPr>
            <w:r>
              <w:rPr>
                <w:rFonts w:hint="eastAsia" w:ascii="宋体" w:hAnsi="宋体" w:cs="宋体"/>
                <w:sz w:val="20"/>
                <w:szCs w:val="20"/>
              </w:rPr>
              <w:t>《中小型三相异步电动机能效限定值及能效等级》（GB18613）</w:t>
            </w:r>
          </w:p>
        </w:tc>
      </w:tr>
      <w:tr w14:paraId="78D033CE">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ign w:val="center"/>
          </w:tcPr>
          <w:p w14:paraId="1FAF5E05">
            <w:pPr>
              <w:widowControl/>
              <w:jc w:val="center"/>
              <w:rPr>
                <w:rFonts w:ascii="宋体" w:hAnsi="宋体" w:cs="宋体"/>
                <w:sz w:val="20"/>
                <w:szCs w:val="20"/>
              </w:rPr>
            </w:pPr>
            <w:r>
              <w:rPr>
                <w:rFonts w:hint="eastAsia" w:ascii="宋体" w:hAnsi="宋体" w:cs="宋体"/>
                <w:sz w:val="20"/>
                <w:szCs w:val="20"/>
              </w:rPr>
              <w:t>8</w:t>
            </w:r>
          </w:p>
        </w:tc>
        <w:tc>
          <w:tcPr>
            <w:tcW w:w="1080" w:type="dxa"/>
            <w:tcBorders>
              <w:top w:val="nil"/>
              <w:left w:val="nil"/>
              <w:bottom w:val="single" w:color="000000" w:sz="8" w:space="0"/>
              <w:right w:val="single" w:color="000000" w:sz="8" w:space="0"/>
            </w:tcBorders>
            <w:noWrap/>
            <w:vAlign w:val="center"/>
          </w:tcPr>
          <w:p w14:paraId="745BAD18">
            <w:pPr>
              <w:widowControl/>
              <w:jc w:val="center"/>
              <w:rPr>
                <w:rFonts w:ascii="宋体" w:hAnsi="宋体" w:cs="宋体"/>
                <w:sz w:val="20"/>
                <w:szCs w:val="20"/>
              </w:rPr>
            </w:pPr>
            <w:r>
              <w:rPr>
                <w:rFonts w:hint="eastAsia" w:ascii="宋体" w:hAnsi="宋体" w:cs="宋体"/>
                <w:sz w:val="20"/>
                <w:szCs w:val="20"/>
              </w:rPr>
              <w:t>A020602变压器</w:t>
            </w:r>
          </w:p>
        </w:tc>
        <w:tc>
          <w:tcPr>
            <w:tcW w:w="1320" w:type="dxa"/>
            <w:tcBorders>
              <w:top w:val="nil"/>
              <w:left w:val="nil"/>
              <w:bottom w:val="single" w:color="000000" w:sz="8" w:space="0"/>
              <w:right w:val="single" w:color="000000" w:sz="8" w:space="0"/>
            </w:tcBorders>
            <w:noWrap/>
            <w:vAlign w:val="center"/>
          </w:tcPr>
          <w:p w14:paraId="5436FB23">
            <w:pPr>
              <w:widowControl/>
              <w:jc w:val="center"/>
              <w:rPr>
                <w:rFonts w:ascii="宋体" w:hAnsi="宋体" w:cs="宋体"/>
                <w:sz w:val="20"/>
                <w:szCs w:val="20"/>
              </w:rPr>
            </w:pPr>
            <w:r>
              <w:rPr>
                <w:rFonts w:hint="eastAsia" w:ascii="宋体" w:hAnsi="宋体" w:cs="宋体"/>
                <w:sz w:val="20"/>
                <w:szCs w:val="20"/>
              </w:rPr>
              <w:t>配电变压器</w:t>
            </w:r>
          </w:p>
        </w:tc>
        <w:tc>
          <w:tcPr>
            <w:tcW w:w="1620" w:type="dxa"/>
            <w:tcBorders>
              <w:top w:val="nil"/>
              <w:left w:val="nil"/>
              <w:bottom w:val="single" w:color="000000" w:sz="8" w:space="0"/>
              <w:right w:val="single" w:color="000000" w:sz="8" w:space="0"/>
            </w:tcBorders>
            <w:noWrap/>
            <w:vAlign w:val="center"/>
          </w:tcPr>
          <w:p w14:paraId="111C9BBC">
            <w:pPr>
              <w:widowControl/>
              <w:jc w:val="center"/>
              <w:rPr>
                <w:rFonts w:ascii="宋体" w:hAnsi="宋体" w:cs="宋体"/>
                <w:sz w:val="20"/>
                <w:szCs w:val="20"/>
              </w:rPr>
            </w:pPr>
            <w:r>
              <w:rPr>
                <w:rFonts w:hint="eastAsia" w:ascii="宋体" w:hAnsi="宋体" w:cs="宋体"/>
                <w:sz w:val="20"/>
                <w:szCs w:val="20"/>
              </w:rPr>
              <w:t>　</w:t>
            </w:r>
          </w:p>
        </w:tc>
        <w:tc>
          <w:tcPr>
            <w:tcW w:w="4540" w:type="dxa"/>
            <w:tcBorders>
              <w:top w:val="nil"/>
              <w:left w:val="nil"/>
              <w:bottom w:val="single" w:color="000000" w:sz="8" w:space="0"/>
              <w:right w:val="single" w:color="000000" w:sz="8" w:space="0"/>
            </w:tcBorders>
            <w:noWrap/>
            <w:vAlign w:val="center"/>
          </w:tcPr>
          <w:p w14:paraId="0688F81A">
            <w:pPr>
              <w:widowControl/>
              <w:jc w:val="left"/>
              <w:rPr>
                <w:rFonts w:ascii="宋体" w:hAnsi="宋体" w:cs="宋体"/>
                <w:sz w:val="20"/>
                <w:szCs w:val="20"/>
              </w:rPr>
            </w:pPr>
            <w:r>
              <w:rPr>
                <w:rFonts w:hint="eastAsia" w:ascii="宋体" w:hAnsi="宋体" w:cs="宋体"/>
                <w:sz w:val="20"/>
                <w:szCs w:val="20"/>
              </w:rPr>
              <w:t>《三相配电变压器能效限定值及能效等级》（GB20052）</w:t>
            </w:r>
          </w:p>
        </w:tc>
      </w:tr>
      <w:tr w14:paraId="4CBA9045">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ign w:val="center"/>
          </w:tcPr>
          <w:p w14:paraId="767479B1">
            <w:pPr>
              <w:widowControl/>
              <w:jc w:val="center"/>
              <w:rPr>
                <w:rFonts w:ascii="宋体" w:hAnsi="宋体" w:cs="宋体"/>
                <w:sz w:val="20"/>
                <w:szCs w:val="20"/>
              </w:rPr>
            </w:pPr>
            <w:r>
              <w:rPr>
                <w:rFonts w:hint="eastAsia" w:ascii="宋体" w:hAnsi="宋体" w:cs="宋体"/>
                <w:sz w:val="20"/>
                <w:szCs w:val="20"/>
              </w:rPr>
              <w:t>9</w:t>
            </w:r>
          </w:p>
        </w:tc>
        <w:tc>
          <w:tcPr>
            <w:tcW w:w="1080" w:type="dxa"/>
            <w:tcBorders>
              <w:top w:val="nil"/>
              <w:left w:val="nil"/>
              <w:bottom w:val="single" w:color="000000" w:sz="8" w:space="0"/>
              <w:right w:val="single" w:color="000000" w:sz="8" w:space="0"/>
            </w:tcBorders>
            <w:noWrap/>
            <w:vAlign w:val="center"/>
          </w:tcPr>
          <w:p w14:paraId="7494CADC">
            <w:pPr>
              <w:widowControl/>
              <w:jc w:val="center"/>
              <w:rPr>
                <w:rFonts w:ascii="宋体" w:hAnsi="宋体" w:cs="宋体"/>
                <w:sz w:val="20"/>
                <w:szCs w:val="20"/>
              </w:rPr>
            </w:pPr>
            <w:r>
              <w:rPr>
                <w:rFonts w:hint="eastAsia" w:ascii="宋体" w:hAnsi="宋体" w:cs="宋体"/>
                <w:sz w:val="20"/>
                <w:szCs w:val="20"/>
              </w:rPr>
              <w:t>★A020609镇流器</w:t>
            </w:r>
          </w:p>
        </w:tc>
        <w:tc>
          <w:tcPr>
            <w:tcW w:w="1320" w:type="dxa"/>
            <w:tcBorders>
              <w:top w:val="nil"/>
              <w:left w:val="nil"/>
              <w:bottom w:val="single" w:color="000000" w:sz="8" w:space="0"/>
              <w:right w:val="single" w:color="000000" w:sz="8" w:space="0"/>
            </w:tcBorders>
            <w:noWrap/>
            <w:vAlign w:val="center"/>
          </w:tcPr>
          <w:p w14:paraId="71FD36DA">
            <w:pPr>
              <w:widowControl/>
              <w:jc w:val="center"/>
              <w:rPr>
                <w:rFonts w:ascii="宋体" w:hAnsi="宋体" w:cs="宋体"/>
                <w:sz w:val="20"/>
                <w:szCs w:val="20"/>
              </w:rPr>
            </w:pPr>
            <w:r>
              <w:rPr>
                <w:rFonts w:hint="eastAsia" w:ascii="宋体" w:hAnsi="宋体" w:cs="宋体"/>
                <w:sz w:val="20"/>
                <w:szCs w:val="20"/>
              </w:rPr>
              <w:t>管型荧光灯镇流器</w:t>
            </w:r>
          </w:p>
        </w:tc>
        <w:tc>
          <w:tcPr>
            <w:tcW w:w="1620" w:type="dxa"/>
            <w:tcBorders>
              <w:top w:val="nil"/>
              <w:left w:val="nil"/>
              <w:bottom w:val="single" w:color="000000" w:sz="8" w:space="0"/>
              <w:right w:val="single" w:color="000000" w:sz="8" w:space="0"/>
            </w:tcBorders>
            <w:noWrap/>
            <w:vAlign w:val="center"/>
          </w:tcPr>
          <w:p w14:paraId="20104630">
            <w:pPr>
              <w:widowControl/>
              <w:jc w:val="center"/>
              <w:rPr>
                <w:rFonts w:ascii="宋体" w:hAnsi="宋体" w:cs="宋体"/>
                <w:sz w:val="20"/>
                <w:szCs w:val="20"/>
              </w:rPr>
            </w:pPr>
            <w:r>
              <w:rPr>
                <w:rFonts w:hint="eastAsia" w:ascii="宋体" w:hAnsi="宋体" w:cs="宋体"/>
                <w:sz w:val="20"/>
                <w:szCs w:val="20"/>
              </w:rPr>
              <w:t>　</w:t>
            </w:r>
          </w:p>
        </w:tc>
        <w:tc>
          <w:tcPr>
            <w:tcW w:w="4540" w:type="dxa"/>
            <w:tcBorders>
              <w:top w:val="nil"/>
              <w:left w:val="nil"/>
              <w:bottom w:val="single" w:color="000000" w:sz="8" w:space="0"/>
              <w:right w:val="single" w:color="000000" w:sz="8" w:space="0"/>
            </w:tcBorders>
            <w:noWrap/>
            <w:vAlign w:val="center"/>
          </w:tcPr>
          <w:p w14:paraId="4C410DFF">
            <w:pPr>
              <w:widowControl/>
              <w:jc w:val="left"/>
              <w:rPr>
                <w:rFonts w:ascii="宋体" w:hAnsi="宋体" w:cs="宋体"/>
                <w:sz w:val="20"/>
                <w:szCs w:val="20"/>
              </w:rPr>
            </w:pPr>
            <w:r>
              <w:rPr>
                <w:rFonts w:hint="eastAsia" w:ascii="宋体" w:hAnsi="宋体" w:cs="宋体"/>
                <w:sz w:val="20"/>
                <w:szCs w:val="20"/>
              </w:rPr>
              <w:t>《管形荧光灯镇流器能效限定值及能效等级》（GB17896）</w:t>
            </w:r>
          </w:p>
        </w:tc>
      </w:tr>
      <w:tr w14:paraId="7232556B">
        <w:tblPrEx>
          <w:tblCellMar>
            <w:top w:w="0" w:type="dxa"/>
            <w:left w:w="108" w:type="dxa"/>
            <w:bottom w:w="0" w:type="dxa"/>
            <w:right w:w="108" w:type="dxa"/>
          </w:tblCellMar>
        </w:tblPrEx>
        <w:trPr>
          <w:trHeight w:val="495" w:hRule="atLeast"/>
        </w:trPr>
        <w:tc>
          <w:tcPr>
            <w:tcW w:w="660" w:type="dxa"/>
            <w:vMerge w:val="restart"/>
            <w:tcBorders>
              <w:top w:val="nil"/>
              <w:left w:val="single" w:color="000000" w:sz="8" w:space="0"/>
              <w:bottom w:val="single" w:color="000000" w:sz="8" w:space="0"/>
              <w:right w:val="single" w:color="000000" w:sz="8" w:space="0"/>
            </w:tcBorders>
            <w:noWrap/>
            <w:vAlign w:val="center"/>
          </w:tcPr>
          <w:p w14:paraId="1A97546F">
            <w:pPr>
              <w:widowControl/>
              <w:jc w:val="center"/>
              <w:rPr>
                <w:rFonts w:ascii="宋体" w:hAnsi="宋体" w:cs="宋体"/>
                <w:sz w:val="20"/>
                <w:szCs w:val="20"/>
              </w:rPr>
            </w:pPr>
            <w:r>
              <w:rPr>
                <w:rFonts w:hint="eastAsia" w:ascii="宋体" w:hAnsi="宋体" w:cs="宋体"/>
                <w:sz w:val="20"/>
                <w:szCs w:val="20"/>
              </w:rPr>
              <w:t>10</w:t>
            </w:r>
          </w:p>
        </w:tc>
        <w:tc>
          <w:tcPr>
            <w:tcW w:w="1080" w:type="dxa"/>
            <w:vMerge w:val="restart"/>
            <w:tcBorders>
              <w:top w:val="nil"/>
              <w:left w:val="single" w:color="000000" w:sz="8" w:space="0"/>
              <w:bottom w:val="single" w:color="000000" w:sz="8" w:space="0"/>
              <w:right w:val="single" w:color="000000" w:sz="8" w:space="0"/>
            </w:tcBorders>
            <w:noWrap/>
            <w:vAlign w:val="center"/>
          </w:tcPr>
          <w:p w14:paraId="6D655373">
            <w:pPr>
              <w:widowControl/>
              <w:jc w:val="center"/>
              <w:rPr>
                <w:rFonts w:ascii="宋体" w:hAnsi="宋体" w:cs="宋体"/>
                <w:sz w:val="20"/>
                <w:szCs w:val="20"/>
              </w:rPr>
            </w:pPr>
            <w:r>
              <w:rPr>
                <w:rFonts w:hint="eastAsia" w:ascii="宋体" w:hAnsi="宋体" w:cs="宋体"/>
                <w:sz w:val="20"/>
                <w:szCs w:val="20"/>
              </w:rPr>
              <w:t>A020618生活用电器</w:t>
            </w:r>
          </w:p>
        </w:tc>
        <w:tc>
          <w:tcPr>
            <w:tcW w:w="1320" w:type="dxa"/>
            <w:tcBorders>
              <w:top w:val="nil"/>
              <w:left w:val="nil"/>
              <w:bottom w:val="single" w:color="000000" w:sz="8" w:space="0"/>
              <w:right w:val="single" w:color="000000" w:sz="8" w:space="0"/>
            </w:tcBorders>
            <w:noWrap/>
            <w:vAlign w:val="center"/>
          </w:tcPr>
          <w:p w14:paraId="0E458E12">
            <w:pPr>
              <w:widowControl/>
              <w:jc w:val="center"/>
              <w:rPr>
                <w:rFonts w:ascii="宋体" w:hAnsi="宋体" w:cs="宋体"/>
                <w:sz w:val="20"/>
                <w:szCs w:val="20"/>
              </w:rPr>
            </w:pPr>
            <w:r>
              <w:rPr>
                <w:rFonts w:hint="eastAsia" w:ascii="宋体" w:hAnsi="宋体" w:cs="宋体"/>
                <w:sz w:val="20"/>
                <w:szCs w:val="20"/>
              </w:rPr>
              <w:t>A0206180101电冰箱</w:t>
            </w:r>
          </w:p>
        </w:tc>
        <w:tc>
          <w:tcPr>
            <w:tcW w:w="1620" w:type="dxa"/>
            <w:tcBorders>
              <w:top w:val="nil"/>
              <w:left w:val="nil"/>
              <w:bottom w:val="single" w:color="000000" w:sz="8" w:space="0"/>
              <w:right w:val="single" w:color="000000" w:sz="8" w:space="0"/>
            </w:tcBorders>
            <w:noWrap/>
            <w:vAlign w:val="center"/>
          </w:tcPr>
          <w:p w14:paraId="22D10164">
            <w:pPr>
              <w:widowControl/>
              <w:jc w:val="center"/>
              <w:rPr>
                <w:rFonts w:ascii="宋体" w:hAnsi="宋体" w:cs="宋体"/>
                <w:sz w:val="20"/>
                <w:szCs w:val="20"/>
              </w:rPr>
            </w:pPr>
            <w:r>
              <w:rPr>
                <w:rFonts w:hint="eastAsia" w:ascii="宋体" w:hAnsi="宋体" w:cs="宋体"/>
                <w:sz w:val="20"/>
                <w:szCs w:val="20"/>
              </w:rPr>
              <w:t>　</w:t>
            </w:r>
          </w:p>
        </w:tc>
        <w:tc>
          <w:tcPr>
            <w:tcW w:w="4540" w:type="dxa"/>
            <w:tcBorders>
              <w:top w:val="nil"/>
              <w:left w:val="nil"/>
              <w:bottom w:val="single" w:color="000000" w:sz="8" w:space="0"/>
              <w:right w:val="single" w:color="000000" w:sz="8" w:space="0"/>
            </w:tcBorders>
            <w:noWrap/>
            <w:vAlign w:val="center"/>
          </w:tcPr>
          <w:p w14:paraId="13346873">
            <w:pPr>
              <w:widowControl/>
              <w:jc w:val="left"/>
              <w:rPr>
                <w:rFonts w:ascii="宋体" w:hAnsi="宋体" w:cs="宋体"/>
                <w:sz w:val="20"/>
                <w:szCs w:val="20"/>
              </w:rPr>
            </w:pPr>
            <w:r>
              <w:rPr>
                <w:rFonts w:hint="eastAsia" w:ascii="宋体" w:hAnsi="宋体" w:cs="宋体"/>
                <w:sz w:val="20"/>
                <w:szCs w:val="20"/>
              </w:rPr>
              <w:t>《家用电冰箱耗电量限定值及能效等级》（GB 12021.2）</w:t>
            </w:r>
          </w:p>
        </w:tc>
      </w:tr>
      <w:tr w14:paraId="3133F783">
        <w:tblPrEx>
          <w:tblCellMar>
            <w:top w:w="0" w:type="dxa"/>
            <w:left w:w="108" w:type="dxa"/>
            <w:bottom w:w="0" w:type="dxa"/>
            <w:right w:w="108" w:type="dxa"/>
          </w:tblCellMar>
        </w:tblPrEx>
        <w:trPr>
          <w:trHeight w:val="975" w:hRule="atLeast"/>
        </w:trPr>
        <w:tc>
          <w:tcPr>
            <w:tcW w:w="0" w:type="auto"/>
            <w:vMerge w:val="continue"/>
            <w:tcBorders>
              <w:top w:val="nil"/>
              <w:left w:val="single" w:color="000000" w:sz="8" w:space="0"/>
              <w:bottom w:val="single" w:color="000000" w:sz="8" w:space="0"/>
              <w:right w:val="single" w:color="000000" w:sz="8" w:space="0"/>
            </w:tcBorders>
            <w:vAlign w:val="center"/>
          </w:tcPr>
          <w:p w14:paraId="1276A5A8">
            <w:pPr>
              <w:widowControl/>
              <w:jc w:val="left"/>
              <w:rPr>
                <w:rFonts w:ascii="宋体" w:hAnsi="宋体" w:cs="宋体"/>
                <w:sz w:val="20"/>
                <w:szCs w:val="20"/>
              </w:rPr>
            </w:pPr>
          </w:p>
        </w:tc>
        <w:tc>
          <w:tcPr>
            <w:tcW w:w="0" w:type="auto"/>
            <w:vMerge w:val="continue"/>
            <w:tcBorders>
              <w:top w:val="nil"/>
              <w:left w:val="single" w:color="000000" w:sz="8" w:space="0"/>
              <w:bottom w:val="single" w:color="000000" w:sz="8" w:space="0"/>
              <w:right w:val="single" w:color="000000" w:sz="8" w:space="0"/>
            </w:tcBorders>
            <w:vAlign w:val="center"/>
          </w:tcPr>
          <w:p w14:paraId="7E1C65D4">
            <w:pPr>
              <w:widowControl/>
              <w:jc w:val="left"/>
              <w:rPr>
                <w:rFonts w:ascii="宋体" w:hAnsi="宋体" w:cs="宋体"/>
                <w:sz w:val="20"/>
                <w:szCs w:val="20"/>
              </w:rPr>
            </w:pPr>
          </w:p>
        </w:tc>
        <w:tc>
          <w:tcPr>
            <w:tcW w:w="1320" w:type="dxa"/>
            <w:vMerge w:val="restart"/>
            <w:tcBorders>
              <w:top w:val="nil"/>
              <w:left w:val="single" w:color="000000" w:sz="8" w:space="0"/>
              <w:bottom w:val="single" w:color="000000" w:sz="8" w:space="0"/>
              <w:right w:val="single" w:color="000000" w:sz="8" w:space="0"/>
            </w:tcBorders>
            <w:noWrap/>
            <w:vAlign w:val="center"/>
          </w:tcPr>
          <w:p w14:paraId="77D6745B">
            <w:pPr>
              <w:widowControl/>
              <w:jc w:val="center"/>
              <w:rPr>
                <w:rFonts w:ascii="宋体" w:hAnsi="宋体" w:cs="宋体"/>
                <w:sz w:val="20"/>
                <w:szCs w:val="20"/>
              </w:rPr>
            </w:pPr>
            <w:r>
              <w:rPr>
                <w:rFonts w:hint="eastAsia" w:ascii="宋体" w:hAnsi="宋体" w:cs="宋体"/>
                <w:sz w:val="20"/>
                <w:szCs w:val="20"/>
              </w:rPr>
              <w:t>★A0206180203空调机</w:t>
            </w:r>
          </w:p>
        </w:tc>
        <w:tc>
          <w:tcPr>
            <w:tcW w:w="1620" w:type="dxa"/>
            <w:tcBorders>
              <w:top w:val="nil"/>
              <w:left w:val="nil"/>
              <w:bottom w:val="single" w:color="000000" w:sz="8" w:space="0"/>
              <w:right w:val="single" w:color="000000" w:sz="8" w:space="0"/>
            </w:tcBorders>
            <w:noWrap/>
            <w:vAlign w:val="center"/>
          </w:tcPr>
          <w:p w14:paraId="0E543B36">
            <w:pPr>
              <w:widowControl/>
              <w:jc w:val="center"/>
              <w:rPr>
                <w:rFonts w:ascii="宋体" w:hAnsi="宋体" w:cs="宋体"/>
                <w:sz w:val="20"/>
                <w:szCs w:val="20"/>
              </w:rPr>
            </w:pPr>
            <w:r>
              <w:rPr>
                <w:rFonts w:hint="eastAsia" w:ascii="宋体" w:hAnsi="宋体" w:cs="宋体"/>
                <w:sz w:val="20"/>
                <w:szCs w:val="20"/>
              </w:rPr>
              <w:t>房间空气调节器</w:t>
            </w:r>
          </w:p>
        </w:tc>
        <w:tc>
          <w:tcPr>
            <w:tcW w:w="4540" w:type="dxa"/>
            <w:tcBorders>
              <w:top w:val="nil"/>
              <w:left w:val="nil"/>
              <w:bottom w:val="single" w:color="000000" w:sz="8" w:space="0"/>
              <w:right w:val="single" w:color="000000" w:sz="8" w:space="0"/>
            </w:tcBorders>
            <w:noWrap/>
            <w:vAlign w:val="center"/>
          </w:tcPr>
          <w:p w14:paraId="4F63420D">
            <w:pPr>
              <w:widowControl/>
              <w:jc w:val="left"/>
              <w:rPr>
                <w:rFonts w:ascii="宋体" w:hAnsi="宋体" w:cs="宋体"/>
                <w:sz w:val="20"/>
                <w:szCs w:val="20"/>
              </w:rPr>
            </w:pPr>
            <w:r>
              <w:rPr>
                <w:rFonts w:hint="eastAsia" w:ascii="宋体" w:hAnsi="宋体" w:cs="宋体"/>
                <w:sz w:val="20"/>
                <w:szCs w:val="20"/>
              </w:rPr>
              <w:t>《转速可控型房间空气调节器能效限定值及能效等级》（GB21455-2013），待2019年修订发布后，按《房间空气调节器能效限定值及能效等级》（GB21455-2019实施。</w:t>
            </w:r>
          </w:p>
        </w:tc>
      </w:tr>
      <w:tr w14:paraId="340E37B9">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vAlign w:val="center"/>
          </w:tcPr>
          <w:p w14:paraId="769C47E3">
            <w:pPr>
              <w:widowControl/>
              <w:jc w:val="left"/>
              <w:rPr>
                <w:rFonts w:ascii="宋体" w:hAnsi="宋体" w:cs="宋体"/>
                <w:sz w:val="20"/>
                <w:szCs w:val="20"/>
              </w:rPr>
            </w:pPr>
          </w:p>
        </w:tc>
        <w:tc>
          <w:tcPr>
            <w:tcW w:w="0" w:type="auto"/>
            <w:vMerge w:val="continue"/>
            <w:tcBorders>
              <w:top w:val="nil"/>
              <w:left w:val="single" w:color="000000" w:sz="8" w:space="0"/>
              <w:bottom w:val="single" w:color="000000" w:sz="8" w:space="0"/>
              <w:right w:val="single" w:color="000000" w:sz="8" w:space="0"/>
            </w:tcBorders>
            <w:vAlign w:val="center"/>
          </w:tcPr>
          <w:p w14:paraId="68BDFA6D">
            <w:pPr>
              <w:widowControl/>
              <w:jc w:val="left"/>
              <w:rPr>
                <w:rFonts w:ascii="宋体" w:hAnsi="宋体" w:cs="宋体"/>
                <w:sz w:val="20"/>
                <w:szCs w:val="20"/>
              </w:rPr>
            </w:pPr>
          </w:p>
        </w:tc>
        <w:tc>
          <w:tcPr>
            <w:tcW w:w="0" w:type="auto"/>
            <w:vMerge w:val="continue"/>
            <w:tcBorders>
              <w:top w:val="nil"/>
              <w:left w:val="single" w:color="000000" w:sz="8" w:space="0"/>
              <w:bottom w:val="single" w:color="000000" w:sz="8" w:space="0"/>
              <w:right w:val="single" w:color="000000" w:sz="8" w:space="0"/>
            </w:tcBorders>
            <w:vAlign w:val="center"/>
          </w:tcPr>
          <w:p w14:paraId="418A2FA8">
            <w:pPr>
              <w:widowControl/>
              <w:jc w:val="left"/>
              <w:rPr>
                <w:rFonts w:ascii="宋体" w:hAnsi="宋体" w:cs="宋体"/>
                <w:sz w:val="20"/>
                <w:szCs w:val="20"/>
              </w:rPr>
            </w:pPr>
          </w:p>
        </w:tc>
        <w:tc>
          <w:tcPr>
            <w:tcW w:w="1620" w:type="dxa"/>
            <w:tcBorders>
              <w:top w:val="nil"/>
              <w:left w:val="nil"/>
              <w:bottom w:val="single" w:color="000000" w:sz="8" w:space="0"/>
              <w:right w:val="single" w:color="000000" w:sz="8" w:space="0"/>
            </w:tcBorders>
            <w:noWrap/>
            <w:vAlign w:val="center"/>
          </w:tcPr>
          <w:p w14:paraId="5A9C47B9">
            <w:pPr>
              <w:widowControl/>
              <w:jc w:val="center"/>
              <w:rPr>
                <w:rFonts w:ascii="宋体" w:hAnsi="宋体" w:cs="宋体"/>
                <w:sz w:val="20"/>
                <w:szCs w:val="20"/>
              </w:rPr>
            </w:pPr>
            <w:r>
              <w:rPr>
                <w:rFonts w:hint="eastAsia" w:ascii="宋体" w:hAnsi="宋体" w:cs="宋体"/>
                <w:sz w:val="20"/>
                <w:szCs w:val="20"/>
              </w:rPr>
              <w:t>多联式空调（热泵）机组（制冷量≤14000W）</w:t>
            </w:r>
          </w:p>
        </w:tc>
        <w:tc>
          <w:tcPr>
            <w:tcW w:w="4540" w:type="dxa"/>
            <w:tcBorders>
              <w:top w:val="nil"/>
              <w:left w:val="nil"/>
              <w:bottom w:val="single" w:color="000000" w:sz="8" w:space="0"/>
              <w:right w:val="single" w:color="000000" w:sz="8" w:space="0"/>
            </w:tcBorders>
            <w:noWrap/>
            <w:vAlign w:val="center"/>
          </w:tcPr>
          <w:p w14:paraId="1BF3C07C">
            <w:pPr>
              <w:widowControl/>
              <w:jc w:val="left"/>
              <w:rPr>
                <w:rFonts w:ascii="宋体" w:hAnsi="宋体" w:cs="宋体"/>
                <w:sz w:val="20"/>
                <w:szCs w:val="20"/>
              </w:rPr>
            </w:pPr>
            <w:r>
              <w:rPr>
                <w:rFonts w:hint="eastAsia" w:ascii="宋体" w:hAnsi="宋体" w:cs="宋体"/>
                <w:sz w:val="20"/>
                <w:szCs w:val="20"/>
              </w:rPr>
              <w:t>《多联式空调（热泵）机组能效限定值及能源效率等级》（GB21454）</w:t>
            </w:r>
          </w:p>
        </w:tc>
      </w:tr>
      <w:tr w14:paraId="3F25C5D7">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vAlign w:val="center"/>
          </w:tcPr>
          <w:p w14:paraId="753DDD63">
            <w:pPr>
              <w:widowControl/>
              <w:jc w:val="left"/>
              <w:rPr>
                <w:rFonts w:ascii="宋体" w:hAnsi="宋体" w:cs="宋体"/>
                <w:sz w:val="20"/>
                <w:szCs w:val="20"/>
              </w:rPr>
            </w:pPr>
          </w:p>
        </w:tc>
        <w:tc>
          <w:tcPr>
            <w:tcW w:w="0" w:type="auto"/>
            <w:vMerge w:val="continue"/>
            <w:tcBorders>
              <w:top w:val="nil"/>
              <w:left w:val="single" w:color="000000" w:sz="8" w:space="0"/>
              <w:bottom w:val="single" w:color="000000" w:sz="8" w:space="0"/>
              <w:right w:val="single" w:color="000000" w:sz="8" w:space="0"/>
            </w:tcBorders>
            <w:vAlign w:val="center"/>
          </w:tcPr>
          <w:p w14:paraId="4BA3988F">
            <w:pPr>
              <w:widowControl/>
              <w:jc w:val="left"/>
              <w:rPr>
                <w:rFonts w:ascii="宋体" w:hAnsi="宋体" w:cs="宋体"/>
                <w:sz w:val="20"/>
                <w:szCs w:val="20"/>
              </w:rPr>
            </w:pPr>
          </w:p>
        </w:tc>
        <w:tc>
          <w:tcPr>
            <w:tcW w:w="0" w:type="auto"/>
            <w:vMerge w:val="continue"/>
            <w:tcBorders>
              <w:top w:val="nil"/>
              <w:left w:val="single" w:color="000000" w:sz="8" w:space="0"/>
              <w:bottom w:val="single" w:color="000000" w:sz="8" w:space="0"/>
              <w:right w:val="single" w:color="000000" w:sz="8" w:space="0"/>
            </w:tcBorders>
            <w:vAlign w:val="center"/>
          </w:tcPr>
          <w:p w14:paraId="28FC448A">
            <w:pPr>
              <w:widowControl/>
              <w:jc w:val="left"/>
              <w:rPr>
                <w:rFonts w:ascii="宋体" w:hAnsi="宋体" w:cs="宋体"/>
                <w:sz w:val="20"/>
                <w:szCs w:val="20"/>
              </w:rPr>
            </w:pPr>
          </w:p>
        </w:tc>
        <w:tc>
          <w:tcPr>
            <w:tcW w:w="1620" w:type="dxa"/>
            <w:tcBorders>
              <w:top w:val="nil"/>
              <w:left w:val="nil"/>
              <w:bottom w:val="single" w:color="000000" w:sz="8" w:space="0"/>
              <w:right w:val="single" w:color="000000" w:sz="8" w:space="0"/>
            </w:tcBorders>
            <w:noWrap/>
            <w:vAlign w:val="center"/>
          </w:tcPr>
          <w:p w14:paraId="5C87C07A">
            <w:pPr>
              <w:widowControl/>
              <w:jc w:val="center"/>
              <w:rPr>
                <w:rFonts w:ascii="宋体" w:hAnsi="宋体" w:cs="宋体"/>
                <w:sz w:val="20"/>
                <w:szCs w:val="20"/>
              </w:rPr>
            </w:pPr>
            <w:r>
              <w:rPr>
                <w:rFonts w:hint="eastAsia" w:ascii="宋体" w:hAnsi="宋体" w:cs="宋体"/>
                <w:sz w:val="20"/>
                <w:szCs w:val="20"/>
              </w:rPr>
              <w:t>单元式空气调节机(制冷量≤14000W)</w:t>
            </w:r>
          </w:p>
        </w:tc>
        <w:tc>
          <w:tcPr>
            <w:tcW w:w="4540" w:type="dxa"/>
            <w:tcBorders>
              <w:top w:val="nil"/>
              <w:left w:val="nil"/>
              <w:bottom w:val="single" w:color="000000" w:sz="8" w:space="0"/>
              <w:right w:val="single" w:color="000000" w:sz="8" w:space="0"/>
            </w:tcBorders>
            <w:noWrap/>
            <w:vAlign w:val="center"/>
          </w:tcPr>
          <w:p w14:paraId="15EABD1E">
            <w:pPr>
              <w:widowControl/>
              <w:jc w:val="left"/>
              <w:rPr>
                <w:rFonts w:ascii="宋体" w:hAnsi="宋体" w:cs="宋体"/>
                <w:sz w:val="20"/>
                <w:szCs w:val="20"/>
              </w:rPr>
            </w:pPr>
            <w:r>
              <w:rPr>
                <w:rFonts w:hint="eastAsia" w:ascii="宋体" w:hAnsi="宋体" w:cs="宋体"/>
                <w:sz w:val="20"/>
                <w:szCs w:val="20"/>
              </w:rPr>
              <w:t>《单元式空气调节机能效限定值及能源效率等级》（GB19576）《风管送风式空调机组能效限定值及能效等级》（GB37479）</w:t>
            </w:r>
          </w:p>
        </w:tc>
      </w:tr>
      <w:tr w14:paraId="7550F33D">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vAlign w:val="center"/>
          </w:tcPr>
          <w:p w14:paraId="51C44EF6">
            <w:pPr>
              <w:widowControl/>
              <w:jc w:val="left"/>
              <w:rPr>
                <w:rFonts w:ascii="宋体" w:hAnsi="宋体" w:cs="宋体"/>
                <w:sz w:val="20"/>
                <w:szCs w:val="20"/>
              </w:rPr>
            </w:pPr>
          </w:p>
        </w:tc>
        <w:tc>
          <w:tcPr>
            <w:tcW w:w="0" w:type="auto"/>
            <w:vMerge w:val="continue"/>
            <w:tcBorders>
              <w:top w:val="nil"/>
              <w:left w:val="single" w:color="000000" w:sz="8" w:space="0"/>
              <w:bottom w:val="single" w:color="000000" w:sz="8" w:space="0"/>
              <w:right w:val="single" w:color="000000" w:sz="8" w:space="0"/>
            </w:tcBorders>
            <w:vAlign w:val="center"/>
          </w:tcPr>
          <w:p w14:paraId="1FEE5758">
            <w:pPr>
              <w:widowControl/>
              <w:jc w:val="left"/>
              <w:rPr>
                <w:rFonts w:ascii="宋体" w:hAnsi="宋体" w:cs="宋体"/>
                <w:sz w:val="20"/>
                <w:szCs w:val="20"/>
              </w:rPr>
            </w:pPr>
          </w:p>
        </w:tc>
        <w:tc>
          <w:tcPr>
            <w:tcW w:w="1320" w:type="dxa"/>
            <w:tcBorders>
              <w:top w:val="nil"/>
              <w:left w:val="nil"/>
              <w:bottom w:val="single" w:color="000000" w:sz="8" w:space="0"/>
              <w:right w:val="single" w:color="000000" w:sz="8" w:space="0"/>
            </w:tcBorders>
            <w:noWrap/>
            <w:vAlign w:val="center"/>
          </w:tcPr>
          <w:p w14:paraId="13C2139F">
            <w:pPr>
              <w:widowControl/>
              <w:jc w:val="center"/>
              <w:rPr>
                <w:rFonts w:ascii="宋体" w:hAnsi="宋体" w:cs="宋体"/>
                <w:sz w:val="20"/>
                <w:szCs w:val="20"/>
              </w:rPr>
            </w:pPr>
            <w:r>
              <w:rPr>
                <w:rFonts w:hint="eastAsia" w:ascii="宋体" w:hAnsi="宋体" w:cs="宋体"/>
                <w:sz w:val="20"/>
                <w:szCs w:val="20"/>
              </w:rPr>
              <w:t>A0206180301洗衣机</w:t>
            </w:r>
          </w:p>
        </w:tc>
        <w:tc>
          <w:tcPr>
            <w:tcW w:w="1620" w:type="dxa"/>
            <w:tcBorders>
              <w:top w:val="nil"/>
              <w:left w:val="nil"/>
              <w:bottom w:val="single" w:color="000000" w:sz="8" w:space="0"/>
              <w:right w:val="single" w:color="000000" w:sz="8" w:space="0"/>
            </w:tcBorders>
            <w:noWrap/>
            <w:vAlign w:val="center"/>
          </w:tcPr>
          <w:p w14:paraId="4A41EE08">
            <w:pPr>
              <w:widowControl/>
              <w:jc w:val="center"/>
              <w:rPr>
                <w:rFonts w:ascii="宋体" w:hAnsi="宋体" w:cs="宋体"/>
                <w:sz w:val="20"/>
                <w:szCs w:val="20"/>
              </w:rPr>
            </w:pPr>
            <w:r>
              <w:rPr>
                <w:rFonts w:hint="eastAsia" w:ascii="宋体" w:hAnsi="宋体" w:cs="宋体"/>
                <w:sz w:val="20"/>
                <w:szCs w:val="20"/>
              </w:rPr>
              <w:t>　</w:t>
            </w:r>
          </w:p>
        </w:tc>
        <w:tc>
          <w:tcPr>
            <w:tcW w:w="4540" w:type="dxa"/>
            <w:tcBorders>
              <w:top w:val="nil"/>
              <w:left w:val="nil"/>
              <w:bottom w:val="single" w:color="000000" w:sz="8" w:space="0"/>
              <w:right w:val="single" w:color="000000" w:sz="8" w:space="0"/>
            </w:tcBorders>
            <w:noWrap/>
            <w:vAlign w:val="center"/>
          </w:tcPr>
          <w:p w14:paraId="49B06528">
            <w:pPr>
              <w:widowControl/>
              <w:jc w:val="left"/>
              <w:rPr>
                <w:rFonts w:ascii="宋体" w:hAnsi="宋体" w:cs="宋体"/>
                <w:sz w:val="20"/>
                <w:szCs w:val="20"/>
              </w:rPr>
            </w:pPr>
            <w:r>
              <w:rPr>
                <w:rFonts w:hint="eastAsia" w:ascii="宋体" w:hAnsi="宋体" w:cs="宋体"/>
                <w:sz w:val="20"/>
                <w:szCs w:val="20"/>
              </w:rPr>
              <w:t>《电动洗衣机能效水效限定值及等级》（GB12021.4）</w:t>
            </w:r>
          </w:p>
        </w:tc>
      </w:tr>
      <w:tr w14:paraId="3F6FFB3B">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vAlign w:val="center"/>
          </w:tcPr>
          <w:p w14:paraId="7504A8AE">
            <w:pPr>
              <w:widowControl/>
              <w:jc w:val="left"/>
              <w:rPr>
                <w:rFonts w:ascii="宋体" w:hAnsi="宋体" w:cs="宋体"/>
                <w:sz w:val="20"/>
                <w:szCs w:val="20"/>
              </w:rPr>
            </w:pPr>
          </w:p>
        </w:tc>
        <w:tc>
          <w:tcPr>
            <w:tcW w:w="0" w:type="auto"/>
            <w:vMerge w:val="continue"/>
            <w:tcBorders>
              <w:top w:val="nil"/>
              <w:left w:val="single" w:color="000000" w:sz="8" w:space="0"/>
              <w:bottom w:val="single" w:color="000000" w:sz="8" w:space="0"/>
              <w:right w:val="single" w:color="000000" w:sz="8" w:space="0"/>
            </w:tcBorders>
            <w:vAlign w:val="center"/>
          </w:tcPr>
          <w:p w14:paraId="5DC31759">
            <w:pPr>
              <w:widowControl/>
              <w:jc w:val="left"/>
              <w:rPr>
                <w:rFonts w:ascii="宋体" w:hAnsi="宋体" w:cs="宋体"/>
                <w:sz w:val="20"/>
                <w:szCs w:val="20"/>
              </w:rPr>
            </w:pPr>
          </w:p>
        </w:tc>
        <w:tc>
          <w:tcPr>
            <w:tcW w:w="1320" w:type="dxa"/>
            <w:vMerge w:val="restart"/>
            <w:tcBorders>
              <w:top w:val="nil"/>
              <w:left w:val="single" w:color="000000" w:sz="8" w:space="0"/>
              <w:bottom w:val="single" w:color="000000" w:sz="8" w:space="0"/>
              <w:right w:val="single" w:color="000000" w:sz="8" w:space="0"/>
            </w:tcBorders>
            <w:noWrap/>
            <w:vAlign w:val="center"/>
          </w:tcPr>
          <w:p w14:paraId="7B2D109F">
            <w:pPr>
              <w:widowControl/>
              <w:jc w:val="center"/>
              <w:rPr>
                <w:rFonts w:ascii="宋体" w:hAnsi="宋体" w:cs="宋体"/>
                <w:sz w:val="20"/>
                <w:szCs w:val="20"/>
              </w:rPr>
            </w:pPr>
            <w:r>
              <w:rPr>
                <w:rFonts w:hint="eastAsia" w:ascii="宋体" w:hAnsi="宋体" w:cs="宋体"/>
                <w:sz w:val="20"/>
                <w:szCs w:val="20"/>
              </w:rPr>
              <w:t>A02061808热水器</w:t>
            </w:r>
          </w:p>
        </w:tc>
        <w:tc>
          <w:tcPr>
            <w:tcW w:w="1620" w:type="dxa"/>
            <w:tcBorders>
              <w:top w:val="nil"/>
              <w:left w:val="nil"/>
              <w:bottom w:val="single" w:color="000000" w:sz="8" w:space="0"/>
              <w:right w:val="single" w:color="000000" w:sz="8" w:space="0"/>
            </w:tcBorders>
            <w:noWrap/>
            <w:vAlign w:val="center"/>
          </w:tcPr>
          <w:p w14:paraId="5CC62F18">
            <w:pPr>
              <w:widowControl/>
              <w:jc w:val="center"/>
              <w:rPr>
                <w:rFonts w:ascii="宋体" w:hAnsi="宋体" w:cs="宋体"/>
                <w:sz w:val="20"/>
                <w:szCs w:val="20"/>
              </w:rPr>
            </w:pPr>
            <w:r>
              <w:rPr>
                <w:rFonts w:hint="eastAsia" w:ascii="宋体" w:hAnsi="宋体" w:cs="宋体"/>
                <w:sz w:val="20"/>
                <w:szCs w:val="20"/>
              </w:rPr>
              <w:t>★电热水器</w:t>
            </w:r>
          </w:p>
        </w:tc>
        <w:tc>
          <w:tcPr>
            <w:tcW w:w="4540" w:type="dxa"/>
            <w:tcBorders>
              <w:top w:val="nil"/>
              <w:left w:val="nil"/>
              <w:bottom w:val="single" w:color="000000" w:sz="8" w:space="0"/>
              <w:right w:val="single" w:color="000000" w:sz="8" w:space="0"/>
            </w:tcBorders>
            <w:noWrap/>
            <w:vAlign w:val="center"/>
          </w:tcPr>
          <w:p w14:paraId="156F1153">
            <w:pPr>
              <w:widowControl/>
              <w:jc w:val="left"/>
              <w:rPr>
                <w:rFonts w:ascii="宋体" w:hAnsi="宋体" w:cs="宋体"/>
                <w:sz w:val="20"/>
                <w:szCs w:val="20"/>
              </w:rPr>
            </w:pPr>
            <w:r>
              <w:rPr>
                <w:rFonts w:hint="eastAsia" w:ascii="宋体" w:hAnsi="宋体" w:cs="宋体"/>
                <w:sz w:val="20"/>
                <w:szCs w:val="20"/>
              </w:rPr>
              <w:t>《储水式电热水器能效限定值及能效等级》（GB21519）</w:t>
            </w:r>
          </w:p>
        </w:tc>
      </w:tr>
      <w:tr w14:paraId="0CF96087">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vAlign w:val="center"/>
          </w:tcPr>
          <w:p w14:paraId="6E908E4D">
            <w:pPr>
              <w:widowControl/>
              <w:jc w:val="left"/>
              <w:rPr>
                <w:rFonts w:ascii="宋体" w:hAnsi="宋体" w:cs="宋体"/>
                <w:sz w:val="20"/>
                <w:szCs w:val="20"/>
              </w:rPr>
            </w:pPr>
          </w:p>
        </w:tc>
        <w:tc>
          <w:tcPr>
            <w:tcW w:w="0" w:type="auto"/>
            <w:vMerge w:val="continue"/>
            <w:tcBorders>
              <w:top w:val="nil"/>
              <w:left w:val="single" w:color="000000" w:sz="8" w:space="0"/>
              <w:bottom w:val="single" w:color="000000" w:sz="8" w:space="0"/>
              <w:right w:val="single" w:color="000000" w:sz="8" w:space="0"/>
            </w:tcBorders>
            <w:vAlign w:val="center"/>
          </w:tcPr>
          <w:p w14:paraId="513BB6A7">
            <w:pPr>
              <w:widowControl/>
              <w:jc w:val="left"/>
              <w:rPr>
                <w:rFonts w:ascii="宋体" w:hAnsi="宋体" w:cs="宋体"/>
                <w:sz w:val="20"/>
                <w:szCs w:val="20"/>
              </w:rPr>
            </w:pPr>
          </w:p>
        </w:tc>
        <w:tc>
          <w:tcPr>
            <w:tcW w:w="0" w:type="auto"/>
            <w:vMerge w:val="continue"/>
            <w:tcBorders>
              <w:top w:val="nil"/>
              <w:left w:val="single" w:color="000000" w:sz="8" w:space="0"/>
              <w:bottom w:val="single" w:color="000000" w:sz="8" w:space="0"/>
              <w:right w:val="single" w:color="000000" w:sz="8" w:space="0"/>
            </w:tcBorders>
            <w:vAlign w:val="center"/>
          </w:tcPr>
          <w:p w14:paraId="7B200DD8">
            <w:pPr>
              <w:widowControl/>
              <w:jc w:val="left"/>
              <w:rPr>
                <w:rFonts w:ascii="宋体" w:hAnsi="宋体" w:cs="宋体"/>
                <w:sz w:val="20"/>
                <w:szCs w:val="20"/>
              </w:rPr>
            </w:pPr>
          </w:p>
        </w:tc>
        <w:tc>
          <w:tcPr>
            <w:tcW w:w="1620" w:type="dxa"/>
            <w:tcBorders>
              <w:top w:val="nil"/>
              <w:left w:val="nil"/>
              <w:bottom w:val="single" w:color="000000" w:sz="8" w:space="0"/>
              <w:right w:val="single" w:color="000000" w:sz="8" w:space="0"/>
            </w:tcBorders>
            <w:noWrap/>
            <w:vAlign w:val="center"/>
          </w:tcPr>
          <w:p w14:paraId="5E23570A">
            <w:pPr>
              <w:widowControl/>
              <w:jc w:val="center"/>
              <w:rPr>
                <w:rFonts w:ascii="宋体" w:hAnsi="宋体" w:cs="宋体"/>
                <w:sz w:val="20"/>
                <w:szCs w:val="20"/>
              </w:rPr>
            </w:pPr>
            <w:r>
              <w:rPr>
                <w:rFonts w:hint="eastAsia" w:ascii="宋体" w:hAnsi="宋体" w:cs="宋体"/>
                <w:sz w:val="20"/>
                <w:szCs w:val="20"/>
              </w:rPr>
              <w:t>燃气热水器</w:t>
            </w:r>
          </w:p>
        </w:tc>
        <w:tc>
          <w:tcPr>
            <w:tcW w:w="4540" w:type="dxa"/>
            <w:tcBorders>
              <w:top w:val="nil"/>
              <w:left w:val="nil"/>
              <w:bottom w:val="single" w:color="000000" w:sz="8" w:space="0"/>
              <w:right w:val="single" w:color="000000" w:sz="8" w:space="0"/>
            </w:tcBorders>
            <w:noWrap/>
            <w:vAlign w:val="center"/>
          </w:tcPr>
          <w:p w14:paraId="00A8C582">
            <w:pPr>
              <w:widowControl/>
              <w:jc w:val="left"/>
              <w:rPr>
                <w:rFonts w:ascii="宋体" w:hAnsi="宋体" w:cs="宋体"/>
                <w:sz w:val="20"/>
                <w:szCs w:val="20"/>
              </w:rPr>
            </w:pPr>
            <w:r>
              <w:rPr>
                <w:rFonts w:hint="eastAsia" w:ascii="宋体" w:hAnsi="宋体" w:cs="宋体"/>
                <w:sz w:val="20"/>
                <w:szCs w:val="20"/>
              </w:rPr>
              <w:t>《家用燃气快速热水器和燃气采暖热水炉能效限定值及能效等级》（GB20665）</w:t>
            </w:r>
          </w:p>
        </w:tc>
      </w:tr>
      <w:tr w14:paraId="45FD0F38">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vAlign w:val="center"/>
          </w:tcPr>
          <w:p w14:paraId="1F7D4052">
            <w:pPr>
              <w:widowControl/>
              <w:jc w:val="left"/>
              <w:rPr>
                <w:rFonts w:ascii="宋体" w:hAnsi="宋体" w:cs="宋体"/>
                <w:sz w:val="20"/>
                <w:szCs w:val="20"/>
              </w:rPr>
            </w:pPr>
          </w:p>
        </w:tc>
        <w:tc>
          <w:tcPr>
            <w:tcW w:w="0" w:type="auto"/>
            <w:vMerge w:val="continue"/>
            <w:tcBorders>
              <w:top w:val="nil"/>
              <w:left w:val="single" w:color="000000" w:sz="8" w:space="0"/>
              <w:bottom w:val="single" w:color="000000" w:sz="8" w:space="0"/>
              <w:right w:val="single" w:color="000000" w:sz="8" w:space="0"/>
            </w:tcBorders>
            <w:vAlign w:val="center"/>
          </w:tcPr>
          <w:p w14:paraId="6488476C">
            <w:pPr>
              <w:widowControl/>
              <w:jc w:val="left"/>
              <w:rPr>
                <w:rFonts w:ascii="宋体" w:hAnsi="宋体" w:cs="宋体"/>
                <w:sz w:val="20"/>
                <w:szCs w:val="20"/>
              </w:rPr>
            </w:pPr>
          </w:p>
        </w:tc>
        <w:tc>
          <w:tcPr>
            <w:tcW w:w="0" w:type="auto"/>
            <w:vMerge w:val="continue"/>
            <w:tcBorders>
              <w:top w:val="nil"/>
              <w:left w:val="single" w:color="000000" w:sz="8" w:space="0"/>
              <w:bottom w:val="single" w:color="000000" w:sz="8" w:space="0"/>
              <w:right w:val="single" w:color="000000" w:sz="8" w:space="0"/>
            </w:tcBorders>
            <w:vAlign w:val="center"/>
          </w:tcPr>
          <w:p w14:paraId="269A6D49">
            <w:pPr>
              <w:widowControl/>
              <w:jc w:val="left"/>
              <w:rPr>
                <w:rFonts w:ascii="宋体" w:hAnsi="宋体" w:cs="宋体"/>
                <w:sz w:val="20"/>
                <w:szCs w:val="20"/>
              </w:rPr>
            </w:pPr>
          </w:p>
        </w:tc>
        <w:tc>
          <w:tcPr>
            <w:tcW w:w="1620" w:type="dxa"/>
            <w:tcBorders>
              <w:top w:val="nil"/>
              <w:left w:val="nil"/>
              <w:bottom w:val="single" w:color="000000" w:sz="8" w:space="0"/>
              <w:right w:val="single" w:color="000000" w:sz="8" w:space="0"/>
            </w:tcBorders>
            <w:noWrap/>
            <w:vAlign w:val="center"/>
          </w:tcPr>
          <w:p w14:paraId="3248C7F7">
            <w:pPr>
              <w:widowControl/>
              <w:jc w:val="center"/>
              <w:rPr>
                <w:rFonts w:ascii="宋体" w:hAnsi="宋体" w:cs="宋体"/>
                <w:sz w:val="20"/>
                <w:szCs w:val="20"/>
              </w:rPr>
            </w:pPr>
            <w:r>
              <w:rPr>
                <w:rFonts w:hint="eastAsia" w:ascii="宋体" w:hAnsi="宋体" w:cs="宋体"/>
                <w:sz w:val="20"/>
                <w:szCs w:val="20"/>
              </w:rPr>
              <w:t>热泵热水器</w:t>
            </w:r>
          </w:p>
        </w:tc>
        <w:tc>
          <w:tcPr>
            <w:tcW w:w="4540" w:type="dxa"/>
            <w:tcBorders>
              <w:top w:val="nil"/>
              <w:left w:val="nil"/>
              <w:bottom w:val="single" w:color="000000" w:sz="8" w:space="0"/>
              <w:right w:val="single" w:color="000000" w:sz="8" w:space="0"/>
            </w:tcBorders>
            <w:noWrap/>
            <w:vAlign w:val="center"/>
          </w:tcPr>
          <w:p w14:paraId="61112CA0">
            <w:pPr>
              <w:widowControl/>
              <w:jc w:val="left"/>
              <w:rPr>
                <w:rFonts w:ascii="宋体" w:hAnsi="宋体" w:cs="宋体"/>
                <w:sz w:val="20"/>
                <w:szCs w:val="20"/>
              </w:rPr>
            </w:pPr>
            <w:r>
              <w:rPr>
                <w:rFonts w:hint="eastAsia" w:ascii="宋体" w:hAnsi="宋体" w:cs="宋体"/>
                <w:sz w:val="20"/>
                <w:szCs w:val="20"/>
              </w:rPr>
              <w:t>《热泵热水机（器）能效限定值及能效等级》（GB29541）</w:t>
            </w:r>
          </w:p>
        </w:tc>
      </w:tr>
      <w:tr w14:paraId="1A7D3BA2">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vAlign w:val="center"/>
          </w:tcPr>
          <w:p w14:paraId="5B5E045E">
            <w:pPr>
              <w:widowControl/>
              <w:jc w:val="left"/>
              <w:rPr>
                <w:rFonts w:ascii="宋体" w:hAnsi="宋体" w:cs="宋体"/>
                <w:sz w:val="20"/>
                <w:szCs w:val="20"/>
              </w:rPr>
            </w:pPr>
          </w:p>
        </w:tc>
        <w:tc>
          <w:tcPr>
            <w:tcW w:w="0" w:type="auto"/>
            <w:vMerge w:val="continue"/>
            <w:tcBorders>
              <w:top w:val="nil"/>
              <w:left w:val="single" w:color="000000" w:sz="8" w:space="0"/>
              <w:bottom w:val="single" w:color="000000" w:sz="8" w:space="0"/>
              <w:right w:val="single" w:color="000000" w:sz="8" w:space="0"/>
            </w:tcBorders>
            <w:vAlign w:val="center"/>
          </w:tcPr>
          <w:p w14:paraId="0450B01F">
            <w:pPr>
              <w:widowControl/>
              <w:jc w:val="left"/>
              <w:rPr>
                <w:rFonts w:ascii="宋体" w:hAnsi="宋体" w:cs="宋体"/>
                <w:sz w:val="20"/>
                <w:szCs w:val="20"/>
              </w:rPr>
            </w:pPr>
          </w:p>
        </w:tc>
        <w:tc>
          <w:tcPr>
            <w:tcW w:w="0" w:type="auto"/>
            <w:vMerge w:val="continue"/>
            <w:tcBorders>
              <w:top w:val="nil"/>
              <w:left w:val="single" w:color="000000" w:sz="8" w:space="0"/>
              <w:bottom w:val="single" w:color="000000" w:sz="8" w:space="0"/>
              <w:right w:val="single" w:color="000000" w:sz="8" w:space="0"/>
            </w:tcBorders>
            <w:vAlign w:val="center"/>
          </w:tcPr>
          <w:p w14:paraId="7396263B">
            <w:pPr>
              <w:widowControl/>
              <w:jc w:val="left"/>
              <w:rPr>
                <w:rFonts w:ascii="宋体" w:hAnsi="宋体" w:cs="宋体"/>
                <w:sz w:val="20"/>
                <w:szCs w:val="20"/>
              </w:rPr>
            </w:pPr>
          </w:p>
        </w:tc>
        <w:tc>
          <w:tcPr>
            <w:tcW w:w="1620" w:type="dxa"/>
            <w:tcBorders>
              <w:top w:val="nil"/>
              <w:left w:val="nil"/>
              <w:bottom w:val="single" w:color="000000" w:sz="8" w:space="0"/>
              <w:right w:val="single" w:color="000000" w:sz="8" w:space="0"/>
            </w:tcBorders>
            <w:noWrap/>
            <w:vAlign w:val="center"/>
          </w:tcPr>
          <w:p w14:paraId="582BD2AB">
            <w:pPr>
              <w:widowControl/>
              <w:jc w:val="center"/>
              <w:rPr>
                <w:rFonts w:ascii="宋体" w:hAnsi="宋体" w:cs="宋体"/>
                <w:sz w:val="20"/>
                <w:szCs w:val="20"/>
              </w:rPr>
            </w:pPr>
            <w:r>
              <w:rPr>
                <w:rFonts w:hint="eastAsia" w:ascii="宋体" w:hAnsi="宋体" w:cs="宋体"/>
                <w:sz w:val="20"/>
                <w:szCs w:val="20"/>
              </w:rPr>
              <w:t>太阳能热水系统</w:t>
            </w:r>
          </w:p>
        </w:tc>
        <w:tc>
          <w:tcPr>
            <w:tcW w:w="4540" w:type="dxa"/>
            <w:tcBorders>
              <w:top w:val="nil"/>
              <w:left w:val="nil"/>
              <w:bottom w:val="single" w:color="000000" w:sz="8" w:space="0"/>
              <w:right w:val="single" w:color="000000" w:sz="8" w:space="0"/>
            </w:tcBorders>
            <w:noWrap/>
            <w:vAlign w:val="center"/>
          </w:tcPr>
          <w:p w14:paraId="6AE25897">
            <w:pPr>
              <w:widowControl/>
              <w:jc w:val="left"/>
              <w:rPr>
                <w:rFonts w:ascii="宋体" w:hAnsi="宋体" w:cs="宋体"/>
                <w:sz w:val="20"/>
                <w:szCs w:val="20"/>
              </w:rPr>
            </w:pPr>
            <w:r>
              <w:rPr>
                <w:rFonts w:hint="eastAsia" w:ascii="宋体" w:hAnsi="宋体" w:cs="宋体"/>
                <w:sz w:val="20"/>
                <w:szCs w:val="20"/>
              </w:rPr>
              <w:t>《家用太阳能热水系统能效限定值及能效等级》（GB26969）</w:t>
            </w:r>
          </w:p>
        </w:tc>
      </w:tr>
      <w:tr w14:paraId="794ABAE8">
        <w:tblPrEx>
          <w:tblCellMar>
            <w:top w:w="0" w:type="dxa"/>
            <w:left w:w="108" w:type="dxa"/>
            <w:bottom w:w="0" w:type="dxa"/>
            <w:right w:w="108" w:type="dxa"/>
          </w:tblCellMar>
        </w:tblPrEx>
        <w:trPr>
          <w:trHeight w:val="495" w:hRule="atLeast"/>
        </w:trPr>
        <w:tc>
          <w:tcPr>
            <w:tcW w:w="660" w:type="dxa"/>
            <w:vMerge w:val="restart"/>
            <w:tcBorders>
              <w:top w:val="nil"/>
              <w:left w:val="single" w:color="000000" w:sz="8" w:space="0"/>
              <w:bottom w:val="single" w:color="000000" w:sz="8" w:space="0"/>
              <w:right w:val="single" w:color="000000" w:sz="8" w:space="0"/>
            </w:tcBorders>
            <w:noWrap/>
            <w:vAlign w:val="center"/>
          </w:tcPr>
          <w:p w14:paraId="10ABBE0A">
            <w:pPr>
              <w:widowControl/>
              <w:jc w:val="center"/>
              <w:rPr>
                <w:rFonts w:ascii="宋体" w:hAnsi="宋体" w:cs="宋体"/>
                <w:sz w:val="20"/>
                <w:szCs w:val="20"/>
              </w:rPr>
            </w:pPr>
            <w:r>
              <w:rPr>
                <w:rFonts w:hint="eastAsia" w:ascii="宋体" w:hAnsi="宋体" w:cs="宋体"/>
                <w:sz w:val="20"/>
                <w:szCs w:val="20"/>
              </w:rPr>
              <w:t>11</w:t>
            </w:r>
          </w:p>
        </w:tc>
        <w:tc>
          <w:tcPr>
            <w:tcW w:w="1080" w:type="dxa"/>
            <w:vMerge w:val="restart"/>
            <w:tcBorders>
              <w:top w:val="nil"/>
              <w:left w:val="single" w:color="000000" w:sz="8" w:space="0"/>
              <w:bottom w:val="single" w:color="000000" w:sz="8" w:space="0"/>
              <w:right w:val="single" w:color="000000" w:sz="8" w:space="0"/>
            </w:tcBorders>
            <w:noWrap/>
            <w:vAlign w:val="center"/>
          </w:tcPr>
          <w:p w14:paraId="2FEB0A60">
            <w:pPr>
              <w:widowControl/>
              <w:jc w:val="center"/>
              <w:rPr>
                <w:rFonts w:ascii="宋体" w:hAnsi="宋体" w:cs="宋体"/>
                <w:sz w:val="20"/>
                <w:szCs w:val="20"/>
              </w:rPr>
            </w:pPr>
            <w:r>
              <w:rPr>
                <w:rFonts w:hint="eastAsia" w:ascii="宋体" w:hAnsi="宋体" w:cs="宋体"/>
                <w:sz w:val="20"/>
                <w:szCs w:val="20"/>
              </w:rPr>
              <w:t>A020619照明设备</w:t>
            </w:r>
          </w:p>
        </w:tc>
        <w:tc>
          <w:tcPr>
            <w:tcW w:w="1320" w:type="dxa"/>
            <w:tcBorders>
              <w:top w:val="nil"/>
              <w:left w:val="nil"/>
              <w:bottom w:val="single" w:color="000000" w:sz="8" w:space="0"/>
              <w:right w:val="single" w:color="000000" w:sz="8" w:space="0"/>
            </w:tcBorders>
            <w:noWrap/>
            <w:vAlign w:val="center"/>
          </w:tcPr>
          <w:p w14:paraId="616A88C3">
            <w:pPr>
              <w:widowControl/>
              <w:jc w:val="center"/>
              <w:rPr>
                <w:rFonts w:ascii="宋体" w:hAnsi="宋体" w:cs="宋体"/>
                <w:sz w:val="20"/>
                <w:szCs w:val="20"/>
              </w:rPr>
            </w:pPr>
            <w:r>
              <w:rPr>
                <w:rFonts w:hint="eastAsia" w:ascii="宋体" w:hAnsi="宋体" w:cs="宋体"/>
                <w:sz w:val="20"/>
                <w:szCs w:val="20"/>
              </w:rPr>
              <w:t>★普通照明用双端荧光灯</w:t>
            </w:r>
          </w:p>
        </w:tc>
        <w:tc>
          <w:tcPr>
            <w:tcW w:w="1620" w:type="dxa"/>
            <w:tcBorders>
              <w:top w:val="nil"/>
              <w:left w:val="nil"/>
              <w:bottom w:val="single" w:color="000000" w:sz="8" w:space="0"/>
              <w:right w:val="single" w:color="000000" w:sz="8" w:space="0"/>
            </w:tcBorders>
            <w:noWrap/>
            <w:vAlign w:val="center"/>
          </w:tcPr>
          <w:p w14:paraId="06CFA9AF">
            <w:pPr>
              <w:widowControl/>
              <w:jc w:val="center"/>
              <w:rPr>
                <w:rFonts w:ascii="宋体" w:hAnsi="宋体" w:cs="宋体"/>
                <w:sz w:val="20"/>
                <w:szCs w:val="20"/>
              </w:rPr>
            </w:pPr>
            <w:r>
              <w:rPr>
                <w:rFonts w:hint="eastAsia" w:ascii="宋体" w:hAnsi="宋体" w:cs="宋体"/>
                <w:sz w:val="20"/>
                <w:szCs w:val="20"/>
              </w:rPr>
              <w:t>　</w:t>
            </w:r>
          </w:p>
        </w:tc>
        <w:tc>
          <w:tcPr>
            <w:tcW w:w="4540" w:type="dxa"/>
            <w:tcBorders>
              <w:top w:val="nil"/>
              <w:left w:val="nil"/>
              <w:bottom w:val="single" w:color="000000" w:sz="8" w:space="0"/>
              <w:right w:val="single" w:color="000000" w:sz="8" w:space="0"/>
            </w:tcBorders>
            <w:noWrap/>
            <w:vAlign w:val="center"/>
          </w:tcPr>
          <w:p w14:paraId="153DACEA">
            <w:pPr>
              <w:widowControl/>
              <w:jc w:val="left"/>
              <w:rPr>
                <w:rFonts w:ascii="宋体" w:hAnsi="宋体" w:cs="宋体"/>
                <w:sz w:val="20"/>
                <w:szCs w:val="20"/>
              </w:rPr>
            </w:pPr>
            <w:r>
              <w:rPr>
                <w:rFonts w:hint="eastAsia" w:ascii="宋体" w:hAnsi="宋体" w:cs="宋体"/>
                <w:sz w:val="20"/>
                <w:szCs w:val="20"/>
              </w:rPr>
              <w:t>《普通照明用双端荧光灯能效限定值及能效等级》（GB19043）</w:t>
            </w:r>
          </w:p>
        </w:tc>
      </w:tr>
      <w:tr w14:paraId="4286C6AE">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vAlign w:val="center"/>
          </w:tcPr>
          <w:p w14:paraId="39817A30">
            <w:pPr>
              <w:widowControl/>
              <w:jc w:val="left"/>
              <w:rPr>
                <w:rFonts w:ascii="宋体" w:hAnsi="宋体" w:cs="宋体"/>
                <w:sz w:val="20"/>
                <w:szCs w:val="20"/>
              </w:rPr>
            </w:pPr>
          </w:p>
        </w:tc>
        <w:tc>
          <w:tcPr>
            <w:tcW w:w="0" w:type="auto"/>
            <w:vMerge w:val="continue"/>
            <w:tcBorders>
              <w:top w:val="nil"/>
              <w:left w:val="single" w:color="000000" w:sz="8" w:space="0"/>
              <w:bottom w:val="single" w:color="000000" w:sz="8" w:space="0"/>
              <w:right w:val="single" w:color="000000" w:sz="8" w:space="0"/>
            </w:tcBorders>
            <w:vAlign w:val="center"/>
          </w:tcPr>
          <w:p w14:paraId="25DC4416">
            <w:pPr>
              <w:widowControl/>
              <w:jc w:val="left"/>
              <w:rPr>
                <w:rFonts w:ascii="宋体" w:hAnsi="宋体" w:cs="宋体"/>
                <w:sz w:val="20"/>
                <w:szCs w:val="20"/>
              </w:rPr>
            </w:pPr>
          </w:p>
        </w:tc>
        <w:tc>
          <w:tcPr>
            <w:tcW w:w="1320" w:type="dxa"/>
            <w:tcBorders>
              <w:top w:val="nil"/>
              <w:left w:val="nil"/>
              <w:bottom w:val="single" w:color="000000" w:sz="8" w:space="0"/>
              <w:right w:val="single" w:color="000000" w:sz="8" w:space="0"/>
            </w:tcBorders>
            <w:noWrap/>
            <w:vAlign w:val="center"/>
          </w:tcPr>
          <w:p w14:paraId="5D2FE60F">
            <w:pPr>
              <w:widowControl/>
              <w:jc w:val="center"/>
              <w:rPr>
                <w:rFonts w:ascii="宋体" w:hAnsi="宋体" w:cs="宋体"/>
                <w:sz w:val="20"/>
                <w:szCs w:val="20"/>
              </w:rPr>
            </w:pPr>
            <w:r>
              <w:rPr>
                <w:rFonts w:hint="eastAsia" w:ascii="宋体" w:hAnsi="宋体" w:cs="宋体"/>
                <w:sz w:val="20"/>
                <w:szCs w:val="20"/>
              </w:rPr>
              <w:t>LED道路/隧道照明产品</w:t>
            </w:r>
          </w:p>
        </w:tc>
        <w:tc>
          <w:tcPr>
            <w:tcW w:w="1620" w:type="dxa"/>
            <w:tcBorders>
              <w:top w:val="nil"/>
              <w:left w:val="nil"/>
              <w:bottom w:val="single" w:color="000000" w:sz="8" w:space="0"/>
              <w:right w:val="single" w:color="000000" w:sz="8" w:space="0"/>
            </w:tcBorders>
            <w:noWrap/>
            <w:vAlign w:val="center"/>
          </w:tcPr>
          <w:p w14:paraId="66B9552C">
            <w:pPr>
              <w:widowControl/>
              <w:jc w:val="center"/>
              <w:rPr>
                <w:rFonts w:ascii="宋体" w:hAnsi="宋体" w:cs="宋体"/>
                <w:sz w:val="20"/>
                <w:szCs w:val="20"/>
              </w:rPr>
            </w:pPr>
            <w:r>
              <w:rPr>
                <w:rFonts w:hint="eastAsia" w:ascii="宋体" w:hAnsi="宋体" w:cs="宋体"/>
                <w:sz w:val="20"/>
                <w:szCs w:val="20"/>
              </w:rPr>
              <w:t>　</w:t>
            </w:r>
          </w:p>
        </w:tc>
        <w:tc>
          <w:tcPr>
            <w:tcW w:w="4540" w:type="dxa"/>
            <w:tcBorders>
              <w:top w:val="nil"/>
              <w:left w:val="nil"/>
              <w:bottom w:val="single" w:color="000000" w:sz="8" w:space="0"/>
              <w:right w:val="single" w:color="000000" w:sz="8" w:space="0"/>
            </w:tcBorders>
            <w:noWrap/>
            <w:vAlign w:val="center"/>
          </w:tcPr>
          <w:p w14:paraId="32D18514">
            <w:pPr>
              <w:widowControl/>
              <w:jc w:val="left"/>
              <w:rPr>
                <w:rFonts w:ascii="宋体" w:hAnsi="宋体" w:cs="宋体"/>
                <w:sz w:val="20"/>
                <w:szCs w:val="20"/>
              </w:rPr>
            </w:pPr>
            <w:r>
              <w:rPr>
                <w:rFonts w:hint="eastAsia" w:ascii="宋体" w:hAnsi="宋体" w:cs="宋体"/>
                <w:sz w:val="20"/>
                <w:szCs w:val="20"/>
              </w:rPr>
              <w:t>《道路和隧道照明用LED灯具能效限定值及能效等级》（GB37478）</w:t>
            </w:r>
          </w:p>
        </w:tc>
      </w:tr>
      <w:tr w14:paraId="5D253AEB">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vAlign w:val="center"/>
          </w:tcPr>
          <w:p w14:paraId="328E2861">
            <w:pPr>
              <w:widowControl/>
              <w:jc w:val="left"/>
              <w:rPr>
                <w:rFonts w:ascii="宋体" w:hAnsi="宋体" w:cs="宋体"/>
                <w:sz w:val="20"/>
                <w:szCs w:val="20"/>
              </w:rPr>
            </w:pPr>
          </w:p>
        </w:tc>
        <w:tc>
          <w:tcPr>
            <w:tcW w:w="0" w:type="auto"/>
            <w:vMerge w:val="continue"/>
            <w:tcBorders>
              <w:top w:val="nil"/>
              <w:left w:val="single" w:color="000000" w:sz="8" w:space="0"/>
              <w:bottom w:val="single" w:color="000000" w:sz="8" w:space="0"/>
              <w:right w:val="single" w:color="000000" w:sz="8" w:space="0"/>
            </w:tcBorders>
            <w:vAlign w:val="center"/>
          </w:tcPr>
          <w:p w14:paraId="39A66AC5">
            <w:pPr>
              <w:widowControl/>
              <w:jc w:val="left"/>
              <w:rPr>
                <w:rFonts w:ascii="宋体" w:hAnsi="宋体" w:cs="宋体"/>
                <w:sz w:val="20"/>
                <w:szCs w:val="20"/>
              </w:rPr>
            </w:pPr>
          </w:p>
        </w:tc>
        <w:tc>
          <w:tcPr>
            <w:tcW w:w="1320" w:type="dxa"/>
            <w:tcBorders>
              <w:top w:val="nil"/>
              <w:left w:val="nil"/>
              <w:bottom w:val="single" w:color="000000" w:sz="8" w:space="0"/>
              <w:right w:val="single" w:color="000000" w:sz="8" w:space="0"/>
            </w:tcBorders>
            <w:noWrap/>
            <w:vAlign w:val="center"/>
          </w:tcPr>
          <w:p w14:paraId="62D56F45">
            <w:pPr>
              <w:widowControl/>
              <w:jc w:val="center"/>
              <w:rPr>
                <w:rFonts w:ascii="宋体" w:hAnsi="宋体" w:cs="宋体"/>
                <w:sz w:val="20"/>
                <w:szCs w:val="20"/>
              </w:rPr>
            </w:pPr>
            <w:r>
              <w:rPr>
                <w:rFonts w:hint="eastAsia" w:ascii="宋体" w:hAnsi="宋体" w:cs="宋体"/>
                <w:sz w:val="20"/>
                <w:szCs w:val="20"/>
              </w:rPr>
              <w:t>LED筒灯</w:t>
            </w:r>
          </w:p>
        </w:tc>
        <w:tc>
          <w:tcPr>
            <w:tcW w:w="1620" w:type="dxa"/>
            <w:tcBorders>
              <w:top w:val="nil"/>
              <w:left w:val="nil"/>
              <w:bottom w:val="single" w:color="000000" w:sz="8" w:space="0"/>
              <w:right w:val="single" w:color="000000" w:sz="8" w:space="0"/>
            </w:tcBorders>
            <w:noWrap/>
            <w:vAlign w:val="center"/>
          </w:tcPr>
          <w:p w14:paraId="6E469400">
            <w:pPr>
              <w:widowControl/>
              <w:jc w:val="center"/>
              <w:rPr>
                <w:rFonts w:ascii="宋体" w:hAnsi="宋体" w:cs="宋体"/>
                <w:sz w:val="20"/>
                <w:szCs w:val="20"/>
              </w:rPr>
            </w:pPr>
            <w:r>
              <w:rPr>
                <w:rFonts w:hint="eastAsia" w:ascii="宋体" w:hAnsi="宋体" w:cs="宋体"/>
                <w:sz w:val="20"/>
                <w:szCs w:val="20"/>
              </w:rPr>
              <w:t>　</w:t>
            </w:r>
          </w:p>
        </w:tc>
        <w:tc>
          <w:tcPr>
            <w:tcW w:w="4540" w:type="dxa"/>
            <w:tcBorders>
              <w:top w:val="nil"/>
              <w:left w:val="nil"/>
              <w:bottom w:val="single" w:color="000000" w:sz="8" w:space="0"/>
              <w:right w:val="single" w:color="000000" w:sz="8" w:space="0"/>
            </w:tcBorders>
            <w:noWrap/>
            <w:vAlign w:val="center"/>
          </w:tcPr>
          <w:p w14:paraId="05B9A797">
            <w:pPr>
              <w:widowControl/>
              <w:jc w:val="left"/>
              <w:rPr>
                <w:rFonts w:ascii="宋体" w:hAnsi="宋体" w:cs="宋体"/>
                <w:sz w:val="20"/>
                <w:szCs w:val="20"/>
              </w:rPr>
            </w:pPr>
            <w:r>
              <w:rPr>
                <w:rFonts w:hint="eastAsia" w:ascii="宋体" w:hAnsi="宋体" w:cs="宋体"/>
                <w:sz w:val="20"/>
                <w:szCs w:val="20"/>
              </w:rPr>
              <w:t>《室内照明用LED产品能效限定值及能效等级》（GB30255）</w:t>
            </w:r>
          </w:p>
        </w:tc>
      </w:tr>
      <w:tr w14:paraId="372B454F">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vAlign w:val="center"/>
          </w:tcPr>
          <w:p w14:paraId="3EA74A32">
            <w:pPr>
              <w:widowControl/>
              <w:jc w:val="left"/>
              <w:rPr>
                <w:rFonts w:ascii="宋体" w:hAnsi="宋体" w:cs="宋体"/>
                <w:sz w:val="20"/>
                <w:szCs w:val="20"/>
              </w:rPr>
            </w:pPr>
          </w:p>
        </w:tc>
        <w:tc>
          <w:tcPr>
            <w:tcW w:w="0" w:type="auto"/>
            <w:vMerge w:val="continue"/>
            <w:tcBorders>
              <w:top w:val="nil"/>
              <w:left w:val="single" w:color="000000" w:sz="8" w:space="0"/>
              <w:bottom w:val="single" w:color="000000" w:sz="8" w:space="0"/>
              <w:right w:val="single" w:color="000000" w:sz="8" w:space="0"/>
            </w:tcBorders>
            <w:vAlign w:val="center"/>
          </w:tcPr>
          <w:p w14:paraId="20C780A3">
            <w:pPr>
              <w:widowControl/>
              <w:jc w:val="left"/>
              <w:rPr>
                <w:rFonts w:ascii="宋体" w:hAnsi="宋体" w:cs="宋体"/>
                <w:sz w:val="20"/>
                <w:szCs w:val="20"/>
              </w:rPr>
            </w:pPr>
          </w:p>
        </w:tc>
        <w:tc>
          <w:tcPr>
            <w:tcW w:w="1320" w:type="dxa"/>
            <w:tcBorders>
              <w:top w:val="nil"/>
              <w:left w:val="nil"/>
              <w:bottom w:val="single" w:color="000000" w:sz="8" w:space="0"/>
              <w:right w:val="single" w:color="000000" w:sz="8" w:space="0"/>
            </w:tcBorders>
            <w:noWrap/>
            <w:vAlign w:val="center"/>
          </w:tcPr>
          <w:p w14:paraId="79DAE1AA">
            <w:pPr>
              <w:widowControl/>
              <w:jc w:val="center"/>
              <w:rPr>
                <w:rFonts w:ascii="宋体" w:hAnsi="宋体" w:cs="宋体"/>
                <w:sz w:val="20"/>
                <w:szCs w:val="20"/>
              </w:rPr>
            </w:pPr>
            <w:r>
              <w:rPr>
                <w:rFonts w:hint="eastAsia" w:ascii="宋体" w:hAnsi="宋体" w:cs="宋体"/>
                <w:sz w:val="20"/>
                <w:szCs w:val="20"/>
              </w:rPr>
              <w:t>普通照明用非定向自镇流LED灯</w:t>
            </w:r>
          </w:p>
        </w:tc>
        <w:tc>
          <w:tcPr>
            <w:tcW w:w="1620" w:type="dxa"/>
            <w:tcBorders>
              <w:top w:val="nil"/>
              <w:left w:val="nil"/>
              <w:bottom w:val="single" w:color="000000" w:sz="8" w:space="0"/>
              <w:right w:val="single" w:color="000000" w:sz="8" w:space="0"/>
            </w:tcBorders>
            <w:noWrap/>
            <w:vAlign w:val="center"/>
          </w:tcPr>
          <w:p w14:paraId="217B6F6C">
            <w:pPr>
              <w:widowControl/>
              <w:jc w:val="center"/>
              <w:rPr>
                <w:rFonts w:ascii="宋体" w:hAnsi="宋体" w:cs="宋体"/>
                <w:sz w:val="20"/>
                <w:szCs w:val="20"/>
              </w:rPr>
            </w:pPr>
            <w:r>
              <w:rPr>
                <w:rFonts w:hint="eastAsia" w:ascii="宋体" w:hAnsi="宋体" w:cs="宋体"/>
                <w:sz w:val="20"/>
                <w:szCs w:val="20"/>
              </w:rPr>
              <w:t>　</w:t>
            </w:r>
          </w:p>
        </w:tc>
        <w:tc>
          <w:tcPr>
            <w:tcW w:w="4540" w:type="dxa"/>
            <w:tcBorders>
              <w:top w:val="nil"/>
              <w:left w:val="nil"/>
              <w:bottom w:val="single" w:color="000000" w:sz="8" w:space="0"/>
              <w:right w:val="single" w:color="000000" w:sz="8" w:space="0"/>
            </w:tcBorders>
            <w:noWrap/>
            <w:vAlign w:val="center"/>
          </w:tcPr>
          <w:p w14:paraId="302E91A5">
            <w:pPr>
              <w:widowControl/>
              <w:jc w:val="left"/>
              <w:rPr>
                <w:rFonts w:ascii="宋体" w:hAnsi="宋体" w:cs="宋体"/>
                <w:sz w:val="20"/>
                <w:szCs w:val="20"/>
              </w:rPr>
            </w:pPr>
            <w:r>
              <w:rPr>
                <w:rFonts w:hint="eastAsia" w:ascii="宋体" w:hAnsi="宋体" w:cs="宋体"/>
                <w:sz w:val="20"/>
                <w:szCs w:val="20"/>
              </w:rPr>
              <w:t>《室内照明用LED产品能效限定值及能效等级》（GB30255）</w:t>
            </w:r>
          </w:p>
        </w:tc>
      </w:tr>
      <w:tr w14:paraId="718201D8">
        <w:tblPrEx>
          <w:tblCellMar>
            <w:top w:w="0" w:type="dxa"/>
            <w:left w:w="108" w:type="dxa"/>
            <w:bottom w:w="0" w:type="dxa"/>
            <w:right w:w="108" w:type="dxa"/>
          </w:tblCellMar>
        </w:tblPrEx>
        <w:trPr>
          <w:trHeight w:val="735" w:hRule="atLeast"/>
        </w:trPr>
        <w:tc>
          <w:tcPr>
            <w:tcW w:w="660" w:type="dxa"/>
            <w:tcBorders>
              <w:top w:val="nil"/>
              <w:left w:val="single" w:color="000000" w:sz="8" w:space="0"/>
              <w:bottom w:val="single" w:color="000000" w:sz="8" w:space="0"/>
              <w:right w:val="single" w:color="000000" w:sz="8" w:space="0"/>
            </w:tcBorders>
            <w:noWrap/>
            <w:vAlign w:val="center"/>
          </w:tcPr>
          <w:p w14:paraId="44F27AAF">
            <w:pPr>
              <w:widowControl/>
              <w:jc w:val="center"/>
              <w:rPr>
                <w:rFonts w:ascii="宋体" w:hAnsi="宋体" w:cs="宋体"/>
                <w:sz w:val="20"/>
                <w:szCs w:val="20"/>
              </w:rPr>
            </w:pPr>
            <w:r>
              <w:rPr>
                <w:rFonts w:hint="eastAsia" w:ascii="宋体" w:hAnsi="宋体" w:cs="宋体"/>
                <w:sz w:val="20"/>
                <w:szCs w:val="20"/>
              </w:rPr>
              <w:t>12</w:t>
            </w:r>
          </w:p>
        </w:tc>
        <w:tc>
          <w:tcPr>
            <w:tcW w:w="1080" w:type="dxa"/>
            <w:tcBorders>
              <w:top w:val="nil"/>
              <w:left w:val="nil"/>
              <w:bottom w:val="single" w:color="000000" w:sz="8" w:space="0"/>
              <w:right w:val="single" w:color="000000" w:sz="8" w:space="0"/>
            </w:tcBorders>
            <w:noWrap/>
            <w:vAlign w:val="center"/>
          </w:tcPr>
          <w:p w14:paraId="6E28D1FD">
            <w:pPr>
              <w:widowControl/>
              <w:jc w:val="center"/>
              <w:rPr>
                <w:rFonts w:ascii="宋体" w:hAnsi="宋体" w:cs="宋体"/>
                <w:sz w:val="20"/>
                <w:szCs w:val="20"/>
              </w:rPr>
            </w:pPr>
            <w:r>
              <w:rPr>
                <w:rFonts w:hint="eastAsia" w:ascii="宋体" w:hAnsi="宋体" w:cs="宋体"/>
                <w:sz w:val="20"/>
                <w:szCs w:val="20"/>
              </w:rPr>
              <w:t>★A020910电视设备</w:t>
            </w:r>
          </w:p>
        </w:tc>
        <w:tc>
          <w:tcPr>
            <w:tcW w:w="1320" w:type="dxa"/>
            <w:tcBorders>
              <w:top w:val="nil"/>
              <w:left w:val="nil"/>
              <w:bottom w:val="single" w:color="000000" w:sz="8" w:space="0"/>
              <w:right w:val="single" w:color="000000" w:sz="8" w:space="0"/>
            </w:tcBorders>
            <w:noWrap/>
            <w:vAlign w:val="center"/>
          </w:tcPr>
          <w:p w14:paraId="78D877FB">
            <w:pPr>
              <w:widowControl/>
              <w:jc w:val="center"/>
              <w:rPr>
                <w:rFonts w:ascii="宋体" w:hAnsi="宋体" w:cs="宋体"/>
                <w:sz w:val="20"/>
                <w:szCs w:val="20"/>
              </w:rPr>
            </w:pPr>
            <w:r>
              <w:rPr>
                <w:rFonts w:hint="eastAsia" w:ascii="宋体" w:hAnsi="宋体" w:cs="宋体"/>
                <w:sz w:val="20"/>
                <w:szCs w:val="20"/>
              </w:rPr>
              <w:t>A02091001普通电视设备（电视机）</w:t>
            </w:r>
          </w:p>
        </w:tc>
        <w:tc>
          <w:tcPr>
            <w:tcW w:w="1620" w:type="dxa"/>
            <w:tcBorders>
              <w:top w:val="nil"/>
              <w:left w:val="nil"/>
              <w:bottom w:val="single" w:color="000000" w:sz="8" w:space="0"/>
              <w:right w:val="single" w:color="000000" w:sz="8" w:space="0"/>
            </w:tcBorders>
            <w:noWrap/>
            <w:vAlign w:val="center"/>
          </w:tcPr>
          <w:p w14:paraId="3052CB3A">
            <w:pPr>
              <w:widowControl/>
              <w:jc w:val="center"/>
              <w:rPr>
                <w:rFonts w:ascii="宋体" w:hAnsi="宋体" w:cs="宋体"/>
                <w:sz w:val="20"/>
                <w:szCs w:val="20"/>
              </w:rPr>
            </w:pPr>
            <w:r>
              <w:rPr>
                <w:rFonts w:hint="eastAsia" w:ascii="宋体" w:hAnsi="宋体" w:cs="宋体"/>
                <w:sz w:val="20"/>
                <w:szCs w:val="20"/>
              </w:rPr>
              <w:t>　</w:t>
            </w:r>
          </w:p>
        </w:tc>
        <w:tc>
          <w:tcPr>
            <w:tcW w:w="4540" w:type="dxa"/>
            <w:tcBorders>
              <w:top w:val="nil"/>
              <w:left w:val="nil"/>
              <w:bottom w:val="single" w:color="000000" w:sz="8" w:space="0"/>
              <w:right w:val="single" w:color="000000" w:sz="8" w:space="0"/>
            </w:tcBorders>
            <w:noWrap/>
            <w:vAlign w:val="center"/>
          </w:tcPr>
          <w:p w14:paraId="07C11A41">
            <w:pPr>
              <w:widowControl/>
              <w:jc w:val="left"/>
              <w:rPr>
                <w:rFonts w:ascii="宋体" w:hAnsi="宋体" w:cs="宋体"/>
                <w:sz w:val="20"/>
                <w:szCs w:val="20"/>
              </w:rPr>
            </w:pPr>
            <w:r>
              <w:rPr>
                <w:rFonts w:hint="eastAsia" w:ascii="宋体" w:hAnsi="宋体" w:cs="宋体"/>
                <w:sz w:val="20"/>
                <w:szCs w:val="20"/>
              </w:rPr>
              <w:t>《平板电视能效限定值及能效等级》（GB24850）</w:t>
            </w:r>
          </w:p>
        </w:tc>
      </w:tr>
      <w:tr w14:paraId="3B6A8B1D">
        <w:tblPrEx>
          <w:tblCellMar>
            <w:top w:w="0" w:type="dxa"/>
            <w:left w:w="108" w:type="dxa"/>
            <w:bottom w:w="0" w:type="dxa"/>
            <w:right w:w="108" w:type="dxa"/>
          </w:tblCellMar>
        </w:tblPrEx>
        <w:trPr>
          <w:trHeight w:val="975" w:hRule="atLeast"/>
        </w:trPr>
        <w:tc>
          <w:tcPr>
            <w:tcW w:w="660" w:type="dxa"/>
            <w:tcBorders>
              <w:top w:val="nil"/>
              <w:left w:val="single" w:color="000000" w:sz="8" w:space="0"/>
              <w:bottom w:val="single" w:color="000000" w:sz="8" w:space="0"/>
              <w:right w:val="single" w:color="000000" w:sz="8" w:space="0"/>
            </w:tcBorders>
            <w:noWrap/>
            <w:vAlign w:val="center"/>
          </w:tcPr>
          <w:p w14:paraId="612E37E5">
            <w:pPr>
              <w:widowControl/>
              <w:jc w:val="center"/>
              <w:rPr>
                <w:rFonts w:ascii="宋体" w:hAnsi="宋体" w:cs="宋体"/>
                <w:sz w:val="20"/>
                <w:szCs w:val="20"/>
              </w:rPr>
            </w:pPr>
            <w:r>
              <w:rPr>
                <w:rFonts w:hint="eastAsia" w:ascii="宋体" w:hAnsi="宋体" w:cs="宋体"/>
                <w:sz w:val="20"/>
                <w:szCs w:val="20"/>
              </w:rPr>
              <w:t>13</w:t>
            </w:r>
          </w:p>
        </w:tc>
        <w:tc>
          <w:tcPr>
            <w:tcW w:w="1080" w:type="dxa"/>
            <w:tcBorders>
              <w:top w:val="nil"/>
              <w:left w:val="nil"/>
              <w:bottom w:val="single" w:color="000000" w:sz="8" w:space="0"/>
              <w:right w:val="single" w:color="000000" w:sz="8" w:space="0"/>
            </w:tcBorders>
            <w:noWrap/>
            <w:vAlign w:val="center"/>
          </w:tcPr>
          <w:p w14:paraId="7109B0BA">
            <w:pPr>
              <w:widowControl/>
              <w:jc w:val="center"/>
              <w:rPr>
                <w:rFonts w:ascii="宋体" w:hAnsi="宋体" w:cs="宋体"/>
                <w:sz w:val="20"/>
                <w:szCs w:val="20"/>
              </w:rPr>
            </w:pPr>
            <w:r>
              <w:rPr>
                <w:rFonts w:hint="eastAsia" w:ascii="宋体" w:hAnsi="宋体" w:cs="宋体"/>
                <w:sz w:val="20"/>
                <w:szCs w:val="20"/>
              </w:rPr>
              <w:t>★A020911视频设备</w:t>
            </w:r>
          </w:p>
        </w:tc>
        <w:tc>
          <w:tcPr>
            <w:tcW w:w="1320" w:type="dxa"/>
            <w:tcBorders>
              <w:top w:val="nil"/>
              <w:left w:val="nil"/>
              <w:bottom w:val="single" w:color="000000" w:sz="8" w:space="0"/>
              <w:right w:val="single" w:color="000000" w:sz="8" w:space="0"/>
            </w:tcBorders>
            <w:noWrap/>
            <w:vAlign w:val="center"/>
          </w:tcPr>
          <w:p w14:paraId="754700B0">
            <w:pPr>
              <w:widowControl/>
              <w:jc w:val="center"/>
              <w:rPr>
                <w:rFonts w:ascii="宋体" w:hAnsi="宋体" w:cs="宋体"/>
                <w:sz w:val="20"/>
                <w:szCs w:val="20"/>
              </w:rPr>
            </w:pPr>
            <w:r>
              <w:rPr>
                <w:rFonts w:hint="eastAsia" w:ascii="宋体" w:hAnsi="宋体" w:cs="宋体"/>
                <w:sz w:val="20"/>
                <w:szCs w:val="20"/>
              </w:rPr>
              <w:t>A02091107视频监控设备</w:t>
            </w:r>
          </w:p>
        </w:tc>
        <w:tc>
          <w:tcPr>
            <w:tcW w:w="1620" w:type="dxa"/>
            <w:tcBorders>
              <w:top w:val="nil"/>
              <w:left w:val="nil"/>
              <w:bottom w:val="single" w:color="000000" w:sz="8" w:space="0"/>
              <w:right w:val="single" w:color="000000" w:sz="8" w:space="0"/>
            </w:tcBorders>
            <w:noWrap/>
            <w:vAlign w:val="center"/>
          </w:tcPr>
          <w:p w14:paraId="4B24F5F8">
            <w:pPr>
              <w:widowControl/>
              <w:jc w:val="center"/>
              <w:rPr>
                <w:rFonts w:ascii="宋体" w:hAnsi="宋体" w:cs="宋体"/>
                <w:sz w:val="20"/>
                <w:szCs w:val="20"/>
              </w:rPr>
            </w:pPr>
            <w:r>
              <w:rPr>
                <w:rFonts w:hint="eastAsia" w:ascii="宋体" w:hAnsi="宋体" w:cs="宋体"/>
                <w:sz w:val="20"/>
                <w:szCs w:val="20"/>
              </w:rPr>
              <w:t>监视器</w:t>
            </w:r>
          </w:p>
        </w:tc>
        <w:tc>
          <w:tcPr>
            <w:tcW w:w="4540" w:type="dxa"/>
            <w:tcBorders>
              <w:top w:val="nil"/>
              <w:left w:val="nil"/>
              <w:bottom w:val="single" w:color="000000" w:sz="8" w:space="0"/>
              <w:right w:val="single" w:color="000000" w:sz="8" w:space="0"/>
            </w:tcBorders>
            <w:noWrap/>
            <w:vAlign w:val="center"/>
          </w:tcPr>
          <w:p w14:paraId="21E265B3">
            <w:pPr>
              <w:widowControl/>
              <w:jc w:val="left"/>
              <w:rPr>
                <w:rFonts w:ascii="宋体" w:hAnsi="宋体" w:cs="宋体"/>
                <w:sz w:val="20"/>
                <w:szCs w:val="20"/>
              </w:rPr>
            </w:pPr>
            <w:r>
              <w:rPr>
                <w:rFonts w:hint="eastAsia" w:ascii="宋体" w:hAnsi="宋体" w:cs="宋体"/>
                <w:sz w:val="20"/>
                <w:szCs w:val="20"/>
              </w:rPr>
              <w:t>以射频信号为主要信号输入的监视器应符合《平板电视能效限定值及能效等级》（GB24850），以数字信号为主要信号输入的监视器应符合《计算机显示器能效限定值及能效等级》（GB21520）</w:t>
            </w:r>
          </w:p>
        </w:tc>
      </w:tr>
      <w:tr w14:paraId="5D66570F">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ign w:val="center"/>
          </w:tcPr>
          <w:p w14:paraId="0F76893F">
            <w:pPr>
              <w:widowControl/>
              <w:jc w:val="center"/>
              <w:rPr>
                <w:rFonts w:ascii="宋体" w:hAnsi="宋体" w:cs="宋体"/>
                <w:sz w:val="20"/>
                <w:szCs w:val="20"/>
              </w:rPr>
            </w:pPr>
            <w:r>
              <w:rPr>
                <w:rFonts w:hint="eastAsia" w:ascii="宋体" w:hAnsi="宋体" w:cs="宋体"/>
                <w:sz w:val="20"/>
                <w:szCs w:val="20"/>
              </w:rPr>
              <w:t>14</w:t>
            </w:r>
          </w:p>
        </w:tc>
        <w:tc>
          <w:tcPr>
            <w:tcW w:w="1080" w:type="dxa"/>
            <w:tcBorders>
              <w:top w:val="nil"/>
              <w:left w:val="nil"/>
              <w:bottom w:val="single" w:color="000000" w:sz="8" w:space="0"/>
              <w:right w:val="single" w:color="000000" w:sz="8" w:space="0"/>
            </w:tcBorders>
            <w:noWrap/>
            <w:vAlign w:val="center"/>
          </w:tcPr>
          <w:p w14:paraId="00F8F365">
            <w:pPr>
              <w:widowControl/>
              <w:jc w:val="center"/>
              <w:rPr>
                <w:rFonts w:ascii="宋体" w:hAnsi="宋体" w:cs="宋体"/>
                <w:sz w:val="20"/>
                <w:szCs w:val="20"/>
              </w:rPr>
            </w:pPr>
            <w:r>
              <w:rPr>
                <w:rFonts w:hint="eastAsia" w:ascii="宋体" w:hAnsi="宋体" w:cs="宋体"/>
                <w:sz w:val="20"/>
                <w:szCs w:val="20"/>
              </w:rPr>
              <w:t>A031210饮食炊事机械</w:t>
            </w:r>
          </w:p>
        </w:tc>
        <w:tc>
          <w:tcPr>
            <w:tcW w:w="1320" w:type="dxa"/>
            <w:tcBorders>
              <w:top w:val="nil"/>
              <w:left w:val="nil"/>
              <w:bottom w:val="single" w:color="000000" w:sz="8" w:space="0"/>
              <w:right w:val="single" w:color="000000" w:sz="8" w:space="0"/>
            </w:tcBorders>
            <w:noWrap/>
            <w:vAlign w:val="center"/>
          </w:tcPr>
          <w:p w14:paraId="0D83DEC4">
            <w:pPr>
              <w:widowControl/>
              <w:jc w:val="center"/>
              <w:rPr>
                <w:rFonts w:ascii="宋体" w:hAnsi="宋体" w:cs="宋体"/>
                <w:sz w:val="20"/>
                <w:szCs w:val="20"/>
              </w:rPr>
            </w:pPr>
            <w:r>
              <w:rPr>
                <w:rFonts w:hint="eastAsia" w:ascii="宋体" w:hAnsi="宋体" w:cs="宋体"/>
                <w:sz w:val="20"/>
                <w:szCs w:val="20"/>
              </w:rPr>
              <w:t>商用燃气灶具</w:t>
            </w:r>
          </w:p>
        </w:tc>
        <w:tc>
          <w:tcPr>
            <w:tcW w:w="1620" w:type="dxa"/>
            <w:tcBorders>
              <w:top w:val="nil"/>
              <w:left w:val="nil"/>
              <w:bottom w:val="single" w:color="000000" w:sz="8" w:space="0"/>
              <w:right w:val="single" w:color="000000" w:sz="8" w:space="0"/>
            </w:tcBorders>
            <w:noWrap/>
            <w:vAlign w:val="center"/>
          </w:tcPr>
          <w:p w14:paraId="07F9EE54">
            <w:pPr>
              <w:widowControl/>
              <w:jc w:val="center"/>
              <w:rPr>
                <w:rFonts w:ascii="宋体" w:hAnsi="宋体" w:cs="宋体"/>
                <w:sz w:val="20"/>
                <w:szCs w:val="20"/>
              </w:rPr>
            </w:pPr>
            <w:r>
              <w:rPr>
                <w:rFonts w:hint="eastAsia" w:ascii="宋体" w:hAnsi="宋体" w:cs="宋体"/>
                <w:sz w:val="20"/>
                <w:szCs w:val="20"/>
              </w:rPr>
              <w:t>　</w:t>
            </w:r>
          </w:p>
        </w:tc>
        <w:tc>
          <w:tcPr>
            <w:tcW w:w="4540" w:type="dxa"/>
            <w:tcBorders>
              <w:top w:val="nil"/>
              <w:left w:val="nil"/>
              <w:bottom w:val="single" w:color="000000" w:sz="8" w:space="0"/>
              <w:right w:val="single" w:color="000000" w:sz="8" w:space="0"/>
            </w:tcBorders>
            <w:noWrap/>
            <w:vAlign w:val="center"/>
          </w:tcPr>
          <w:p w14:paraId="2AA15F80">
            <w:pPr>
              <w:widowControl/>
              <w:jc w:val="left"/>
              <w:rPr>
                <w:rFonts w:ascii="宋体" w:hAnsi="宋体" w:cs="宋体"/>
                <w:sz w:val="20"/>
                <w:szCs w:val="20"/>
              </w:rPr>
            </w:pPr>
            <w:r>
              <w:rPr>
                <w:rFonts w:hint="eastAsia" w:ascii="宋体" w:hAnsi="宋体" w:cs="宋体"/>
                <w:sz w:val="20"/>
                <w:szCs w:val="20"/>
              </w:rPr>
              <w:t>《商用燃气灶具能效限定值及能效等级》（GB30531）</w:t>
            </w:r>
          </w:p>
        </w:tc>
      </w:tr>
      <w:tr w14:paraId="748D01A2">
        <w:tblPrEx>
          <w:tblCellMar>
            <w:top w:w="0" w:type="dxa"/>
            <w:left w:w="108" w:type="dxa"/>
            <w:bottom w:w="0" w:type="dxa"/>
            <w:right w:w="108" w:type="dxa"/>
          </w:tblCellMar>
        </w:tblPrEx>
        <w:trPr>
          <w:trHeight w:val="285" w:hRule="atLeast"/>
        </w:trPr>
        <w:tc>
          <w:tcPr>
            <w:tcW w:w="660" w:type="dxa"/>
            <w:vMerge w:val="restart"/>
            <w:tcBorders>
              <w:top w:val="nil"/>
              <w:left w:val="single" w:color="000000" w:sz="8" w:space="0"/>
              <w:bottom w:val="single" w:color="000000" w:sz="8" w:space="0"/>
              <w:right w:val="single" w:color="000000" w:sz="8" w:space="0"/>
            </w:tcBorders>
            <w:noWrap/>
            <w:vAlign w:val="center"/>
          </w:tcPr>
          <w:p w14:paraId="038EA70E">
            <w:pPr>
              <w:widowControl/>
              <w:jc w:val="center"/>
              <w:rPr>
                <w:rFonts w:ascii="宋体" w:hAnsi="宋体" w:cs="宋体"/>
                <w:sz w:val="20"/>
                <w:szCs w:val="20"/>
              </w:rPr>
            </w:pPr>
            <w:r>
              <w:rPr>
                <w:rFonts w:hint="eastAsia" w:ascii="宋体" w:hAnsi="宋体" w:cs="宋体"/>
                <w:sz w:val="20"/>
                <w:szCs w:val="20"/>
              </w:rPr>
              <w:t>15</w:t>
            </w:r>
          </w:p>
        </w:tc>
        <w:tc>
          <w:tcPr>
            <w:tcW w:w="1080" w:type="dxa"/>
            <w:vMerge w:val="restart"/>
            <w:tcBorders>
              <w:top w:val="nil"/>
              <w:left w:val="single" w:color="000000" w:sz="8" w:space="0"/>
              <w:bottom w:val="single" w:color="000000" w:sz="8" w:space="0"/>
              <w:right w:val="single" w:color="000000" w:sz="8" w:space="0"/>
            </w:tcBorders>
            <w:noWrap/>
            <w:vAlign w:val="center"/>
          </w:tcPr>
          <w:p w14:paraId="0E4EA10E">
            <w:pPr>
              <w:widowControl/>
              <w:jc w:val="center"/>
              <w:rPr>
                <w:rFonts w:ascii="宋体" w:hAnsi="宋体" w:cs="宋体"/>
                <w:sz w:val="20"/>
                <w:szCs w:val="20"/>
              </w:rPr>
            </w:pPr>
            <w:r>
              <w:rPr>
                <w:rFonts w:hint="eastAsia" w:ascii="宋体" w:hAnsi="宋体" w:cs="宋体"/>
                <w:sz w:val="20"/>
                <w:szCs w:val="20"/>
              </w:rPr>
              <w:t>★A060805便器</w:t>
            </w:r>
          </w:p>
        </w:tc>
        <w:tc>
          <w:tcPr>
            <w:tcW w:w="1320" w:type="dxa"/>
            <w:tcBorders>
              <w:top w:val="nil"/>
              <w:left w:val="nil"/>
              <w:bottom w:val="single" w:color="000000" w:sz="8" w:space="0"/>
              <w:right w:val="single" w:color="000000" w:sz="8" w:space="0"/>
            </w:tcBorders>
            <w:noWrap/>
            <w:vAlign w:val="center"/>
          </w:tcPr>
          <w:p w14:paraId="5032DFB1">
            <w:pPr>
              <w:widowControl/>
              <w:jc w:val="center"/>
              <w:rPr>
                <w:rFonts w:ascii="宋体" w:hAnsi="宋体" w:cs="宋体"/>
                <w:sz w:val="20"/>
                <w:szCs w:val="20"/>
              </w:rPr>
            </w:pPr>
            <w:r>
              <w:rPr>
                <w:rFonts w:hint="eastAsia" w:ascii="宋体" w:hAnsi="宋体" w:cs="宋体"/>
                <w:sz w:val="20"/>
                <w:szCs w:val="20"/>
              </w:rPr>
              <w:t>坐便器</w:t>
            </w:r>
          </w:p>
        </w:tc>
        <w:tc>
          <w:tcPr>
            <w:tcW w:w="1620" w:type="dxa"/>
            <w:tcBorders>
              <w:top w:val="nil"/>
              <w:left w:val="nil"/>
              <w:bottom w:val="single" w:color="000000" w:sz="8" w:space="0"/>
              <w:right w:val="single" w:color="000000" w:sz="8" w:space="0"/>
            </w:tcBorders>
            <w:noWrap/>
            <w:vAlign w:val="center"/>
          </w:tcPr>
          <w:p w14:paraId="70CFDCF2">
            <w:pPr>
              <w:widowControl/>
              <w:jc w:val="center"/>
              <w:rPr>
                <w:rFonts w:ascii="宋体" w:hAnsi="宋体" w:cs="宋体"/>
                <w:sz w:val="20"/>
                <w:szCs w:val="20"/>
              </w:rPr>
            </w:pPr>
            <w:r>
              <w:rPr>
                <w:rFonts w:hint="eastAsia" w:ascii="宋体" w:hAnsi="宋体" w:cs="宋体"/>
                <w:sz w:val="20"/>
                <w:szCs w:val="20"/>
              </w:rPr>
              <w:t>　</w:t>
            </w:r>
          </w:p>
        </w:tc>
        <w:tc>
          <w:tcPr>
            <w:tcW w:w="4540" w:type="dxa"/>
            <w:tcBorders>
              <w:top w:val="nil"/>
              <w:left w:val="nil"/>
              <w:bottom w:val="single" w:color="000000" w:sz="8" w:space="0"/>
              <w:right w:val="single" w:color="000000" w:sz="8" w:space="0"/>
            </w:tcBorders>
            <w:noWrap/>
            <w:vAlign w:val="center"/>
          </w:tcPr>
          <w:p w14:paraId="7D526137">
            <w:pPr>
              <w:widowControl/>
              <w:jc w:val="left"/>
              <w:rPr>
                <w:rFonts w:ascii="宋体" w:hAnsi="宋体" w:cs="宋体"/>
                <w:sz w:val="20"/>
                <w:szCs w:val="20"/>
              </w:rPr>
            </w:pPr>
            <w:r>
              <w:rPr>
                <w:rFonts w:hint="eastAsia" w:ascii="宋体" w:hAnsi="宋体" w:cs="宋体"/>
                <w:sz w:val="20"/>
                <w:szCs w:val="20"/>
              </w:rPr>
              <w:t>《坐便器水效限定值及水效等级》（GB25502）</w:t>
            </w:r>
          </w:p>
        </w:tc>
      </w:tr>
      <w:tr w14:paraId="7D097BCA">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vAlign w:val="center"/>
          </w:tcPr>
          <w:p w14:paraId="0D06770B">
            <w:pPr>
              <w:widowControl/>
              <w:jc w:val="left"/>
              <w:rPr>
                <w:rFonts w:ascii="宋体" w:hAnsi="宋体" w:cs="宋体"/>
                <w:sz w:val="20"/>
                <w:szCs w:val="20"/>
              </w:rPr>
            </w:pPr>
          </w:p>
        </w:tc>
        <w:tc>
          <w:tcPr>
            <w:tcW w:w="0" w:type="auto"/>
            <w:vMerge w:val="continue"/>
            <w:tcBorders>
              <w:top w:val="nil"/>
              <w:left w:val="single" w:color="000000" w:sz="8" w:space="0"/>
              <w:bottom w:val="single" w:color="000000" w:sz="8" w:space="0"/>
              <w:right w:val="single" w:color="000000" w:sz="8" w:space="0"/>
            </w:tcBorders>
            <w:vAlign w:val="center"/>
          </w:tcPr>
          <w:p w14:paraId="5DDF53EE">
            <w:pPr>
              <w:widowControl/>
              <w:jc w:val="left"/>
              <w:rPr>
                <w:rFonts w:ascii="宋体" w:hAnsi="宋体" w:cs="宋体"/>
                <w:sz w:val="20"/>
                <w:szCs w:val="20"/>
              </w:rPr>
            </w:pPr>
          </w:p>
        </w:tc>
        <w:tc>
          <w:tcPr>
            <w:tcW w:w="1320" w:type="dxa"/>
            <w:tcBorders>
              <w:top w:val="nil"/>
              <w:left w:val="nil"/>
              <w:bottom w:val="single" w:color="000000" w:sz="8" w:space="0"/>
              <w:right w:val="single" w:color="000000" w:sz="8" w:space="0"/>
            </w:tcBorders>
            <w:noWrap/>
            <w:vAlign w:val="center"/>
          </w:tcPr>
          <w:p w14:paraId="69A7F05D">
            <w:pPr>
              <w:widowControl/>
              <w:jc w:val="center"/>
              <w:rPr>
                <w:rFonts w:ascii="宋体" w:hAnsi="宋体" w:cs="宋体"/>
                <w:sz w:val="20"/>
                <w:szCs w:val="20"/>
              </w:rPr>
            </w:pPr>
            <w:r>
              <w:rPr>
                <w:rFonts w:hint="eastAsia" w:ascii="宋体" w:hAnsi="宋体" w:cs="宋体"/>
                <w:sz w:val="20"/>
                <w:szCs w:val="20"/>
              </w:rPr>
              <w:t>蹲便器</w:t>
            </w:r>
          </w:p>
        </w:tc>
        <w:tc>
          <w:tcPr>
            <w:tcW w:w="1620" w:type="dxa"/>
            <w:tcBorders>
              <w:top w:val="nil"/>
              <w:left w:val="nil"/>
              <w:bottom w:val="single" w:color="000000" w:sz="8" w:space="0"/>
              <w:right w:val="single" w:color="000000" w:sz="8" w:space="0"/>
            </w:tcBorders>
            <w:noWrap/>
            <w:vAlign w:val="center"/>
          </w:tcPr>
          <w:p w14:paraId="1F960FA8">
            <w:pPr>
              <w:widowControl/>
              <w:jc w:val="center"/>
              <w:rPr>
                <w:rFonts w:ascii="宋体" w:hAnsi="宋体" w:cs="宋体"/>
                <w:sz w:val="20"/>
                <w:szCs w:val="20"/>
              </w:rPr>
            </w:pPr>
            <w:r>
              <w:rPr>
                <w:rFonts w:hint="eastAsia" w:ascii="宋体" w:hAnsi="宋体" w:cs="宋体"/>
                <w:sz w:val="20"/>
                <w:szCs w:val="20"/>
              </w:rPr>
              <w:t>　</w:t>
            </w:r>
          </w:p>
        </w:tc>
        <w:tc>
          <w:tcPr>
            <w:tcW w:w="4540" w:type="dxa"/>
            <w:tcBorders>
              <w:top w:val="nil"/>
              <w:left w:val="nil"/>
              <w:bottom w:val="single" w:color="000000" w:sz="8" w:space="0"/>
              <w:right w:val="single" w:color="000000" w:sz="8" w:space="0"/>
            </w:tcBorders>
            <w:noWrap/>
            <w:vAlign w:val="center"/>
          </w:tcPr>
          <w:p w14:paraId="2ADDE672">
            <w:pPr>
              <w:widowControl/>
              <w:jc w:val="left"/>
              <w:rPr>
                <w:rFonts w:ascii="宋体" w:hAnsi="宋体" w:cs="宋体"/>
                <w:sz w:val="20"/>
                <w:szCs w:val="20"/>
              </w:rPr>
            </w:pPr>
            <w:r>
              <w:rPr>
                <w:rFonts w:hint="eastAsia" w:ascii="宋体" w:hAnsi="宋体" w:cs="宋体"/>
                <w:sz w:val="20"/>
                <w:szCs w:val="20"/>
              </w:rPr>
              <w:t>《蹲便器用水效率限定值及用水效率等级》（GB30717）</w:t>
            </w:r>
          </w:p>
        </w:tc>
      </w:tr>
      <w:tr w14:paraId="05945150">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vAlign w:val="center"/>
          </w:tcPr>
          <w:p w14:paraId="36F1740C">
            <w:pPr>
              <w:widowControl/>
              <w:jc w:val="left"/>
              <w:rPr>
                <w:rFonts w:ascii="宋体" w:hAnsi="宋体" w:cs="宋体"/>
                <w:sz w:val="20"/>
                <w:szCs w:val="20"/>
              </w:rPr>
            </w:pPr>
          </w:p>
        </w:tc>
        <w:tc>
          <w:tcPr>
            <w:tcW w:w="0" w:type="auto"/>
            <w:vMerge w:val="continue"/>
            <w:tcBorders>
              <w:top w:val="nil"/>
              <w:left w:val="single" w:color="000000" w:sz="8" w:space="0"/>
              <w:bottom w:val="single" w:color="000000" w:sz="8" w:space="0"/>
              <w:right w:val="single" w:color="000000" w:sz="8" w:space="0"/>
            </w:tcBorders>
            <w:vAlign w:val="center"/>
          </w:tcPr>
          <w:p w14:paraId="45502A1C">
            <w:pPr>
              <w:widowControl/>
              <w:jc w:val="left"/>
              <w:rPr>
                <w:rFonts w:ascii="宋体" w:hAnsi="宋体" w:cs="宋体"/>
                <w:sz w:val="20"/>
                <w:szCs w:val="20"/>
              </w:rPr>
            </w:pPr>
          </w:p>
        </w:tc>
        <w:tc>
          <w:tcPr>
            <w:tcW w:w="1320" w:type="dxa"/>
            <w:tcBorders>
              <w:top w:val="nil"/>
              <w:left w:val="nil"/>
              <w:bottom w:val="single" w:color="000000" w:sz="8" w:space="0"/>
              <w:right w:val="single" w:color="000000" w:sz="8" w:space="0"/>
            </w:tcBorders>
            <w:noWrap/>
            <w:vAlign w:val="center"/>
          </w:tcPr>
          <w:p w14:paraId="0A68B132">
            <w:pPr>
              <w:widowControl/>
              <w:jc w:val="center"/>
              <w:rPr>
                <w:rFonts w:ascii="宋体" w:hAnsi="宋体" w:cs="宋体"/>
                <w:sz w:val="20"/>
                <w:szCs w:val="20"/>
              </w:rPr>
            </w:pPr>
            <w:r>
              <w:rPr>
                <w:rFonts w:hint="eastAsia" w:ascii="宋体" w:hAnsi="宋体" w:cs="宋体"/>
                <w:sz w:val="20"/>
                <w:szCs w:val="20"/>
              </w:rPr>
              <w:t>小便器</w:t>
            </w:r>
          </w:p>
        </w:tc>
        <w:tc>
          <w:tcPr>
            <w:tcW w:w="1620" w:type="dxa"/>
            <w:tcBorders>
              <w:top w:val="nil"/>
              <w:left w:val="nil"/>
              <w:bottom w:val="single" w:color="000000" w:sz="8" w:space="0"/>
              <w:right w:val="single" w:color="000000" w:sz="8" w:space="0"/>
            </w:tcBorders>
            <w:noWrap/>
            <w:vAlign w:val="center"/>
          </w:tcPr>
          <w:p w14:paraId="1876A1B3">
            <w:pPr>
              <w:widowControl/>
              <w:jc w:val="center"/>
              <w:rPr>
                <w:rFonts w:ascii="宋体" w:hAnsi="宋体" w:cs="宋体"/>
                <w:sz w:val="20"/>
                <w:szCs w:val="20"/>
              </w:rPr>
            </w:pPr>
            <w:r>
              <w:rPr>
                <w:rFonts w:hint="eastAsia" w:ascii="宋体" w:hAnsi="宋体" w:cs="宋体"/>
                <w:sz w:val="20"/>
                <w:szCs w:val="20"/>
              </w:rPr>
              <w:t>　</w:t>
            </w:r>
          </w:p>
        </w:tc>
        <w:tc>
          <w:tcPr>
            <w:tcW w:w="4540" w:type="dxa"/>
            <w:tcBorders>
              <w:top w:val="nil"/>
              <w:left w:val="nil"/>
              <w:bottom w:val="single" w:color="000000" w:sz="8" w:space="0"/>
              <w:right w:val="single" w:color="000000" w:sz="8" w:space="0"/>
            </w:tcBorders>
            <w:noWrap/>
            <w:vAlign w:val="center"/>
          </w:tcPr>
          <w:p w14:paraId="7C3C523B">
            <w:pPr>
              <w:widowControl/>
              <w:jc w:val="left"/>
              <w:rPr>
                <w:rFonts w:ascii="宋体" w:hAnsi="宋体" w:cs="宋体"/>
                <w:sz w:val="20"/>
                <w:szCs w:val="20"/>
              </w:rPr>
            </w:pPr>
            <w:r>
              <w:rPr>
                <w:rFonts w:hint="eastAsia" w:ascii="宋体" w:hAnsi="宋体" w:cs="宋体"/>
                <w:sz w:val="20"/>
                <w:szCs w:val="20"/>
              </w:rPr>
              <w:t>《小便器用水效率限定值及用水效率等级》（GB28377）</w:t>
            </w:r>
          </w:p>
        </w:tc>
      </w:tr>
      <w:tr w14:paraId="49881544">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ign w:val="center"/>
          </w:tcPr>
          <w:p w14:paraId="62D35DDF">
            <w:pPr>
              <w:widowControl/>
              <w:jc w:val="center"/>
              <w:rPr>
                <w:rFonts w:ascii="宋体" w:hAnsi="宋体" w:cs="宋体"/>
                <w:sz w:val="20"/>
                <w:szCs w:val="20"/>
              </w:rPr>
            </w:pPr>
            <w:r>
              <w:rPr>
                <w:rFonts w:hint="eastAsia" w:ascii="宋体" w:hAnsi="宋体" w:cs="宋体"/>
                <w:sz w:val="20"/>
                <w:szCs w:val="20"/>
              </w:rPr>
              <w:t>16</w:t>
            </w:r>
          </w:p>
        </w:tc>
        <w:tc>
          <w:tcPr>
            <w:tcW w:w="1080" w:type="dxa"/>
            <w:tcBorders>
              <w:top w:val="nil"/>
              <w:left w:val="nil"/>
              <w:bottom w:val="single" w:color="000000" w:sz="8" w:space="0"/>
              <w:right w:val="single" w:color="000000" w:sz="8" w:space="0"/>
            </w:tcBorders>
            <w:noWrap/>
            <w:vAlign w:val="center"/>
          </w:tcPr>
          <w:p w14:paraId="0AD56F81">
            <w:pPr>
              <w:widowControl/>
              <w:jc w:val="center"/>
              <w:rPr>
                <w:rFonts w:ascii="宋体" w:hAnsi="宋体" w:cs="宋体"/>
                <w:sz w:val="20"/>
                <w:szCs w:val="20"/>
              </w:rPr>
            </w:pPr>
            <w:r>
              <w:rPr>
                <w:rFonts w:hint="eastAsia" w:ascii="宋体" w:hAnsi="宋体" w:cs="宋体"/>
                <w:sz w:val="20"/>
                <w:szCs w:val="20"/>
              </w:rPr>
              <w:t>★A060806水嘴</w:t>
            </w:r>
          </w:p>
        </w:tc>
        <w:tc>
          <w:tcPr>
            <w:tcW w:w="1320" w:type="dxa"/>
            <w:tcBorders>
              <w:top w:val="nil"/>
              <w:left w:val="nil"/>
              <w:bottom w:val="single" w:color="000000" w:sz="8" w:space="0"/>
              <w:right w:val="single" w:color="000000" w:sz="8" w:space="0"/>
            </w:tcBorders>
            <w:noWrap/>
            <w:vAlign w:val="center"/>
          </w:tcPr>
          <w:p w14:paraId="3AD48082">
            <w:pPr>
              <w:widowControl/>
              <w:jc w:val="center"/>
              <w:rPr>
                <w:rFonts w:ascii="宋体" w:hAnsi="宋体" w:cs="宋体"/>
                <w:sz w:val="20"/>
                <w:szCs w:val="20"/>
              </w:rPr>
            </w:pPr>
            <w:r>
              <w:rPr>
                <w:rFonts w:hint="eastAsia" w:ascii="宋体" w:hAnsi="宋体" w:cs="宋体"/>
                <w:sz w:val="20"/>
                <w:szCs w:val="20"/>
              </w:rPr>
              <w:t>　</w:t>
            </w:r>
          </w:p>
        </w:tc>
        <w:tc>
          <w:tcPr>
            <w:tcW w:w="1620" w:type="dxa"/>
            <w:tcBorders>
              <w:top w:val="nil"/>
              <w:left w:val="nil"/>
              <w:bottom w:val="single" w:color="000000" w:sz="8" w:space="0"/>
              <w:right w:val="single" w:color="000000" w:sz="8" w:space="0"/>
            </w:tcBorders>
            <w:noWrap/>
            <w:vAlign w:val="center"/>
          </w:tcPr>
          <w:p w14:paraId="5F266682">
            <w:pPr>
              <w:widowControl/>
              <w:jc w:val="center"/>
              <w:rPr>
                <w:rFonts w:ascii="宋体" w:hAnsi="宋体" w:cs="宋体"/>
                <w:sz w:val="20"/>
                <w:szCs w:val="20"/>
              </w:rPr>
            </w:pPr>
            <w:r>
              <w:rPr>
                <w:rFonts w:hint="eastAsia" w:ascii="宋体" w:hAnsi="宋体" w:cs="宋体"/>
                <w:sz w:val="20"/>
                <w:szCs w:val="20"/>
              </w:rPr>
              <w:t>　</w:t>
            </w:r>
          </w:p>
        </w:tc>
        <w:tc>
          <w:tcPr>
            <w:tcW w:w="4540" w:type="dxa"/>
            <w:tcBorders>
              <w:top w:val="nil"/>
              <w:left w:val="nil"/>
              <w:bottom w:val="single" w:color="000000" w:sz="8" w:space="0"/>
              <w:right w:val="single" w:color="000000" w:sz="8" w:space="0"/>
            </w:tcBorders>
            <w:noWrap/>
            <w:vAlign w:val="center"/>
          </w:tcPr>
          <w:p w14:paraId="2C354034">
            <w:pPr>
              <w:widowControl/>
              <w:jc w:val="left"/>
              <w:rPr>
                <w:rFonts w:ascii="宋体" w:hAnsi="宋体" w:cs="宋体"/>
                <w:sz w:val="20"/>
                <w:szCs w:val="20"/>
              </w:rPr>
            </w:pPr>
            <w:r>
              <w:rPr>
                <w:rFonts w:hint="eastAsia" w:ascii="宋体" w:hAnsi="宋体" w:cs="宋体"/>
                <w:sz w:val="20"/>
                <w:szCs w:val="20"/>
              </w:rPr>
              <w:t>《水嘴用水效率限定值及用水效率等级》（GB 25501）</w:t>
            </w:r>
          </w:p>
        </w:tc>
      </w:tr>
      <w:tr w14:paraId="768FAEF6">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ign w:val="center"/>
          </w:tcPr>
          <w:p w14:paraId="2D4E0827">
            <w:pPr>
              <w:widowControl/>
              <w:jc w:val="center"/>
              <w:rPr>
                <w:rFonts w:ascii="宋体" w:hAnsi="宋体" w:cs="宋体"/>
                <w:sz w:val="20"/>
                <w:szCs w:val="20"/>
              </w:rPr>
            </w:pPr>
            <w:r>
              <w:rPr>
                <w:rFonts w:hint="eastAsia" w:ascii="宋体" w:hAnsi="宋体" w:cs="宋体"/>
                <w:sz w:val="20"/>
                <w:szCs w:val="20"/>
              </w:rPr>
              <w:t>17</w:t>
            </w:r>
          </w:p>
        </w:tc>
        <w:tc>
          <w:tcPr>
            <w:tcW w:w="1080" w:type="dxa"/>
            <w:tcBorders>
              <w:top w:val="nil"/>
              <w:left w:val="nil"/>
              <w:bottom w:val="single" w:color="000000" w:sz="8" w:space="0"/>
              <w:right w:val="single" w:color="000000" w:sz="8" w:space="0"/>
            </w:tcBorders>
            <w:noWrap/>
            <w:vAlign w:val="center"/>
          </w:tcPr>
          <w:p w14:paraId="77ACE4C3">
            <w:pPr>
              <w:widowControl/>
              <w:jc w:val="center"/>
              <w:rPr>
                <w:rFonts w:ascii="宋体" w:hAnsi="宋体" w:cs="宋体"/>
                <w:sz w:val="20"/>
                <w:szCs w:val="20"/>
              </w:rPr>
            </w:pPr>
            <w:r>
              <w:rPr>
                <w:rFonts w:hint="eastAsia" w:ascii="宋体" w:hAnsi="宋体" w:cs="宋体"/>
                <w:sz w:val="20"/>
                <w:szCs w:val="20"/>
              </w:rPr>
              <w:t>A060807便器冲洗阀</w:t>
            </w:r>
          </w:p>
        </w:tc>
        <w:tc>
          <w:tcPr>
            <w:tcW w:w="1320" w:type="dxa"/>
            <w:tcBorders>
              <w:top w:val="nil"/>
              <w:left w:val="nil"/>
              <w:bottom w:val="single" w:color="000000" w:sz="8" w:space="0"/>
              <w:right w:val="single" w:color="000000" w:sz="8" w:space="0"/>
            </w:tcBorders>
            <w:noWrap/>
            <w:vAlign w:val="center"/>
          </w:tcPr>
          <w:p w14:paraId="33E93AAA">
            <w:pPr>
              <w:widowControl/>
              <w:jc w:val="center"/>
              <w:rPr>
                <w:rFonts w:ascii="宋体" w:hAnsi="宋体" w:cs="宋体"/>
                <w:sz w:val="20"/>
                <w:szCs w:val="20"/>
              </w:rPr>
            </w:pPr>
            <w:r>
              <w:rPr>
                <w:rFonts w:hint="eastAsia" w:ascii="宋体" w:hAnsi="宋体" w:cs="宋体"/>
                <w:sz w:val="20"/>
                <w:szCs w:val="20"/>
              </w:rPr>
              <w:t>　</w:t>
            </w:r>
          </w:p>
        </w:tc>
        <w:tc>
          <w:tcPr>
            <w:tcW w:w="1620" w:type="dxa"/>
            <w:tcBorders>
              <w:top w:val="nil"/>
              <w:left w:val="nil"/>
              <w:bottom w:val="single" w:color="000000" w:sz="8" w:space="0"/>
              <w:right w:val="single" w:color="000000" w:sz="8" w:space="0"/>
            </w:tcBorders>
            <w:noWrap/>
            <w:vAlign w:val="center"/>
          </w:tcPr>
          <w:p w14:paraId="42D60E45">
            <w:pPr>
              <w:widowControl/>
              <w:jc w:val="center"/>
              <w:rPr>
                <w:rFonts w:ascii="宋体" w:hAnsi="宋体" w:cs="宋体"/>
                <w:sz w:val="20"/>
                <w:szCs w:val="20"/>
              </w:rPr>
            </w:pPr>
            <w:r>
              <w:rPr>
                <w:rFonts w:hint="eastAsia" w:ascii="宋体" w:hAnsi="宋体" w:cs="宋体"/>
                <w:sz w:val="20"/>
                <w:szCs w:val="20"/>
              </w:rPr>
              <w:t>　</w:t>
            </w:r>
          </w:p>
        </w:tc>
        <w:tc>
          <w:tcPr>
            <w:tcW w:w="4540" w:type="dxa"/>
            <w:tcBorders>
              <w:top w:val="nil"/>
              <w:left w:val="nil"/>
              <w:bottom w:val="single" w:color="000000" w:sz="8" w:space="0"/>
              <w:right w:val="single" w:color="000000" w:sz="8" w:space="0"/>
            </w:tcBorders>
            <w:noWrap/>
            <w:vAlign w:val="center"/>
          </w:tcPr>
          <w:p w14:paraId="71B2B220">
            <w:pPr>
              <w:widowControl/>
              <w:jc w:val="left"/>
              <w:rPr>
                <w:rFonts w:ascii="宋体" w:hAnsi="宋体" w:cs="宋体"/>
                <w:sz w:val="20"/>
                <w:szCs w:val="20"/>
              </w:rPr>
            </w:pPr>
            <w:r>
              <w:rPr>
                <w:rFonts w:hint="eastAsia" w:ascii="宋体" w:hAnsi="宋体" w:cs="宋体"/>
                <w:sz w:val="20"/>
                <w:szCs w:val="20"/>
              </w:rPr>
              <w:t>《便器冲洗阀用水效率限定值及用水效率等级》（GB28379）</w:t>
            </w:r>
          </w:p>
        </w:tc>
      </w:tr>
      <w:tr w14:paraId="2189FBCB">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ign w:val="center"/>
          </w:tcPr>
          <w:p w14:paraId="3F90B93E">
            <w:pPr>
              <w:widowControl/>
              <w:jc w:val="center"/>
              <w:rPr>
                <w:rFonts w:ascii="宋体" w:hAnsi="宋体" w:cs="宋体"/>
                <w:sz w:val="20"/>
                <w:szCs w:val="20"/>
              </w:rPr>
            </w:pPr>
            <w:r>
              <w:rPr>
                <w:rFonts w:hint="eastAsia" w:ascii="宋体" w:hAnsi="宋体" w:cs="宋体"/>
                <w:sz w:val="20"/>
                <w:szCs w:val="20"/>
              </w:rPr>
              <w:t>18</w:t>
            </w:r>
          </w:p>
        </w:tc>
        <w:tc>
          <w:tcPr>
            <w:tcW w:w="1080" w:type="dxa"/>
            <w:tcBorders>
              <w:top w:val="nil"/>
              <w:left w:val="nil"/>
              <w:bottom w:val="single" w:color="000000" w:sz="8" w:space="0"/>
              <w:right w:val="single" w:color="000000" w:sz="8" w:space="0"/>
            </w:tcBorders>
            <w:noWrap/>
            <w:vAlign w:val="center"/>
          </w:tcPr>
          <w:p w14:paraId="1E609480">
            <w:pPr>
              <w:widowControl/>
              <w:jc w:val="center"/>
              <w:rPr>
                <w:rFonts w:ascii="宋体" w:hAnsi="宋体" w:cs="宋体"/>
                <w:sz w:val="20"/>
                <w:szCs w:val="20"/>
              </w:rPr>
            </w:pPr>
            <w:r>
              <w:rPr>
                <w:rFonts w:hint="eastAsia" w:ascii="宋体" w:hAnsi="宋体" w:cs="宋体"/>
                <w:sz w:val="20"/>
                <w:szCs w:val="20"/>
              </w:rPr>
              <w:t>A060810淋浴器</w:t>
            </w:r>
          </w:p>
        </w:tc>
        <w:tc>
          <w:tcPr>
            <w:tcW w:w="1320" w:type="dxa"/>
            <w:tcBorders>
              <w:top w:val="nil"/>
              <w:left w:val="nil"/>
              <w:bottom w:val="single" w:color="000000" w:sz="8" w:space="0"/>
              <w:right w:val="single" w:color="000000" w:sz="8" w:space="0"/>
            </w:tcBorders>
            <w:noWrap/>
            <w:vAlign w:val="center"/>
          </w:tcPr>
          <w:p w14:paraId="5CAF2F11">
            <w:pPr>
              <w:widowControl/>
              <w:jc w:val="center"/>
              <w:rPr>
                <w:rFonts w:ascii="宋体" w:hAnsi="宋体" w:cs="宋体"/>
                <w:sz w:val="20"/>
                <w:szCs w:val="20"/>
              </w:rPr>
            </w:pPr>
            <w:r>
              <w:rPr>
                <w:rFonts w:hint="eastAsia" w:ascii="宋体" w:hAnsi="宋体" w:cs="宋体"/>
                <w:sz w:val="20"/>
                <w:szCs w:val="20"/>
              </w:rPr>
              <w:t>　</w:t>
            </w:r>
          </w:p>
        </w:tc>
        <w:tc>
          <w:tcPr>
            <w:tcW w:w="1620" w:type="dxa"/>
            <w:tcBorders>
              <w:top w:val="nil"/>
              <w:left w:val="nil"/>
              <w:bottom w:val="single" w:color="000000" w:sz="8" w:space="0"/>
              <w:right w:val="single" w:color="000000" w:sz="8" w:space="0"/>
            </w:tcBorders>
            <w:noWrap/>
            <w:vAlign w:val="center"/>
          </w:tcPr>
          <w:p w14:paraId="29972D9B">
            <w:pPr>
              <w:widowControl/>
              <w:jc w:val="center"/>
              <w:rPr>
                <w:rFonts w:ascii="宋体" w:hAnsi="宋体" w:cs="宋体"/>
                <w:sz w:val="20"/>
                <w:szCs w:val="20"/>
              </w:rPr>
            </w:pPr>
            <w:r>
              <w:rPr>
                <w:rFonts w:hint="eastAsia" w:ascii="宋体" w:hAnsi="宋体" w:cs="宋体"/>
                <w:sz w:val="20"/>
                <w:szCs w:val="20"/>
              </w:rPr>
              <w:t>　</w:t>
            </w:r>
          </w:p>
        </w:tc>
        <w:tc>
          <w:tcPr>
            <w:tcW w:w="4540" w:type="dxa"/>
            <w:tcBorders>
              <w:top w:val="nil"/>
              <w:left w:val="nil"/>
              <w:bottom w:val="single" w:color="000000" w:sz="8" w:space="0"/>
              <w:right w:val="single" w:color="000000" w:sz="8" w:space="0"/>
            </w:tcBorders>
            <w:noWrap/>
            <w:vAlign w:val="center"/>
          </w:tcPr>
          <w:p w14:paraId="68ABB2A3">
            <w:pPr>
              <w:widowControl/>
              <w:jc w:val="left"/>
              <w:rPr>
                <w:rFonts w:ascii="宋体" w:hAnsi="宋体" w:cs="宋体"/>
                <w:sz w:val="20"/>
                <w:szCs w:val="20"/>
              </w:rPr>
            </w:pPr>
            <w:r>
              <w:rPr>
                <w:rFonts w:hint="eastAsia" w:ascii="宋体" w:hAnsi="宋体" w:cs="宋体"/>
                <w:sz w:val="20"/>
                <w:szCs w:val="20"/>
              </w:rPr>
              <w:t>《淋浴器用水效率限定值及用水效率等级》（GB28378）</w:t>
            </w:r>
          </w:p>
        </w:tc>
      </w:tr>
    </w:tbl>
    <w:p w14:paraId="28FA9336">
      <w:pPr>
        <w:spacing w:after="120" w:line="360" w:lineRule="auto"/>
        <w:rPr>
          <w:rFonts w:ascii="宋体" w:hAnsi="宋体"/>
          <w:szCs w:val="21"/>
        </w:rPr>
      </w:pPr>
      <w:r>
        <w:rPr>
          <w:rFonts w:hint="eastAsia"/>
          <w:spacing w:val="-3"/>
          <w:szCs w:val="21"/>
        </w:rPr>
        <w:t>注：</w:t>
      </w:r>
      <w:r>
        <w:rPr>
          <w:spacing w:val="-3"/>
          <w:szCs w:val="21"/>
        </w:rPr>
        <w:t>1.</w:t>
      </w:r>
      <w:r>
        <w:rPr>
          <w:rFonts w:hint="eastAsia"/>
          <w:spacing w:val="-3"/>
          <w:szCs w:val="21"/>
        </w:rPr>
        <w:t>节能产品认证应依据相关国家标准的最新版本，依据国家标准中二级能效（水效）</w:t>
      </w:r>
      <w:r>
        <w:rPr>
          <w:rFonts w:hint="eastAsia"/>
          <w:szCs w:val="21"/>
        </w:rPr>
        <w:t>指标。</w:t>
      </w:r>
    </w:p>
    <w:p w14:paraId="285333A9">
      <w:pPr>
        <w:jc w:val="left"/>
        <w:rPr>
          <w:rFonts w:ascii="Arial Unicode MS" w:hAnsi="Arial Unicode MS" w:eastAsia="Arial Unicode MS" w:cs="Arial Unicode MS"/>
          <w:sz w:val="32"/>
          <w:szCs w:val="32"/>
        </w:rPr>
      </w:pPr>
      <w:r>
        <w:rPr>
          <w:rFonts w:hint="eastAsia" w:ascii="宋体" w:hAnsi="Courier New"/>
          <w:sz w:val="20"/>
          <w:szCs w:val="21"/>
        </w:rPr>
        <w:t>2.以</w:t>
      </w:r>
      <w:r>
        <w:rPr>
          <w:rFonts w:ascii="宋体" w:hAnsi="Courier New"/>
          <w:sz w:val="20"/>
          <w:szCs w:val="21"/>
        </w:rPr>
        <w:t>“</w:t>
      </w:r>
      <w:r>
        <w:rPr>
          <w:rFonts w:hint="eastAsia" w:ascii="宋体" w:hAnsi="Courier New"/>
          <w:sz w:val="20"/>
          <w:szCs w:val="21"/>
        </w:rPr>
        <w:t>★</w:t>
      </w:r>
      <w:r>
        <w:rPr>
          <w:rFonts w:ascii="宋体" w:hAnsi="Courier New"/>
          <w:sz w:val="20"/>
          <w:szCs w:val="21"/>
        </w:rPr>
        <w:t>”</w:t>
      </w:r>
      <w:r>
        <w:rPr>
          <w:rFonts w:hint="eastAsia" w:ascii="宋体" w:hAnsi="Courier New"/>
          <w:sz w:val="20"/>
          <w:szCs w:val="21"/>
        </w:rPr>
        <w:t>标注的为政府强制采购产品。</w:t>
      </w:r>
      <w:r>
        <w:rPr>
          <w:rFonts w:hint="eastAsia" w:ascii="宋体" w:hAnsi="Courier New"/>
          <w:sz w:val="20"/>
          <w:szCs w:val="21"/>
        </w:rPr>
        <w:br w:type="page" w:clear="all"/>
      </w:r>
      <w:r>
        <w:rPr>
          <w:rFonts w:hint="eastAsia" w:ascii="微软雅黑" w:hAnsi="微软雅黑" w:eastAsia="微软雅黑" w:cs="微软雅黑"/>
          <w:sz w:val="32"/>
          <w:szCs w:val="32"/>
        </w:rPr>
        <w:t>附件</w:t>
      </w:r>
      <w:r>
        <w:rPr>
          <w:rFonts w:hint="eastAsia" w:ascii="Arial Unicode MS" w:hAnsi="Arial Unicode MS" w:eastAsia="微软雅黑" w:cs="Arial Unicode MS"/>
          <w:sz w:val="32"/>
          <w:szCs w:val="32"/>
        </w:rPr>
        <w:t>2</w:t>
      </w:r>
      <w:r>
        <w:rPr>
          <w:rFonts w:hint="eastAsia" w:ascii="微软雅黑" w:hAnsi="微软雅黑" w:eastAsia="微软雅黑" w:cs="微软雅黑"/>
          <w:sz w:val="32"/>
          <w:szCs w:val="32"/>
        </w:rPr>
        <w:t>：</w:t>
      </w:r>
    </w:p>
    <w:p w14:paraId="2094C106">
      <w:pPr>
        <w:spacing w:line="528" w:lineRule="exact"/>
        <w:ind w:left="1871"/>
        <w:rPr>
          <w:rFonts w:ascii="Arial Unicode MS" w:hAnsi="Arial Unicode MS" w:eastAsia="Arial Unicode MS" w:cs="Arial Unicode MS"/>
          <w:sz w:val="40"/>
          <w:szCs w:val="40"/>
        </w:rPr>
      </w:pPr>
      <w:r>
        <w:rPr>
          <w:rFonts w:hint="eastAsia" w:ascii="微软雅黑" w:hAnsi="微软雅黑" w:eastAsia="微软雅黑" w:cs="微软雅黑"/>
          <w:sz w:val="40"/>
          <w:szCs w:val="40"/>
        </w:rPr>
        <w:t>中小微企业划型标准</w:t>
      </w:r>
    </w:p>
    <w:tbl>
      <w:tblPr>
        <w:tblStyle w:val="32"/>
        <w:tblW w:w="0" w:type="auto"/>
        <w:tblInd w:w="142" w:type="dxa"/>
        <w:tblLayout w:type="fixed"/>
        <w:tblCellMar>
          <w:top w:w="0" w:type="dxa"/>
          <w:left w:w="108" w:type="dxa"/>
          <w:bottom w:w="0" w:type="dxa"/>
          <w:right w:w="108" w:type="dxa"/>
        </w:tblCellMar>
      </w:tblPr>
      <w:tblGrid>
        <w:gridCol w:w="1985"/>
        <w:gridCol w:w="1984"/>
        <w:gridCol w:w="851"/>
        <w:gridCol w:w="1842"/>
        <w:gridCol w:w="1701"/>
        <w:gridCol w:w="1134"/>
      </w:tblGrid>
      <w:tr w14:paraId="2FD2481C">
        <w:tblPrEx>
          <w:tblCellMar>
            <w:top w:w="0" w:type="dxa"/>
            <w:left w:w="108" w:type="dxa"/>
            <w:bottom w:w="0" w:type="dxa"/>
            <w:right w:w="108" w:type="dxa"/>
          </w:tblCellMar>
        </w:tblPrEx>
        <w:trPr>
          <w:trHeight w:val="285" w:hRule="atLeast"/>
        </w:trPr>
        <w:tc>
          <w:tcPr>
            <w:tcW w:w="1985" w:type="dxa"/>
            <w:tcBorders>
              <w:top w:val="single" w:color="auto" w:sz="4" w:space="0"/>
              <w:left w:val="single" w:color="auto" w:sz="4" w:space="0"/>
              <w:bottom w:val="single" w:color="auto" w:sz="4" w:space="0"/>
              <w:right w:val="single" w:color="auto" w:sz="4" w:space="0"/>
            </w:tcBorders>
            <w:noWrap/>
            <w:vAlign w:val="center"/>
          </w:tcPr>
          <w:p w14:paraId="05587B65">
            <w:pPr>
              <w:widowControl/>
              <w:jc w:val="left"/>
              <w:rPr>
                <w:rFonts w:ascii="仿宋_GB2312" w:hAnsi="仿宋" w:eastAsia="仿宋_GB2312" w:cs="宋体"/>
                <w:b/>
                <w:sz w:val="24"/>
              </w:rPr>
            </w:pPr>
            <w:r>
              <w:rPr>
                <w:rFonts w:hint="eastAsia" w:ascii="仿宋_GB2312" w:hAnsi="仿宋" w:eastAsia="仿宋_GB2312" w:cs="宋体"/>
                <w:b/>
                <w:sz w:val="24"/>
              </w:rPr>
              <w:t>行业名称</w:t>
            </w:r>
          </w:p>
        </w:tc>
        <w:tc>
          <w:tcPr>
            <w:tcW w:w="1984" w:type="dxa"/>
            <w:tcBorders>
              <w:top w:val="single" w:color="auto" w:sz="4" w:space="0"/>
              <w:left w:val="nil"/>
              <w:bottom w:val="single" w:color="auto" w:sz="4" w:space="0"/>
              <w:right w:val="single" w:color="auto" w:sz="4" w:space="0"/>
            </w:tcBorders>
            <w:noWrap/>
            <w:vAlign w:val="center"/>
          </w:tcPr>
          <w:p w14:paraId="49DED8F5">
            <w:pPr>
              <w:widowControl/>
              <w:jc w:val="left"/>
              <w:rPr>
                <w:rFonts w:ascii="仿宋_GB2312" w:hAnsi="仿宋" w:eastAsia="仿宋_GB2312" w:cs="宋体"/>
                <w:b/>
                <w:sz w:val="24"/>
              </w:rPr>
            </w:pPr>
            <w:r>
              <w:rPr>
                <w:rFonts w:hint="eastAsia" w:ascii="仿宋_GB2312" w:hAnsi="仿宋" w:eastAsia="仿宋_GB2312" w:cs="宋体"/>
                <w:b/>
                <w:sz w:val="24"/>
              </w:rPr>
              <w:t>指标名称</w:t>
            </w:r>
          </w:p>
        </w:tc>
        <w:tc>
          <w:tcPr>
            <w:tcW w:w="851" w:type="dxa"/>
            <w:tcBorders>
              <w:top w:val="single" w:color="auto" w:sz="4" w:space="0"/>
              <w:left w:val="nil"/>
              <w:bottom w:val="single" w:color="auto" w:sz="4" w:space="0"/>
              <w:right w:val="single" w:color="auto" w:sz="4" w:space="0"/>
            </w:tcBorders>
            <w:noWrap/>
            <w:vAlign w:val="center"/>
          </w:tcPr>
          <w:p w14:paraId="63C21A5D">
            <w:pPr>
              <w:widowControl/>
              <w:jc w:val="left"/>
              <w:rPr>
                <w:rFonts w:ascii="仿宋_GB2312" w:hAnsi="仿宋" w:eastAsia="仿宋_GB2312" w:cs="宋体"/>
                <w:b/>
                <w:sz w:val="24"/>
              </w:rPr>
            </w:pPr>
            <w:r>
              <w:rPr>
                <w:rFonts w:hint="eastAsia" w:ascii="仿宋_GB2312" w:hAnsi="仿宋" w:eastAsia="仿宋_GB2312" w:cs="宋体"/>
                <w:b/>
                <w:sz w:val="24"/>
              </w:rPr>
              <w:t>计量单位</w:t>
            </w:r>
          </w:p>
        </w:tc>
        <w:tc>
          <w:tcPr>
            <w:tcW w:w="1842" w:type="dxa"/>
            <w:tcBorders>
              <w:top w:val="single" w:color="auto" w:sz="4" w:space="0"/>
              <w:left w:val="nil"/>
              <w:bottom w:val="single" w:color="auto" w:sz="4" w:space="0"/>
              <w:right w:val="single" w:color="auto" w:sz="4" w:space="0"/>
            </w:tcBorders>
            <w:noWrap/>
            <w:vAlign w:val="center"/>
          </w:tcPr>
          <w:p w14:paraId="7E08D2E3">
            <w:pPr>
              <w:widowControl/>
              <w:jc w:val="left"/>
              <w:rPr>
                <w:rFonts w:ascii="仿宋_GB2312" w:hAnsi="仿宋" w:eastAsia="仿宋_GB2312" w:cs="宋体"/>
                <w:b/>
                <w:sz w:val="24"/>
              </w:rPr>
            </w:pPr>
            <w:r>
              <w:rPr>
                <w:rFonts w:hint="eastAsia" w:ascii="仿宋_GB2312" w:hAnsi="仿宋" w:eastAsia="仿宋_GB2312" w:cs="宋体"/>
                <w:b/>
                <w:sz w:val="24"/>
              </w:rPr>
              <w:t>中型</w:t>
            </w:r>
          </w:p>
        </w:tc>
        <w:tc>
          <w:tcPr>
            <w:tcW w:w="1701" w:type="dxa"/>
            <w:tcBorders>
              <w:top w:val="single" w:color="auto" w:sz="4" w:space="0"/>
              <w:left w:val="nil"/>
              <w:bottom w:val="single" w:color="auto" w:sz="4" w:space="0"/>
              <w:right w:val="single" w:color="auto" w:sz="4" w:space="0"/>
            </w:tcBorders>
            <w:noWrap/>
            <w:vAlign w:val="center"/>
          </w:tcPr>
          <w:p w14:paraId="525CE68B">
            <w:pPr>
              <w:widowControl/>
              <w:jc w:val="left"/>
              <w:rPr>
                <w:rFonts w:ascii="仿宋_GB2312" w:hAnsi="仿宋" w:eastAsia="仿宋_GB2312" w:cs="宋体"/>
                <w:b/>
                <w:sz w:val="24"/>
              </w:rPr>
            </w:pPr>
            <w:r>
              <w:rPr>
                <w:rFonts w:hint="eastAsia" w:ascii="仿宋_GB2312" w:hAnsi="仿宋" w:eastAsia="仿宋_GB2312" w:cs="宋体"/>
                <w:b/>
                <w:sz w:val="24"/>
              </w:rPr>
              <w:t>小型</w:t>
            </w:r>
          </w:p>
        </w:tc>
        <w:tc>
          <w:tcPr>
            <w:tcW w:w="1134" w:type="dxa"/>
            <w:tcBorders>
              <w:top w:val="single" w:color="auto" w:sz="4" w:space="0"/>
              <w:left w:val="nil"/>
              <w:bottom w:val="single" w:color="auto" w:sz="4" w:space="0"/>
              <w:right w:val="single" w:color="auto" w:sz="4" w:space="0"/>
            </w:tcBorders>
            <w:noWrap/>
            <w:vAlign w:val="center"/>
          </w:tcPr>
          <w:p w14:paraId="1C7E0F4D">
            <w:pPr>
              <w:widowControl/>
              <w:jc w:val="left"/>
              <w:rPr>
                <w:rFonts w:ascii="仿宋_GB2312" w:hAnsi="仿宋" w:eastAsia="仿宋_GB2312" w:cs="宋体"/>
                <w:b/>
                <w:sz w:val="24"/>
              </w:rPr>
            </w:pPr>
            <w:r>
              <w:rPr>
                <w:rFonts w:hint="eastAsia" w:ascii="仿宋_GB2312" w:hAnsi="仿宋" w:eastAsia="仿宋_GB2312" w:cs="宋体"/>
                <w:b/>
                <w:sz w:val="24"/>
              </w:rPr>
              <w:t>微型</w:t>
            </w:r>
          </w:p>
        </w:tc>
      </w:tr>
      <w:tr w14:paraId="049F3BF9">
        <w:tblPrEx>
          <w:tblCellMar>
            <w:top w:w="0" w:type="dxa"/>
            <w:left w:w="108" w:type="dxa"/>
            <w:bottom w:w="0" w:type="dxa"/>
            <w:right w:w="108" w:type="dxa"/>
          </w:tblCellMar>
        </w:tblPrEx>
        <w:trPr>
          <w:trHeight w:val="225" w:hRule="atLeast"/>
        </w:trPr>
        <w:tc>
          <w:tcPr>
            <w:tcW w:w="1985" w:type="dxa"/>
            <w:tcBorders>
              <w:top w:val="nil"/>
              <w:left w:val="single" w:color="auto" w:sz="4" w:space="0"/>
              <w:bottom w:val="single" w:color="auto" w:sz="4" w:space="0"/>
              <w:right w:val="single" w:color="auto" w:sz="4" w:space="0"/>
            </w:tcBorders>
            <w:noWrap/>
            <w:vAlign w:val="bottom"/>
          </w:tcPr>
          <w:p w14:paraId="3AF33425">
            <w:pPr>
              <w:widowControl/>
              <w:jc w:val="center"/>
              <w:rPr>
                <w:rFonts w:ascii="仿宋_GB2312" w:hAnsi="仿宋" w:eastAsia="仿宋_GB2312" w:cs="宋体"/>
                <w:b/>
                <w:bCs/>
                <w:sz w:val="18"/>
                <w:szCs w:val="18"/>
              </w:rPr>
            </w:pPr>
            <w:r>
              <w:rPr>
                <w:rFonts w:hint="eastAsia" w:ascii="仿宋_GB2312" w:hAnsi="仿宋" w:eastAsia="仿宋_GB2312" w:cs="宋体"/>
                <w:b/>
                <w:bCs/>
                <w:sz w:val="18"/>
                <w:szCs w:val="18"/>
              </w:rPr>
              <w:t>农、林、牧、渔</w:t>
            </w:r>
          </w:p>
        </w:tc>
        <w:tc>
          <w:tcPr>
            <w:tcW w:w="1984" w:type="dxa"/>
            <w:tcBorders>
              <w:top w:val="nil"/>
              <w:left w:val="nil"/>
              <w:bottom w:val="single" w:color="auto" w:sz="4" w:space="0"/>
              <w:right w:val="single" w:color="auto" w:sz="4" w:space="0"/>
            </w:tcBorders>
            <w:noWrap/>
            <w:vAlign w:val="center"/>
          </w:tcPr>
          <w:p w14:paraId="4803FC9A">
            <w:pPr>
              <w:widowControl/>
              <w:jc w:val="left"/>
              <w:rPr>
                <w:rFonts w:ascii="仿宋_GB2312" w:hAnsi="仿宋" w:eastAsia="仿宋_GB2312" w:cs="宋体"/>
                <w:sz w:val="18"/>
                <w:szCs w:val="18"/>
              </w:rPr>
            </w:pPr>
            <w:r>
              <w:rPr>
                <w:rFonts w:hint="eastAsia" w:ascii="仿宋_GB2312" w:hAnsi="仿宋" w:eastAsia="仿宋_GB2312" w:cs="宋体"/>
                <w:sz w:val="18"/>
                <w:szCs w:val="18"/>
              </w:rPr>
              <w:t>营业收入（Y）</w:t>
            </w:r>
          </w:p>
        </w:tc>
        <w:tc>
          <w:tcPr>
            <w:tcW w:w="851" w:type="dxa"/>
            <w:tcBorders>
              <w:top w:val="nil"/>
              <w:left w:val="nil"/>
              <w:bottom w:val="single" w:color="auto" w:sz="4" w:space="0"/>
              <w:right w:val="single" w:color="auto" w:sz="4" w:space="0"/>
            </w:tcBorders>
            <w:noWrap/>
            <w:vAlign w:val="center"/>
          </w:tcPr>
          <w:p w14:paraId="65342E6C">
            <w:pPr>
              <w:widowControl/>
              <w:jc w:val="left"/>
              <w:rPr>
                <w:rFonts w:ascii="仿宋_GB2312" w:hAnsi="仿宋" w:eastAsia="仿宋_GB2312" w:cs="宋体"/>
                <w:sz w:val="18"/>
                <w:szCs w:val="18"/>
              </w:rPr>
            </w:pPr>
            <w:r>
              <w:rPr>
                <w:rFonts w:hint="eastAsia" w:ascii="仿宋_GB2312" w:hAnsi="仿宋" w:eastAsia="仿宋_GB2312" w:cs="宋体"/>
                <w:sz w:val="18"/>
                <w:szCs w:val="18"/>
              </w:rPr>
              <w:t>万元</w:t>
            </w:r>
          </w:p>
        </w:tc>
        <w:tc>
          <w:tcPr>
            <w:tcW w:w="1842" w:type="dxa"/>
            <w:tcBorders>
              <w:top w:val="nil"/>
              <w:left w:val="nil"/>
              <w:bottom w:val="single" w:color="auto" w:sz="4" w:space="0"/>
              <w:right w:val="single" w:color="auto" w:sz="4" w:space="0"/>
            </w:tcBorders>
            <w:noWrap/>
            <w:vAlign w:val="center"/>
          </w:tcPr>
          <w:p w14:paraId="5D1DE14B">
            <w:pPr>
              <w:widowControl/>
              <w:jc w:val="left"/>
              <w:rPr>
                <w:rFonts w:ascii="仿宋_GB2312" w:hAnsi="仿宋" w:eastAsia="仿宋_GB2312" w:cs="宋体"/>
                <w:sz w:val="18"/>
                <w:szCs w:val="18"/>
              </w:rPr>
            </w:pPr>
            <w:r>
              <w:rPr>
                <w:rFonts w:hint="eastAsia" w:ascii="仿宋_GB2312" w:hAnsi="仿宋" w:eastAsia="仿宋_GB2312" w:cs="宋体"/>
                <w:sz w:val="18"/>
                <w:szCs w:val="18"/>
              </w:rPr>
              <w:t>500≤Y＜20000</w:t>
            </w:r>
          </w:p>
        </w:tc>
        <w:tc>
          <w:tcPr>
            <w:tcW w:w="1701" w:type="dxa"/>
            <w:tcBorders>
              <w:top w:val="nil"/>
              <w:left w:val="nil"/>
              <w:bottom w:val="single" w:color="auto" w:sz="4" w:space="0"/>
              <w:right w:val="single" w:color="auto" w:sz="4" w:space="0"/>
            </w:tcBorders>
            <w:noWrap/>
            <w:vAlign w:val="center"/>
          </w:tcPr>
          <w:p w14:paraId="48A7C630">
            <w:pPr>
              <w:widowControl/>
              <w:jc w:val="left"/>
              <w:rPr>
                <w:rFonts w:ascii="仿宋_GB2312" w:hAnsi="仿宋" w:eastAsia="仿宋_GB2312" w:cs="宋体"/>
                <w:sz w:val="18"/>
                <w:szCs w:val="18"/>
              </w:rPr>
            </w:pPr>
            <w:r>
              <w:rPr>
                <w:rFonts w:hint="eastAsia" w:ascii="仿宋_GB2312" w:hAnsi="仿宋" w:eastAsia="仿宋_GB2312" w:cs="宋体"/>
                <w:sz w:val="18"/>
                <w:szCs w:val="18"/>
              </w:rPr>
              <w:t>50≤Y＜500</w:t>
            </w:r>
          </w:p>
        </w:tc>
        <w:tc>
          <w:tcPr>
            <w:tcW w:w="1134" w:type="dxa"/>
            <w:tcBorders>
              <w:top w:val="nil"/>
              <w:left w:val="nil"/>
              <w:bottom w:val="single" w:color="auto" w:sz="4" w:space="0"/>
              <w:right w:val="single" w:color="auto" w:sz="4" w:space="0"/>
            </w:tcBorders>
            <w:noWrap/>
            <w:vAlign w:val="center"/>
          </w:tcPr>
          <w:p w14:paraId="4C06D6B5">
            <w:pPr>
              <w:widowControl/>
              <w:jc w:val="left"/>
              <w:rPr>
                <w:rFonts w:ascii="仿宋_GB2312" w:hAnsi="仿宋" w:eastAsia="仿宋_GB2312" w:cs="宋体"/>
                <w:sz w:val="18"/>
                <w:szCs w:val="18"/>
              </w:rPr>
            </w:pPr>
            <w:r>
              <w:rPr>
                <w:rFonts w:hint="eastAsia" w:ascii="仿宋_GB2312" w:hAnsi="仿宋" w:eastAsia="仿宋_GB2312" w:cs="宋体"/>
                <w:sz w:val="18"/>
                <w:szCs w:val="18"/>
              </w:rPr>
              <w:t>Y＜50</w:t>
            </w:r>
          </w:p>
        </w:tc>
      </w:tr>
      <w:tr w14:paraId="2346AADF">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ign w:val="bottom"/>
          </w:tcPr>
          <w:p w14:paraId="10A39D73">
            <w:pPr>
              <w:widowControl/>
              <w:jc w:val="center"/>
              <w:rPr>
                <w:rFonts w:ascii="仿宋_GB2312" w:hAnsi="仿宋" w:eastAsia="仿宋_GB2312" w:cs="宋体"/>
                <w:b/>
                <w:bCs/>
                <w:sz w:val="18"/>
                <w:szCs w:val="18"/>
              </w:rPr>
            </w:pPr>
            <w:r>
              <w:rPr>
                <w:rFonts w:hint="eastAsia" w:ascii="仿宋_GB2312" w:hAnsi="仿宋" w:eastAsia="仿宋_GB2312" w:cs="宋体"/>
                <w:b/>
                <w:bCs/>
                <w:sz w:val="18"/>
                <w:szCs w:val="18"/>
              </w:rPr>
              <w:t>工业</w:t>
            </w:r>
          </w:p>
        </w:tc>
        <w:tc>
          <w:tcPr>
            <w:tcW w:w="1984" w:type="dxa"/>
            <w:tcBorders>
              <w:top w:val="nil"/>
              <w:left w:val="nil"/>
              <w:bottom w:val="single" w:color="auto" w:sz="4" w:space="0"/>
              <w:right w:val="single" w:color="auto" w:sz="4" w:space="0"/>
            </w:tcBorders>
            <w:noWrap/>
            <w:vAlign w:val="center"/>
          </w:tcPr>
          <w:p w14:paraId="02398E1E">
            <w:pPr>
              <w:widowControl/>
              <w:jc w:val="left"/>
              <w:rPr>
                <w:rFonts w:ascii="仿宋_GB2312" w:hAnsi="仿宋" w:eastAsia="仿宋_GB2312" w:cs="宋体"/>
                <w:sz w:val="18"/>
                <w:szCs w:val="18"/>
              </w:rPr>
            </w:pPr>
            <w:r>
              <w:rPr>
                <w:rFonts w:hint="eastAsia" w:ascii="仿宋_GB2312" w:hAnsi="仿宋" w:eastAsia="仿宋_GB2312" w:cs="宋体"/>
                <w:sz w:val="18"/>
                <w:szCs w:val="18"/>
              </w:rPr>
              <w:t>从业人员（X）</w:t>
            </w:r>
          </w:p>
        </w:tc>
        <w:tc>
          <w:tcPr>
            <w:tcW w:w="851" w:type="dxa"/>
            <w:tcBorders>
              <w:top w:val="nil"/>
              <w:left w:val="nil"/>
              <w:bottom w:val="single" w:color="auto" w:sz="4" w:space="0"/>
              <w:right w:val="single" w:color="auto" w:sz="4" w:space="0"/>
            </w:tcBorders>
            <w:noWrap/>
            <w:vAlign w:val="center"/>
          </w:tcPr>
          <w:p w14:paraId="3F05456B">
            <w:pPr>
              <w:widowControl/>
              <w:jc w:val="left"/>
              <w:rPr>
                <w:rFonts w:ascii="仿宋_GB2312" w:hAnsi="仿宋" w:eastAsia="仿宋_GB2312" w:cs="宋体"/>
                <w:sz w:val="18"/>
                <w:szCs w:val="18"/>
              </w:rPr>
            </w:pPr>
            <w:r>
              <w:rPr>
                <w:rFonts w:hint="eastAsia" w:ascii="仿宋_GB2312" w:hAnsi="仿宋" w:eastAsia="仿宋_GB2312" w:cs="宋体"/>
                <w:sz w:val="18"/>
                <w:szCs w:val="18"/>
              </w:rPr>
              <w:t>人</w:t>
            </w:r>
          </w:p>
        </w:tc>
        <w:tc>
          <w:tcPr>
            <w:tcW w:w="1842" w:type="dxa"/>
            <w:tcBorders>
              <w:top w:val="nil"/>
              <w:left w:val="nil"/>
              <w:bottom w:val="single" w:color="auto" w:sz="4" w:space="0"/>
              <w:right w:val="single" w:color="auto" w:sz="4" w:space="0"/>
            </w:tcBorders>
            <w:noWrap/>
            <w:vAlign w:val="center"/>
          </w:tcPr>
          <w:p w14:paraId="3207537D">
            <w:pPr>
              <w:widowControl/>
              <w:jc w:val="left"/>
              <w:rPr>
                <w:rFonts w:ascii="仿宋_GB2312" w:hAnsi="仿宋" w:eastAsia="仿宋_GB2312" w:cs="宋体"/>
                <w:sz w:val="18"/>
                <w:szCs w:val="18"/>
              </w:rPr>
            </w:pPr>
            <w:r>
              <w:rPr>
                <w:rFonts w:hint="eastAsia" w:ascii="仿宋_GB2312" w:hAnsi="仿宋" w:eastAsia="仿宋_GB2312" w:cs="宋体"/>
                <w:sz w:val="18"/>
                <w:szCs w:val="18"/>
              </w:rPr>
              <w:t>300≤X＜1000</w:t>
            </w:r>
          </w:p>
        </w:tc>
        <w:tc>
          <w:tcPr>
            <w:tcW w:w="1701" w:type="dxa"/>
            <w:tcBorders>
              <w:top w:val="nil"/>
              <w:left w:val="nil"/>
              <w:bottom w:val="single" w:color="auto" w:sz="4" w:space="0"/>
              <w:right w:val="single" w:color="auto" w:sz="4" w:space="0"/>
            </w:tcBorders>
            <w:noWrap/>
            <w:vAlign w:val="center"/>
          </w:tcPr>
          <w:p w14:paraId="073212BA">
            <w:pPr>
              <w:widowControl/>
              <w:jc w:val="left"/>
              <w:rPr>
                <w:rFonts w:ascii="仿宋_GB2312" w:hAnsi="仿宋" w:eastAsia="仿宋_GB2312" w:cs="宋体"/>
                <w:sz w:val="18"/>
                <w:szCs w:val="18"/>
              </w:rPr>
            </w:pPr>
            <w:r>
              <w:rPr>
                <w:rFonts w:hint="eastAsia" w:ascii="仿宋_GB2312" w:hAnsi="仿宋" w:eastAsia="仿宋_GB2312" w:cs="宋体"/>
                <w:sz w:val="18"/>
                <w:szCs w:val="18"/>
              </w:rPr>
              <w:t>20≤X＜300</w:t>
            </w:r>
          </w:p>
        </w:tc>
        <w:tc>
          <w:tcPr>
            <w:tcW w:w="1134" w:type="dxa"/>
            <w:tcBorders>
              <w:top w:val="nil"/>
              <w:left w:val="nil"/>
              <w:bottom w:val="single" w:color="auto" w:sz="4" w:space="0"/>
              <w:right w:val="single" w:color="auto" w:sz="4" w:space="0"/>
            </w:tcBorders>
            <w:noWrap/>
            <w:vAlign w:val="center"/>
          </w:tcPr>
          <w:p w14:paraId="36FC1B6C">
            <w:pPr>
              <w:widowControl/>
              <w:jc w:val="left"/>
              <w:rPr>
                <w:rFonts w:ascii="仿宋_GB2312" w:hAnsi="仿宋" w:eastAsia="仿宋_GB2312" w:cs="宋体"/>
                <w:sz w:val="18"/>
                <w:szCs w:val="18"/>
              </w:rPr>
            </w:pPr>
            <w:r>
              <w:rPr>
                <w:rFonts w:hint="eastAsia" w:ascii="仿宋_GB2312" w:hAnsi="仿宋" w:eastAsia="仿宋_GB2312" w:cs="宋体"/>
                <w:sz w:val="18"/>
                <w:szCs w:val="18"/>
              </w:rPr>
              <w:t>X＜20</w:t>
            </w:r>
          </w:p>
        </w:tc>
      </w:tr>
      <w:tr w14:paraId="3E4113E0">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14:paraId="2E7F5172">
            <w:pPr>
              <w:widowControl/>
              <w:jc w:val="left"/>
              <w:rPr>
                <w:rFonts w:ascii="仿宋_GB2312" w:hAnsi="仿宋" w:eastAsia="仿宋_GB2312" w:cs="宋体"/>
                <w:b/>
                <w:bCs/>
                <w:sz w:val="18"/>
                <w:szCs w:val="18"/>
              </w:rPr>
            </w:pPr>
          </w:p>
        </w:tc>
        <w:tc>
          <w:tcPr>
            <w:tcW w:w="1984" w:type="dxa"/>
            <w:tcBorders>
              <w:top w:val="nil"/>
              <w:left w:val="nil"/>
              <w:bottom w:val="single" w:color="auto" w:sz="4" w:space="0"/>
              <w:right w:val="single" w:color="auto" w:sz="4" w:space="0"/>
            </w:tcBorders>
            <w:noWrap/>
            <w:vAlign w:val="center"/>
          </w:tcPr>
          <w:p w14:paraId="339B84DE">
            <w:pPr>
              <w:widowControl/>
              <w:jc w:val="left"/>
              <w:rPr>
                <w:rFonts w:ascii="仿宋_GB2312" w:hAnsi="仿宋" w:eastAsia="仿宋_GB2312" w:cs="宋体"/>
                <w:sz w:val="18"/>
                <w:szCs w:val="18"/>
              </w:rPr>
            </w:pPr>
            <w:r>
              <w:rPr>
                <w:rFonts w:hint="eastAsia" w:ascii="仿宋_GB2312" w:hAnsi="仿宋" w:eastAsia="仿宋_GB2312" w:cs="宋体"/>
                <w:sz w:val="18"/>
                <w:szCs w:val="18"/>
              </w:rPr>
              <w:t>营业收入（Y）</w:t>
            </w:r>
          </w:p>
        </w:tc>
        <w:tc>
          <w:tcPr>
            <w:tcW w:w="851" w:type="dxa"/>
            <w:tcBorders>
              <w:top w:val="nil"/>
              <w:left w:val="nil"/>
              <w:bottom w:val="single" w:color="auto" w:sz="4" w:space="0"/>
              <w:right w:val="single" w:color="auto" w:sz="4" w:space="0"/>
            </w:tcBorders>
            <w:noWrap/>
            <w:vAlign w:val="center"/>
          </w:tcPr>
          <w:p w14:paraId="16B6B31B">
            <w:pPr>
              <w:widowControl/>
              <w:jc w:val="left"/>
              <w:rPr>
                <w:rFonts w:ascii="仿宋_GB2312" w:hAnsi="仿宋" w:eastAsia="仿宋_GB2312" w:cs="宋体"/>
                <w:sz w:val="18"/>
                <w:szCs w:val="18"/>
              </w:rPr>
            </w:pPr>
            <w:r>
              <w:rPr>
                <w:rFonts w:hint="eastAsia" w:ascii="仿宋_GB2312" w:hAnsi="仿宋" w:eastAsia="仿宋_GB2312" w:cs="宋体"/>
                <w:sz w:val="18"/>
                <w:szCs w:val="18"/>
              </w:rPr>
              <w:t>万元</w:t>
            </w:r>
          </w:p>
        </w:tc>
        <w:tc>
          <w:tcPr>
            <w:tcW w:w="1842" w:type="dxa"/>
            <w:tcBorders>
              <w:top w:val="nil"/>
              <w:left w:val="nil"/>
              <w:bottom w:val="single" w:color="auto" w:sz="4" w:space="0"/>
              <w:right w:val="single" w:color="auto" w:sz="4" w:space="0"/>
            </w:tcBorders>
            <w:noWrap/>
            <w:vAlign w:val="center"/>
          </w:tcPr>
          <w:p w14:paraId="080D660C">
            <w:pPr>
              <w:widowControl/>
              <w:jc w:val="left"/>
              <w:rPr>
                <w:rFonts w:ascii="仿宋_GB2312" w:hAnsi="仿宋" w:eastAsia="仿宋_GB2312" w:cs="宋体"/>
                <w:sz w:val="18"/>
                <w:szCs w:val="18"/>
              </w:rPr>
            </w:pPr>
            <w:r>
              <w:rPr>
                <w:rFonts w:hint="eastAsia" w:ascii="仿宋_GB2312" w:hAnsi="仿宋" w:eastAsia="仿宋_GB2312" w:cs="宋体"/>
                <w:sz w:val="18"/>
                <w:szCs w:val="18"/>
              </w:rPr>
              <w:t>2000≤Y＜40000</w:t>
            </w:r>
          </w:p>
        </w:tc>
        <w:tc>
          <w:tcPr>
            <w:tcW w:w="1701" w:type="dxa"/>
            <w:tcBorders>
              <w:top w:val="nil"/>
              <w:left w:val="nil"/>
              <w:bottom w:val="single" w:color="auto" w:sz="4" w:space="0"/>
              <w:right w:val="single" w:color="auto" w:sz="4" w:space="0"/>
            </w:tcBorders>
            <w:noWrap/>
            <w:vAlign w:val="center"/>
          </w:tcPr>
          <w:p w14:paraId="55E23E09">
            <w:pPr>
              <w:widowControl/>
              <w:jc w:val="left"/>
              <w:rPr>
                <w:rFonts w:ascii="仿宋_GB2312" w:hAnsi="仿宋" w:eastAsia="仿宋_GB2312" w:cs="宋体"/>
                <w:sz w:val="18"/>
                <w:szCs w:val="18"/>
              </w:rPr>
            </w:pPr>
            <w:r>
              <w:rPr>
                <w:rFonts w:hint="eastAsia" w:ascii="仿宋_GB2312" w:hAnsi="仿宋" w:eastAsia="仿宋_GB2312" w:cs="宋体"/>
                <w:sz w:val="18"/>
                <w:szCs w:val="18"/>
              </w:rPr>
              <w:t>300≤Y＜2000</w:t>
            </w:r>
          </w:p>
        </w:tc>
        <w:tc>
          <w:tcPr>
            <w:tcW w:w="1134" w:type="dxa"/>
            <w:tcBorders>
              <w:top w:val="nil"/>
              <w:left w:val="nil"/>
              <w:bottom w:val="single" w:color="auto" w:sz="4" w:space="0"/>
              <w:right w:val="single" w:color="auto" w:sz="4" w:space="0"/>
            </w:tcBorders>
            <w:noWrap/>
            <w:vAlign w:val="center"/>
          </w:tcPr>
          <w:p w14:paraId="4711333D">
            <w:pPr>
              <w:widowControl/>
              <w:jc w:val="left"/>
              <w:rPr>
                <w:rFonts w:ascii="仿宋_GB2312" w:hAnsi="仿宋" w:eastAsia="仿宋_GB2312" w:cs="宋体"/>
                <w:sz w:val="18"/>
                <w:szCs w:val="18"/>
              </w:rPr>
            </w:pPr>
            <w:r>
              <w:rPr>
                <w:rFonts w:hint="eastAsia" w:ascii="仿宋_GB2312" w:hAnsi="仿宋" w:eastAsia="仿宋_GB2312" w:cs="宋体"/>
                <w:sz w:val="18"/>
                <w:szCs w:val="18"/>
              </w:rPr>
              <w:t>Y＜300</w:t>
            </w:r>
          </w:p>
        </w:tc>
      </w:tr>
      <w:tr w14:paraId="78D77B9D">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ign w:val="bottom"/>
          </w:tcPr>
          <w:p w14:paraId="75E90010">
            <w:pPr>
              <w:widowControl/>
              <w:jc w:val="center"/>
              <w:rPr>
                <w:rFonts w:ascii="仿宋_GB2312" w:hAnsi="仿宋" w:eastAsia="仿宋_GB2312" w:cs="宋体"/>
                <w:b/>
                <w:bCs/>
                <w:sz w:val="18"/>
                <w:szCs w:val="18"/>
              </w:rPr>
            </w:pPr>
            <w:r>
              <w:rPr>
                <w:rFonts w:hint="eastAsia" w:ascii="仿宋_GB2312" w:hAnsi="仿宋" w:eastAsia="仿宋_GB2312" w:cs="宋体"/>
                <w:b/>
                <w:bCs/>
                <w:sz w:val="18"/>
                <w:szCs w:val="18"/>
              </w:rPr>
              <w:t>建筑业</w:t>
            </w:r>
          </w:p>
        </w:tc>
        <w:tc>
          <w:tcPr>
            <w:tcW w:w="1984" w:type="dxa"/>
            <w:tcBorders>
              <w:top w:val="nil"/>
              <w:left w:val="nil"/>
              <w:bottom w:val="single" w:color="auto" w:sz="4" w:space="0"/>
              <w:right w:val="single" w:color="auto" w:sz="4" w:space="0"/>
            </w:tcBorders>
            <w:noWrap/>
            <w:vAlign w:val="center"/>
          </w:tcPr>
          <w:p w14:paraId="3013AB7A">
            <w:pPr>
              <w:widowControl/>
              <w:jc w:val="left"/>
              <w:rPr>
                <w:rFonts w:ascii="仿宋_GB2312" w:hAnsi="仿宋" w:eastAsia="仿宋_GB2312" w:cs="宋体"/>
                <w:sz w:val="18"/>
                <w:szCs w:val="18"/>
              </w:rPr>
            </w:pPr>
            <w:r>
              <w:rPr>
                <w:rFonts w:hint="eastAsia" w:ascii="仿宋_GB2312" w:hAnsi="仿宋" w:eastAsia="仿宋_GB2312" w:cs="宋体"/>
                <w:sz w:val="18"/>
                <w:szCs w:val="18"/>
              </w:rPr>
              <w:t>营业收入（Y）</w:t>
            </w:r>
          </w:p>
        </w:tc>
        <w:tc>
          <w:tcPr>
            <w:tcW w:w="851" w:type="dxa"/>
            <w:tcBorders>
              <w:top w:val="nil"/>
              <w:left w:val="nil"/>
              <w:bottom w:val="single" w:color="auto" w:sz="4" w:space="0"/>
              <w:right w:val="single" w:color="auto" w:sz="4" w:space="0"/>
            </w:tcBorders>
            <w:noWrap/>
            <w:vAlign w:val="center"/>
          </w:tcPr>
          <w:p w14:paraId="35FF7D67">
            <w:pPr>
              <w:widowControl/>
              <w:jc w:val="left"/>
              <w:rPr>
                <w:rFonts w:ascii="仿宋_GB2312" w:hAnsi="仿宋" w:eastAsia="仿宋_GB2312" w:cs="宋体"/>
                <w:sz w:val="18"/>
                <w:szCs w:val="18"/>
              </w:rPr>
            </w:pPr>
            <w:r>
              <w:rPr>
                <w:rFonts w:hint="eastAsia" w:ascii="仿宋_GB2312" w:hAnsi="仿宋" w:eastAsia="仿宋_GB2312" w:cs="宋体"/>
                <w:sz w:val="18"/>
                <w:szCs w:val="18"/>
              </w:rPr>
              <w:t>万元</w:t>
            </w:r>
          </w:p>
        </w:tc>
        <w:tc>
          <w:tcPr>
            <w:tcW w:w="1842" w:type="dxa"/>
            <w:tcBorders>
              <w:top w:val="nil"/>
              <w:left w:val="nil"/>
              <w:bottom w:val="single" w:color="auto" w:sz="4" w:space="0"/>
              <w:right w:val="single" w:color="auto" w:sz="4" w:space="0"/>
            </w:tcBorders>
            <w:noWrap/>
            <w:vAlign w:val="center"/>
          </w:tcPr>
          <w:p w14:paraId="2F973C8E">
            <w:pPr>
              <w:widowControl/>
              <w:jc w:val="left"/>
              <w:rPr>
                <w:rFonts w:ascii="仿宋_GB2312" w:hAnsi="仿宋" w:eastAsia="仿宋_GB2312" w:cs="宋体"/>
                <w:sz w:val="18"/>
                <w:szCs w:val="18"/>
              </w:rPr>
            </w:pPr>
            <w:r>
              <w:rPr>
                <w:rFonts w:hint="eastAsia" w:ascii="仿宋_GB2312" w:hAnsi="仿宋" w:eastAsia="仿宋_GB2312" w:cs="宋体"/>
                <w:sz w:val="18"/>
                <w:szCs w:val="18"/>
              </w:rPr>
              <w:t>6000≤Y＜80000</w:t>
            </w:r>
          </w:p>
        </w:tc>
        <w:tc>
          <w:tcPr>
            <w:tcW w:w="1701" w:type="dxa"/>
            <w:tcBorders>
              <w:top w:val="nil"/>
              <w:left w:val="nil"/>
              <w:bottom w:val="single" w:color="auto" w:sz="4" w:space="0"/>
              <w:right w:val="single" w:color="auto" w:sz="4" w:space="0"/>
            </w:tcBorders>
            <w:noWrap/>
            <w:vAlign w:val="center"/>
          </w:tcPr>
          <w:p w14:paraId="24F83523">
            <w:pPr>
              <w:widowControl/>
              <w:jc w:val="left"/>
              <w:rPr>
                <w:rFonts w:ascii="仿宋_GB2312" w:hAnsi="仿宋" w:eastAsia="仿宋_GB2312" w:cs="宋体"/>
                <w:sz w:val="18"/>
                <w:szCs w:val="18"/>
              </w:rPr>
            </w:pPr>
            <w:r>
              <w:rPr>
                <w:rFonts w:hint="eastAsia" w:ascii="仿宋_GB2312" w:hAnsi="仿宋" w:eastAsia="仿宋_GB2312" w:cs="宋体"/>
                <w:sz w:val="18"/>
                <w:szCs w:val="18"/>
              </w:rPr>
              <w:t>300≤Y＜6000</w:t>
            </w:r>
          </w:p>
        </w:tc>
        <w:tc>
          <w:tcPr>
            <w:tcW w:w="1134" w:type="dxa"/>
            <w:tcBorders>
              <w:top w:val="nil"/>
              <w:left w:val="nil"/>
              <w:bottom w:val="single" w:color="auto" w:sz="4" w:space="0"/>
              <w:right w:val="single" w:color="auto" w:sz="4" w:space="0"/>
            </w:tcBorders>
            <w:noWrap/>
            <w:vAlign w:val="center"/>
          </w:tcPr>
          <w:p w14:paraId="6CE5FD4F">
            <w:pPr>
              <w:widowControl/>
              <w:jc w:val="left"/>
              <w:rPr>
                <w:rFonts w:ascii="仿宋_GB2312" w:hAnsi="仿宋" w:eastAsia="仿宋_GB2312" w:cs="宋体"/>
                <w:sz w:val="18"/>
                <w:szCs w:val="18"/>
              </w:rPr>
            </w:pPr>
            <w:r>
              <w:rPr>
                <w:rFonts w:hint="eastAsia" w:ascii="仿宋_GB2312" w:hAnsi="仿宋" w:eastAsia="仿宋_GB2312" w:cs="宋体"/>
                <w:sz w:val="18"/>
                <w:szCs w:val="18"/>
              </w:rPr>
              <w:t>Y＜300</w:t>
            </w:r>
          </w:p>
        </w:tc>
      </w:tr>
      <w:tr w14:paraId="667D04D6">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14:paraId="47E91D47">
            <w:pPr>
              <w:widowControl/>
              <w:jc w:val="left"/>
              <w:rPr>
                <w:rFonts w:ascii="仿宋_GB2312" w:hAnsi="仿宋" w:eastAsia="仿宋_GB2312" w:cs="宋体"/>
                <w:b/>
                <w:bCs/>
                <w:sz w:val="18"/>
                <w:szCs w:val="18"/>
              </w:rPr>
            </w:pPr>
          </w:p>
        </w:tc>
        <w:tc>
          <w:tcPr>
            <w:tcW w:w="1984" w:type="dxa"/>
            <w:tcBorders>
              <w:top w:val="nil"/>
              <w:left w:val="nil"/>
              <w:bottom w:val="single" w:color="auto" w:sz="4" w:space="0"/>
              <w:right w:val="single" w:color="auto" w:sz="4" w:space="0"/>
            </w:tcBorders>
            <w:noWrap/>
            <w:vAlign w:val="center"/>
          </w:tcPr>
          <w:p w14:paraId="6E00BC03">
            <w:pPr>
              <w:widowControl/>
              <w:jc w:val="left"/>
              <w:rPr>
                <w:rFonts w:ascii="仿宋_GB2312" w:hAnsi="仿宋" w:eastAsia="仿宋_GB2312" w:cs="宋体"/>
                <w:sz w:val="18"/>
                <w:szCs w:val="18"/>
              </w:rPr>
            </w:pPr>
            <w:r>
              <w:rPr>
                <w:rFonts w:hint="eastAsia" w:ascii="仿宋_GB2312" w:hAnsi="仿宋" w:eastAsia="仿宋_GB2312" w:cs="宋体"/>
                <w:sz w:val="18"/>
                <w:szCs w:val="18"/>
              </w:rPr>
              <w:t>资产总额（Z）</w:t>
            </w:r>
          </w:p>
        </w:tc>
        <w:tc>
          <w:tcPr>
            <w:tcW w:w="851" w:type="dxa"/>
            <w:tcBorders>
              <w:top w:val="nil"/>
              <w:left w:val="nil"/>
              <w:bottom w:val="single" w:color="auto" w:sz="4" w:space="0"/>
              <w:right w:val="single" w:color="auto" w:sz="4" w:space="0"/>
            </w:tcBorders>
            <w:noWrap/>
            <w:vAlign w:val="center"/>
          </w:tcPr>
          <w:p w14:paraId="751F2359">
            <w:pPr>
              <w:widowControl/>
              <w:jc w:val="left"/>
              <w:rPr>
                <w:rFonts w:ascii="仿宋_GB2312" w:hAnsi="仿宋" w:eastAsia="仿宋_GB2312" w:cs="宋体"/>
                <w:sz w:val="18"/>
                <w:szCs w:val="18"/>
              </w:rPr>
            </w:pPr>
            <w:r>
              <w:rPr>
                <w:rFonts w:hint="eastAsia" w:ascii="仿宋_GB2312" w:hAnsi="仿宋" w:eastAsia="仿宋_GB2312" w:cs="宋体"/>
                <w:sz w:val="18"/>
                <w:szCs w:val="18"/>
              </w:rPr>
              <w:t>万元</w:t>
            </w:r>
          </w:p>
        </w:tc>
        <w:tc>
          <w:tcPr>
            <w:tcW w:w="1842" w:type="dxa"/>
            <w:tcBorders>
              <w:top w:val="nil"/>
              <w:left w:val="nil"/>
              <w:bottom w:val="single" w:color="auto" w:sz="4" w:space="0"/>
              <w:right w:val="single" w:color="auto" w:sz="4" w:space="0"/>
            </w:tcBorders>
            <w:noWrap/>
            <w:vAlign w:val="center"/>
          </w:tcPr>
          <w:p w14:paraId="3053590A">
            <w:pPr>
              <w:widowControl/>
              <w:jc w:val="left"/>
              <w:rPr>
                <w:rFonts w:ascii="仿宋_GB2312" w:hAnsi="仿宋" w:eastAsia="仿宋_GB2312" w:cs="宋体"/>
                <w:sz w:val="18"/>
                <w:szCs w:val="18"/>
              </w:rPr>
            </w:pPr>
            <w:r>
              <w:rPr>
                <w:rFonts w:hint="eastAsia" w:ascii="仿宋_GB2312" w:hAnsi="仿宋" w:eastAsia="仿宋_GB2312" w:cs="宋体"/>
                <w:sz w:val="18"/>
                <w:szCs w:val="18"/>
              </w:rPr>
              <w:t>5000≤Z＜80000</w:t>
            </w:r>
          </w:p>
        </w:tc>
        <w:tc>
          <w:tcPr>
            <w:tcW w:w="1701" w:type="dxa"/>
            <w:tcBorders>
              <w:top w:val="nil"/>
              <w:left w:val="nil"/>
              <w:bottom w:val="single" w:color="auto" w:sz="4" w:space="0"/>
              <w:right w:val="single" w:color="auto" w:sz="4" w:space="0"/>
            </w:tcBorders>
            <w:noWrap/>
            <w:vAlign w:val="center"/>
          </w:tcPr>
          <w:p w14:paraId="6A1D01FA">
            <w:pPr>
              <w:widowControl/>
              <w:jc w:val="left"/>
              <w:rPr>
                <w:rFonts w:ascii="仿宋_GB2312" w:hAnsi="仿宋" w:eastAsia="仿宋_GB2312" w:cs="宋体"/>
                <w:sz w:val="18"/>
                <w:szCs w:val="18"/>
              </w:rPr>
            </w:pPr>
            <w:r>
              <w:rPr>
                <w:rFonts w:hint="eastAsia" w:ascii="仿宋_GB2312" w:hAnsi="仿宋" w:eastAsia="仿宋_GB2312" w:cs="宋体"/>
                <w:sz w:val="18"/>
                <w:szCs w:val="18"/>
              </w:rPr>
              <w:t>300≤Z＜5000</w:t>
            </w:r>
          </w:p>
        </w:tc>
        <w:tc>
          <w:tcPr>
            <w:tcW w:w="1134" w:type="dxa"/>
            <w:tcBorders>
              <w:top w:val="nil"/>
              <w:left w:val="nil"/>
              <w:bottom w:val="single" w:color="auto" w:sz="4" w:space="0"/>
              <w:right w:val="single" w:color="auto" w:sz="4" w:space="0"/>
            </w:tcBorders>
            <w:noWrap/>
            <w:vAlign w:val="center"/>
          </w:tcPr>
          <w:p w14:paraId="21834F46">
            <w:pPr>
              <w:widowControl/>
              <w:jc w:val="left"/>
              <w:rPr>
                <w:rFonts w:ascii="仿宋_GB2312" w:hAnsi="仿宋" w:eastAsia="仿宋_GB2312" w:cs="宋体"/>
                <w:sz w:val="18"/>
                <w:szCs w:val="18"/>
              </w:rPr>
            </w:pPr>
            <w:r>
              <w:rPr>
                <w:rFonts w:hint="eastAsia" w:ascii="仿宋_GB2312" w:hAnsi="仿宋" w:eastAsia="仿宋_GB2312" w:cs="宋体"/>
                <w:sz w:val="18"/>
                <w:szCs w:val="18"/>
              </w:rPr>
              <w:t>Z＜300</w:t>
            </w:r>
          </w:p>
        </w:tc>
      </w:tr>
      <w:tr w14:paraId="19D5634B">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ign w:val="bottom"/>
          </w:tcPr>
          <w:p w14:paraId="5665B31F">
            <w:pPr>
              <w:widowControl/>
              <w:jc w:val="center"/>
              <w:rPr>
                <w:rFonts w:ascii="仿宋_GB2312" w:hAnsi="仿宋" w:eastAsia="仿宋_GB2312" w:cs="宋体"/>
                <w:b/>
                <w:bCs/>
                <w:sz w:val="18"/>
                <w:szCs w:val="18"/>
              </w:rPr>
            </w:pPr>
            <w:r>
              <w:rPr>
                <w:rFonts w:hint="eastAsia" w:ascii="仿宋_GB2312" w:hAnsi="仿宋" w:eastAsia="仿宋_GB2312" w:cs="宋体"/>
                <w:b/>
                <w:bCs/>
                <w:sz w:val="18"/>
                <w:szCs w:val="18"/>
              </w:rPr>
              <w:t>批发业</w:t>
            </w:r>
          </w:p>
        </w:tc>
        <w:tc>
          <w:tcPr>
            <w:tcW w:w="1984" w:type="dxa"/>
            <w:tcBorders>
              <w:top w:val="nil"/>
              <w:left w:val="nil"/>
              <w:bottom w:val="single" w:color="auto" w:sz="4" w:space="0"/>
              <w:right w:val="single" w:color="auto" w:sz="4" w:space="0"/>
            </w:tcBorders>
            <w:noWrap/>
            <w:vAlign w:val="center"/>
          </w:tcPr>
          <w:p w14:paraId="4E1340E2">
            <w:pPr>
              <w:widowControl/>
              <w:jc w:val="left"/>
              <w:rPr>
                <w:rFonts w:ascii="仿宋_GB2312" w:hAnsi="仿宋" w:eastAsia="仿宋_GB2312" w:cs="宋体"/>
                <w:sz w:val="18"/>
                <w:szCs w:val="18"/>
              </w:rPr>
            </w:pPr>
            <w:r>
              <w:rPr>
                <w:rFonts w:hint="eastAsia" w:ascii="仿宋_GB2312" w:hAnsi="仿宋" w:eastAsia="仿宋_GB2312" w:cs="宋体"/>
                <w:sz w:val="18"/>
                <w:szCs w:val="18"/>
              </w:rPr>
              <w:t>从业人员（X）</w:t>
            </w:r>
          </w:p>
        </w:tc>
        <w:tc>
          <w:tcPr>
            <w:tcW w:w="851" w:type="dxa"/>
            <w:tcBorders>
              <w:top w:val="nil"/>
              <w:left w:val="nil"/>
              <w:bottom w:val="single" w:color="auto" w:sz="4" w:space="0"/>
              <w:right w:val="single" w:color="auto" w:sz="4" w:space="0"/>
            </w:tcBorders>
            <w:noWrap/>
            <w:vAlign w:val="center"/>
          </w:tcPr>
          <w:p w14:paraId="21E5C0FB">
            <w:pPr>
              <w:widowControl/>
              <w:jc w:val="left"/>
              <w:rPr>
                <w:rFonts w:ascii="仿宋_GB2312" w:hAnsi="仿宋" w:eastAsia="仿宋_GB2312" w:cs="宋体"/>
                <w:sz w:val="18"/>
                <w:szCs w:val="18"/>
              </w:rPr>
            </w:pPr>
            <w:r>
              <w:rPr>
                <w:rFonts w:hint="eastAsia" w:ascii="仿宋_GB2312" w:hAnsi="仿宋" w:eastAsia="仿宋_GB2312" w:cs="宋体"/>
                <w:sz w:val="18"/>
                <w:szCs w:val="18"/>
              </w:rPr>
              <w:t>人</w:t>
            </w:r>
          </w:p>
        </w:tc>
        <w:tc>
          <w:tcPr>
            <w:tcW w:w="1842" w:type="dxa"/>
            <w:tcBorders>
              <w:top w:val="nil"/>
              <w:left w:val="nil"/>
              <w:bottom w:val="single" w:color="auto" w:sz="4" w:space="0"/>
              <w:right w:val="single" w:color="auto" w:sz="4" w:space="0"/>
            </w:tcBorders>
            <w:noWrap/>
            <w:vAlign w:val="center"/>
          </w:tcPr>
          <w:p w14:paraId="5B3FAF23">
            <w:pPr>
              <w:widowControl/>
              <w:jc w:val="left"/>
              <w:rPr>
                <w:rFonts w:ascii="仿宋_GB2312" w:hAnsi="仿宋" w:eastAsia="仿宋_GB2312" w:cs="宋体"/>
                <w:sz w:val="18"/>
                <w:szCs w:val="18"/>
              </w:rPr>
            </w:pPr>
            <w:r>
              <w:rPr>
                <w:rFonts w:hint="eastAsia" w:ascii="仿宋_GB2312" w:hAnsi="仿宋" w:eastAsia="仿宋_GB2312" w:cs="宋体"/>
                <w:sz w:val="18"/>
                <w:szCs w:val="18"/>
              </w:rPr>
              <w:t>20≤X＜200</w:t>
            </w:r>
          </w:p>
        </w:tc>
        <w:tc>
          <w:tcPr>
            <w:tcW w:w="1701" w:type="dxa"/>
            <w:tcBorders>
              <w:top w:val="nil"/>
              <w:left w:val="nil"/>
              <w:bottom w:val="single" w:color="auto" w:sz="4" w:space="0"/>
              <w:right w:val="single" w:color="auto" w:sz="4" w:space="0"/>
            </w:tcBorders>
            <w:noWrap/>
            <w:vAlign w:val="center"/>
          </w:tcPr>
          <w:p w14:paraId="0456CAED">
            <w:pPr>
              <w:widowControl/>
              <w:jc w:val="left"/>
              <w:rPr>
                <w:rFonts w:ascii="仿宋_GB2312" w:hAnsi="仿宋" w:eastAsia="仿宋_GB2312" w:cs="宋体"/>
                <w:sz w:val="18"/>
                <w:szCs w:val="18"/>
              </w:rPr>
            </w:pPr>
            <w:r>
              <w:rPr>
                <w:rFonts w:hint="eastAsia" w:ascii="仿宋_GB2312" w:hAnsi="仿宋" w:eastAsia="仿宋_GB2312" w:cs="宋体"/>
                <w:sz w:val="18"/>
                <w:szCs w:val="18"/>
              </w:rPr>
              <w:t>5≤X＜20</w:t>
            </w:r>
          </w:p>
        </w:tc>
        <w:tc>
          <w:tcPr>
            <w:tcW w:w="1134" w:type="dxa"/>
            <w:tcBorders>
              <w:top w:val="nil"/>
              <w:left w:val="nil"/>
              <w:bottom w:val="single" w:color="auto" w:sz="4" w:space="0"/>
              <w:right w:val="single" w:color="auto" w:sz="4" w:space="0"/>
            </w:tcBorders>
            <w:noWrap/>
            <w:vAlign w:val="center"/>
          </w:tcPr>
          <w:p w14:paraId="537ED3D4">
            <w:pPr>
              <w:widowControl/>
              <w:jc w:val="left"/>
              <w:rPr>
                <w:rFonts w:ascii="仿宋_GB2312" w:hAnsi="仿宋" w:eastAsia="仿宋_GB2312" w:cs="宋体"/>
                <w:sz w:val="18"/>
                <w:szCs w:val="18"/>
              </w:rPr>
            </w:pPr>
            <w:r>
              <w:rPr>
                <w:rFonts w:hint="eastAsia" w:ascii="仿宋_GB2312" w:hAnsi="仿宋" w:eastAsia="仿宋_GB2312" w:cs="宋体"/>
                <w:sz w:val="18"/>
                <w:szCs w:val="18"/>
              </w:rPr>
              <w:t>X＜5</w:t>
            </w:r>
          </w:p>
        </w:tc>
      </w:tr>
      <w:tr w14:paraId="70C5653F">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14:paraId="32290424">
            <w:pPr>
              <w:widowControl/>
              <w:jc w:val="left"/>
              <w:rPr>
                <w:rFonts w:ascii="仿宋_GB2312" w:hAnsi="仿宋" w:eastAsia="仿宋_GB2312" w:cs="宋体"/>
                <w:b/>
                <w:bCs/>
                <w:sz w:val="18"/>
                <w:szCs w:val="18"/>
              </w:rPr>
            </w:pPr>
          </w:p>
        </w:tc>
        <w:tc>
          <w:tcPr>
            <w:tcW w:w="1984" w:type="dxa"/>
            <w:tcBorders>
              <w:top w:val="nil"/>
              <w:left w:val="nil"/>
              <w:bottom w:val="single" w:color="auto" w:sz="4" w:space="0"/>
              <w:right w:val="single" w:color="auto" w:sz="4" w:space="0"/>
            </w:tcBorders>
            <w:noWrap/>
            <w:vAlign w:val="center"/>
          </w:tcPr>
          <w:p w14:paraId="697B55DC">
            <w:pPr>
              <w:widowControl/>
              <w:jc w:val="left"/>
              <w:rPr>
                <w:rFonts w:ascii="仿宋_GB2312" w:hAnsi="仿宋" w:eastAsia="仿宋_GB2312" w:cs="宋体"/>
                <w:sz w:val="18"/>
                <w:szCs w:val="18"/>
              </w:rPr>
            </w:pPr>
            <w:r>
              <w:rPr>
                <w:rFonts w:hint="eastAsia" w:ascii="仿宋_GB2312" w:hAnsi="仿宋" w:eastAsia="仿宋_GB2312" w:cs="宋体"/>
                <w:sz w:val="18"/>
                <w:szCs w:val="18"/>
              </w:rPr>
              <w:t>营业收入（Y）</w:t>
            </w:r>
          </w:p>
        </w:tc>
        <w:tc>
          <w:tcPr>
            <w:tcW w:w="851" w:type="dxa"/>
            <w:tcBorders>
              <w:top w:val="nil"/>
              <w:left w:val="nil"/>
              <w:bottom w:val="single" w:color="auto" w:sz="4" w:space="0"/>
              <w:right w:val="single" w:color="auto" w:sz="4" w:space="0"/>
            </w:tcBorders>
            <w:noWrap/>
            <w:vAlign w:val="center"/>
          </w:tcPr>
          <w:p w14:paraId="723BFFF2">
            <w:pPr>
              <w:widowControl/>
              <w:jc w:val="left"/>
              <w:rPr>
                <w:rFonts w:ascii="仿宋_GB2312" w:hAnsi="仿宋" w:eastAsia="仿宋_GB2312" w:cs="宋体"/>
                <w:sz w:val="18"/>
                <w:szCs w:val="18"/>
              </w:rPr>
            </w:pPr>
            <w:r>
              <w:rPr>
                <w:rFonts w:hint="eastAsia" w:ascii="仿宋_GB2312" w:hAnsi="仿宋" w:eastAsia="仿宋_GB2312" w:cs="宋体"/>
                <w:sz w:val="18"/>
                <w:szCs w:val="18"/>
              </w:rPr>
              <w:t>万元</w:t>
            </w:r>
          </w:p>
        </w:tc>
        <w:tc>
          <w:tcPr>
            <w:tcW w:w="1842" w:type="dxa"/>
            <w:tcBorders>
              <w:top w:val="nil"/>
              <w:left w:val="nil"/>
              <w:bottom w:val="single" w:color="auto" w:sz="4" w:space="0"/>
              <w:right w:val="single" w:color="auto" w:sz="4" w:space="0"/>
            </w:tcBorders>
            <w:noWrap/>
            <w:vAlign w:val="center"/>
          </w:tcPr>
          <w:p w14:paraId="74BDBEF8">
            <w:pPr>
              <w:widowControl/>
              <w:jc w:val="left"/>
              <w:rPr>
                <w:rFonts w:ascii="仿宋_GB2312" w:hAnsi="仿宋" w:eastAsia="仿宋_GB2312" w:cs="宋体"/>
                <w:sz w:val="18"/>
                <w:szCs w:val="18"/>
              </w:rPr>
            </w:pPr>
            <w:r>
              <w:rPr>
                <w:rFonts w:hint="eastAsia" w:ascii="仿宋_GB2312" w:hAnsi="仿宋" w:eastAsia="仿宋_GB2312" w:cs="宋体"/>
                <w:sz w:val="18"/>
                <w:szCs w:val="18"/>
              </w:rPr>
              <w:t>5000≤Y＜40000</w:t>
            </w:r>
          </w:p>
        </w:tc>
        <w:tc>
          <w:tcPr>
            <w:tcW w:w="1701" w:type="dxa"/>
            <w:tcBorders>
              <w:top w:val="nil"/>
              <w:left w:val="nil"/>
              <w:bottom w:val="single" w:color="auto" w:sz="4" w:space="0"/>
              <w:right w:val="single" w:color="auto" w:sz="4" w:space="0"/>
            </w:tcBorders>
            <w:noWrap/>
            <w:vAlign w:val="center"/>
          </w:tcPr>
          <w:p w14:paraId="4EA7582B">
            <w:pPr>
              <w:widowControl/>
              <w:jc w:val="left"/>
              <w:rPr>
                <w:rFonts w:ascii="仿宋_GB2312" w:hAnsi="仿宋" w:eastAsia="仿宋_GB2312" w:cs="宋体"/>
                <w:sz w:val="18"/>
                <w:szCs w:val="18"/>
              </w:rPr>
            </w:pPr>
            <w:r>
              <w:rPr>
                <w:rFonts w:hint="eastAsia" w:ascii="仿宋_GB2312" w:hAnsi="仿宋" w:eastAsia="仿宋_GB2312" w:cs="宋体"/>
                <w:sz w:val="18"/>
                <w:szCs w:val="18"/>
              </w:rPr>
              <w:t>1000≤Y＜5000</w:t>
            </w:r>
          </w:p>
        </w:tc>
        <w:tc>
          <w:tcPr>
            <w:tcW w:w="1134" w:type="dxa"/>
            <w:tcBorders>
              <w:top w:val="nil"/>
              <w:left w:val="nil"/>
              <w:bottom w:val="single" w:color="auto" w:sz="4" w:space="0"/>
              <w:right w:val="single" w:color="auto" w:sz="4" w:space="0"/>
            </w:tcBorders>
            <w:noWrap/>
            <w:vAlign w:val="center"/>
          </w:tcPr>
          <w:p w14:paraId="50C64F35">
            <w:pPr>
              <w:widowControl/>
              <w:jc w:val="left"/>
              <w:rPr>
                <w:rFonts w:ascii="仿宋_GB2312" w:hAnsi="仿宋" w:eastAsia="仿宋_GB2312" w:cs="宋体"/>
                <w:sz w:val="18"/>
                <w:szCs w:val="18"/>
              </w:rPr>
            </w:pPr>
            <w:r>
              <w:rPr>
                <w:rFonts w:hint="eastAsia" w:ascii="仿宋_GB2312" w:hAnsi="仿宋" w:eastAsia="仿宋_GB2312" w:cs="宋体"/>
                <w:sz w:val="18"/>
                <w:szCs w:val="18"/>
              </w:rPr>
              <w:t>Y＜1000</w:t>
            </w:r>
          </w:p>
        </w:tc>
      </w:tr>
      <w:tr w14:paraId="1B359552">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ign w:val="bottom"/>
          </w:tcPr>
          <w:p w14:paraId="2D93AEAA">
            <w:pPr>
              <w:widowControl/>
              <w:jc w:val="center"/>
              <w:rPr>
                <w:rFonts w:ascii="仿宋_GB2312" w:hAnsi="仿宋" w:eastAsia="仿宋_GB2312" w:cs="宋体"/>
                <w:b/>
                <w:bCs/>
                <w:sz w:val="18"/>
                <w:szCs w:val="18"/>
              </w:rPr>
            </w:pPr>
            <w:r>
              <w:rPr>
                <w:rFonts w:hint="eastAsia" w:ascii="仿宋_GB2312" w:hAnsi="仿宋" w:eastAsia="仿宋_GB2312" w:cs="宋体"/>
                <w:b/>
                <w:bCs/>
                <w:sz w:val="18"/>
                <w:szCs w:val="18"/>
              </w:rPr>
              <w:t>零售业</w:t>
            </w:r>
          </w:p>
        </w:tc>
        <w:tc>
          <w:tcPr>
            <w:tcW w:w="1984" w:type="dxa"/>
            <w:tcBorders>
              <w:top w:val="nil"/>
              <w:left w:val="nil"/>
              <w:bottom w:val="single" w:color="auto" w:sz="4" w:space="0"/>
              <w:right w:val="single" w:color="auto" w:sz="4" w:space="0"/>
            </w:tcBorders>
            <w:noWrap/>
            <w:vAlign w:val="center"/>
          </w:tcPr>
          <w:p w14:paraId="1585F1CB">
            <w:pPr>
              <w:widowControl/>
              <w:jc w:val="left"/>
              <w:rPr>
                <w:rFonts w:ascii="仿宋_GB2312" w:hAnsi="仿宋" w:eastAsia="仿宋_GB2312" w:cs="宋体"/>
                <w:sz w:val="18"/>
                <w:szCs w:val="18"/>
              </w:rPr>
            </w:pPr>
            <w:r>
              <w:rPr>
                <w:rFonts w:hint="eastAsia" w:ascii="仿宋_GB2312" w:hAnsi="仿宋" w:eastAsia="仿宋_GB2312" w:cs="宋体"/>
                <w:sz w:val="18"/>
                <w:szCs w:val="18"/>
              </w:rPr>
              <w:t>从业人员（X）</w:t>
            </w:r>
          </w:p>
        </w:tc>
        <w:tc>
          <w:tcPr>
            <w:tcW w:w="851" w:type="dxa"/>
            <w:tcBorders>
              <w:top w:val="nil"/>
              <w:left w:val="nil"/>
              <w:bottom w:val="single" w:color="auto" w:sz="4" w:space="0"/>
              <w:right w:val="single" w:color="auto" w:sz="4" w:space="0"/>
            </w:tcBorders>
            <w:noWrap/>
            <w:vAlign w:val="center"/>
          </w:tcPr>
          <w:p w14:paraId="29BF5C3D">
            <w:pPr>
              <w:widowControl/>
              <w:jc w:val="left"/>
              <w:rPr>
                <w:rFonts w:ascii="仿宋_GB2312" w:hAnsi="仿宋" w:eastAsia="仿宋_GB2312" w:cs="宋体"/>
                <w:sz w:val="18"/>
                <w:szCs w:val="18"/>
              </w:rPr>
            </w:pPr>
            <w:r>
              <w:rPr>
                <w:rFonts w:hint="eastAsia" w:ascii="仿宋_GB2312" w:hAnsi="仿宋" w:eastAsia="仿宋_GB2312" w:cs="宋体"/>
                <w:sz w:val="18"/>
                <w:szCs w:val="18"/>
              </w:rPr>
              <w:t>人</w:t>
            </w:r>
          </w:p>
        </w:tc>
        <w:tc>
          <w:tcPr>
            <w:tcW w:w="1842" w:type="dxa"/>
            <w:tcBorders>
              <w:top w:val="nil"/>
              <w:left w:val="nil"/>
              <w:bottom w:val="single" w:color="auto" w:sz="4" w:space="0"/>
              <w:right w:val="single" w:color="auto" w:sz="4" w:space="0"/>
            </w:tcBorders>
            <w:noWrap/>
            <w:vAlign w:val="center"/>
          </w:tcPr>
          <w:p w14:paraId="60D23CBE">
            <w:pPr>
              <w:widowControl/>
              <w:jc w:val="left"/>
              <w:rPr>
                <w:rFonts w:ascii="仿宋_GB2312" w:hAnsi="仿宋" w:eastAsia="仿宋_GB2312" w:cs="宋体"/>
                <w:sz w:val="18"/>
                <w:szCs w:val="18"/>
              </w:rPr>
            </w:pPr>
            <w:r>
              <w:rPr>
                <w:rFonts w:hint="eastAsia" w:ascii="仿宋_GB2312" w:hAnsi="仿宋" w:eastAsia="仿宋_GB2312" w:cs="宋体"/>
                <w:sz w:val="18"/>
                <w:szCs w:val="18"/>
              </w:rPr>
              <w:t>50≤X＜300</w:t>
            </w:r>
          </w:p>
        </w:tc>
        <w:tc>
          <w:tcPr>
            <w:tcW w:w="1701" w:type="dxa"/>
            <w:tcBorders>
              <w:top w:val="nil"/>
              <w:left w:val="nil"/>
              <w:bottom w:val="single" w:color="auto" w:sz="4" w:space="0"/>
              <w:right w:val="single" w:color="auto" w:sz="4" w:space="0"/>
            </w:tcBorders>
            <w:noWrap/>
            <w:vAlign w:val="center"/>
          </w:tcPr>
          <w:p w14:paraId="754F7CC2">
            <w:pPr>
              <w:widowControl/>
              <w:jc w:val="left"/>
              <w:rPr>
                <w:rFonts w:ascii="仿宋_GB2312" w:hAnsi="仿宋" w:eastAsia="仿宋_GB2312" w:cs="宋体"/>
                <w:sz w:val="18"/>
                <w:szCs w:val="18"/>
              </w:rPr>
            </w:pPr>
            <w:r>
              <w:rPr>
                <w:rFonts w:hint="eastAsia" w:ascii="仿宋_GB2312" w:hAnsi="仿宋" w:eastAsia="仿宋_GB2312" w:cs="宋体"/>
                <w:sz w:val="18"/>
                <w:szCs w:val="18"/>
              </w:rPr>
              <w:t>10≤X＜50</w:t>
            </w:r>
          </w:p>
        </w:tc>
        <w:tc>
          <w:tcPr>
            <w:tcW w:w="1134" w:type="dxa"/>
            <w:tcBorders>
              <w:top w:val="nil"/>
              <w:left w:val="nil"/>
              <w:bottom w:val="single" w:color="auto" w:sz="4" w:space="0"/>
              <w:right w:val="single" w:color="auto" w:sz="4" w:space="0"/>
            </w:tcBorders>
            <w:noWrap/>
            <w:vAlign w:val="center"/>
          </w:tcPr>
          <w:p w14:paraId="45938DA6">
            <w:pPr>
              <w:widowControl/>
              <w:jc w:val="left"/>
              <w:rPr>
                <w:rFonts w:ascii="仿宋_GB2312" w:hAnsi="仿宋" w:eastAsia="仿宋_GB2312" w:cs="宋体"/>
                <w:sz w:val="18"/>
                <w:szCs w:val="18"/>
              </w:rPr>
            </w:pPr>
            <w:r>
              <w:rPr>
                <w:rFonts w:hint="eastAsia" w:ascii="仿宋_GB2312" w:hAnsi="仿宋" w:eastAsia="仿宋_GB2312" w:cs="宋体"/>
                <w:sz w:val="18"/>
                <w:szCs w:val="18"/>
              </w:rPr>
              <w:t>X＜10</w:t>
            </w:r>
          </w:p>
        </w:tc>
      </w:tr>
      <w:tr w14:paraId="0B00AEEE">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14:paraId="1CE36985">
            <w:pPr>
              <w:widowControl/>
              <w:jc w:val="left"/>
              <w:rPr>
                <w:rFonts w:ascii="仿宋_GB2312" w:hAnsi="仿宋" w:eastAsia="仿宋_GB2312" w:cs="宋体"/>
                <w:b/>
                <w:bCs/>
                <w:sz w:val="18"/>
                <w:szCs w:val="18"/>
              </w:rPr>
            </w:pPr>
          </w:p>
        </w:tc>
        <w:tc>
          <w:tcPr>
            <w:tcW w:w="1984" w:type="dxa"/>
            <w:tcBorders>
              <w:top w:val="nil"/>
              <w:left w:val="nil"/>
              <w:bottom w:val="single" w:color="auto" w:sz="4" w:space="0"/>
              <w:right w:val="single" w:color="auto" w:sz="4" w:space="0"/>
            </w:tcBorders>
            <w:noWrap/>
            <w:vAlign w:val="center"/>
          </w:tcPr>
          <w:p w14:paraId="13CF702B">
            <w:pPr>
              <w:widowControl/>
              <w:jc w:val="left"/>
              <w:rPr>
                <w:rFonts w:ascii="仿宋_GB2312" w:hAnsi="仿宋" w:eastAsia="仿宋_GB2312" w:cs="宋体"/>
                <w:sz w:val="18"/>
                <w:szCs w:val="18"/>
              </w:rPr>
            </w:pPr>
            <w:r>
              <w:rPr>
                <w:rFonts w:hint="eastAsia" w:ascii="仿宋_GB2312" w:hAnsi="仿宋" w:eastAsia="仿宋_GB2312" w:cs="宋体"/>
                <w:sz w:val="18"/>
                <w:szCs w:val="18"/>
              </w:rPr>
              <w:t>营业收入（Y）</w:t>
            </w:r>
          </w:p>
        </w:tc>
        <w:tc>
          <w:tcPr>
            <w:tcW w:w="851" w:type="dxa"/>
            <w:tcBorders>
              <w:top w:val="nil"/>
              <w:left w:val="nil"/>
              <w:bottom w:val="single" w:color="auto" w:sz="4" w:space="0"/>
              <w:right w:val="single" w:color="auto" w:sz="4" w:space="0"/>
            </w:tcBorders>
            <w:noWrap/>
            <w:vAlign w:val="center"/>
          </w:tcPr>
          <w:p w14:paraId="71B034F9">
            <w:pPr>
              <w:widowControl/>
              <w:jc w:val="left"/>
              <w:rPr>
                <w:rFonts w:ascii="仿宋_GB2312" w:hAnsi="仿宋" w:eastAsia="仿宋_GB2312" w:cs="宋体"/>
                <w:sz w:val="18"/>
                <w:szCs w:val="18"/>
              </w:rPr>
            </w:pPr>
            <w:r>
              <w:rPr>
                <w:rFonts w:hint="eastAsia" w:ascii="仿宋_GB2312" w:hAnsi="仿宋" w:eastAsia="仿宋_GB2312" w:cs="宋体"/>
                <w:sz w:val="18"/>
                <w:szCs w:val="18"/>
              </w:rPr>
              <w:t>万元</w:t>
            </w:r>
          </w:p>
        </w:tc>
        <w:tc>
          <w:tcPr>
            <w:tcW w:w="1842" w:type="dxa"/>
            <w:tcBorders>
              <w:top w:val="nil"/>
              <w:left w:val="nil"/>
              <w:bottom w:val="single" w:color="auto" w:sz="4" w:space="0"/>
              <w:right w:val="single" w:color="auto" w:sz="4" w:space="0"/>
            </w:tcBorders>
            <w:noWrap/>
            <w:vAlign w:val="center"/>
          </w:tcPr>
          <w:p w14:paraId="7F19CFF4">
            <w:pPr>
              <w:widowControl/>
              <w:jc w:val="left"/>
              <w:rPr>
                <w:rFonts w:ascii="仿宋_GB2312" w:hAnsi="仿宋" w:eastAsia="仿宋_GB2312" w:cs="宋体"/>
                <w:sz w:val="18"/>
                <w:szCs w:val="18"/>
              </w:rPr>
            </w:pPr>
            <w:r>
              <w:rPr>
                <w:rFonts w:hint="eastAsia" w:ascii="仿宋_GB2312" w:hAnsi="仿宋" w:eastAsia="仿宋_GB2312" w:cs="宋体"/>
                <w:sz w:val="18"/>
                <w:szCs w:val="18"/>
              </w:rPr>
              <w:t>500≤Y＜20000</w:t>
            </w:r>
          </w:p>
        </w:tc>
        <w:tc>
          <w:tcPr>
            <w:tcW w:w="1701" w:type="dxa"/>
            <w:tcBorders>
              <w:top w:val="nil"/>
              <w:left w:val="nil"/>
              <w:bottom w:val="single" w:color="auto" w:sz="4" w:space="0"/>
              <w:right w:val="single" w:color="auto" w:sz="4" w:space="0"/>
            </w:tcBorders>
            <w:noWrap/>
            <w:vAlign w:val="center"/>
          </w:tcPr>
          <w:p w14:paraId="6EF298E1">
            <w:pPr>
              <w:widowControl/>
              <w:jc w:val="left"/>
              <w:rPr>
                <w:rFonts w:ascii="仿宋_GB2312" w:hAnsi="仿宋" w:eastAsia="仿宋_GB2312" w:cs="宋体"/>
                <w:sz w:val="18"/>
                <w:szCs w:val="18"/>
              </w:rPr>
            </w:pPr>
            <w:r>
              <w:rPr>
                <w:rFonts w:hint="eastAsia" w:ascii="仿宋_GB2312" w:hAnsi="仿宋" w:eastAsia="仿宋_GB2312" w:cs="宋体"/>
                <w:sz w:val="18"/>
                <w:szCs w:val="18"/>
              </w:rPr>
              <w:t>100≤Y＜500</w:t>
            </w:r>
          </w:p>
        </w:tc>
        <w:tc>
          <w:tcPr>
            <w:tcW w:w="1134" w:type="dxa"/>
            <w:tcBorders>
              <w:top w:val="nil"/>
              <w:left w:val="nil"/>
              <w:bottom w:val="single" w:color="auto" w:sz="4" w:space="0"/>
              <w:right w:val="single" w:color="auto" w:sz="4" w:space="0"/>
            </w:tcBorders>
            <w:noWrap/>
            <w:vAlign w:val="center"/>
          </w:tcPr>
          <w:p w14:paraId="322A96DC">
            <w:pPr>
              <w:widowControl/>
              <w:jc w:val="left"/>
              <w:rPr>
                <w:rFonts w:ascii="仿宋_GB2312" w:hAnsi="仿宋" w:eastAsia="仿宋_GB2312" w:cs="宋体"/>
                <w:sz w:val="18"/>
                <w:szCs w:val="18"/>
              </w:rPr>
            </w:pPr>
            <w:r>
              <w:rPr>
                <w:rFonts w:hint="eastAsia" w:ascii="仿宋_GB2312" w:hAnsi="仿宋" w:eastAsia="仿宋_GB2312" w:cs="宋体"/>
                <w:sz w:val="18"/>
                <w:szCs w:val="18"/>
              </w:rPr>
              <w:t>Y＜100</w:t>
            </w:r>
          </w:p>
        </w:tc>
      </w:tr>
      <w:tr w14:paraId="0809D48F">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ign w:val="bottom"/>
          </w:tcPr>
          <w:p w14:paraId="1F457548">
            <w:pPr>
              <w:widowControl/>
              <w:jc w:val="center"/>
              <w:rPr>
                <w:rFonts w:ascii="仿宋_GB2312" w:hAnsi="仿宋" w:eastAsia="仿宋_GB2312" w:cs="宋体"/>
                <w:b/>
                <w:bCs/>
                <w:sz w:val="18"/>
                <w:szCs w:val="18"/>
              </w:rPr>
            </w:pPr>
            <w:r>
              <w:rPr>
                <w:rFonts w:hint="eastAsia" w:ascii="仿宋_GB2312" w:hAnsi="仿宋" w:eastAsia="仿宋_GB2312" w:cs="宋体"/>
                <w:b/>
                <w:bCs/>
                <w:sz w:val="18"/>
                <w:szCs w:val="18"/>
              </w:rPr>
              <w:t>交通运输业</w:t>
            </w:r>
          </w:p>
        </w:tc>
        <w:tc>
          <w:tcPr>
            <w:tcW w:w="1984" w:type="dxa"/>
            <w:tcBorders>
              <w:top w:val="nil"/>
              <w:left w:val="nil"/>
              <w:bottom w:val="single" w:color="auto" w:sz="4" w:space="0"/>
              <w:right w:val="single" w:color="auto" w:sz="4" w:space="0"/>
            </w:tcBorders>
            <w:noWrap/>
            <w:vAlign w:val="center"/>
          </w:tcPr>
          <w:p w14:paraId="211A4507">
            <w:pPr>
              <w:widowControl/>
              <w:jc w:val="left"/>
              <w:rPr>
                <w:rFonts w:ascii="仿宋_GB2312" w:hAnsi="仿宋" w:eastAsia="仿宋_GB2312" w:cs="宋体"/>
                <w:sz w:val="18"/>
                <w:szCs w:val="18"/>
              </w:rPr>
            </w:pPr>
            <w:r>
              <w:rPr>
                <w:rFonts w:hint="eastAsia" w:ascii="仿宋_GB2312" w:hAnsi="仿宋" w:eastAsia="仿宋_GB2312" w:cs="宋体"/>
                <w:sz w:val="18"/>
                <w:szCs w:val="18"/>
              </w:rPr>
              <w:t>从业人员（X）</w:t>
            </w:r>
          </w:p>
        </w:tc>
        <w:tc>
          <w:tcPr>
            <w:tcW w:w="851" w:type="dxa"/>
            <w:tcBorders>
              <w:top w:val="nil"/>
              <w:left w:val="nil"/>
              <w:bottom w:val="single" w:color="auto" w:sz="4" w:space="0"/>
              <w:right w:val="single" w:color="auto" w:sz="4" w:space="0"/>
            </w:tcBorders>
            <w:noWrap/>
            <w:vAlign w:val="center"/>
          </w:tcPr>
          <w:p w14:paraId="5627F3A2">
            <w:pPr>
              <w:widowControl/>
              <w:jc w:val="left"/>
              <w:rPr>
                <w:rFonts w:ascii="仿宋_GB2312" w:hAnsi="仿宋" w:eastAsia="仿宋_GB2312" w:cs="宋体"/>
                <w:sz w:val="18"/>
                <w:szCs w:val="18"/>
              </w:rPr>
            </w:pPr>
            <w:r>
              <w:rPr>
                <w:rFonts w:hint="eastAsia" w:ascii="仿宋_GB2312" w:hAnsi="仿宋" w:eastAsia="仿宋_GB2312" w:cs="宋体"/>
                <w:sz w:val="18"/>
                <w:szCs w:val="18"/>
              </w:rPr>
              <w:t>人</w:t>
            </w:r>
          </w:p>
        </w:tc>
        <w:tc>
          <w:tcPr>
            <w:tcW w:w="1842" w:type="dxa"/>
            <w:tcBorders>
              <w:top w:val="nil"/>
              <w:left w:val="nil"/>
              <w:bottom w:val="single" w:color="auto" w:sz="4" w:space="0"/>
              <w:right w:val="single" w:color="auto" w:sz="4" w:space="0"/>
            </w:tcBorders>
            <w:noWrap/>
            <w:vAlign w:val="center"/>
          </w:tcPr>
          <w:p w14:paraId="2F7913B1">
            <w:pPr>
              <w:widowControl/>
              <w:jc w:val="left"/>
              <w:rPr>
                <w:rFonts w:ascii="仿宋_GB2312" w:hAnsi="仿宋" w:eastAsia="仿宋_GB2312" w:cs="宋体"/>
                <w:sz w:val="18"/>
                <w:szCs w:val="18"/>
              </w:rPr>
            </w:pPr>
            <w:r>
              <w:rPr>
                <w:rFonts w:hint="eastAsia" w:ascii="仿宋_GB2312" w:hAnsi="仿宋" w:eastAsia="仿宋_GB2312" w:cs="宋体"/>
                <w:sz w:val="18"/>
                <w:szCs w:val="18"/>
              </w:rPr>
              <w:t>300≤X＜1000</w:t>
            </w:r>
          </w:p>
        </w:tc>
        <w:tc>
          <w:tcPr>
            <w:tcW w:w="1701" w:type="dxa"/>
            <w:tcBorders>
              <w:top w:val="nil"/>
              <w:left w:val="nil"/>
              <w:bottom w:val="single" w:color="auto" w:sz="4" w:space="0"/>
              <w:right w:val="single" w:color="auto" w:sz="4" w:space="0"/>
            </w:tcBorders>
            <w:noWrap/>
            <w:vAlign w:val="center"/>
          </w:tcPr>
          <w:p w14:paraId="23A041A1">
            <w:pPr>
              <w:widowControl/>
              <w:jc w:val="left"/>
              <w:rPr>
                <w:rFonts w:ascii="仿宋_GB2312" w:hAnsi="仿宋" w:eastAsia="仿宋_GB2312" w:cs="宋体"/>
                <w:sz w:val="18"/>
                <w:szCs w:val="18"/>
              </w:rPr>
            </w:pPr>
            <w:r>
              <w:rPr>
                <w:rFonts w:hint="eastAsia" w:ascii="仿宋_GB2312" w:hAnsi="仿宋" w:eastAsia="仿宋_GB2312" w:cs="宋体"/>
                <w:sz w:val="18"/>
                <w:szCs w:val="18"/>
              </w:rPr>
              <w:t>20≤X＜300</w:t>
            </w:r>
          </w:p>
        </w:tc>
        <w:tc>
          <w:tcPr>
            <w:tcW w:w="1134" w:type="dxa"/>
            <w:tcBorders>
              <w:top w:val="nil"/>
              <w:left w:val="nil"/>
              <w:bottom w:val="single" w:color="auto" w:sz="4" w:space="0"/>
              <w:right w:val="single" w:color="auto" w:sz="4" w:space="0"/>
            </w:tcBorders>
            <w:noWrap/>
            <w:vAlign w:val="center"/>
          </w:tcPr>
          <w:p w14:paraId="2DC76452">
            <w:pPr>
              <w:widowControl/>
              <w:jc w:val="left"/>
              <w:rPr>
                <w:rFonts w:ascii="仿宋_GB2312" w:hAnsi="仿宋" w:eastAsia="仿宋_GB2312" w:cs="宋体"/>
                <w:sz w:val="18"/>
                <w:szCs w:val="18"/>
              </w:rPr>
            </w:pPr>
            <w:r>
              <w:rPr>
                <w:rFonts w:hint="eastAsia" w:ascii="仿宋_GB2312" w:hAnsi="仿宋" w:eastAsia="仿宋_GB2312" w:cs="宋体"/>
                <w:sz w:val="18"/>
                <w:szCs w:val="18"/>
              </w:rPr>
              <w:t>X＜20</w:t>
            </w:r>
          </w:p>
        </w:tc>
      </w:tr>
      <w:tr w14:paraId="1775E04A">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14:paraId="0E82FE59">
            <w:pPr>
              <w:widowControl/>
              <w:jc w:val="left"/>
              <w:rPr>
                <w:rFonts w:ascii="仿宋_GB2312" w:hAnsi="仿宋" w:eastAsia="仿宋_GB2312" w:cs="宋体"/>
                <w:b/>
                <w:bCs/>
                <w:sz w:val="18"/>
                <w:szCs w:val="18"/>
              </w:rPr>
            </w:pPr>
          </w:p>
        </w:tc>
        <w:tc>
          <w:tcPr>
            <w:tcW w:w="1984" w:type="dxa"/>
            <w:tcBorders>
              <w:top w:val="nil"/>
              <w:left w:val="nil"/>
              <w:bottom w:val="single" w:color="auto" w:sz="4" w:space="0"/>
              <w:right w:val="single" w:color="auto" w:sz="4" w:space="0"/>
            </w:tcBorders>
            <w:noWrap/>
            <w:vAlign w:val="center"/>
          </w:tcPr>
          <w:p w14:paraId="738D762E">
            <w:pPr>
              <w:widowControl/>
              <w:jc w:val="left"/>
              <w:rPr>
                <w:rFonts w:ascii="仿宋_GB2312" w:hAnsi="仿宋" w:eastAsia="仿宋_GB2312" w:cs="宋体"/>
                <w:sz w:val="18"/>
                <w:szCs w:val="18"/>
              </w:rPr>
            </w:pPr>
            <w:r>
              <w:rPr>
                <w:rFonts w:hint="eastAsia" w:ascii="仿宋_GB2312" w:hAnsi="仿宋" w:eastAsia="仿宋_GB2312" w:cs="宋体"/>
                <w:sz w:val="18"/>
                <w:szCs w:val="18"/>
              </w:rPr>
              <w:t>营业收入（Y）</w:t>
            </w:r>
          </w:p>
        </w:tc>
        <w:tc>
          <w:tcPr>
            <w:tcW w:w="851" w:type="dxa"/>
            <w:tcBorders>
              <w:top w:val="nil"/>
              <w:left w:val="nil"/>
              <w:bottom w:val="single" w:color="auto" w:sz="4" w:space="0"/>
              <w:right w:val="single" w:color="auto" w:sz="4" w:space="0"/>
            </w:tcBorders>
            <w:noWrap/>
            <w:vAlign w:val="center"/>
          </w:tcPr>
          <w:p w14:paraId="153C66B7">
            <w:pPr>
              <w:widowControl/>
              <w:jc w:val="left"/>
              <w:rPr>
                <w:rFonts w:ascii="仿宋_GB2312" w:hAnsi="仿宋" w:eastAsia="仿宋_GB2312" w:cs="宋体"/>
                <w:sz w:val="18"/>
                <w:szCs w:val="18"/>
              </w:rPr>
            </w:pPr>
            <w:r>
              <w:rPr>
                <w:rFonts w:hint="eastAsia" w:ascii="仿宋_GB2312" w:hAnsi="仿宋" w:eastAsia="仿宋_GB2312" w:cs="宋体"/>
                <w:sz w:val="18"/>
                <w:szCs w:val="18"/>
              </w:rPr>
              <w:t>万元</w:t>
            </w:r>
          </w:p>
        </w:tc>
        <w:tc>
          <w:tcPr>
            <w:tcW w:w="1842" w:type="dxa"/>
            <w:tcBorders>
              <w:top w:val="nil"/>
              <w:left w:val="nil"/>
              <w:bottom w:val="single" w:color="auto" w:sz="4" w:space="0"/>
              <w:right w:val="single" w:color="auto" w:sz="4" w:space="0"/>
            </w:tcBorders>
            <w:noWrap/>
            <w:vAlign w:val="center"/>
          </w:tcPr>
          <w:p w14:paraId="41327BB1">
            <w:pPr>
              <w:widowControl/>
              <w:jc w:val="left"/>
              <w:rPr>
                <w:rFonts w:ascii="仿宋_GB2312" w:hAnsi="仿宋" w:eastAsia="仿宋_GB2312" w:cs="宋体"/>
                <w:sz w:val="18"/>
                <w:szCs w:val="18"/>
              </w:rPr>
            </w:pPr>
            <w:r>
              <w:rPr>
                <w:rFonts w:hint="eastAsia" w:ascii="仿宋_GB2312" w:hAnsi="仿宋" w:eastAsia="仿宋_GB2312" w:cs="宋体"/>
                <w:sz w:val="18"/>
                <w:szCs w:val="18"/>
              </w:rPr>
              <w:t>3000≤Y＜30000</w:t>
            </w:r>
          </w:p>
        </w:tc>
        <w:tc>
          <w:tcPr>
            <w:tcW w:w="1701" w:type="dxa"/>
            <w:tcBorders>
              <w:top w:val="nil"/>
              <w:left w:val="nil"/>
              <w:bottom w:val="single" w:color="auto" w:sz="4" w:space="0"/>
              <w:right w:val="single" w:color="auto" w:sz="4" w:space="0"/>
            </w:tcBorders>
            <w:noWrap/>
            <w:vAlign w:val="center"/>
          </w:tcPr>
          <w:p w14:paraId="4FABFBCE">
            <w:pPr>
              <w:widowControl/>
              <w:jc w:val="left"/>
              <w:rPr>
                <w:rFonts w:ascii="仿宋_GB2312" w:hAnsi="仿宋" w:eastAsia="仿宋_GB2312" w:cs="宋体"/>
                <w:sz w:val="18"/>
                <w:szCs w:val="18"/>
              </w:rPr>
            </w:pPr>
            <w:r>
              <w:rPr>
                <w:rFonts w:hint="eastAsia" w:ascii="仿宋_GB2312" w:hAnsi="仿宋" w:eastAsia="仿宋_GB2312" w:cs="宋体"/>
                <w:sz w:val="18"/>
                <w:szCs w:val="18"/>
              </w:rPr>
              <w:t>200≤Y＜3000</w:t>
            </w:r>
          </w:p>
        </w:tc>
        <w:tc>
          <w:tcPr>
            <w:tcW w:w="1134" w:type="dxa"/>
            <w:tcBorders>
              <w:top w:val="nil"/>
              <w:left w:val="nil"/>
              <w:bottom w:val="single" w:color="auto" w:sz="4" w:space="0"/>
              <w:right w:val="single" w:color="auto" w:sz="4" w:space="0"/>
            </w:tcBorders>
            <w:noWrap/>
            <w:vAlign w:val="center"/>
          </w:tcPr>
          <w:p w14:paraId="28D1B0F4">
            <w:pPr>
              <w:widowControl/>
              <w:jc w:val="left"/>
              <w:rPr>
                <w:rFonts w:ascii="仿宋_GB2312" w:hAnsi="仿宋" w:eastAsia="仿宋_GB2312" w:cs="宋体"/>
                <w:sz w:val="18"/>
                <w:szCs w:val="18"/>
              </w:rPr>
            </w:pPr>
            <w:r>
              <w:rPr>
                <w:rFonts w:hint="eastAsia" w:ascii="仿宋_GB2312" w:hAnsi="仿宋" w:eastAsia="仿宋_GB2312" w:cs="宋体"/>
                <w:sz w:val="18"/>
                <w:szCs w:val="18"/>
              </w:rPr>
              <w:t>Y＜200</w:t>
            </w:r>
          </w:p>
        </w:tc>
      </w:tr>
      <w:tr w14:paraId="4394F2BF">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ign w:val="bottom"/>
          </w:tcPr>
          <w:p w14:paraId="124148C4">
            <w:pPr>
              <w:widowControl/>
              <w:jc w:val="center"/>
              <w:rPr>
                <w:rFonts w:ascii="仿宋_GB2312" w:hAnsi="仿宋" w:eastAsia="仿宋_GB2312" w:cs="宋体"/>
                <w:b/>
                <w:bCs/>
                <w:sz w:val="18"/>
                <w:szCs w:val="18"/>
              </w:rPr>
            </w:pPr>
            <w:r>
              <w:rPr>
                <w:rFonts w:hint="eastAsia" w:ascii="仿宋_GB2312" w:hAnsi="仿宋" w:eastAsia="仿宋_GB2312" w:cs="宋体"/>
                <w:b/>
                <w:bCs/>
                <w:sz w:val="18"/>
                <w:szCs w:val="18"/>
              </w:rPr>
              <w:t>仓储业</w:t>
            </w:r>
          </w:p>
        </w:tc>
        <w:tc>
          <w:tcPr>
            <w:tcW w:w="1984" w:type="dxa"/>
            <w:tcBorders>
              <w:top w:val="nil"/>
              <w:left w:val="nil"/>
              <w:bottom w:val="single" w:color="auto" w:sz="4" w:space="0"/>
              <w:right w:val="single" w:color="auto" w:sz="4" w:space="0"/>
            </w:tcBorders>
            <w:noWrap/>
            <w:vAlign w:val="center"/>
          </w:tcPr>
          <w:p w14:paraId="108CFAF7">
            <w:pPr>
              <w:widowControl/>
              <w:jc w:val="left"/>
              <w:rPr>
                <w:rFonts w:ascii="仿宋_GB2312" w:hAnsi="仿宋" w:eastAsia="仿宋_GB2312" w:cs="宋体"/>
                <w:sz w:val="18"/>
                <w:szCs w:val="18"/>
              </w:rPr>
            </w:pPr>
            <w:r>
              <w:rPr>
                <w:rFonts w:hint="eastAsia" w:ascii="仿宋_GB2312" w:hAnsi="仿宋" w:eastAsia="仿宋_GB2312" w:cs="宋体"/>
                <w:sz w:val="18"/>
                <w:szCs w:val="18"/>
              </w:rPr>
              <w:t>从业人员（X）</w:t>
            </w:r>
          </w:p>
        </w:tc>
        <w:tc>
          <w:tcPr>
            <w:tcW w:w="851" w:type="dxa"/>
            <w:tcBorders>
              <w:top w:val="nil"/>
              <w:left w:val="nil"/>
              <w:bottom w:val="single" w:color="auto" w:sz="4" w:space="0"/>
              <w:right w:val="single" w:color="auto" w:sz="4" w:space="0"/>
            </w:tcBorders>
            <w:noWrap/>
            <w:vAlign w:val="center"/>
          </w:tcPr>
          <w:p w14:paraId="4E54151A">
            <w:pPr>
              <w:widowControl/>
              <w:jc w:val="left"/>
              <w:rPr>
                <w:rFonts w:ascii="仿宋_GB2312" w:hAnsi="仿宋" w:eastAsia="仿宋_GB2312" w:cs="宋体"/>
                <w:sz w:val="18"/>
                <w:szCs w:val="18"/>
              </w:rPr>
            </w:pPr>
            <w:r>
              <w:rPr>
                <w:rFonts w:hint="eastAsia" w:ascii="仿宋_GB2312" w:hAnsi="仿宋" w:eastAsia="仿宋_GB2312" w:cs="宋体"/>
                <w:sz w:val="18"/>
                <w:szCs w:val="18"/>
              </w:rPr>
              <w:t>人</w:t>
            </w:r>
          </w:p>
        </w:tc>
        <w:tc>
          <w:tcPr>
            <w:tcW w:w="1842" w:type="dxa"/>
            <w:tcBorders>
              <w:top w:val="nil"/>
              <w:left w:val="nil"/>
              <w:bottom w:val="single" w:color="auto" w:sz="4" w:space="0"/>
              <w:right w:val="single" w:color="auto" w:sz="4" w:space="0"/>
            </w:tcBorders>
            <w:noWrap/>
            <w:vAlign w:val="center"/>
          </w:tcPr>
          <w:p w14:paraId="48251695">
            <w:pPr>
              <w:widowControl/>
              <w:jc w:val="left"/>
              <w:rPr>
                <w:rFonts w:ascii="仿宋_GB2312" w:hAnsi="仿宋" w:eastAsia="仿宋_GB2312" w:cs="宋体"/>
                <w:sz w:val="18"/>
                <w:szCs w:val="18"/>
              </w:rPr>
            </w:pPr>
            <w:r>
              <w:rPr>
                <w:rFonts w:hint="eastAsia" w:ascii="仿宋_GB2312" w:hAnsi="仿宋" w:eastAsia="仿宋_GB2312" w:cs="宋体"/>
                <w:sz w:val="18"/>
                <w:szCs w:val="18"/>
              </w:rPr>
              <w:t>100≤X＜200</w:t>
            </w:r>
          </w:p>
        </w:tc>
        <w:tc>
          <w:tcPr>
            <w:tcW w:w="1701" w:type="dxa"/>
            <w:tcBorders>
              <w:top w:val="nil"/>
              <w:left w:val="nil"/>
              <w:bottom w:val="single" w:color="auto" w:sz="4" w:space="0"/>
              <w:right w:val="single" w:color="auto" w:sz="4" w:space="0"/>
            </w:tcBorders>
            <w:noWrap/>
            <w:vAlign w:val="center"/>
          </w:tcPr>
          <w:p w14:paraId="41D52FEA">
            <w:pPr>
              <w:widowControl/>
              <w:jc w:val="left"/>
              <w:rPr>
                <w:rFonts w:ascii="仿宋_GB2312" w:hAnsi="仿宋" w:eastAsia="仿宋_GB2312" w:cs="宋体"/>
                <w:sz w:val="18"/>
                <w:szCs w:val="18"/>
              </w:rPr>
            </w:pPr>
            <w:r>
              <w:rPr>
                <w:rFonts w:hint="eastAsia" w:ascii="仿宋_GB2312" w:hAnsi="仿宋" w:eastAsia="仿宋_GB2312" w:cs="宋体"/>
                <w:sz w:val="18"/>
                <w:szCs w:val="18"/>
              </w:rPr>
              <w:t>20≤X＜100</w:t>
            </w:r>
          </w:p>
        </w:tc>
        <w:tc>
          <w:tcPr>
            <w:tcW w:w="1134" w:type="dxa"/>
            <w:tcBorders>
              <w:top w:val="nil"/>
              <w:left w:val="nil"/>
              <w:bottom w:val="single" w:color="auto" w:sz="4" w:space="0"/>
              <w:right w:val="single" w:color="auto" w:sz="4" w:space="0"/>
            </w:tcBorders>
            <w:noWrap/>
            <w:vAlign w:val="center"/>
          </w:tcPr>
          <w:p w14:paraId="0C34F24D">
            <w:pPr>
              <w:widowControl/>
              <w:jc w:val="left"/>
              <w:rPr>
                <w:rFonts w:ascii="仿宋_GB2312" w:hAnsi="仿宋" w:eastAsia="仿宋_GB2312" w:cs="宋体"/>
                <w:sz w:val="18"/>
                <w:szCs w:val="18"/>
              </w:rPr>
            </w:pPr>
            <w:r>
              <w:rPr>
                <w:rFonts w:hint="eastAsia" w:ascii="仿宋_GB2312" w:hAnsi="仿宋" w:eastAsia="仿宋_GB2312" w:cs="宋体"/>
                <w:sz w:val="18"/>
                <w:szCs w:val="18"/>
              </w:rPr>
              <w:t>X＜20</w:t>
            </w:r>
          </w:p>
        </w:tc>
      </w:tr>
      <w:tr w14:paraId="40E0C293">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14:paraId="3DEDC937">
            <w:pPr>
              <w:widowControl/>
              <w:jc w:val="left"/>
              <w:rPr>
                <w:rFonts w:ascii="仿宋_GB2312" w:hAnsi="仿宋" w:eastAsia="仿宋_GB2312" w:cs="宋体"/>
                <w:b/>
                <w:bCs/>
                <w:sz w:val="18"/>
                <w:szCs w:val="18"/>
              </w:rPr>
            </w:pPr>
          </w:p>
        </w:tc>
        <w:tc>
          <w:tcPr>
            <w:tcW w:w="1984" w:type="dxa"/>
            <w:tcBorders>
              <w:top w:val="nil"/>
              <w:left w:val="nil"/>
              <w:bottom w:val="single" w:color="auto" w:sz="4" w:space="0"/>
              <w:right w:val="single" w:color="auto" w:sz="4" w:space="0"/>
            </w:tcBorders>
            <w:noWrap/>
            <w:vAlign w:val="center"/>
          </w:tcPr>
          <w:p w14:paraId="25ED8574">
            <w:pPr>
              <w:widowControl/>
              <w:jc w:val="left"/>
              <w:rPr>
                <w:rFonts w:ascii="仿宋_GB2312" w:hAnsi="仿宋" w:eastAsia="仿宋_GB2312" w:cs="宋体"/>
                <w:sz w:val="18"/>
                <w:szCs w:val="18"/>
              </w:rPr>
            </w:pPr>
            <w:r>
              <w:rPr>
                <w:rFonts w:hint="eastAsia" w:ascii="仿宋_GB2312" w:hAnsi="仿宋" w:eastAsia="仿宋_GB2312" w:cs="宋体"/>
                <w:sz w:val="18"/>
                <w:szCs w:val="18"/>
              </w:rPr>
              <w:t>营业收入（Y）</w:t>
            </w:r>
          </w:p>
        </w:tc>
        <w:tc>
          <w:tcPr>
            <w:tcW w:w="851" w:type="dxa"/>
            <w:tcBorders>
              <w:top w:val="nil"/>
              <w:left w:val="nil"/>
              <w:bottom w:val="single" w:color="auto" w:sz="4" w:space="0"/>
              <w:right w:val="single" w:color="auto" w:sz="4" w:space="0"/>
            </w:tcBorders>
            <w:noWrap/>
            <w:vAlign w:val="center"/>
          </w:tcPr>
          <w:p w14:paraId="7264AA89">
            <w:pPr>
              <w:widowControl/>
              <w:jc w:val="left"/>
              <w:rPr>
                <w:rFonts w:ascii="仿宋_GB2312" w:hAnsi="仿宋" w:eastAsia="仿宋_GB2312" w:cs="宋体"/>
                <w:sz w:val="18"/>
                <w:szCs w:val="18"/>
              </w:rPr>
            </w:pPr>
            <w:r>
              <w:rPr>
                <w:rFonts w:hint="eastAsia" w:ascii="仿宋_GB2312" w:hAnsi="仿宋" w:eastAsia="仿宋_GB2312" w:cs="宋体"/>
                <w:sz w:val="18"/>
                <w:szCs w:val="18"/>
              </w:rPr>
              <w:t>万元</w:t>
            </w:r>
          </w:p>
        </w:tc>
        <w:tc>
          <w:tcPr>
            <w:tcW w:w="1842" w:type="dxa"/>
            <w:tcBorders>
              <w:top w:val="nil"/>
              <w:left w:val="nil"/>
              <w:bottom w:val="single" w:color="auto" w:sz="4" w:space="0"/>
              <w:right w:val="single" w:color="auto" w:sz="4" w:space="0"/>
            </w:tcBorders>
            <w:noWrap/>
            <w:vAlign w:val="center"/>
          </w:tcPr>
          <w:p w14:paraId="0A679002">
            <w:pPr>
              <w:widowControl/>
              <w:jc w:val="left"/>
              <w:rPr>
                <w:rFonts w:ascii="仿宋_GB2312" w:hAnsi="仿宋" w:eastAsia="仿宋_GB2312" w:cs="宋体"/>
                <w:sz w:val="18"/>
                <w:szCs w:val="18"/>
              </w:rPr>
            </w:pPr>
            <w:r>
              <w:rPr>
                <w:rFonts w:hint="eastAsia" w:ascii="仿宋_GB2312" w:hAnsi="仿宋" w:eastAsia="仿宋_GB2312" w:cs="宋体"/>
                <w:sz w:val="18"/>
                <w:szCs w:val="18"/>
              </w:rPr>
              <w:t>1000≤Y＜30000</w:t>
            </w:r>
          </w:p>
        </w:tc>
        <w:tc>
          <w:tcPr>
            <w:tcW w:w="1701" w:type="dxa"/>
            <w:tcBorders>
              <w:top w:val="nil"/>
              <w:left w:val="nil"/>
              <w:bottom w:val="single" w:color="auto" w:sz="4" w:space="0"/>
              <w:right w:val="single" w:color="auto" w:sz="4" w:space="0"/>
            </w:tcBorders>
            <w:noWrap/>
            <w:vAlign w:val="center"/>
          </w:tcPr>
          <w:p w14:paraId="3295B03C">
            <w:pPr>
              <w:widowControl/>
              <w:jc w:val="left"/>
              <w:rPr>
                <w:rFonts w:ascii="仿宋_GB2312" w:hAnsi="仿宋" w:eastAsia="仿宋_GB2312" w:cs="宋体"/>
                <w:sz w:val="18"/>
                <w:szCs w:val="18"/>
              </w:rPr>
            </w:pPr>
            <w:r>
              <w:rPr>
                <w:rFonts w:hint="eastAsia" w:ascii="仿宋_GB2312" w:hAnsi="仿宋" w:eastAsia="仿宋_GB2312" w:cs="宋体"/>
                <w:sz w:val="18"/>
                <w:szCs w:val="18"/>
              </w:rPr>
              <w:t>100≤Y＜1000</w:t>
            </w:r>
          </w:p>
        </w:tc>
        <w:tc>
          <w:tcPr>
            <w:tcW w:w="1134" w:type="dxa"/>
            <w:tcBorders>
              <w:top w:val="nil"/>
              <w:left w:val="nil"/>
              <w:bottom w:val="single" w:color="auto" w:sz="4" w:space="0"/>
              <w:right w:val="single" w:color="auto" w:sz="4" w:space="0"/>
            </w:tcBorders>
            <w:noWrap/>
            <w:vAlign w:val="center"/>
          </w:tcPr>
          <w:p w14:paraId="7648FF78">
            <w:pPr>
              <w:widowControl/>
              <w:jc w:val="left"/>
              <w:rPr>
                <w:rFonts w:ascii="仿宋_GB2312" w:hAnsi="仿宋" w:eastAsia="仿宋_GB2312" w:cs="宋体"/>
                <w:sz w:val="18"/>
                <w:szCs w:val="18"/>
              </w:rPr>
            </w:pPr>
            <w:r>
              <w:rPr>
                <w:rFonts w:hint="eastAsia" w:ascii="仿宋_GB2312" w:hAnsi="仿宋" w:eastAsia="仿宋_GB2312" w:cs="宋体"/>
                <w:sz w:val="18"/>
                <w:szCs w:val="18"/>
              </w:rPr>
              <w:t>Y＜100</w:t>
            </w:r>
          </w:p>
        </w:tc>
      </w:tr>
      <w:tr w14:paraId="09F096A9">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ign w:val="bottom"/>
          </w:tcPr>
          <w:p w14:paraId="78134E71">
            <w:pPr>
              <w:widowControl/>
              <w:jc w:val="center"/>
              <w:rPr>
                <w:rFonts w:ascii="仿宋_GB2312" w:hAnsi="仿宋" w:eastAsia="仿宋_GB2312" w:cs="宋体"/>
                <w:b/>
                <w:bCs/>
                <w:sz w:val="18"/>
                <w:szCs w:val="18"/>
              </w:rPr>
            </w:pPr>
            <w:r>
              <w:rPr>
                <w:rFonts w:hint="eastAsia" w:ascii="仿宋_GB2312" w:hAnsi="仿宋" w:eastAsia="仿宋_GB2312" w:cs="宋体"/>
                <w:b/>
                <w:bCs/>
                <w:sz w:val="18"/>
                <w:szCs w:val="18"/>
              </w:rPr>
              <w:t>邮政业</w:t>
            </w:r>
          </w:p>
        </w:tc>
        <w:tc>
          <w:tcPr>
            <w:tcW w:w="1984" w:type="dxa"/>
            <w:tcBorders>
              <w:top w:val="nil"/>
              <w:left w:val="nil"/>
              <w:bottom w:val="single" w:color="auto" w:sz="4" w:space="0"/>
              <w:right w:val="single" w:color="auto" w:sz="4" w:space="0"/>
            </w:tcBorders>
            <w:noWrap/>
            <w:vAlign w:val="center"/>
          </w:tcPr>
          <w:p w14:paraId="04793757">
            <w:pPr>
              <w:widowControl/>
              <w:jc w:val="left"/>
              <w:rPr>
                <w:rFonts w:ascii="仿宋_GB2312" w:hAnsi="仿宋" w:eastAsia="仿宋_GB2312" w:cs="宋体"/>
                <w:sz w:val="18"/>
                <w:szCs w:val="18"/>
              </w:rPr>
            </w:pPr>
            <w:r>
              <w:rPr>
                <w:rFonts w:hint="eastAsia" w:ascii="仿宋_GB2312" w:hAnsi="仿宋" w:eastAsia="仿宋_GB2312" w:cs="宋体"/>
                <w:sz w:val="18"/>
                <w:szCs w:val="18"/>
              </w:rPr>
              <w:t>从业人员（X）</w:t>
            </w:r>
          </w:p>
        </w:tc>
        <w:tc>
          <w:tcPr>
            <w:tcW w:w="851" w:type="dxa"/>
            <w:tcBorders>
              <w:top w:val="nil"/>
              <w:left w:val="nil"/>
              <w:bottom w:val="single" w:color="auto" w:sz="4" w:space="0"/>
              <w:right w:val="single" w:color="auto" w:sz="4" w:space="0"/>
            </w:tcBorders>
            <w:noWrap/>
            <w:vAlign w:val="center"/>
          </w:tcPr>
          <w:p w14:paraId="01456443">
            <w:pPr>
              <w:widowControl/>
              <w:jc w:val="left"/>
              <w:rPr>
                <w:rFonts w:ascii="仿宋_GB2312" w:hAnsi="仿宋" w:eastAsia="仿宋_GB2312" w:cs="宋体"/>
                <w:sz w:val="18"/>
                <w:szCs w:val="18"/>
              </w:rPr>
            </w:pPr>
            <w:r>
              <w:rPr>
                <w:rFonts w:hint="eastAsia" w:ascii="仿宋_GB2312" w:hAnsi="仿宋" w:eastAsia="仿宋_GB2312" w:cs="宋体"/>
                <w:sz w:val="18"/>
                <w:szCs w:val="18"/>
              </w:rPr>
              <w:t>人</w:t>
            </w:r>
          </w:p>
        </w:tc>
        <w:tc>
          <w:tcPr>
            <w:tcW w:w="1842" w:type="dxa"/>
            <w:tcBorders>
              <w:top w:val="nil"/>
              <w:left w:val="nil"/>
              <w:bottom w:val="single" w:color="auto" w:sz="4" w:space="0"/>
              <w:right w:val="single" w:color="auto" w:sz="4" w:space="0"/>
            </w:tcBorders>
            <w:noWrap/>
            <w:vAlign w:val="center"/>
          </w:tcPr>
          <w:p w14:paraId="72F7FF86">
            <w:pPr>
              <w:widowControl/>
              <w:jc w:val="left"/>
              <w:rPr>
                <w:rFonts w:ascii="仿宋_GB2312" w:hAnsi="仿宋" w:eastAsia="仿宋_GB2312" w:cs="宋体"/>
                <w:sz w:val="18"/>
                <w:szCs w:val="18"/>
              </w:rPr>
            </w:pPr>
            <w:r>
              <w:rPr>
                <w:rFonts w:hint="eastAsia" w:ascii="仿宋_GB2312" w:hAnsi="仿宋" w:eastAsia="仿宋_GB2312" w:cs="宋体"/>
                <w:sz w:val="18"/>
                <w:szCs w:val="18"/>
              </w:rPr>
              <w:t>300≤X＜1000</w:t>
            </w:r>
          </w:p>
        </w:tc>
        <w:tc>
          <w:tcPr>
            <w:tcW w:w="1701" w:type="dxa"/>
            <w:tcBorders>
              <w:top w:val="nil"/>
              <w:left w:val="nil"/>
              <w:bottom w:val="single" w:color="auto" w:sz="4" w:space="0"/>
              <w:right w:val="single" w:color="auto" w:sz="4" w:space="0"/>
            </w:tcBorders>
            <w:noWrap/>
            <w:vAlign w:val="center"/>
          </w:tcPr>
          <w:p w14:paraId="730296F7">
            <w:pPr>
              <w:widowControl/>
              <w:jc w:val="left"/>
              <w:rPr>
                <w:rFonts w:ascii="仿宋_GB2312" w:hAnsi="仿宋" w:eastAsia="仿宋_GB2312" w:cs="宋体"/>
                <w:sz w:val="18"/>
                <w:szCs w:val="18"/>
              </w:rPr>
            </w:pPr>
            <w:r>
              <w:rPr>
                <w:rFonts w:hint="eastAsia" w:ascii="仿宋_GB2312" w:hAnsi="仿宋" w:eastAsia="仿宋_GB2312" w:cs="宋体"/>
                <w:sz w:val="18"/>
                <w:szCs w:val="18"/>
              </w:rPr>
              <w:t>20≤X＜300</w:t>
            </w:r>
          </w:p>
        </w:tc>
        <w:tc>
          <w:tcPr>
            <w:tcW w:w="1134" w:type="dxa"/>
            <w:tcBorders>
              <w:top w:val="nil"/>
              <w:left w:val="nil"/>
              <w:bottom w:val="single" w:color="auto" w:sz="4" w:space="0"/>
              <w:right w:val="single" w:color="auto" w:sz="4" w:space="0"/>
            </w:tcBorders>
            <w:noWrap/>
            <w:vAlign w:val="center"/>
          </w:tcPr>
          <w:p w14:paraId="5CACEF96">
            <w:pPr>
              <w:widowControl/>
              <w:jc w:val="left"/>
              <w:rPr>
                <w:rFonts w:ascii="仿宋_GB2312" w:hAnsi="仿宋" w:eastAsia="仿宋_GB2312" w:cs="宋体"/>
                <w:sz w:val="18"/>
                <w:szCs w:val="18"/>
              </w:rPr>
            </w:pPr>
            <w:r>
              <w:rPr>
                <w:rFonts w:hint="eastAsia" w:ascii="仿宋_GB2312" w:hAnsi="仿宋" w:eastAsia="仿宋_GB2312" w:cs="宋体"/>
                <w:sz w:val="18"/>
                <w:szCs w:val="18"/>
              </w:rPr>
              <w:t>X＜20</w:t>
            </w:r>
          </w:p>
        </w:tc>
      </w:tr>
      <w:tr w14:paraId="3A4E78AE">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14:paraId="29FEA4E8">
            <w:pPr>
              <w:widowControl/>
              <w:jc w:val="left"/>
              <w:rPr>
                <w:rFonts w:ascii="仿宋_GB2312" w:hAnsi="仿宋" w:eastAsia="仿宋_GB2312" w:cs="宋体"/>
                <w:b/>
                <w:bCs/>
                <w:sz w:val="18"/>
                <w:szCs w:val="18"/>
              </w:rPr>
            </w:pPr>
          </w:p>
        </w:tc>
        <w:tc>
          <w:tcPr>
            <w:tcW w:w="1984" w:type="dxa"/>
            <w:tcBorders>
              <w:top w:val="nil"/>
              <w:left w:val="nil"/>
              <w:bottom w:val="single" w:color="auto" w:sz="4" w:space="0"/>
              <w:right w:val="single" w:color="auto" w:sz="4" w:space="0"/>
            </w:tcBorders>
            <w:noWrap/>
            <w:vAlign w:val="center"/>
          </w:tcPr>
          <w:p w14:paraId="023D5D14">
            <w:pPr>
              <w:widowControl/>
              <w:jc w:val="left"/>
              <w:rPr>
                <w:rFonts w:ascii="仿宋_GB2312" w:hAnsi="仿宋" w:eastAsia="仿宋_GB2312" w:cs="宋体"/>
                <w:sz w:val="18"/>
                <w:szCs w:val="18"/>
              </w:rPr>
            </w:pPr>
            <w:r>
              <w:rPr>
                <w:rFonts w:hint="eastAsia" w:ascii="仿宋_GB2312" w:hAnsi="仿宋" w:eastAsia="仿宋_GB2312" w:cs="宋体"/>
                <w:sz w:val="18"/>
                <w:szCs w:val="18"/>
              </w:rPr>
              <w:t>营业收入（Y）</w:t>
            </w:r>
          </w:p>
        </w:tc>
        <w:tc>
          <w:tcPr>
            <w:tcW w:w="851" w:type="dxa"/>
            <w:tcBorders>
              <w:top w:val="nil"/>
              <w:left w:val="nil"/>
              <w:bottom w:val="single" w:color="auto" w:sz="4" w:space="0"/>
              <w:right w:val="single" w:color="auto" w:sz="4" w:space="0"/>
            </w:tcBorders>
            <w:noWrap/>
            <w:vAlign w:val="center"/>
          </w:tcPr>
          <w:p w14:paraId="06CE15A8">
            <w:pPr>
              <w:widowControl/>
              <w:jc w:val="left"/>
              <w:rPr>
                <w:rFonts w:ascii="仿宋_GB2312" w:hAnsi="仿宋" w:eastAsia="仿宋_GB2312" w:cs="宋体"/>
                <w:sz w:val="18"/>
                <w:szCs w:val="18"/>
              </w:rPr>
            </w:pPr>
            <w:r>
              <w:rPr>
                <w:rFonts w:hint="eastAsia" w:ascii="仿宋_GB2312" w:hAnsi="仿宋" w:eastAsia="仿宋_GB2312" w:cs="宋体"/>
                <w:sz w:val="18"/>
                <w:szCs w:val="18"/>
              </w:rPr>
              <w:t>万元</w:t>
            </w:r>
          </w:p>
        </w:tc>
        <w:tc>
          <w:tcPr>
            <w:tcW w:w="1842" w:type="dxa"/>
            <w:tcBorders>
              <w:top w:val="nil"/>
              <w:left w:val="nil"/>
              <w:bottom w:val="single" w:color="auto" w:sz="4" w:space="0"/>
              <w:right w:val="single" w:color="auto" w:sz="4" w:space="0"/>
            </w:tcBorders>
            <w:noWrap/>
            <w:vAlign w:val="center"/>
          </w:tcPr>
          <w:p w14:paraId="6EF56CF4">
            <w:pPr>
              <w:widowControl/>
              <w:jc w:val="left"/>
              <w:rPr>
                <w:rFonts w:ascii="仿宋_GB2312" w:hAnsi="仿宋" w:eastAsia="仿宋_GB2312" w:cs="宋体"/>
                <w:sz w:val="18"/>
                <w:szCs w:val="18"/>
              </w:rPr>
            </w:pPr>
            <w:r>
              <w:rPr>
                <w:rFonts w:hint="eastAsia" w:ascii="仿宋_GB2312" w:hAnsi="仿宋" w:eastAsia="仿宋_GB2312" w:cs="宋体"/>
                <w:sz w:val="18"/>
                <w:szCs w:val="18"/>
              </w:rPr>
              <w:t>2000≤Y＜30000</w:t>
            </w:r>
          </w:p>
        </w:tc>
        <w:tc>
          <w:tcPr>
            <w:tcW w:w="1701" w:type="dxa"/>
            <w:tcBorders>
              <w:top w:val="nil"/>
              <w:left w:val="nil"/>
              <w:bottom w:val="single" w:color="auto" w:sz="4" w:space="0"/>
              <w:right w:val="single" w:color="auto" w:sz="4" w:space="0"/>
            </w:tcBorders>
            <w:noWrap/>
            <w:vAlign w:val="center"/>
          </w:tcPr>
          <w:p w14:paraId="534630C7">
            <w:pPr>
              <w:widowControl/>
              <w:jc w:val="left"/>
              <w:rPr>
                <w:rFonts w:ascii="仿宋_GB2312" w:hAnsi="仿宋" w:eastAsia="仿宋_GB2312" w:cs="宋体"/>
                <w:sz w:val="18"/>
                <w:szCs w:val="18"/>
              </w:rPr>
            </w:pPr>
            <w:r>
              <w:rPr>
                <w:rFonts w:hint="eastAsia" w:ascii="仿宋_GB2312" w:hAnsi="仿宋" w:eastAsia="仿宋_GB2312" w:cs="宋体"/>
                <w:sz w:val="18"/>
                <w:szCs w:val="18"/>
              </w:rPr>
              <w:t>100≤Y＜2000</w:t>
            </w:r>
          </w:p>
        </w:tc>
        <w:tc>
          <w:tcPr>
            <w:tcW w:w="1134" w:type="dxa"/>
            <w:tcBorders>
              <w:top w:val="nil"/>
              <w:left w:val="nil"/>
              <w:bottom w:val="single" w:color="auto" w:sz="4" w:space="0"/>
              <w:right w:val="single" w:color="auto" w:sz="4" w:space="0"/>
            </w:tcBorders>
            <w:noWrap/>
            <w:vAlign w:val="center"/>
          </w:tcPr>
          <w:p w14:paraId="78C63A8B">
            <w:pPr>
              <w:widowControl/>
              <w:jc w:val="left"/>
              <w:rPr>
                <w:rFonts w:ascii="仿宋_GB2312" w:hAnsi="仿宋" w:eastAsia="仿宋_GB2312" w:cs="宋体"/>
                <w:sz w:val="18"/>
                <w:szCs w:val="18"/>
              </w:rPr>
            </w:pPr>
            <w:r>
              <w:rPr>
                <w:rFonts w:hint="eastAsia" w:ascii="仿宋_GB2312" w:hAnsi="仿宋" w:eastAsia="仿宋_GB2312" w:cs="宋体"/>
                <w:sz w:val="18"/>
                <w:szCs w:val="18"/>
              </w:rPr>
              <w:t>Y＜100</w:t>
            </w:r>
          </w:p>
        </w:tc>
      </w:tr>
      <w:tr w14:paraId="183A5705">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ign w:val="bottom"/>
          </w:tcPr>
          <w:p w14:paraId="23A4F6AF">
            <w:pPr>
              <w:widowControl/>
              <w:jc w:val="center"/>
              <w:rPr>
                <w:rFonts w:ascii="仿宋_GB2312" w:hAnsi="仿宋" w:eastAsia="仿宋_GB2312" w:cs="宋体"/>
                <w:b/>
                <w:bCs/>
                <w:sz w:val="18"/>
                <w:szCs w:val="18"/>
              </w:rPr>
            </w:pPr>
            <w:r>
              <w:rPr>
                <w:rFonts w:hint="eastAsia" w:ascii="仿宋_GB2312" w:hAnsi="仿宋" w:eastAsia="仿宋_GB2312" w:cs="宋体"/>
                <w:b/>
                <w:bCs/>
                <w:sz w:val="18"/>
                <w:szCs w:val="18"/>
              </w:rPr>
              <w:t>住宿业</w:t>
            </w:r>
          </w:p>
        </w:tc>
        <w:tc>
          <w:tcPr>
            <w:tcW w:w="1984" w:type="dxa"/>
            <w:tcBorders>
              <w:top w:val="nil"/>
              <w:left w:val="nil"/>
              <w:bottom w:val="single" w:color="auto" w:sz="4" w:space="0"/>
              <w:right w:val="single" w:color="auto" w:sz="4" w:space="0"/>
            </w:tcBorders>
            <w:noWrap/>
            <w:vAlign w:val="center"/>
          </w:tcPr>
          <w:p w14:paraId="3F515240">
            <w:pPr>
              <w:widowControl/>
              <w:jc w:val="left"/>
              <w:rPr>
                <w:rFonts w:ascii="仿宋_GB2312" w:hAnsi="仿宋" w:eastAsia="仿宋_GB2312" w:cs="宋体"/>
                <w:sz w:val="18"/>
                <w:szCs w:val="18"/>
              </w:rPr>
            </w:pPr>
            <w:r>
              <w:rPr>
                <w:rFonts w:hint="eastAsia" w:ascii="仿宋_GB2312" w:hAnsi="仿宋" w:eastAsia="仿宋_GB2312" w:cs="宋体"/>
                <w:sz w:val="18"/>
                <w:szCs w:val="18"/>
              </w:rPr>
              <w:t>从业人员（X）</w:t>
            </w:r>
          </w:p>
        </w:tc>
        <w:tc>
          <w:tcPr>
            <w:tcW w:w="851" w:type="dxa"/>
            <w:tcBorders>
              <w:top w:val="nil"/>
              <w:left w:val="nil"/>
              <w:bottom w:val="single" w:color="auto" w:sz="4" w:space="0"/>
              <w:right w:val="single" w:color="auto" w:sz="4" w:space="0"/>
            </w:tcBorders>
            <w:noWrap/>
            <w:vAlign w:val="center"/>
          </w:tcPr>
          <w:p w14:paraId="740F81A7">
            <w:pPr>
              <w:widowControl/>
              <w:jc w:val="left"/>
              <w:rPr>
                <w:rFonts w:ascii="仿宋_GB2312" w:hAnsi="仿宋" w:eastAsia="仿宋_GB2312" w:cs="宋体"/>
                <w:sz w:val="18"/>
                <w:szCs w:val="18"/>
              </w:rPr>
            </w:pPr>
            <w:r>
              <w:rPr>
                <w:rFonts w:hint="eastAsia" w:ascii="仿宋_GB2312" w:hAnsi="仿宋" w:eastAsia="仿宋_GB2312" w:cs="宋体"/>
                <w:sz w:val="18"/>
                <w:szCs w:val="18"/>
              </w:rPr>
              <w:t>人</w:t>
            </w:r>
          </w:p>
        </w:tc>
        <w:tc>
          <w:tcPr>
            <w:tcW w:w="1842" w:type="dxa"/>
            <w:tcBorders>
              <w:top w:val="nil"/>
              <w:left w:val="nil"/>
              <w:bottom w:val="single" w:color="auto" w:sz="4" w:space="0"/>
              <w:right w:val="single" w:color="auto" w:sz="4" w:space="0"/>
            </w:tcBorders>
            <w:noWrap/>
            <w:vAlign w:val="center"/>
          </w:tcPr>
          <w:p w14:paraId="3CC167A4">
            <w:pPr>
              <w:widowControl/>
              <w:jc w:val="left"/>
              <w:rPr>
                <w:rFonts w:ascii="仿宋_GB2312" w:hAnsi="仿宋" w:eastAsia="仿宋_GB2312" w:cs="宋体"/>
                <w:sz w:val="18"/>
                <w:szCs w:val="18"/>
              </w:rPr>
            </w:pPr>
            <w:r>
              <w:rPr>
                <w:rFonts w:hint="eastAsia" w:ascii="仿宋_GB2312" w:hAnsi="仿宋" w:eastAsia="仿宋_GB2312" w:cs="宋体"/>
                <w:sz w:val="18"/>
                <w:szCs w:val="18"/>
              </w:rPr>
              <w:t>100≤X＜300</w:t>
            </w:r>
          </w:p>
        </w:tc>
        <w:tc>
          <w:tcPr>
            <w:tcW w:w="1701" w:type="dxa"/>
            <w:tcBorders>
              <w:top w:val="nil"/>
              <w:left w:val="nil"/>
              <w:bottom w:val="single" w:color="auto" w:sz="4" w:space="0"/>
              <w:right w:val="single" w:color="auto" w:sz="4" w:space="0"/>
            </w:tcBorders>
            <w:noWrap/>
            <w:vAlign w:val="center"/>
          </w:tcPr>
          <w:p w14:paraId="61F92ABA">
            <w:pPr>
              <w:widowControl/>
              <w:jc w:val="left"/>
              <w:rPr>
                <w:rFonts w:ascii="仿宋_GB2312" w:hAnsi="仿宋" w:eastAsia="仿宋_GB2312" w:cs="宋体"/>
                <w:sz w:val="18"/>
                <w:szCs w:val="18"/>
              </w:rPr>
            </w:pPr>
            <w:r>
              <w:rPr>
                <w:rFonts w:hint="eastAsia" w:ascii="仿宋_GB2312" w:hAnsi="仿宋" w:eastAsia="仿宋_GB2312" w:cs="宋体"/>
                <w:sz w:val="18"/>
                <w:szCs w:val="18"/>
              </w:rPr>
              <w:t>10≤X＜100</w:t>
            </w:r>
          </w:p>
        </w:tc>
        <w:tc>
          <w:tcPr>
            <w:tcW w:w="1134" w:type="dxa"/>
            <w:tcBorders>
              <w:top w:val="nil"/>
              <w:left w:val="nil"/>
              <w:bottom w:val="single" w:color="auto" w:sz="4" w:space="0"/>
              <w:right w:val="single" w:color="auto" w:sz="4" w:space="0"/>
            </w:tcBorders>
            <w:noWrap/>
            <w:vAlign w:val="center"/>
          </w:tcPr>
          <w:p w14:paraId="62647D82">
            <w:pPr>
              <w:widowControl/>
              <w:jc w:val="left"/>
              <w:rPr>
                <w:rFonts w:ascii="仿宋_GB2312" w:hAnsi="仿宋" w:eastAsia="仿宋_GB2312" w:cs="宋体"/>
                <w:sz w:val="18"/>
                <w:szCs w:val="18"/>
              </w:rPr>
            </w:pPr>
            <w:r>
              <w:rPr>
                <w:rFonts w:hint="eastAsia" w:ascii="仿宋_GB2312" w:hAnsi="仿宋" w:eastAsia="仿宋_GB2312" w:cs="宋体"/>
                <w:sz w:val="18"/>
                <w:szCs w:val="18"/>
              </w:rPr>
              <w:t>X＜10</w:t>
            </w:r>
          </w:p>
        </w:tc>
      </w:tr>
      <w:tr w14:paraId="632087F7">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14:paraId="6D3F61E0">
            <w:pPr>
              <w:widowControl/>
              <w:jc w:val="left"/>
              <w:rPr>
                <w:rFonts w:ascii="仿宋_GB2312" w:hAnsi="仿宋" w:eastAsia="仿宋_GB2312" w:cs="宋体"/>
                <w:b/>
                <w:bCs/>
                <w:sz w:val="18"/>
                <w:szCs w:val="18"/>
              </w:rPr>
            </w:pPr>
          </w:p>
        </w:tc>
        <w:tc>
          <w:tcPr>
            <w:tcW w:w="1984" w:type="dxa"/>
            <w:tcBorders>
              <w:top w:val="nil"/>
              <w:left w:val="nil"/>
              <w:bottom w:val="single" w:color="auto" w:sz="4" w:space="0"/>
              <w:right w:val="single" w:color="auto" w:sz="4" w:space="0"/>
            </w:tcBorders>
            <w:noWrap/>
            <w:vAlign w:val="center"/>
          </w:tcPr>
          <w:p w14:paraId="416805BD">
            <w:pPr>
              <w:widowControl/>
              <w:jc w:val="left"/>
              <w:rPr>
                <w:rFonts w:ascii="仿宋_GB2312" w:hAnsi="仿宋" w:eastAsia="仿宋_GB2312" w:cs="宋体"/>
                <w:sz w:val="18"/>
                <w:szCs w:val="18"/>
              </w:rPr>
            </w:pPr>
            <w:r>
              <w:rPr>
                <w:rFonts w:hint="eastAsia" w:ascii="仿宋_GB2312" w:hAnsi="仿宋" w:eastAsia="仿宋_GB2312" w:cs="宋体"/>
                <w:sz w:val="18"/>
                <w:szCs w:val="18"/>
              </w:rPr>
              <w:t>营业收入（Y）</w:t>
            </w:r>
          </w:p>
        </w:tc>
        <w:tc>
          <w:tcPr>
            <w:tcW w:w="851" w:type="dxa"/>
            <w:tcBorders>
              <w:top w:val="nil"/>
              <w:left w:val="nil"/>
              <w:bottom w:val="single" w:color="auto" w:sz="4" w:space="0"/>
              <w:right w:val="single" w:color="auto" w:sz="4" w:space="0"/>
            </w:tcBorders>
            <w:noWrap/>
            <w:vAlign w:val="center"/>
          </w:tcPr>
          <w:p w14:paraId="00A5CF9C">
            <w:pPr>
              <w:widowControl/>
              <w:jc w:val="left"/>
              <w:rPr>
                <w:rFonts w:ascii="仿宋_GB2312" w:hAnsi="仿宋" w:eastAsia="仿宋_GB2312" w:cs="宋体"/>
                <w:sz w:val="18"/>
                <w:szCs w:val="18"/>
              </w:rPr>
            </w:pPr>
            <w:r>
              <w:rPr>
                <w:rFonts w:hint="eastAsia" w:ascii="仿宋_GB2312" w:hAnsi="仿宋" w:eastAsia="仿宋_GB2312" w:cs="宋体"/>
                <w:sz w:val="18"/>
                <w:szCs w:val="18"/>
              </w:rPr>
              <w:t>万元</w:t>
            </w:r>
          </w:p>
        </w:tc>
        <w:tc>
          <w:tcPr>
            <w:tcW w:w="1842" w:type="dxa"/>
            <w:tcBorders>
              <w:top w:val="nil"/>
              <w:left w:val="nil"/>
              <w:bottom w:val="single" w:color="auto" w:sz="4" w:space="0"/>
              <w:right w:val="single" w:color="auto" w:sz="4" w:space="0"/>
            </w:tcBorders>
            <w:noWrap/>
            <w:vAlign w:val="center"/>
          </w:tcPr>
          <w:p w14:paraId="4E3B6BDB">
            <w:pPr>
              <w:widowControl/>
              <w:jc w:val="left"/>
              <w:rPr>
                <w:rFonts w:ascii="仿宋_GB2312" w:hAnsi="仿宋" w:eastAsia="仿宋_GB2312" w:cs="宋体"/>
                <w:sz w:val="18"/>
                <w:szCs w:val="18"/>
              </w:rPr>
            </w:pPr>
            <w:r>
              <w:rPr>
                <w:rFonts w:hint="eastAsia" w:ascii="仿宋_GB2312" w:hAnsi="仿宋" w:eastAsia="仿宋_GB2312" w:cs="宋体"/>
                <w:sz w:val="18"/>
                <w:szCs w:val="18"/>
              </w:rPr>
              <w:t>2000≤Y＜10000</w:t>
            </w:r>
          </w:p>
        </w:tc>
        <w:tc>
          <w:tcPr>
            <w:tcW w:w="1701" w:type="dxa"/>
            <w:tcBorders>
              <w:top w:val="nil"/>
              <w:left w:val="nil"/>
              <w:bottom w:val="single" w:color="auto" w:sz="4" w:space="0"/>
              <w:right w:val="single" w:color="auto" w:sz="4" w:space="0"/>
            </w:tcBorders>
            <w:noWrap/>
            <w:vAlign w:val="center"/>
          </w:tcPr>
          <w:p w14:paraId="5A983776">
            <w:pPr>
              <w:widowControl/>
              <w:jc w:val="left"/>
              <w:rPr>
                <w:rFonts w:ascii="仿宋_GB2312" w:hAnsi="仿宋" w:eastAsia="仿宋_GB2312" w:cs="宋体"/>
                <w:sz w:val="18"/>
                <w:szCs w:val="18"/>
              </w:rPr>
            </w:pPr>
            <w:r>
              <w:rPr>
                <w:rFonts w:hint="eastAsia" w:ascii="仿宋_GB2312" w:hAnsi="仿宋" w:eastAsia="仿宋_GB2312" w:cs="宋体"/>
                <w:sz w:val="18"/>
                <w:szCs w:val="18"/>
              </w:rPr>
              <w:t>100≤Y＜2000</w:t>
            </w:r>
          </w:p>
        </w:tc>
        <w:tc>
          <w:tcPr>
            <w:tcW w:w="1134" w:type="dxa"/>
            <w:tcBorders>
              <w:top w:val="nil"/>
              <w:left w:val="nil"/>
              <w:bottom w:val="single" w:color="auto" w:sz="4" w:space="0"/>
              <w:right w:val="single" w:color="auto" w:sz="4" w:space="0"/>
            </w:tcBorders>
            <w:noWrap/>
            <w:vAlign w:val="center"/>
          </w:tcPr>
          <w:p w14:paraId="3803597C">
            <w:pPr>
              <w:widowControl/>
              <w:jc w:val="left"/>
              <w:rPr>
                <w:rFonts w:ascii="仿宋_GB2312" w:hAnsi="仿宋" w:eastAsia="仿宋_GB2312" w:cs="宋体"/>
                <w:sz w:val="18"/>
                <w:szCs w:val="18"/>
              </w:rPr>
            </w:pPr>
            <w:r>
              <w:rPr>
                <w:rFonts w:hint="eastAsia" w:ascii="仿宋_GB2312" w:hAnsi="仿宋" w:eastAsia="仿宋_GB2312" w:cs="宋体"/>
                <w:sz w:val="18"/>
                <w:szCs w:val="18"/>
              </w:rPr>
              <w:t>Y＜100</w:t>
            </w:r>
          </w:p>
        </w:tc>
      </w:tr>
      <w:tr w14:paraId="29DB3C45">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ign w:val="bottom"/>
          </w:tcPr>
          <w:p w14:paraId="4864ADC2">
            <w:pPr>
              <w:widowControl/>
              <w:jc w:val="center"/>
              <w:rPr>
                <w:rFonts w:ascii="仿宋_GB2312" w:hAnsi="仿宋" w:eastAsia="仿宋_GB2312" w:cs="宋体"/>
                <w:b/>
                <w:bCs/>
                <w:sz w:val="18"/>
                <w:szCs w:val="18"/>
              </w:rPr>
            </w:pPr>
            <w:r>
              <w:rPr>
                <w:rFonts w:hint="eastAsia" w:ascii="仿宋_GB2312" w:hAnsi="仿宋" w:eastAsia="仿宋_GB2312" w:cs="宋体"/>
                <w:b/>
                <w:bCs/>
                <w:sz w:val="18"/>
                <w:szCs w:val="18"/>
              </w:rPr>
              <w:t>餐饮业</w:t>
            </w:r>
          </w:p>
        </w:tc>
        <w:tc>
          <w:tcPr>
            <w:tcW w:w="1984" w:type="dxa"/>
            <w:tcBorders>
              <w:top w:val="nil"/>
              <w:left w:val="nil"/>
              <w:bottom w:val="single" w:color="auto" w:sz="4" w:space="0"/>
              <w:right w:val="single" w:color="auto" w:sz="4" w:space="0"/>
            </w:tcBorders>
            <w:noWrap/>
            <w:vAlign w:val="center"/>
          </w:tcPr>
          <w:p w14:paraId="5FDF5E1B">
            <w:pPr>
              <w:widowControl/>
              <w:jc w:val="left"/>
              <w:rPr>
                <w:rFonts w:ascii="仿宋_GB2312" w:hAnsi="仿宋" w:eastAsia="仿宋_GB2312" w:cs="宋体"/>
                <w:sz w:val="18"/>
                <w:szCs w:val="18"/>
              </w:rPr>
            </w:pPr>
            <w:r>
              <w:rPr>
                <w:rFonts w:hint="eastAsia" w:ascii="仿宋_GB2312" w:hAnsi="仿宋" w:eastAsia="仿宋_GB2312" w:cs="宋体"/>
                <w:sz w:val="18"/>
                <w:szCs w:val="18"/>
              </w:rPr>
              <w:t>从业人员（X）</w:t>
            </w:r>
          </w:p>
        </w:tc>
        <w:tc>
          <w:tcPr>
            <w:tcW w:w="851" w:type="dxa"/>
            <w:tcBorders>
              <w:top w:val="nil"/>
              <w:left w:val="nil"/>
              <w:bottom w:val="single" w:color="auto" w:sz="4" w:space="0"/>
              <w:right w:val="single" w:color="auto" w:sz="4" w:space="0"/>
            </w:tcBorders>
            <w:noWrap/>
            <w:vAlign w:val="center"/>
          </w:tcPr>
          <w:p w14:paraId="2E8CAE83">
            <w:pPr>
              <w:widowControl/>
              <w:jc w:val="left"/>
              <w:rPr>
                <w:rFonts w:ascii="仿宋_GB2312" w:hAnsi="仿宋" w:eastAsia="仿宋_GB2312" w:cs="宋体"/>
                <w:sz w:val="18"/>
                <w:szCs w:val="18"/>
              </w:rPr>
            </w:pPr>
            <w:r>
              <w:rPr>
                <w:rFonts w:hint="eastAsia" w:ascii="仿宋_GB2312" w:hAnsi="仿宋" w:eastAsia="仿宋_GB2312" w:cs="宋体"/>
                <w:sz w:val="18"/>
                <w:szCs w:val="18"/>
              </w:rPr>
              <w:t>人</w:t>
            </w:r>
          </w:p>
        </w:tc>
        <w:tc>
          <w:tcPr>
            <w:tcW w:w="1842" w:type="dxa"/>
            <w:tcBorders>
              <w:top w:val="nil"/>
              <w:left w:val="nil"/>
              <w:bottom w:val="single" w:color="auto" w:sz="4" w:space="0"/>
              <w:right w:val="single" w:color="auto" w:sz="4" w:space="0"/>
            </w:tcBorders>
            <w:noWrap/>
            <w:vAlign w:val="center"/>
          </w:tcPr>
          <w:p w14:paraId="4BAE56C5">
            <w:pPr>
              <w:widowControl/>
              <w:jc w:val="left"/>
              <w:rPr>
                <w:rFonts w:ascii="仿宋_GB2312" w:hAnsi="仿宋" w:eastAsia="仿宋_GB2312" w:cs="宋体"/>
                <w:sz w:val="18"/>
                <w:szCs w:val="18"/>
              </w:rPr>
            </w:pPr>
            <w:r>
              <w:rPr>
                <w:rFonts w:hint="eastAsia" w:ascii="仿宋_GB2312" w:hAnsi="仿宋" w:eastAsia="仿宋_GB2312" w:cs="宋体"/>
                <w:sz w:val="18"/>
                <w:szCs w:val="18"/>
              </w:rPr>
              <w:t>100≤X＜300</w:t>
            </w:r>
          </w:p>
        </w:tc>
        <w:tc>
          <w:tcPr>
            <w:tcW w:w="1701" w:type="dxa"/>
            <w:tcBorders>
              <w:top w:val="nil"/>
              <w:left w:val="nil"/>
              <w:bottom w:val="single" w:color="auto" w:sz="4" w:space="0"/>
              <w:right w:val="single" w:color="auto" w:sz="4" w:space="0"/>
            </w:tcBorders>
            <w:noWrap/>
            <w:vAlign w:val="center"/>
          </w:tcPr>
          <w:p w14:paraId="21C50C7A">
            <w:pPr>
              <w:widowControl/>
              <w:jc w:val="left"/>
              <w:rPr>
                <w:rFonts w:ascii="仿宋_GB2312" w:hAnsi="仿宋" w:eastAsia="仿宋_GB2312" w:cs="宋体"/>
                <w:sz w:val="18"/>
                <w:szCs w:val="18"/>
              </w:rPr>
            </w:pPr>
            <w:r>
              <w:rPr>
                <w:rFonts w:hint="eastAsia" w:ascii="仿宋_GB2312" w:hAnsi="仿宋" w:eastAsia="仿宋_GB2312" w:cs="宋体"/>
                <w:sz w:val="18"/>
                <w:szCs w:val="18"/>
              </w:rPr>
              <w:t>10≤X＜100</w:t>
            </w:r>
          </w:p>
        </w:tc>
        <w:tc>
          <w:tcPr>
            <w:tcW w:w="1134" w:type="dxa"/>
            <w:tcBorders>
              <w:top w:val="nil"/>
              <w:left w:val="nil"/>
              <w:bottom w:val="single" w:color="auto" w:sz="4" w:space="0"/>
              <w:right w:val="single" w:color="auto" w:sz="4" w:space="0"/>
            </w:tcBorders>
            <w:noWrap/>
            <w:vAlign w:val="center"/>
          </w:tcPr>
          <w:p w14:paraId="5A82FC1C">
            <w:pPr>
              <w:widowControl/>
              <w:jc w:val="left"/>
              <w:rPr>
                <w:rFonts w:ascii="仿宋_GB2312" w:hAnsi="仿宋" w:eastAsia="仿宋_GB2312" w:cs="宋体"/>
                <w:sz w:val="18"/>
                <w:szCs w:val="18"/>
              </w:rPr>
            </w:pPr>
            <w:r>
              <w:rPr>
                <w:rFonts w:hint="eastAsia" w:ascii="仿宋_GB2312" w:hAnsi="仿宋" w:eastAsia="仿宋_GB2312" w:cs="宋体"/>
                <w:sz w:val="18"/>
                <w:szCs w:val="18"/>
              </w:rPr>
              <w:t>X＜10</w:t>
            </w:r>
          </w:p>
        </w:tc>
      </w:tr>
      <w:tr w14:paraId="1C726D92">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14:paraId="4541F6F0">
            <w:pPr>
              <w:widowControl/>
              <w:jc w:val="left"/>
              <w:rPr>
                <w:rFonts w:ascii="仿宋_GB2312" w:hAnsi="仿宋" w:eastAsia="仿宋_GB2312" w:cs="宋体"/>
                <w:b/>
                <w:bCs/>
                <w:sz w:val="18"/>
                <w:szCs w:val="18"/>
              </w:rPr>
            </w:pPr>
          </w:p>
        </w:tc>
        <w:tc>
          <w:tcPr>
            <w:tcW w:w="1984" w:type="dxa"/>
            <w:tcBorders>
              <w:top w:val="nil"/>
              <w:left w:val="nil"/>
              <w:bottom w:val="single" w:color="auto" w:sz="4" w:space="0"/>
              <w:right w:val="single" w:color="auto" w:sz="4" w:space="0"/>
            </w:tcBorders>
            <w:noWrap/>
            <w:vAlign w:val="center"/>
          </w:tcPr>
          <w:p w14:paraId="72637A04">
            <w:pPr>
              <w:widowControl/>
              <w:jc w:val="left"/>
              <w:rPr>
                <w:rFonts w:ascii="仿宋_GB2312" w:hAnsi="仿宋" w:eastAsia="仿宋_GB2312" w:cs="宋体"/>
                <w:sz w:val="18"/>
                <w:szCs w:val="18"/>
              </w:rPr>
            </w:pPr>
            <w:r>
              <w:rPr>
                <w:rFonts w:hint="eastAsia" w:ascii="仿宋_GB2312" w:hAnsi="仿宋" w:eastAsia="仿宋_GB2312" w:cs="宋体"/>
                <w:sz w:val="18"/>
                <w:szCs w:val="18"/>
              </w:rPr>
              <w:t>营业收入（Y）</w:t>
            </w:r>
          </w:p>
        </w:tc>
        <w:tc>
          <w:tcPr>
            <w:tcW w:w="851" w:type="dxa"/>
            <w:tcBorders>
              <w:top w:val="nil"/>
              <w:left w:val="nil"/>
              <w:bottom w:val="single" w:color="auto" w:sz="4" w:space="0"/>
              <w:right w:val="single" w:color="auto" w:sz="4" w:space="0"/>
            </w:tcBorders>
            <w:noWrap/>
            <w:vAlign w:val="center"/>
          </w:tcPr>
          <w:p w14:paraId="144DE40B">
            <w:pPr>
              <w:widowControl/>
              <w:jc w:val="left"/>
              <w:rPr>
                <w:rFonts w:ascii="仿宋_GB2312" w:hAnsi="仿宋" w:eastAsia="仿宋_GB2312" w:cs="宋体"/>
                <w:sz w:val="18"/>
                <w:szCs w:val="18"/>
              </w:rPr>
            </w:pPr>
            <w:r>
              <w:rPr>
                <w:rFonts w:hint="eastAsia" w:ascii="仿宋_GB2312" w:hAnsi="仿宋" w:eastAsia="仿宋_GB2312" w:cs="宋体"/>
                <w:sz w:val="18"/>
                <w:szCs w:val="18"/>
              </w:rPr>
              <w:t>万元</w:t>
            </w:r>
          </w:p>
        </w:tc>
        <w:tc>
          <w:tcPr>
            <w:tcW w:w="1842" w:type="dxa"/>
            <w:tcBorders>
              <w:top w:val="nil"/>
              <w:left w:val="nil"/>
              <w:bottom w:val="single" w:color="auto" w:sz="4" w:space="0"/>
              <w:right w:val="single" w:color="auto" w:sz="4" w:space="0"/>
            </w:tcBorders>
            <w:noWrap/>
            <w:vAlign w:val="center"/>
          </w:tcPr>
          <w:p w14:paraId="3231B3F7">
            <w:pPr>
              <w:widowControl/>
              <w:jc w:val="left"/>
              <w:rPr>
                <w:rFonts w:ascii="仿宋_GB2312" w:hAnsi="仿宋" w:eastAsia="仿宋_GB2312" w:cs="宋体"/>
                <w:sz w:val="18"/>
                <w:szCs w:val="18"/>
              </w:rPr>
            </w:pPr>
            <w:r>
              <w:rPr>
                <w:rFonts w:hint="eastAsia" w:ascii="仿宋_GB2312" w:hAnsi="仿宋" w:eastAsia="仿宋_GB2312" w:cs="宋体"/>
                <w:sz w:val="18"/>
                <w:szCs w:val="18"/>
              </w:rPr>
              <w:t>2000≤Y＜10000</w:t>
            </w:r>
          </w:p>
        </w:tc>
        <w:tc>
          <w:tcPr>
            <w:tcW w:w="1701" w:type="dxa"/>
            <w:tcBorders>
              <w:top w:val="nil"/>
              <w:left w:val="nil"/>
              <w:bottom w:val="single" w:color="auto" w:sz="4" w:space="0"/>
              <w:right w:val="single" w:color="auto" w:sz="4" w:space="0"/>
            </w:tcBorders>
            <w:noWrap/>
            <w:vAlign w:val="center"/>
          </w:tcPr>
          <w:p w14:paraId="43FB7791">
            <w:pPr>
              <w:widowControl/>
              <w:jc w:val="left"/>
              <w:rPr>
                <w:rFonts w:ascii="仿宋_GB2312" w:hAnsi="仿宋" w:eastAsia="仿宋_GB2312" w:cs="宋体"/>
                <w:sz w:val="18"/>
                <w:szCs w:val="18"/>
              </w:rPr>
            </w:pPr>
            <w:r>
              <w:rPr>
                <w:rFonts w:hint="eastAsia" w:ascii="仿宋_GB2312" w:hAnsi="仿宋" w:eastAsia="仿宋_GB2312" w:cs="宋体"/>
                <w:sz w:val="18"/>
                <w:szCs w:val="18"/>
              </w:rPr>
              <w:t>100≤Y＜2000</w:t>
            </w:r>
          </w:p>
        </w:tc>
        <w:tc>
          <w:tcPr>
            <w:tcW w:w="1134" w:type="dxa"/>
            <w:tcBorders>
              <w:top w:val="nil"/>
              <w:left w:val="nil"/>
              <w:bottom w:val="single" w:color="auto" w:sz="4" w:space="0"/>
              <w:right w:val="single" w:color="auto" w:sz="4" w:space="0"/>
            </w:tcBorders>
            <w:noWrap/>
            <w:vAlign w:val="center"/>
          </w:tcPr>
          <w:p w14:paraId="0339DB18">
            <w:pPr>
              <w:widowControl/>
              <w:jc w:val="left"/>
              <w:rPr>
                <w:rFonts w:ascii="仿宋_GB2312" w:hAnsi="仿宋" w:eastAsia="仿宋_GB2312" w:cs="宋体"/>
                <w:sz w:val="18"/>
                <w:szCs w:val="18"/>
              </w:rPr>
            </w:pPr>
            <w:r>
              <w:rPr>
                <w:rFonts w:hint="eastAsia" w:ascii="仿宋_GB2312" w:hAnsi="仿宋" w:eastAsia="仿宋_GB2312" w:cs="宋体"/>
                <w:sz w:val="18"/>
                <w:szCs w:val="18"/>
              </w:rPr>
              <w:t>Y＜100</w:t>
            </w:r>
          </w:p>
        </w:tc>
      </w:tr>
      <w:tr w14:paraId="767906FC">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ign w:val="bottom"/>
          </w:tcPr>
          <w:p w14:paraId="62F575D3">
            <w:pPr>
              <w:widowControl/>
              <w:jc w:val="center"/>
              <w:rPr>
                <w:rFonts w:ascii="仿宋_GB2312" w:hAnsi="仿宋" w:eastAsia="仿宋_GB2312" w:cs="宋体"/>
                <w:b/>
                <w:bCs/>
                <w:sz w:val="18"/>
                <w:szCs w:val="18"/>
              </w:rPr>
            </w:pPr>
            <w:r>
              <w:rPr>
                <w:rFonts w:hint="eastAsia" w:ascii="仿宋_GB2312" w:hAnsi="仿宋" w:eastAsia="仿宋_GB2312" w:cs="宋体"/>
                <w:b/>
                <w:bCs/>
                <w:sz w:val="18"/>
                <w:szCs w:val="18"/>
              </w:rPr>
              <w:t>信息传输业</w:t>
            </w:r>
          </w:p>
        </w:tc>
        <w:tc>
          <w:tcPr>
            <w:tcW w:w="1984" w:type="dxa"/>
            <w:tcBorders>
              <w:top w:val="nil"/>
              <w:left w:val="nil"/>
              <w:bottom w:val="single" w:color="auto" w:sz="4" w:space="0"/>
              <w:right w:val="single" w:color="auto" w:sz="4" w:space="0"/>
            </w:tcBorders>
            <w:noWrap/>
            <w:vAlign w:val="center"/>
          </w:tcPr>
          <w:p w14:paraId="5BCE01FE">
            <w:pPr>
              <w:widowControl/>
              <w:jc w:val="left"/>
              <w:rPr>
                <w:rFonts w:ascii="仿宋_GB2312" w:hAnsi="仿宋" w:eastAsia="仿宋_GB2312" w:cs="宋体"/>
                <w:sz w:val="18"/>
                <w:szCs w:val="18"/>
              </w:rPr>
            </w:pPr>
            <w:r>
              <w:rPr>
                <w:rFonts w:hint="eastAsia" w:ascii="仿宋_GB2312" w:hAnsi="仿宋" w:eastAsia="仿宋_GB2312" w:cs="宋体"/>
                <w:sz w:val="18"/>
                <w:szCs w:val="18"/>
              </w:rPr>
              <w:t>从业人员（X）</w:t>
            </w:r>
          </w:p>
        </w:tc>
        <w:tc>
          <w:tcPr>
            <w:tcW w:w="851" w:type="dxa"/>
            <w:tcBorders>
              <w:top w:val="nil"/>
              <w:left w:val="nil"/>
              <w:bottom w:val="single" w:color="auto" w:sz="4" w:space="0"/>
              <w:right w:val="single" w:color="auto" w:sz="4" w:space="0"/>
            </w:tcBorders>
            <w:noWrap/>
            <w:vAlign w:val="center"/>
          </w:tcPr>
          <w:p w14:paraId="1B551292">
            <w:pPr>
              <w:widowControl/>
              <w:jc w:val="left"/>
              <w:rPr>
                <w:rFonts w:ascii="仿宋_GB2312" w:hAnsi="仿宋" w:eastAsia="仿宋_GB2312" w:cs="宋体"/>
                <w:sz w:val="18"/>
                <w:szCs w:val="18"/>
              </w:rPr>
            </w:pPr>
            <w:r>
              <w:rPr>
                <w:rFonts w:hint="eastAsia" w:ascii="仿宋_GB2312" w:hAnsi="仿宋" w:eastAsia="仿宋_GB2312" w:cs="宋体"/>
                <w:sz w:val="18"/>
                <w:szCs w:val="18"/>
              </w:rPr>
              <w:t>人</w:t>
            </w:r>
          </w:p>
        </w:tc>
        <w:tc>
          <w:tcPr>
            <w:tcW w:w="1842" w:type="dxa"/>
            <w:tcBorders>
              <w:top w:val="nil"/>
              <w:left w:val="nil"/>
              <w:bottom w:val="single" w:color="auto" w:sz="4" w:space="0"/>
              <w:right w:val="single" w:color="auto" w:sz="4" w:space="0"/>
            </w:tcBorders>
            <w:noWrap/>
            <w:vAlign w:val="center"/>
          </w:tcPr>
          <w:p w14:paraId="063CCDB4">
            <w:pPr>
              <w:widowControl/>
              <w:jc w:val="left"/>
              <w:rPr>
                <w:rFonts w:ascii="仿宋_GB2312" w:hAnsi="仿宋" w:eastAsia="仿宋_GB2312" w:cs="宋体"/>
                <w:sz w:val="18"/>
                <w:szCs w:val="18"/>
              </w:rPr>
            </w:pPr>
            <w:r>
              <w:rPr>
                <w:rFonts w:hint="eastAsia" w:ascii="仿宋_GB2312" w:hAnsi="仿宋" w:eastAsia="仿宋_GB2312" w:cs="宋体"/>
                <w:sz w:val="18"/>
                <w:szCs w:val="18"/>
              </w:rPr>
              <w:t>100≤X＜2000</w:t>
            </w:r>
          </w:p>
        </w:tc>
        <w:tc>
          <w:tcPr>
            <w:tcW w:w="1701" w:type="dxa"/>
            <w:tcBorders>
              <w:top w:val="nil"/>
              <w:left w:val="nil"/>
              <w:bottom w:val="single" w:color="auto" w:sz="4" w:space="0"/>
              <w:right w:val="single" w:color="auto" w:sz="4" w:space="0"/>
            </w:tcBorders>
            <w:noWrap/>
            <w:vAlign w:val="center"/>
          </w:tcPr>
          <w:p w14:paraId="5F7FB952">
            <w:pPr>
              <w:widowControl/>
              <w:jc w:val="left"/>
              <w:rPr>
                <w:rFonts w:ascii="仿宋_GB2312" w:hAnsi="仿宋" w:eastAsia="仿宋_GB2312" w:cs="宋体"/>
                <w:sz w:val="18"/>
                <w:szCs w:val="18"/>
              </w:rPr>
            </w:pPr>
            <w:r>
              <w:rPr>
                <w:rFonts w:hint="eastAsia" w:ascii="仿宋_GB2312" w:hAnsi="仿宋" w:eastAsia="仿宋_GB2312" w:cs="宋体"/>
                <w:sz w:val="18"/>
                <w:szCs w:val="18"/>
              </w:rPr>
              <w:t>10≤X＜100</w:t>
            </w:r>
          </w:p>
        </w:tc>
        <w:tc>
          <w:tcPr>
            <w:tcW w:w="1134" w:type="dxa"/>
            <w:tcBorders>
              <w:top w:val="nil"/>
              <w:left w:val="nil"/>
              <w:bottom w:val="single" w:color="auto" w:sz="4" w:space="0"/>
              <w:right w:val="single" w:color="auto" w:sz="4" w:space="0"/>
            </w:tcBorders>
            <w:noWrap/>
            <w:vAlign w:val="center"/>
          </w:tcPr>
          <w:p w14:paraId="44EDCB2D">
            <w:pPr>
              <w:widowControl/>
              <w:jc w:val="left"/>
              <w:rPr>
                <w:rFonts w:ascii="仿宋_GB2312" w:hAnsi="仿宋" w:eastAsia="仿宋_GB2312" w:cs="宋体"/>
                <w:sz w:val="18"/>
                <w:szCs w:val="18"/>
              </w:rPr>
            </w:pPr>
            <w:r>
              <w:rPr>
                <w:rFonts w:hint="eastAsia" w:ascii="仿宋_GB2312" w:hAnsi="仿宋" w:eastAsia="仿宋_GB2312" w:cs="宋体"/>
                <w:sz w:val="18"/>
                <w:szCs w:val="18"/>
              </w:rPr>
              <w:t>X＜10</w:t>
            </w:r>
          </w:p>
        </w:tc>
      </w:tr>
      <w:tr w14:paraId="08270541">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14:paraId="65C3A7D3">
            <w:pPr>
              <w:widowControl/>
              <w:jc w:val="left"/>
              <w:rPr>
                <w:rFonts w:ascii="仿宋_GB2312" w:hAnsi="仿宋" w:eastAsia="仿宋_GB2312" w:cs="宋体"/>
                <w:b/>
                <w:bCs/>
                <w:sz w:val="18"/>
                <w:szCs w:val="18"/>
              </w:rPr>
            </w:pPr>
          </w:p>
        </w:tc>
        <w:tc>
          <w:tcPr>
            <w:tcW w:w="1984" w:type="dxa"/>
            <w:tcBorders>
              <w:top w:val="nil"/>
              <w:left w:val="nil"/>
              <w:bottom w:val="single" w:color="auto" w:sz="4" w:space="0"/>
              <w:right w:val="single" w:color="auto" w:sz="4" w:space="0"/>
            </w:tcBorders>
            <w:noWrap/>
            <w:vAlign w:val="center"/>
          </w:tcPr>
          <w:p w14:paraId="282803A4">
            <w:pPr>
              <w:widowControl/>
              <w:jc w:val="left"/>
              <w:rPr>
                <w:rFonts w:ascii="仿宋_GB2312" w:hAnsi="仿宋" w:eastAsia="仿宋_GB2312" w:cs="宋体"/>
                <w:sz w:val="18"/>
                <w:szCs w:val="18"/>
              </w:rPr>
            </w:pPr>
            <w:r>
              <w:rPr>
                <w:rFonts w:hint="eastAsia" w:ascii="仿宋_GB2312" w:hAnsi="仿宋" w:eastAsia="仿宋_GB2312" w:cs="宋体"/>
                <w:sz w:val="18"/>
                <w:szCs w:val="18"/>
              </w:rPr>
              <w:t>营业收入（Y）</w:t>
            </w:r>
          </w:p>
        </w:tc>
        <w:tc>
          <w:tcPr>
            <w:tcW w:w="851" w:type="dxa"/>
            <w:tcBorders>
              <w:top w:val="nil"/>
              <w:left w:val="nil"/>
              <w:bottom w:val="single" w:color="auto" w:sz="4" w:space="0"/>
              <w:right w:val="single" w:color="auto" w:sz="4" w:space="0"/>
            </w:tcBorders>
            <w:noWrap/>
            <w:vAlign w:val="center"/>
          </w:tcPr>
          <w:p w14:paraId="784B13AF">
            <w:pPr>
              <w:widowControl/>
              <w:jc w:val="left"/>
              <w:rPr>
                <w:rFonts w:ascii="仿宋_GB2312" w:hAnsi="仿宋" w:eastAsia="仿宋_GB2312" w:cs="宋体"/>
                <w:sz w:val="18"/>
                <w:szCs w:val="18"/>
              </w:rPr>
            </w:pPr>
            <w:r>
              <w:rPr>
                <w:rFonts w:hint="eastAsia" w:ascii="仿宋_GB2312" w:hAnsi="仿宋" w:eastAsia="仿宋_GB2312" w:cs="宋体"/>
                <w:sz w:val="18"/>
                <w:szCs w:val="18"/>
              </w:rPr>
              <w:t>万元</w:t>
            </w:r>
          </w:p>
        </w:tc>
        <w:tc>
          <w:tcPr>
            <w:tcW w:w="1842" w:type="dxa"/>
            <w:tcBorders>
              <w:top w:val="nil"/>
              <w:left w:val="nil"/>
              <w:bottom w:val="single" w:color="auto" w:sz="4" w:space="0"/>
              <w:right w:val="single" w:color="auto" w:sz="4" w:space="0"/>
            </w:tcBorders>
            <w:noWrap/>
            <w:vAlign w:val="center"/>
          </w:tcPr>
          <w:p w14:paraId="74514233">
            <w:pPr>
              <w:widowControl/>
              <w:jc w:val="left"/>
              <w:rPr>
                <w:rFonts w:ascii="仿宋_GB2312" w:hAnsi="仿宋" w:eastAsia="仿宋_GB2312" w:cs="宋体"/>
                <w:sz w:val="18"/>
                <w:szCs w:val="18"/>
              </w:rPr>
            </w:pPr>
            <w:r>
              <w:rPr>
                <w:rFonts w:hint="eastAsia" w:ascii="仿宋_GB2312" w:hAnsi="仿宋" w:eastAsia="仿宋_GB2312" w:cs="宋体"/>
                <w:sz w:val="18"/>
                <w:szCs w:val="18"/>
              </w:rPr>
              <w:t>1000≤Y＜100000</w:t>
            </w:r>
          </w:p>
        </w:tc>
        <w:tc>
          <w:tcPr>
            <w:tcW w:w="1701" w:type="dxa"/>
            <w:tcBorders>
              <w:top w:val="nil"/>
              <w:left w:val="nil"/>
              <w:bottom w:val="single" w:color="auto" w:sz="4" w:space="0"/>
              <w:right w:val="single" w:color="auto" w:sz="4" w:space="0"/>
            </w:tcBorders>
            <w:noWrap/>
            <w:vAlign w:val="center"/>
          </w:tcPr>
          <w:p w14:paraId="4BB6D06F">
            <w:pPr>
              <w:widowControl/>
              <w:jc w:val="left"/>
              <w:rPr>
                <w:rFonts w:ascii="仿宋_GB2312" w:hAnsi="仿宋" w:eastAsia="仿宋_GB2312" w:cs="宋体"/>
                <w:sz w:val="18"/>
                <w:szCs w:val="18"/>
              </w:rPr>
            </w:pPr>
            <w:r>
              <w:rPr>
                <w:rFonts w:hint="eastAsia" w:ascii="仿宋_GB2312" w:hAnsi="仿宋" w:eastAsia="仿宋_GB2312" w:cs="宋体"/>
                <w:sz w:val="18"/>
                <w:szCs w:val="18"/>
              </w:rPr>
              <w:t>100≤Y＜1000</w:t>
            </w:r>
          </w:p>
        </w:tc>
        <w:tc>
          <w:tcPr>
            <w:tcW w:w="1134" w:type="dxa"/>
            <w:tcBorders>
              <w:top w:val="nil"/>
              <w:left w:val="nil"/>
              <w:bottom w:val="single" w:color="auto" w:sz="4" w:space="0"/>
              <w:right w:val="single" w:color="auto" w:sz="4" w:space="0"/>
            </w:tcBorders>
            <w:noWrap/>
            <w:vAlign w:val="center"/>
          </w:tcPr>
          <w:p w14:paraId="5333C4AD">
            <w:pPr>
              <w:widowControl/>
              <w:jc w:val="left"/>
              <w:rPr>
                <w:rFonts w:ascii="仿宋_GB2312" w:hAnsi="仿宋" w:eastAsia="仿宋_GB2312" w:cs="宋体"/>
                <w:sz w:val="18"/>
                <w:szCs w:val="18"/>
              </w:rPr>
            </w:pPr>
            <w:r>
              <w:rPr>
                <w:rFonts w:hint="eastAsia" w:ascii="仿宋_GB2312" w:hAnsi="仿宋" w:eastAsia="仿宋_GB2312" w:cs="宋体"/>
                <w:sz w:val="18"/>
                <w:szCs w:val="18"/>
              </w:rPr>
              <w:t>Y＜100</w:t>
            </w:r>
          </w:p>
        </w:tc>
      </w:tr>
      <w:tr w14:paraId="6E6B4D6A">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ign w:val="bottom"/>
          </w:tcPr>
          <w:p w14:paraId="42FB9FE0">
            <w:pPr>
              <w:widowControl/>
              <w:jc w:val="center"/>
              <w:rPr>
                <w:rFonts w:ascii="仿宋_GB2312" w:hAnsi="仿宋" w:eastAsia="仿宋_GB2312" w:cs="宋体"/>
                <w:b/>
                <w:bCs/>
                <w:sz w:val="18"/>
                <w:szCs w:val="18"/>
              </w:rPr>
            </w:pPr>
            <w:r>
              <w:rPr>
                <w:rFonts w:hint="eastAsia" w:ascii="仿宋_GB2312" w:hAnsi="仿宋" w:eastAsia="仿宋_GB2312" w:cs="宋体"/>
                <w:b/>
                <w:bCs/>
                <w:sz w:val="18"/>
                <w:szCs w:val="18"/>
              </w:rPr>
              <w:t>软件和信息技术服务业</w:t>
            </w:r>
          </w:p>
        </w:tc>
        <w:tc>
          <w:tcPr>
            <w:tcW w:w="1984" w:type="dxa"/>
            <w:tcBorders>
              <w:top w:val="nil"/>
              <w:left w:val="nil"/>
              <w:bottom w:val="single" w:color="auto" w:sz="4" w:space="0"/>
              <w:right w:val="single" w:color="auto" w:sz="4" w:space="0"/>
            </w:tcBorders>
            <w:noWrap/>
            <w:vAlign w:val="center"/>
          </w:tcPr>
          <w:p w14:paraId="4F900421">
            <w:pPr>
              <w:widowControl/>
              <w:jc w:val="left"/>
              <w:rPr>
                <w:rFonts w:ascii="仿宋_GB2312" w:hAnsi="仿宋" w:eastAsia="仿宋_GB2312" w:cs="宋体"/>
                <w:sz w:val="18"/>
                <w:szCs w:val="18"/>
              </w:rPr>
            </w:pPr>
            <w:r>
              <w:rPr>
                <w:rFonts w:hint="eastAsia" w:ascii="仿宋_GB2312" w:hAnsi="仿宋" w:eastAsia="仿宋_GB2312" w:cs="宋体"/>
                <w:sz w:val="18"/>
                <w:szCs w:val="18"/>
              </w:rPr>
              <w:t>从业人员（X）</w:t>
            </w:r>
          </w:p>
        </w:tc>
        <w:tc>
          <w:tcPr>
            <w:tcW w:w="851" w:type="dxa"/>
            <w:tcBorders>
              <w:top w:val="nil"/>
              <w:left w:val="nil"/>
              <w:bottom w:val="single" w:color="auto" w:sz="4" w:space="0"/>
              <w:right w:val="single" w:color="auto" w:sz="4" w:space="0"/>
            </w:tcBorders>
            <w:noWrap/>
            <w:vAlign w:val="center"/>
          </w:tcPr>
          <w:p w14:paraId="2F479082">
            <w:pPr>
              <w:widowControl/>
              <w:jc w:val="left"/>
              <w:rPr>
                <w:rFonts w:ascii="仿宋_GB2312" w:hAnsi="仿宋" w:eastAsia="仿宋_GB2312" w:cs="宋体"/>
                <w:sz w:val="18"/>
                <w:szCs w:val="18"/>
              </w:rPr>
            </w:pPr>
            <w:r>
              <w:rPr>
                <w:rFonts w:hint="eastAsia" w:ascii="仿宋_GB2312" w:hAnsi="仿宋" w:eastAsia="仿宋_GB2312" w:cs="宋体"/>
                <w:sz w:val="18"/>
                <w:szCs w:val="18"/>
              </w:rPr>
              <w:t>人</w:t>
            </w:r>
          </w:p>
        </w:tc>
        <w:tc>
          <w:tcPr>
            <w:tcW w:w="1842" w:type="dxa"/>
            <w:tcBorders>
              <w:top w:val="nil"/>
              <w:left w:val="nil"/>
              <w:bottom w:val="single" w:color="auto" w:sz="4" w:space="0"/>
              <w:right w:val="single" w:color="auto" w:sz="4" w:space="0"/>
            </w:tcBorders>
            <w:noWrap/>
            <w:vAlign w:val="center"/>
          </w:tcPr>
          <w:p w14:paraId="25D0382B">
            <w:pPr>
              <w:widowControl/>
              <w:jc w:val="left"/>
              <w:rPr>
                <w:rFonts w:ascii="仿宋_GB2312" w:hAnsi="仿宋" w:eastAsia="仿宋_GB2312" w:cs="宋体"/>
                <w:sz w:val="18"/>
                <w:szCs w:val="18"/>
              </w:rPr>
            </w:pPr>
            <w:r>
              <w:rPr>
                <w:rFonts w:hint="eastAsia" w:ascii="仿宋_GB2312" w:hAnsi="仿宋" w:eastAsia="仿宋_GB2312" w:cs="宋体"/>
                <w:sz w:val="18"/>
                <w:szCs w:val="18"/>
              </w:rPr>
              <w:t>100≤X＜300</w:t>
            </w:r>
          </w:p>
        </w:tc>
        <w:tc>
          <w:tcPr>
            <w:tcW w:w="1701" w:type="dxa"/>
            <w:tcBorders>
              <w:top w:val="nil"/>
              <w:left w:val="nil"/>
              <w:bottom w:val="single" w:color="auto" w:sz="4" w:space="0"/>
              <w:right w:val="single" w:color="auto" w:sz="4" w:space="0"/>
            </w:tcBorders>
            <w:noWrap/>
            <w:vAlign w:val="center"/>
          </w:tcPr>
          <w:p w14:paraId="70A194D4">
            <w:pPr>
              <w:widowControl/>
              <w:jc w:val="left"/>
              <w:rPr>
                <w:rFonts w:ascii="仿宋_GB2312" w:hAnsi="仿宋" w:eastAsia="仿宋_GB2312" w:cs="宋体"/>
                <w:sz w:val="18"/>
                <w:szCs w:val="18"/>
              </w:rPr>
            </w:pPr>
            <w:r>
              <w:rPr>
                <w:rFonts w:hint="eastAsia" w:ascii="仿宋_GB2312" w:hAnsi="仿宋" w:eastAsia="仿宋_GB2312" w:cs="宋体"/>
                <w:sz w:val="18"/>
                <w:szCs w:val="18"/>
              </w:rPr>
              <w:t>10≤X＜100</w:t>
            </w:r>
          </w:p>
        </w:tc>
        <w:tc>
          <w:tcPr>
            <w:tcW w:w="1134" w:type="dxa"/>
            <w:tcBorders>
              <w:top w:val="nil"/>
              <w:left w:val="nil"/>
              <w:bottom w:val="single" w:color="auto" w:sz="4" w:space="0"/>
              <w:right w:val="single" w:color="auto" w:sz="4" w:space="0"/>
            </w:tcBorders>
            <w:noWrap/>
            <w:vAlign w:val="center"/>
          </w:tcPr>
          <w:p w14:paraId="7A8EA713">
            <w:pPr>
              <w:widowControl/>
              <w:jc w:val="left"/>
              <w:rPr>
                <w:rFonts w:ascii="仿宋_GB2312" w:hAnsi="仿宋" w:eastAsia="仿宋_GB2312" w:cs="宋体"/>
                <w:sz w:val="18"/>
                <w:szCs w:val="18"/>
              </w:rPr>
            </w:pPr>
            <w:r>
              <w:rPr>
                <w:rFonts w:hint="eastAsia" w:ascii="仿宋_GB2312" w:hAnsi="仿宋" w:eastAsia="仿宋_GB2312" w:cs="宋体"/>
                <w:sz w:val="18"/>
                <w:szCs w:val="18"/>
              </w:rPr>
              <w:t>X＜10</w:t>
            </w:r>
          </w:p>
        </w:tc>
      </w:tr>
      <w:tr w14:paraId="65C699CB">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14:paraId="56F4E26F">
            <w:pPr>
              <w:widowControl/>
              <w:jc w:val="left"/>
              <w:rPr>
                <w:rFonts w:ascii="仿宋_GB2312" w:hAnsi="仿宋" w:eastAsia="仿宋_GB2312" w:cs="宋体"/>
                <w:b/>
                <w:bCs/>
                <w:sz w:val="18"/>
                <w:szCs w:val="18"/>
              </w:rPr>
            </w:pPr>
          </w:p>
        </w:tc>
        <w:tc>
          <w:tcPr>
            <w:tcW w:w="1984" w:type="dxa"/>
            <w:tcBorders>
              <w:top w:val="nil"/>
              <w:left w:val="nil"/>
              <w:bottom w:val="single" w:color="auto" w:sz="4" w:space="0"/>
              <w:right w:val="single" w:color="auto" w:sz="4" w:space="0"/>
            </w:tcBorders>
            <w:noWrap/>
            <w:vAlign w:val="center"/>
          </w:tcPr>
          <w:p w14:paraId="625E04E2">
            <w:pPr>
              <w:widowControl/>
              <w:jc w:val="left"/>
              <w:rPr>
                <w:rFonts w:ascii="仿宋_GB2312" w:hAnsi="仿宋" w:eastAsia="仿宋_GB2312" w:cs="宋体"/>
                <w:sz w:val="18"/>
                <w:szCs w:val="18"/>
              </w:rPr>
            </w:pPr>
            <w:r>
              <w:rPr>
                <w:rFonts w:hint="eastAsia" w:ascii="仿宋_GB2312" w:hAnsi="仿宋" w:eastAsia="仿宋_GB2312" w:cs="宋体"/>
                <w:sz w:val="18"/>
                <w:szCs w:val="18"/>
              </w:rPr>
              <w:t>营业收入（Y）</w:t>
            </w:r>
          </w:p>
        </w:tc>
        <w:tc>
          <w:tcPr>
            <w:tcW w:w="851" w:type="dxa"/>
            <w:tcBorders>
              <w:top w:val="nil"/>
              <w:left w:val="nil"/>
              <w:bottom w:val="single" w:color="auto" w:sz="4" w:space="0"/>
              <w:right w:val="single" w:color="auto" w:sz="4" w:space="0"/>
            </w:tcBorders>
            <w:noWrap/>
            <w:vAlign w:val="center"/>
          </w:tcPr>
          <w:p w14:paraId="25BBF1D3">
            <w:pPr>
              <w:widowControl/>
              <w:jc w:val="left"/>
              <w:rPr>
                <w:rFonts w:ascii="仿宋_GB2312" w:hAnsi="仿宋" w:eastAsia="仿宋_GB2312" w:cs="宋体"/>
                <w:sz w:val="18"/>
                <w:szCs w:val="18"/>
              </w:rPr>
            </w:pPr>
            <w:r>
              <w:rPr>
                <w:rFonts w:hint="eastAsia" w:ascii="仿宋_GB2312" w:hAnsi="仿宋" w:eastAsia="仿宋_GB2312" w:cs="宋体"/>
                <w:sz w:val="18"/>
                <w:szCs w:val="18"/>
              </w:rPr>
              <w:t>万元</w:t>
            </w:r>
          </w:p>
        </w:tc>
        <w:tc>
          <w:tcPr>
            <w:tcW w:w="1842" w:type="dxa"/>
            <w:tcBorders>
              <w:top w:val="nil"/>
              <w:left w:val="nil"/>
              <w:bottom w:val="single" w:color="auto" w:sz="4" w:space="0"/>
              <w:right w:val="single" w:color="auto" w:sz="4" w:space="0"/>
            </w:tcBorders>
            <w:noWrap/>
            <w:vAlign w:val="center"/>
          </w:tcPr>
          <w:p w14:paraId="0AC2AF30">
            <w:pPr>
              <w:widowControl/>
              <w:jc w:val="left"/>
              <w:rPr>
                <w:rFonts w:ascii="仿宋_GB2312" w:hAnsi="仿宋" w:eastAsia="仿宋_GB2312" w:cs="宋体"/>
                <w:sz w:val="18"/>
                <w:szCs w:val="18"/>
              </w:rPr>
            </w:pPr>
            <w:r>
              <w:rPr>
                <w:rFonts w:hint="eastAsia" w:ascii="仿宋_GB2312" w:hAnsi="仿宋" w:eastAsia="仿宋_GB2312" w:cs="宋体"/>
                <w:sz w:val="18"/>
                <w:szCs w:val="18"/>
              </w:rPr>
              <w:t>1000≤Y＜10000</w:t>
            </w:r>
          </w:p>
        </w:tc>
        <w:tc>
          <w:tcPr>
            <w:tcW w:w="1701" w:type="dxa"/>
            <w:tcBorders>
              <w:top w:val="nil"/>
              <w:left w:val="nil"/>
              <w:bottom w:val="single" w:color="auto" w:sz="4" w:space="0"/>
              <w:right w:val="single" w:color="auto" w:sz="4" w:space="0"/>
            </w:tcBorders>
            <w:noWrap/>
            <w:vAlign w:val="center"/>
          </w:tcPr>
          <w:p w14:paraId="4B57D5C4">
            <w:pPr>
              <w:widowControl/>
              <w:jc w:val="left"/>
              <w:rPr>
                <w:rFonts w:ascii="仿宋_GB2312" w:hAnsi="仿宋" w:eastAsia="仿宋_GB2312" w:cs="宋体"/>
                <w:sz w:val="18"/>
                <w:szCs w:val="18"/>
              </w:rPr>
            </w:pPr>
            <w:r>
              <w:rPr>
                <w:rFonts w:hint="eastAsia" w:ascii="仿宋_GB2312" w:hAnsi="仿宋" w:eastAsia="仿宋_GB2312" w:cs="宋体"/>
                <w:sz w:val="18"/>
                <w:szCs w:val="18"/>
              </w:rPr>
              <w:t>50≤Y＜1000</w:t>
            </w:r>
          </w:p>
        </w:tc>
        <w:tc>
          <w:tcPr>
            <w:tcW w:w="1134" w:type="dxa"/>
            <w:tcBorders>
              <w:top w:val="nil"/>
              <w:left w:val="nil"/>
              <w:bottom w:val="single" w:color="auto" w:sz="4" w:space="0"/>
              <w:right w:val="single" w:color="auto" w:sz="4" w:space="0"/>
            </w:tcBorders>
            <w:noWrap/>
            <w:vAlign w:val="center"/>
          </w:tcPr>
          <w:p w14:paraId="6106E0F9">
            <w:pPr>
              <w:widowControl/>
              <w:jc w:val="left"/>
              <w:rPr>
                <w:rFonts w:ascii="仿宋_GB2312" w:hAnsi="仿宋" w:eastAsia="仿宋_GB2312" w:cs="宋体"/>
                <w:sz w:val="18"/>
                <w:szCs w:val="18"/>
              </w:rPr>
            </w:pPr>
            <w:r>
              <w:rPr>
                <w:rFonts w:hint="eastAsia" w:ascii="仿宋_GB2312" w:hAnsi="仿宋" w:eastAsia="仿宋_GB2312" w:cs="宋体"/>
                <w:sz w:val="18"/>
                <w:szCs w:val="18"/>
              </w:rPr>
              <w:t>Y＜50</w:t>
            </w:r>
          </w:p>
        </w:tc>
      </w:tr>
      <w:tr w14:paraId="77532109">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ign w:val="bottom"/>
          </w:tcPr>
          <w:p w14:paraId="39352DB9">
            <w:pPr>
              <w:widowControl/>
              <w:jc w:val="center"/>
              <w:rPr>
                <w:rFonts w:ascii="仿宋_GB2312" w:hAnsi="仿宋" w:eastAsia="仿宋_GB2312" w:cs="宋体"/>
                <w:b/>
                <w:bCs/>
                <w:sz w:val="18"/>
                <w:szCs w:val="18"/>
              </w:rPr>
            </w:pPr>
            <w:r>
              <w:rPr>
                <w:rFonts w:hint="eastAsia" w:ascii="仿宋_GB2312" w:hAnsi="仿宋" w:eastAsia="仿宋_GB2312" w:cs="宋体"/>
                <w:b/>
                <w:bCs/>
                <w:sz w:val="18"/>
                <w:szCs w:val="18"/>
              </w:rPr>
              <w:t>房地产开发经营</w:t>
            </w:r>
          </w:p>
        </w:tc>
        <w:tc>
          <w:tcPr>
            <w:tcW w:w="1984" w:type="dxa"/>
            <w:tcBorders>
              <w:top w:val="nil"/>
              <w:left w:val="nil"/>
              <w:bottom w:val="single" w:color="auto" w:sz="4" w:space="0"/>
              <w:right w:val="single" w:color="auto" w:sz="4" w:space="0"/>
            </w:tcBorders>
            <w:noWrap/>
            <w:vAlign w:val="center"/>
          </w:tcPr>
          <w:p w14:paraId="0E90AAC5">
            <w:pPr>
              <w:widowControl/>
              <w:jc w:val="left"/>
              <w:rPr>
                <w:rFonts w:ascii="仿宋_GB2312" w:hAnsi="仿宋" w:eastAsia="仿宋_GB2312" w:cs="宋体"/>
                <w:sz w:val="18"/>
                <w:szCs w:val="18"/>
              </w:rPr>
            </w:pPr>
            <w:r>
              <w:rPr>
                <w:rFonts w:hint="eastAsia" w:ascii="仿宋_GB2312" w:hAnsi="仿宋" w:eastAsia="仿宋_GB2312" w:cs="宋体"/>
                <w:sz w:val="18"/>
                <w:szCs w:val="18"/>
              </w:rPr>
              <w:t>营业收入（Y）</w:t>
            </w:r>
          </w:p>
        </w:tc>
        <w:tc>
          <w:tcPr>
            <w:tcW w:w="851" w:type="dxa"/>
            <w:tcBorders>
              <w:top w:val="nil"/>
              <w:left w:val="nil"/>
              <w:bottom w:val="single" w:color="auto" w:sz="4" w:space="0"/>
              <w:right w:val="single" w:color="auto" w:sz="4" w:space="0"/>
            </w:tcBorders>
            <w:noWrap/>
            <w:vAlign w:val="center"/>
          </w:tcPr>
          <w:p w14:paraId="77F5FDC8">
            <w:pPr>
              <w:widowControl/>
              <w:jc w:val="left"/>
              <w:rPr>
                <w:rFonts w:ascii="仿宋_GB2312" w:hAnsi="仿宋" w:eastAsia="仿宋_GB2312" w:cs="宋体"/>
                <w:sz w:val="18"/>
                <w:szCs w:val="18"/>
              </w:rPr>
            </w:pPr>
            <w:r>
              <w:rPr>
                <w:rFonts w:hint="eastAsia" w:ascii="仿宋_GB2312" w:hAnsi="仿宋" w:eastAsia="仿宋_GB2312" w:cs="宋体"/>
                <w:sz w:val="18"/>
                <w:szCs w:val="18"/>
              </w:rPr>
              <w:t>万元</w:t>
            </w:r>
          </w:p>
        </w:tc>
        <w:tc>
          <w:tcPr>
            <w:tcW w:w="1842" w:type="dxa"/>
            <w:tcBorders>
              <w:top w:val="nil"/>
              <w:left w:val="nil"/>
              <w:bottom w:val="single" w:color="auto" w:sz="4" w:space="0"/>
              <w:right w:val="single" w:color="auto" w:sz="4" w:space="0"/>
            </w:tcBorders>
            <w:noWrap/>
            <w:vAlign w:val="center"/>
          </w:tcPr>
          <w:p w14:paraId="0AEF6BFF">
            <w:pPr>
              <w:widowControl/>
              <w:jc w:val="left"/>
              <w:rPr>
                <w:rFonts w:ascii="仿宋_GB2312" w:hAnsi="仿宋" w:eastAsia="仿宋_GB2312" w:cs="宋体"/>
                <w:sz w:val="18"/>
                <w:szCs w:val="18"/>
              </w:rPr>
            </w:pPr>
            <w:r>
              <w:rPr>
                <w:rFonts w:hint="eastAsia" w:ascii="仿宋_GB2312" w:hAnsi="仿宋" w:eastAsia="仿宋_GB2312" w:cs="宋体"/>
                <w:sz w:val="18"/>
                <w:szCs w:val="18"/>
              </w:rPr>
              <w:t>1000≤Y＜200000</w:t>
            </w:r>
          </w:p>
        </w:tc>
        <w:tc>
          <w:tcPr>
            <w:tcW w:w="1701" w:type="dxa"/>
            <w:tcBorders>
              <w:top w:val="nil"/>
              <w:left w:val="nil"/>
              <w:bottom w:val="single" w:color="auto" w:sz="4" w:space="0"/>
              <w:right w:val="single" w:color="auto" w:sz="4" w:space="0"/>
            </w:tcBorders>
            <w:noWrap/>
            <w:vAlign w:val="center"/>
          </w:tcPr>
          <w:p w14:paraId="3FBC2574">
            <w:pPr>
              <w:widowControl/>
              <w:jc w:val="left"/>
              <w:rPr>
                <w:rFonts w:ascii="仿宋_GB2312" w:hAnsi="仿宋" w:eastAsia="仿宋_GB2312" w:cs="宋体"/>
                <w:sz w:val="18"/>
                <w:szCs w:val="18"/>
              </w:rPr>
            </w:pPr>
            <w:r>
              <w:rPr>
                <w:rFonts w:hint="eastAsia" w:ascii="仿宋_GB2312" w:hAnsi="仿宋" w:eastAsia="仿宋_GB2312" w:cs="宋体"/>
                <w:sz w:val="18"/>
                <w:szCs w:val="18"/>
              </w:rPr>
              <w:t>100≤X＜1000</w:t>
            </w:r>
          </w:p>
        </w:tc>
        <w:tc>
          <w:tcPr>
            <w:tcW w:w="1134" w:type="dxa"/>
            <w:tcBorders>
              <w:top w:val="nil"/>
              <w:left w:val="nil"/>
              <w:bottom w:val="single" w:color="auto" w:sz="4" w:space="0"/>
              <w:right w:val="single" w:color="auto" w:sz="4" w:space="0"/>
            </w:tcBorders>
            <w:noWrap/>
            <w:vAlign w:val="center"/>
          </w:tcPr>
          <w:p w14:paraId="62B44281">
            <w:pPr>
              <w:widowControl/>
              <w:jc w:val="left"/>
              <w:rPr>
                <w:rFonts w:ascii="仿宋_GB2312" w:hAnsi="仿宋" w:eastAsia="仿宋_GB2312" w:cs="宋体"/>
                <w:sz w:val="18"/>
                <w:szCs w:val="18"/>
              </w:rPr>
            </w:pPr>
            <w:r>
              <w:rPr>
                <w:rFonts w:hint="eastAsia" w:ascii="仿宋_GB2312" w:hAnsi="仿宋" w:eastAsia="仿宋_GB2312" w:cs="宋体"/>
                <w:sz w:val="18"/>
                <w:szCs w:val="18"/>
              </w:rPr>
              <w:t>X＜100</w:t>
            </w:r>
          </w:p>
        </w:tc>
      </w:tr>
      <w:tr w14:paraId="35D8530E">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14:paraId="72DD198A">
            <w:pPr>
              <w:widowControl/>
              <w:jc w:val="left"/>
              <w:rPr>
                <w:rFonts w:ascii="仿宋_GB2312" w:hAnsi="仿宋" w:eastAsia="仿宋_GB2312" w:cs="宋体"/>
                <w:b/>
                <w:bCs/>
                <w:sz w:val="18"/>
                <w:szCs w:val="18"/>
              </w:rPr>
            </w:pPr>
          </w:p>
        </w:tc>
        <w:tc>
          <w:tcPr>
            <w:tcW w:w="1984" w:type="dxa"/>
            <w:tcBorders>
              <w:top w:val="nil"/>
              <w:left w:val="nil"/>
              <w:bottom w:val="single" w:color="auto" w:sz="4" w:space="0"/>
              <w:right w:val="single" w:color="auto" w:sz="4" w:space="0"/>
            </w:tcBorders>
            <w:noWrap/>
            <w:vAlign w:val="center"/>
          </w:tcPr>
          <w:p w14:paraId="38D8E5DF">
            <w:pPr>
              <w:widowControl/>
              <w:jc w:val="left"/>
              <w:rPr>
                <w:rFonts w:ascii="仿宋_GB2312" w:hAnsi="仿宋" w:eastAsia="仿宋_GB2312" w:cs="宋体"/>
                <w:sz w:val="18"/>
                <w:szCs w:val="18"/>
              </w:rPr>
            </w:pPr>
            <w:r>
              <w:rPr>
                <w:rFonts w:hint="eastAsia" w:ascii="仿宋_GB2312" w:hAnsi="仿宋" w:eastAsia="仿宋_GB2312" w:cs="宋体"/>
                <w:sz w:val="18"/>
                <w:szCs w:val="18"/>
              </w:rPr>
              <w:t>资产总额（Z）</w:t>
            </w:r>
          </w:p>
        </w:tc>
        <w:tc>
          <w:tcPr>
            <w:tcW w:w="851" w:type="dxa"/>
            <w:tcBorders>
              <w:top w:val="nil"/>
              <w:left w:val="nil"/>
              <w:bottom w:val="single" w:color="auto" w:sz="4" w:space="0"/>
              <w:right w:val="single" w:color="auto" w:sz="4" w:space="0"/>
            </w:tcBorders>
            <w:noWrap/>
            <w:vAlign w:val="center"/>
          </w:tcPr>
          <w:p w14:paraId="637C057C">
            <w:pPr>
              <w:widowControl/>
              <w:jc w:val="left"/>
              <w:rPr>
                <w:rFonts w:ascii="仿宋_GB2312" w:hAnsi="仿宋" w:eastAsia="仿宋_GB2312" w:cs="宋体"/>
                <w:sz w:val="18"/>
                <w:szCs w:val="18"/>
              </w:rPr>
            </w:pPr>
            <w:r>
              <w:rPr>
                <w:rFonts w:hint="eastAsia" w:ascii="仿宋_GB2312" w:hAnsi="仿宋" w:eastAsia="仿宋_GB2312" w:cs="宋体"/>
                <w:sz w:val="18"/>
                <w:szCs w:val="18"/>
              </w:rPr>
              <w:t>万元</w:t>
            </w:r>
          </w:p>
        </w:tc>
        <w:tc>
          <w:tcPr>
            <w:tcW w:w="1842" w:type="dxa"/>
            <w:tcBorders>
              <w:top w:val="nil"/>
              <w:left w:val="nil"/>
              <w:bottom w:val="single" w:color="auto" w:sz="4" w:space="0"/>
              <w:right w:val="single" w:color="auto" w:sz="4" w:space="0"/>
            </w:tcBorders>
            <w:noWrap/>
            <w:vAlign w:val="center"/>
          </w:tcPr>
          <w:p w14:paraId="46366151">
            <w:pPr>
              <w:widowControl/>
              <w:jc w:val="left"/>
              <w:rPr>
                <w:rFonts w:ascii="仿宋_GB2312" w:hAnsi="仿宋" w:eastAsia="仿宋_GB2312" w:cs="宋体"/>
                <w:sz w:val="18"/>
                <w:szCs w:val="18"/>
              </w:rPr>
            </w:pPr>
            <w:r>
              <w:rPr>
                <w:rFonts w:hint="eastAsia" w:ascii="仿宋_GB2312" w:hAnsi="仿宋" w:eastAsia="仿宋_GB2312" w:cs="宋体"/>
                <w:sz w:val="18"/>
                <w:szCs w:val="18"/>
              </w:rPr>
              <w:t>5000≤Z＜10000</w:t>
            </w:r>
          </w:p>
        </w:tc>
        <w:tc>
          <w:tcPr>
            <w:tcW w:w="1701" w:type="dxa"/>
            <w:tcBorders>
              <w:top w:val="nil"/>
              <w:left w:val="nil"/>
              <w:bottom w:val="single" w:color="auto" w:sz="4" w:space="0"/>
              <w:right w:val="single" w:color="auto" w:sz="4" w:space="0"/>
            </w:tcBorders>
            <w:noWrap/>
            <w:vAlign w:val="center"/>
          </w:tcPr>
          <w:p w14:paraId="4226A682">
            <w:pPr>
              <w:widowControl/>
              <w:jc w:val="left"/>
              <w:rPr>
                <w:rFonts w:ascii="仿宋_GB2312" w:hAnsi="仿宋" w:eastAsia="仿宋_GB2312" w:cs="宋体"/>
                <w:sz w:val="18"/>
                <w:szCs w:val="18"/>
              </w:rPr>
            </w:pPr>
            <w:r>
              <w:rPr>
                <w:rFonts w:hint="eastAsia" w:ascii="仿宋_GB2312" w:hAnsi="仿宋" w:eastAsia="仿宋_GB2312" w:cs="宋体"/>
                <w:sz w:val="18"/>
                <w:szCs w:val="18"/>
              </w:rPr>
              <w:t>2000≤Y＜5000</w:t>
            </w:r>
          </w:p>
        </w:tc>
        <w:tc>
          <w:tcPr>
            <w:tcW w:w="1134" w:type="dxa"/>
            <w:tcBorders>
              <w:top w:val="nil"/>
              <w:left w:val="nil"/>
              <w:bottom w:val="single" w:color="auto" w:sz="4" w:space="0"/>
              <w:right w:val="single" w:color="auto" w:sz="4" w:space="0"/>
            </w:tcBorders>
            <w:noWrap/>
            <w:vAlign w:val="center"/>
          </w:tcPr>
          <w:p w14:paraId="0B991550">
            <w:pPr>
              <w:widowControl/>
              <w:jc w:val="left"/>
              <w:rPr>
                <w:rFonts w:ascii="仿宋_GB2312" w:hAnsi="仿宋" w:eastAsia="仿宋_GB2312" w:cs="宋体"/>
                <w:sz w:val="18"/>
                <w:szCs w:val="18"/>
              </w:rPr>
            </w:pPr>
            <w:r>
              <w:rPr>
                <w:rFonts w:hint="eastAsia" w:ascii="仿宋_GB2312" w:hAnsi="仿宋" w:eastAsia="仿宋_GB2312" w:cs="宋体"/>
                <w:sz w:val="18"/>
                <w:szCs w:val="18"/>
              </w:rPr>
              <w:t>Y＜2000</w:t>
            </w:r>
          </w:p>
        </w:tc>
      </w:tr>
      <w:tr w14:paraId="7C7646FE">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ign w:val="bottom"/>
          </w:tcPr>
          <w:p w14:paraId="48665122">
            <w:pPr>
              <w:widowControl/>
              <w:jc w:val="center"/>
              <w:rPr>
                <w:rFonts w:ascii="仿宋_GB2312" w:hAnsi="仿宋" w:eastAsia="仿宋_GB2312" w:cs="宋体"/>
                <w:b/>
                <w:bCs/>
                <w:sz w:val="18"/>
                <w:szCs w:val="18"/>
              </w:rPr>
            </w:pPr>
            <w:r>
              <w:rPr>
                <w:rFonts w:hint="eastAsia" w:ascii="仿宋_GB2312" w:hAnsi="仿宋" w:eastAsia="仿宋_GB2312" w:cs="宋体"/>
                <w:b/>
                <w:bCs/>
                <w:sz w:val="18"/>
                <w:szCs w:val="18"/>
              </w:rPr>
              <w:t>物业管理</w:t>
            </w:r>
          </w:p>
        </w:tc>
        <w:tc>
          <w:tcPr>
            <w:tcW w:w="1984" w:type="dxa"/>
            <w:tcBorders>
              <w:top w:val="nil"/>
              <w:left w:val="nil"/>
              <w:bottom w:val="single" w:color="auto" w:sz="4" w:space="0"/>
              <w:right w:val="single" w:color="auto" w:sz="4" w:space="0"/>
            </w:tcBorders>
            <w:noWrap/>
            <w:vAlign w:val="center"/>
          </w:tcPr>
          <w:p w14:paraId="512E47D4">
            <w:pPr>
              <w:widowControl/>
              <w:jc w:val="left"/>
              <w:rPr>
                <w:rFonts w:ascii="仿宋_GB2312" w:hAnsi="仿宋" w:eastAsia="仿宋_GB2312" w:cs="宋体"/>
                <w:sz w:val="18"/>
                <w:szCs w:val="18"/>
              </w:rPr>
            </w:pPr>
            <w:r>
              <w:rPr>
                <w:rFonts w:hint="eastAsia" w:ascii="仿宋_GB2312" w:hAnsi="仿宋" w:eastAsia="仿宋_GB2312" w:cs="宋体"/>
                <w:sz w:val="18"/>
                <w:szCs w:val="18"/>
              </w:rPr>
              <w:t>从业人员（X）</w:t>
            </w:r>
          </w:p>
        </w:tc>
        <w:tc>
          <w:tcPr>
            <w:tcW w:w="851" w:type="dxa"/>
            <w:tcBorders>
              <w:top w:val="nil"/>
              <w:left w:val="nil"/>
              <w:bottom w:val="single" w:color="auto" w:sz="4" w:space="0"/>
              <w:right w:val="single" w:color="auto" w:sz="4" w:space="0"/>
            </w:tcBorders>
            <w:noWrap/>
            <w:vAlign w:val="center"/>
          </w:tcPr>
          <w:p w14:paraId="33865CDE">
            <w:pPr>
              <w:widowControl/>
              <w:jc w:val="left"/>
              <w:rPr>
                <w:rFonts w:ascii="仿宋_GB2312" w:hAnsi="仿宋" w:eastAsia="仿宋_GB2312" w:cs="宋体"/>
                <w:sz w:val="18"/>
                <w:szCs w:val="18"/>
              </w:rPr>
            </w:pPr>
            <w:r>
              <w:rPr>
                <w:rFonts w:hint="eastAsia" w:ascii="仿宋_GB2312" w:hAnsi="仿宋" w:eastAsia="仿宋_GB2312" w:cs="宋体"/>
                <w:sz w:val="18"/>
                <w:szCs w:val="18"/>
              </w:rPr>
              <w:t>人</w:t>
            </w:r>
          </w:p>
        </w:tc>
        <w:tc>
          <w:tcPr>
            <w:tcW w:w="1842" w:type="dxa"/>
            <w:tcBorders>
              <w:top w:val="nil"/>
              <w:left w:val="nil"/>
              <w:bottom w:val="single" w:color="auto" w:sz="4" w:space="0"/>
              <w:right w:val="single" w:color="auto" w:sz="4" w:space="0"/>
            </w:tcBorders>
            <w:noWrap/>
            <w:vAlign w:val="center"/>
          </w:tcPr>
          <w:p w14:paraId="3971322D">
            <w:pPr>
              <w:widowControl/>
              <w:jc w:val="left"/>
              <w:rPr>
                <w:rFonts w:ascii="仿宋_GB2312" w:hAnsi="仿宋" w:eastAsia="仿宋_GB2312" w:cs="宋体"/>
                <w:sz w:val="18"/>
                <w:szCs w:val="18"/>
              </w:rPr>
            </w:pPr>
            <w:r>
              <w:rPr>
                <w:rFonts w:hint="eastAsia" w:ascii="仿宋_GB2312" w:hAnsi="仿宋" w:eastAsia="仿宋_GB2312" w:cs="宋体"/>
                <w:sz w:val="18"/>
                <w:szCs w:val="18"/>
              </w:rPr>
              <w:t>300≤X＜1000</w:t>
            </w:r>
          </w:p>
        </w:tc>
        <w:tc>
          <w:tcPr>
            <w:tcW w:w="1701" w:type="dxa"/>
            <w:tcBorders>
              <w:top w:val="nil"/>
              <w:left w:val="nil"/>
              <w:bottom w:val="single" w:color="auto" w:sz="4" w:space="0"/>
              <w:right w:val="single" w:color="auto" w:sz="4" w:space="0"/>
            </w:tcBorders>
            <w:noWrap/>
            <w:vAlign w:val="center"/>
          </w:tcPr>
          <w:p w14:paraId="01AC7BE3">
            <w:pPr>
              <w:widowControl/>
              <w:jc w:val="left"/>
              <w:rPr>
                <w:rFonts w:ascii="仿宋_GB2312" w:hAnsi="仿宋" w:eastAsia="仿宋_GB2312" w:cs="宋体"/>
                <w:sz w:val="18"/>
                <w:szCs w:val="18"/>
              </w:rPr>
            </w:pPr>
            <w:r>
              <w:rPr>
                <w:rFonts w:hint="eastAsia" w:ascii="仿宋_GB2312" w:hAnsi="仿宋" w:eastAsia="仿宋_GB2312" w:cs="宋体"/>
                <w:sz w:val="18"/>
                <w:szCs w:val="18"/>
              </w:rPr>
              <w:t>100≤X＜300</w:t>
            </w:r>
          </w:p>
        </w:tc>
        <w:tc>
          <w:tcPr>
            <w:tcW w:w="1134" w:type="dxa"/>
            <w:tcBorders>
              <w:top w:val="nil"/>
              <w:left w:val="nil"/>
              <w:bottom w:val="single" w:color="auto" w:sz="4" w:space="0"/>
              <w:right w:val="single" w:color="auto" w:sz="4" w:space="0"/>
            </w:tcBorders>
            <w:noWrap/>
            <w:vAlign w:val="center"/>
          </w:tcPr>
          <w:p w14:paraId="4D877BDD">
            <w:pPr>
              <w:widowControl/>
              <w:jc w:val="left"/>
              <w:rPr>
                <w:rFonts w:ascii="仿宋_GB2312" w:hAnsi="仿宋" w:eastAsia="仿宋_GB2312" w:cs="宋体"/>
                <w:sz w:val="18"/>
                <w:szCs w:val="18"/>
              </w:rPr>
            </w:pPr>
            <w:r>
              <w:rPr>
                <w:rFonts w:hint="eastAsia" w:ascii="仿宋_GB2312" w:hAnsi="仿宋" w:eastAsia="仿宋_GB2312" w:cs="宋体"/>
                <w:sz w:val="18"/>
                <w:szCs w:val="18"/>
              </w:rPr>
              <w:t>X＜100</w:t>
            </w:r>
          </w:p>
        </w:tc>
      </w:tr>
      <w:tr w14:paraId="711B3A27">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14:paraId="524FF2A8">
            <w:pPr>
              <w:widowControl/>
              <w:jc w:val="left"/>
              <w:rPr>
                <w:rFonts w:ascii="仿宋_GB2312" w:hAnsi="仿宋" w:eastAsia="仿宋_GB2312" w:cs="宋体"/>
                <w:b/>
                <w:bCs/>
                <w:sz w:val="18"/>
                <w:szCs w:val="18"/>
              </w:rPr>
            </w:pPr>
          </w:p>
        </w:tc>
        <w:tc>
          <w:tcPr>
            <w:tcW w:w="1984" w:type="dxa"/>
            <w:tcBorders>
              <w:top w:val="nil"/>
              <w:left w:val="nil"/>
              <w:bottom w:val="single" w:color="auto" w:sz="4" w:space="0"/>
              <w:right w:val="single" w:color="auto" w:sz="4" w:space="0"/>
            </w:tcBorders>
            <w:noWrap/>
            <w:vAlign w:val="center"/>
          </w:tcPr>
          <w:p w14:paraId="3EA8554E">
            <w:pPr>
              <w:widowControl/>
              <w:jc w:val="left"/>
              <w:rPr>
                <w:rFonts w:ascii="仿宋_GB2312" w:hAnsi="仿宋" w:eastAsia="仿宋_GB2312" w:cs="宋体"/>
                <w:sz w:val="18"/>
                <w:szCs w:val="18"/>
              </w:rPr>
            </w:pPr>
            <w:r>
              <w:rPr>
                <w:rFonts w:hint="eastAsia" w:ascii="仿宋_GB2312" w:hAnsi="仿宋" w:eastAsia="仿宋_GB2312" w:cs="宋体"/>
                <w:sz w:val="18"/>
                <w:szCs w:val="18"/>
              </w:rPr>
              <w:t>营业收入（Y）</w:t>
            </w:r>
          </w:p>
        </w:tc>
        <w:tc>
          <w:tcPr>
            <w:tcW w:w="851" w:type="dxa"/>
            <w:tcBorders>
              <w:top w:val="nil"/>
              <w:left w:val="nil"/>
              <w:bottom w:val="single" w:color="auto" w:sz="4" w:space="0"/>
              <w:right w:val="single" w:color="auto" w:sz="4" w:space="0"/>
            </w:tcBorders>
            <w:noWrap/>
            <w:vAlign w:val="center"/>
          </w:tcPr>
          <w:p w14:paraId="7BDCF809">
            <w:pPr>
              <w:widowControl/>
              <w:jc w:val="left"/>
              <w:rPr>
                <w:rFonts w:ascii="仿宋_GB2312" w:hAnsi="仿宋" w:eastAsia="仿宋_GB2312" w:cs="宋体"/>
                <w:sz w:val="18"/>
                <w:szCs w:val="18"/>
              </w:rPr>
            </w:pPr>
            <w:r>
              <w:rPr>
                <w:rFonts w:hint="eastAsia" w:ascii="仿宋_GB2312" w:hAnsi="仿宋" w:eastAsia="仿宋_GB2312" w:cs="宋体"/>
                <w:sz w:val="18"/>
                <w:szCs w:val="18"/>
              </w:rPr>
              <w:t>万元</w:t>
            </w:r>
          </w:p>
        </w:tc>
        <w:tc>
          <w:tcPr>
            <w:tcW w:w="1842" w:type="dxa"/>
            <w:tcBorders>
              <w:top w:val="nil"/>
              <w:left w:val="nil"/>
              <w:bottom w:val="single" w:color="auto" w:sz="4" w:space="0"/>
              <w:right w:val="single" w:color="auto" w:sz="4" w:space="0"/>
            </w:tcBorders>
            <w:noWrap/>
            <w:vAlign w:val="center"/>
          </w:tcPr>
          <w:p w14:paraId="4C5A58C5">
            <w:pPr>
              <w:widowControl/>
              <w:jc w:val="left"/>
              <w:rPr>
                <w:rFonts w:ascii="仿宋_GB2312" w:hAnsi="仿宋" w:eastAsia="仿宋_GB2312" w:cs="宋体"/>
                <w:sz w:val="18"/>
                <w:szCs w:val="18"/>
              </w:rPr>
            </w:pPr>
            <w:r>
              <w:rPr>
                <w:rFonts w:hint="eastAsia" w:ascii="仿宋_GB2312" w:hAnsi="仿宋" w:eastAsia="仿宋_GB2312" w:cs="宋体"/>
                <w:sz w:val="18"/>
                <w:szCs w:val="18"/>
              </w:rPr>
              <w:t>1000≤Y＜5000</w:t>
            </w:r>
          </w:p>
        </w:tc>
        <w:tc>
          <w:tcPr>
            <w:tcW w:w="1701" w:type="dxa"/>
            <w:tcBorders>
              <w:top w:val="nil"/>
              <w:left w:val="nil"/>
              <w:bottom w:val="single" w:color="auto" w:sz="4" w:space="0"/>
              <w:right w:val="single" w:color="auto" w:sz="4" w:space="0"/>
            </w:tcBorders>
            <w:noWrap/>
            <w:vAlign w:val="center"/>
          </w:tcPr>
          <w:p w14:paraId="7C83C08F">
            <w:pPr>
              <w:widowControl/>
              <w:jc w:val="left"/>
              <w:rPr>
                <w:rFonts w:ascii="仿宋_GB2312" w:hAnsi="仿宋" w:eastAsia="仿宋_GB2312" w:cs="宋体"/>
                <w:sz w:val="18"/>
                <w:szCs w:val="18"/>
              </w:rPr>
            </w:pPr>
            <w:r>
              <w:rPr>
                <w:rFonts w:hint="eastAsia" w:ascii="仿宋_GB2312" w:hAnsi="仿宋" w:eastAsia="仿宋_GB2312" w:cs="宋体"/>
                <w:sz w:val="18"/>
                <w:szCs w:val="18"/>
              </w:rPr>
              <w:t>500≤Y＜1000</w:t>
            </w:r>
          </w:p>
        </w:tc>
        <w:tc>
          <w:tcPr>
            <w:tcW w:w="1134" w:type="dxa"/>
            <w:tcBorders>
              <w:top w:val="nil"/>
              <w:left w:val="nil"/>
              <w:bottom w:val="single" w:color="auto" w:sz="4" w:space="0"/>
              <w:right w:val="single" w:color="auto" w:sz="4" w:space="0"/>
            </w:tcBorders>
            <w:noWrap/>
            <w:vAlign w:val="center"/>
          </w:tcPr>
          <w:p w14:paraId="0E8CF9A9">
            <w:pPr>
              <w:widowControl/>
              <w:jc w:val="left"/>
              <w:rPr>
                <w:rFonts w:ascii="仿宋_GB2312" w:hAnsi="仿宋" w:eastAsia="仿宋_GB2312" w:cs="宋体"/>
                <w:sz w:val="18"/>
                <w:szCs w:val="18"/>
              </w:rPr>
            </w:pPr>
            <w:r>
              <w:rPr>
                <w:rFonts w:hint="eastAsia" w:ascii="仿宋_GB2312" w:hAnsi="仿宋" w:eastAsia="仿宋_GB2312" w:cs="宋体"/>
                <w:sz w:val="18"/>
                <w:szCs w:val="18"/>
              </w:rPr>
              <w:t>Y＜500</w:t>
            </w:r>
          </w:p>
        </w:tc>
      </w:tr>
      <w:tr w14:paraId="579B5956">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ign w:val="bottom"/>
          </w:tcPr>
          <w:p w14:paraId="04A5DC84">
            <w:pPr>
              <w:widowControl/>
              <w:jc w:val="center"/>
              <w:rPr>
                <w:rFonts w:ascii="仿宋_GB2312" w:hAnsi="仿宋" w:eastAsia="仿宋_GB2312" w:cs="宋体"/>
                <w:b/>
                <w:bCs/>
                <w:sz w:val="18"/>
                <w:szCs w:val="18"/>
              </w:rPr>
            </w:pPr>
            <w:r>
              <w:rPr>
                <w:rFonts w:hint="eastAsia" w:ascii="仿宋_GB2312" w:hAnsi="仿宋" w:eastAsia="仿宋_GB2312" w:cs="宋体"/>
                <w:b/>
                <w:bCs/>
                <w:sz w:val="18"/>
                <w:szCs w:val="18"/>
              </w:rPr>
              <w:t>租赁和商务服务业</w:t>
            </w:r>
          </w:p>
        </w:tc>
        <w:tc>
          <w:tcPr>
            <w:tcW w:w="1984" w:type="dxa"/>
            <w:tcBorders>
              <w:top w:val="nil"/>
              <w:left w:val="nil"/>
              <w:bottom w:val="single" w:color="auto" w:sz="4" w:space="0"/>
              <w:right w:val="single" w:color="auto" w:sz="4" w:space="0"/>
            </w:tcBorders>
            <w:noWrap/>
            <w:vAlign w:val="center"/>
          </w:tcPr>
          <w:p w14:paraId="3B588230">
            <w:pPr>
              <w:widowControl/>
              <w:jc w:val="left"/>
              <w:rPr>
                <w:rFonts w:ascii="仿宋_GB2312" w:hAnsi="仿宋" w:eastAsia="仿宋_GB2312" w:cs="宋体"/>
                <w:sz w:val="18"/>
                <w:szCs w:val="18"/>
              </w:rPr>
            </w:pPr>
            <w:r>
              <w:rPr>
                <w:rFonts w:hint="eastAsia" w:ascii="仿宋_GB2312" w:hAnsi="仿宋" w:eastAsia="仿宋_GB2312" w:cs="宋体"/>
                <w:sz w:val="18"/>
                <w:szCs w:val="18"/>
              </w:rPr>
              <w:t>从业人员（X）</w:t>
            </w:r>
          </w:p>
        </w:tc>
        <w:tc>
          <w:tcPr>
            <w:tcW w:w="851" w:type="dxa"/>
            <w:tcBorders>
              <w:top w:val="nil"/>
              <w:left w:val="nil"/>
              <w:bottom w:val="single" w:color="auto" w:sz="4" w:space="0"/>
              <w:right w:val="single" w:color="auto" w:sz="4" w:space="0"/>
            </w:tcBorders>
            <w:noWrap/>
            <w:vAlign w:val="center"/>
          </w:tcPr>
          <w:p w14:paraId="4CE47DA5">
            <w:pPr>
              <w:widowControl/>
              <w:jc w:val="left"/>
              <w:rPr>
                <w:rFonts w:ascii="仿宋_GB2312" w:hAnsi="仿宋" w:eastAsia="仿宋_GB2312" w:cs="宋体"/>
                <w:sz w:val="18"/>
                <w:szCs w:val="18"/>
              </w:rPr>
            </w:pPr>
            <w:r>
              <w:rPr>
                <w:rFonts w:hint="eastAsia" w:ascii="仿宋_GB2312" w:hAnsi="仿宋" w:eastAsia="仿宋_GB2312" w:cs="宋体"/>
                <w:sz w:val="18"/>
                <w:szCs w:val="18"/>
              </w:rPr>
              <w:t>人</w:t>
            </w:r>
          </w:p>
        </w:tc>
        <w:tc>
          <w:tcPr>
            <w:tcW w:w="1842" w:type="dxa"/>
            <w:tcBorders>
              <w:top w:val="nil"/>
              <w:left w:val="nil"/>
              <w:bottom w:val="single" w:color="auto" w:sz="4" w:space="0"/>
              <w:right w:val="single" w:color="auto" w:sz="4" w:space="0"/>
            </w:tcBorders>
            <w:noWrap/>
            <w:vAlign w:val="center"/>
          </w:tcPr>
          <w:p w14:paraId="05BF0D83">
            <w:pPr>
              <w:widowControl/>
              <w:jc w:val="left"/>
              <w:rPr>
                <w:rFonts w:ascii="仿宋_GB2312" w:hAnsi="仿宋" w:eastAsia="仿宋_GB2312" w:cs="宋体"/>
                <w:sz w:val="18"/>
                <w:szCs w:val="18"/>
              </w:rPr>
            </w:pPr>
            <w:r>
              <w:rPr>
                <w:rFonts w:hint="eastAsia" w:ascii="仿宋_GB2312" w:hAnsi="仿宋" w:eastAsia="仿宋_GB2312" w:cs="宋体"/>
                <w:sz w:val="18"/>
                <w:szCs w:val="18"/>
              </w:rPr>
              <w:t>100≤X＜300</w:t>
            </w:r>
          </w:p>
        </w:tc>
        <w:tc>
          <w:tcPr>
            <w:tcW w:w="1701" w:type="dxa"/>
            <w:tcBorders>
              <w:top w:val="nil"/>
              <w:left w:val="nil"/>
              <w:bottom w:val="single" w:color="auto" w:sz="4" w:space="0"/>
              <w:right w:val="single" w:color="auto" w:sz="4" w:space="0"/>
            </w:tcBorders>
            <w:noWrap/>
            <w:vAlign w:val="center"/>
          </w:tcPr>
          <w:p w14:paraId="79C10FFB">
            <w:pPr>
              <w:widowControl/>
              <w:jc w:val="left"/>
              <w:rPr>
                <w:rFonts w:ascii="仿宋_GB2312" w:hAnsi="仿宋" w:eastAsia="仿宋_GB2312" w:cs="宋体"/>
                <w:sz w:val="18"/>
                <w:szCs w:val="18"/>
              </w:rPr>
            </w:pPr>
            <w:r>
              <w:rPr>
                <w:rFonts w:hint="eastAsia" w:ascii="仿宋_GB2312" w:hAnsi="仿宋" w:eastAsia="仿宋_GB2312" w:cs="宋体"/>
                <w:sz w:val="18"/>
                <w:szCs w:val="18"/>
              </w:rPr>
              <w:t>10≤X＜100</w:t>
            </w:r>
          </w:p>
        </w:tc>
        <w:tc>
          <w:tcPr>
            <w:tcW w:w="1134" w:type="dxa"/>
            <w:tcBorders>
              <w:top w:val="nil"/>
              <w:left w:val="nil"/>
              <w:bottom w:val="single" w:color="auto" w:sz="4" w:space="0"/>
              <w:right w:val="single" w:color="auto" w:sz="4" w:space="0"/>
            </w:tcBorders>
            <w:noWrap/>
            <w:vAlign w:val="center"/>
          </w:tcPr>
          <w:p w14:paraId="7DF3A539">
            <w:pPr>
              <w:widowControl/>
              <w:jc w:val="left"/>
              <w:rPr>
                <w:rFonts w:ascii="仿宋_GB2312" w:hAnsi="仿宋" w:eastAsia="仿宋_GB2312" w:cs="宋体"/>
                <w:sz w:val="18"/>
                <w:szCs w:val="18"/>
              </w:rPr>
            </w:pPr>
            <w:r>
              <w:rPr>
                <w:rFonts w:hint="eastAsia" w:ascii="仿宋_GB2312" w:hAnsi="仿宋" w:eastAsia="仿宋_GB2312" w:cs="宋体"/>
                <w:sz w:val="18"/>
                <w:szCs w:val="18"/>
              </w:rPr>
              <w:t>X＜10</w:t>
            </w:r>
          </w:p>
        </w:tc>
      </w:tr>
      <w:tr w14:paraId="0C13CBDC">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14:paraId="73EB694C">
            <w:pPr>
              <w:widowControl/>
              <w:jc w:val="left"/>
              <w:rPr>
                <w:rFonts w:ascii="仿宋_GB2312" w:hAnsi="仿宋" w:eastAsia="仿宋_GB2312" w:cs="宋体"/>
                <w:b/>
                <w:bCs/>
                <w:sz w:val="18"/>
                <w:szCs w:val="18"/>
              </w:rPr>
            </w:pPr>
          </w:p>
        </w:tc>
        <w:tc>
          <w:tcPr>
            <w:tcW w:w="1984" w:type="dxa"/>
            <w:tcBorders>
              <w:top w:val="nil"/>
              <w:left w:val="nil"/>
              <w:bottom w:val="single" w:color="auto" w:sz="4" w:space="0"/>
              <w:right w:val="single" w:color="auto" w:sz="4" w:space="0"/>
            </w:tcBorders>
            <w:noWrap/>
            <w:vAlign w:val="center"/>
          </w:tcPr>
          <w:p w14:paraId="798978C0">
            <w:pPr>
              <w:widowControl/>
              <w:jc w:val="left"/>
              <w:rPr>
                <w:rFonts w:ascii="仿宋_GB2312" w:hAnsi="仿宋" w:eastAsia="仿宋_GB2312" w:cs="宋体"/>
                <w:sz w:val="18"/>
                <w:szCs w:val="18"/>
              </w:rPr>
            </w:pPr>
            <w:r>
              <w:rPr>
                <w:rFonts w:hint="eastAsia" w:ascii="仿宋_GB2312" w:hAnsi="仿宋" w:eastAsia="仿宋_GB2312" w:cs="宋体"/>
                <w:sz w:val="18"/>
                <w:szCs w:val="18"/>
              </w:rPr>
              <w:t>资产总额（Z）</w:t>
            </w:r>
          </w:p>
        </w:tc>
        <w:tc>
          <w:tcPr>
            <w:tcW w:w="851" w:type="dxa"/>
            <w:tcBorders>
              <w:top w:val="nil"/>
              <w:left w:val="nil"/>
              <w:bottom w:val="single" w:color="auto" w:sz="4" w:space="0"/>
              <w:right w:val="single" w:color="auto" w:sz="4" w:space="0"/>
            </w:tcBorders>
            <w:noWrap/>
            <w:vAlign w:val="center"/>
          </w:tcPr>
          <w:p w14:paraId="11714CD2">
            <w:pPr>
              <w:widowControl/>
              <w:jc w:val="left"/>
              <w:rPr>
                <w:rFonts w:ascii="仿宋_GB2312" w:hAnsi="仿宋" w:eastAsia="仿宋_GB2312" w:cs="宋体"/>
                <w:sz w:val="18"/>
                <w:szCs w:val="18"/>
              </w:rPr>
            </w:pPr>
            <w:r>
              <w:rPr>
                <w:rFonts w:hint="eastAsia" w:ascii="仿宋_GB2312" w:hAnsi="仿宋" w:eastAsia="仿宋_GB2312" w:cs="宋体"/>
                <w:sz w:val="18"/>
                <w:szCs w:val="18"/>
              </w:rPr>
              <w:t>万元</w:t>
            </w:r>
          </w:p>
        </w:tc>
        <w:tc>
          <w:tcPr>
            <w:tcW w:w="1842" w:type="dxa"/>
            <w:tcBorders>
              <w:top w:val="nil"/>
              <w:left w:val="nil"/>
              <w:bottom w:val="single" w:color="auto" w:sz="4" w:space="0"/>
              <w:right w:val="single" w:color="auto" w:sz="4" w:space="0"/>
            </w:tcBorders>
            <w:noWrap/>
            <w:vAlign w:val="center"/>
          </w:tcPr>
          <w:p w14:paraId="3C06DFA9">
            <w:pPr>
              <w:widowControl/>
              <w:jc w:val="left"/>
              <w:rPr>
                <w:rFonts w:ascii="仿宋_GB2312" w:hAnsi="仿宋" w:eastAsia="仿宋_GB2312" w:cs="宋体"/>
                <w:sz w:val="18"/>
                <w:szCs w:val="18"/>
              </w:rPr>
            </w:pPr>
            <w:r>
              <w:rPr>
                <w:rFonts w:hint="eastAsia" w:ascii="仿宋_GB2312" w:hAnsi="仿宋" w:eastAsia="仿宋_GB2312" w:cs="宋体"/>
                <w:sz w:val="18"/>
                <w:szCs w:val="18"/>
              </w:rPr>
              <w:t>8000≤Z＜120000</w:t>
            </w:r>
          </w:p>
        </w:tc>
        <w:tc>
          <w:tcPr>
            <w:tcW w:w="1701" w:type="dxa"/>
            <w:tcBorders>
              <w:top w:val="nil"/>
              <w:left w:val="nil"/>
              <w:bottom w:val="single" w:color="auto" w:sz="4" w:space="0"/>
              <w:right w:val="single" w:color="auto" w:sz="4" w:space="0"/>
            </w:tcBorders>
            <w:noWrap/>
            <w:vAlign w:val="center"/>
          </w:tcPr>
          <w:p w14:paraId="732665AC">
            <w:pPr>
              <w:widowControl/>
              <w:jc w:val="left"/>
              <w:rPr>
                <w:rFonts w:ascii="仿宋_GB2312" w:hAnsi="仿宋" w:eastAsia="仿宋_GB2312" w:cs="宋体"/>
                <w:sz w:val="18"/>
                <w:szCs w:val="18"/>
              </w:rPr>
            </w:pPr>
            <w:r>
              <w:rPr>
                <w:rFonts w:hint="eastAsia" w:ascii="仿宋_GB2312" w:hAnsi="仿宋" w:eastAsia="仿宋_GB2312" w:cs="宋体"/>
                <w:sz w:val="18"/>
                <w:szCs w:val="18"/>
              </w:rPr>
              <w:t>100≤Z＜8000</w:t>
            </w:r>
          </w:p>
        </w:tc>
        <w:tc>
          <w:tcPr>
            <w:tcW w:w="1134" w:type="dxa"/>
            <w:tcBorders>
              <w:top w:val="nil"/>
              <w:left w:val="nil"/>
              <w:bottom w:val="single" w:color="auto" w:sz="4" w:space="0"/>
              <w:right w:val="single" w:color="auto" w:sz="4" w:space="0"/>
            </w:tcBorders>
            <w:noWrap/>
            <w:vAlign w:val="center"/>
          </w:tcPr>
          <w:p w14:paraId="220322CD">
            <w:pPr>
              <w:widowControl/>
              <w:jc w:val="left"/>
              <w:rPr>
                <w:rFonts w:ascii="仿宋_GB2312" w:hAnsi="仿宋" w:eastAsia="仿宋_GB2312" w:cs="宋体"/>
                <w:sz w:val="18"/>
                <w:szCs w:val="18"/>
              </w:rPr>
            </w:pPr>
            <w:r>
              <w:rPr>
                <w:rFonts w:hint="eastAsia" w:ascii="仿宋_GB2312" w:hAnsi="仿宋" w:eastAsia="仿宋_GB2312" w:cs="宋体"/>
                <w:sz w:val="18"/>
                <w:szCs w:val="18"/>
              </w:rPr>
              <w:t>Y＜100</w:t>
            </w:r>
          </w:p>
        </w:tc>
      </w:tr>
      <w:tr w14:paraId="435C9D4F">
        <w:tblPrEx>
          <w:tblCellMar>
            <w:top w:w="0" w:type="dxa"/>
            <w:left w:w="108" w:type="dxa"/>
            <w:bottom w:w="0" w:type="dxa"/>
            <w:right w:w="108" w:type="dxa"/>
          </w:tblCellMar>
        </w:tblPrEx>
        <w:trPr>
          <w:trHeight w:val="225" w:hRule="atLeast"/>
        </w:trPr>
        <w:tc>
          <w:tcPr>
            <w:tcW w:w="1985" w:type="dxa"/>
            <w:tcBorders>
              <w:top w:val="nil"/>
              <w:left w:val="single" w:color="auto" w:sz="4" w:space="0"/>
              <w:bottom w:val="single" w:color="auto" w:sz="4" w:space="0"/>
              <w:right w:val="single" w:color="auto" w:sz="4" w:space="0"/>
            </w:tcBorders>
            <w:noWrap/>
            <w:vAlign w:val="bottom"/>
          </w:tcPr>
          <w:p w14:paraId="276C755F">
            <w:pPr>
              <w:widowControl/>
              <w:jc w:val="center"/>
              <w:rPr>
                <w:rFonts w:ascii="仿宋_GB2312" w:hAnsi="仿宋" w:eastAsia="仿宋_GB2312" w:cs="宋体"/>
                <w:b/>
                <w:bCs/>
                <w:sz w:val="18"/>
                <w:szCs w:val="18"/>
              </w:rPr>
            </w:pPr>
            <w:r>
              <w:rPr>
                <w:rFonts w:hint="eastAsia" w:ascii="仿宋_GB2312" w:hAnsi="仿宋" w:eastAsia="仿宋_GB2312" w:cs="宋体"/>
                <w:b/>
                <w:bCs/>
                <w:sz w:val="18"/>
                <w:szCs w:val="18"/>
              </w:rPr>
              <w:t>其他未列明行业</w:t>
            </w:r>
          </w:p>
        </w:tc>
        <w:tc>
          <w:tcPr>
            <w:tcW w:w="1984" w:type="dxa"/>
            <w:tcBorders>
              <w:top w:val="nil"/>
              <w:left w:val="nil"/>
              <w:bottom w:val="single" w:color="auto" w:sz="4" w:space="0"/>
              <w:right w:val="single" w:color="auto" w:sz="4" w:space="0"/>
            </w:tcBorders>
            <w:noWrap/>
            <w:vAlign w:val="center"/>
          </w:tcPr>
          <w:p w14:paraId="4CDC5982">
            <w:pPr>
              <w:widowControl/>
              <w:jc w:val="left"/>
              <w:rPr>
                <w:rFonts w:ascii="仿宋_GB2312" w:hAnsi="仿宋" w:eastAsia="仿宋_GB2312" w:cs="宋体"/>
                <w:sz w:val="18"/>
                <w:szCs w:val="18"/>
              </w:rPr>
            </w:pPr>
            <w:r>
              <w:rPr>
                <w:rFonts w:hint="eastAsia" w:ascii="仿宋_GB2312" w:hAnsi="仿宋" w:eastAsia="仿宋_GB2312" w:cs="宋体"/>
                <w:sz w:val="18"/>
                <w:szCs w:val="18"/>
              </w:rPr>
              <w:t>从业人员（X）</w:t>
            </w:r>
          </w:p>
        </w:tc>
        <w:tc>
          <w:tcPr>
            <w:tcW w:w="851" w:type="dxa"/>
            <w:tcBorders>
              <w:top w:val="nil"/>
              <w:left w:val="nil"/>
              <w:bottom w:val="single" w:color="auto" w:sz="4" w:space="0"/>
              <w:right w:val="single" w:color="auto" w:sz="4" w:space="0"/>
            </w:tcBorders>
            <w:noWrap/>
            <w:vAlign w:val="center"/>
          </w:tcPr>
          <w:p w14:paraId="69FD13AE">
            <w:pPr>
              <w:widowControl/>
              <w:jc w:val="left"/>
              <w:rPr>
                <w:rFonts w:ascii="仿宋_GB2312" w:hAnsi="仿宋" w:eastAsia="仿宋_GB2312" w:cs="宋体"/>
                <w:sz w:val="18"/>
                <w:szCs w:val="18"/>
              </w:rPr>
            </w:pPr>
            <w:r>
              <w:rPr>
                <w:rFonts w:hint="eastAsia" w:ascii="仿宋_GB2312" w:hAnsi="仿宋" w:eastAsia="仿宋_GB2312" w:cs="宋体"/>
                <w:sz w:val="18"/>
                <w:szCs w:val="18"/>
              </w:rPr>
              <w:t>人</w:t>
            </w:r>
          </w:p>
        </w:tc>
        <w:tc>
          <w:tcPr>
            <w:tcW w:w="1842" w:type="dxa"/>
            <w:tcBorders>
              <w:top w:val="nil"/>
              <w:left w:val="nil"/>
              <w:bottom w:val="single" w:color="auto" w:sz="4" w:space="0"/>
              <w:right w:val="single" w:color="auto" w:sz="4" w:space="0"/>
            </w:tcBorders>
            <w:noWrap/>
            <w:vAlign w:val="center"/>
          </w:tcPr>
          <w:p w14:paraId="5179AD2D">
            <w:pPr>
              <w:widowControl/>
              <w:jc w:val="left"/>
              <w:rPr>
                <w:rFonts w:ascii="仿宋_GB2312" w:hAnsi="仿宋" w:eastAsia="仿宋_GB2312" w:cs="宋体"/>
                <w:sz w:val="18"/>
                <w:szCs w:val="18"/>
              </w:rPr>
            </w:pPr>
            <w:r>
              <w:rPr>
                <w:rFonts w:hint="eastAsia" w:ascii="仿宋_GB2312" w:hAnsi="仿宋" w:eastAsia="仿宋_GB2312" w:cs="宋体"/>
                <w:sz w:val="18"/>
                <w:szCs w:val="18"/>
              </w:rPr>
              <w:t>100≤X＜300</w:t>
            </w:r>
          </w:p>
        </w:tc>
        <w:tc>
          <w:tcPr>
            <w:tcW w:w="1701" w:type="dxa"/>
            <w:tcBorders>
              <w:top w:val="nil"/>
              <w:left w:val="nil"/>
              <w:bottom w:val="single" w:color="auto" w:sz="4" w:space="0"/>
              <w:right w:val="single" w:color="auto" w:sz="4" w:space="0"/>
            </w:tcBorders>
            <w:noWrap/>
            <w:vAlign w:val="center"/>
          </w:tcPr>
          <w:p w14:paraId="42649658">
            <w:pPr>
              <w:widowControl/>
              <w:jc w:val="left"/>
              <w:rPr>
                <w:rFonts w:ascii="仿宋_GB2312" w:hAnsi="仿宋" w:eastAsia="仿宋_GB2312" w:cs="宋体"/>
                <w:sz w:val="18"/>
                <w:szCs w:val="18"/>
              </w:rPr>
            </w:pPr>
            <w:r>
              <w:rPr>
                <w:rFonts w:hint="eastAsia" w:ascii="仿宋_GB2312" w:hAnsi="仿宋" w:eastAsia="仿宋_GB2312" w:cs="宋体"/>
                <w:sz w:val="18"/>
                <w:szCs w:val="18"/>
              </w:rPr>
              <w:t>10≤X＜100</w:t>
            </w:r>
          </w:p>
        </w:tc>
        <w:tc>
          <w:tcPr>
            <w:tcW w:w="1134" w:type="dxa"/>
            <w:tcBorders>
              <w:top w:val="nil"/>
              <w:left w:val="nil"/>
              <w:bottom w:val="single" w:color="auto" w:sz="4" w:space="0"/>
              <w:right w:val="single" w:color="auto" w:sz="4" w:space="0"/>
            </w:tcBorders>
            <w:noWrap/>
            <w:vAlign w:val="center"/>
          </w:tcPr>
          <w:p w14:paraId="28C4A4DA">
            <w:pPr>
              <w:widowControl/>
              <w:jc w:val="left"/>
              <w:rPr>
                <w:rFonts w:ascii="仿宋_GB2312" w:hAnsi="仿宋" w:eastAsia="仿宋_GB2312" w:cs="宋体"/>
                <w:sz w:val="18"/>
                <w:szCs w:val="18"/>
              </w:rPr>
            </w:pPr>
            <w:r>
              <w:rPr>
                <w:rFonts w:hint="eastAsia" w:ascii="仿宋_GB2312" w:hAnsi="仿宋" w:eastAsia="仿宋_GB2312" w:cs="宋体"/>
                <w:sz w:val="18"/>
                <w:szCs w:val="18"/>
              </w:rPr>
              <w:t>X＜10</w:t>
            </w:r>
          </w:p>
        </w:tc>
      </w:tr>
    </w:tbl>
    <w:p w14:paraId="2D3B0896">
      <w:pPr>
        <w:spacing w:line="560" w:lineRule="exact"/>
        <w:ind w:firstLine="525"/>
        <w:rPr>
          <w:rFonts w:ascii="仿宋_GB2312" w:hAnsi="仿宋" w:eastAsia="仿宋_GB2312"/>
          <w:szCs w:val="21"/>
        </w:rPr>
      </w:pPr>
      <w:r>
        <w:rPr>
          <w:rFonts w:hint="eastAsia" w:ascii="仿宋_GB2312" w:hAnsi="仿宋" w:eastAsia="仿宋_GB2312"/>
          <w:szCs w:val="21"/>
        </w:rPr>
        <w:t>说明：上述标准参照《关于印发中小企业划型标准规定的通知》（工信部联企业[2011]300号），大型、中型和小型企业须同时满足所列指标的下限，否则下划一档；微型企业只须满足所列指标中的一项即可。</w:t>
      </w:r>
    </w:p>
    <w:p w14:paraId="2AB9AF1D">
      <w:pPr>
        <w:widowControl/>
        <w:jc w:val="left"/>
        <w:rPr>
          <w:rFonts w:ascii="宋体" w:hAnsi="宋体"/>
          <w:sz w:val="20"/>
          <w:szCs w:val="21"/>
        </w:rPr>
        <w:sectPr>
          <w:pgSz w:w="11906" w:h="16838"/>
          <w:pgMar w:top="1134" w:right="1134" w:bottom="1134" w:left="1134" w:header="720" w:footer="720" w:gutter="0"/>
          <w:cols w:space="1701" w:num="1"/>
        </w:sectPr>
      </w:pPr>
    </w:p>
    <w:p w14:paraId="4D45D121">
      <w:pPr>
        <w:keepNext/>
        <w:keepLines/>
        <w:spacing w:before="340" w:after="330" w:line="360" w:lineRule="auto"/>
        <w:contextualSpacing/>
        <w:jc w:val="center"/>
        <w:outlineLvl w:val="0"/>
        <w:rPr>
          <w:b/>
          <w:bCs/>
          <w:sz w:val="44"/>
          <w:szCs w:val="44"/>
        </w:rPr>
      </w:pPr>
      <w:bookmarkStart w:id="30" w:name="_Toc173510389"/>
      <w:r>
        <w:rPr>
          <w:rFonts w:hint="eastAsia" w:ascii="Cambria" w:hAnsi="Cambria"/>
          <w:b/>
          <w:sz w:val="32"/>
          <w:szCs w:val="32"/>
        </w:rPr>
        <w:t>第三章供应商须知</w:t>
      </w:r>
      <w:bookmarkEnd w:id="30"/>
    </w:p>
    <w:p w14:paraId="5FC9CECE">
      <w:pPr>
        <w:keepNext/>
        <w:keepLines/>
        <w:spacing w:before="260" w:after="260" w:line="360" w:lineRule="auto"/>
        <w:contextualSpacing/>
        <w:jc w:val="center"/>
        <w:outlineLvl w:val="1"/>
        <w:rPr>
          <w:rFonts w:ascii="宋体" w:hAnsi="宋体" w:cs="宋体"/>
          <w:bCs/>
          <w:sz w:val="32"/>
          <w:szCs w:val="32"/>
        </w:rPr>
      </w:pPr>
      <w:bookmarkStart w:id="31" w:name="_Toc173510390"/>
      <w:r>
        <w:rPr>
          <w:rFonts w:hint="eastAsia" w:ascii="宋体" w:hAnsi="宋体" w:cs="宋体"/>
          <w:bCs/>
          <w:sz w:val="32"/>
          <w:szCs w:val="32"/>
        </w:rPr>
        <w:t>第一节供应商须知前附表</w:t>
      </w:r>
      <w:bookmarkEnd w:id="31"/>
    </w:p>
    <w:tbl>
      <w:tblPr>
        <w:tblStyle w:val="32"/>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57"/>
        <w:gridCol w:w="1983"/>
        <w:gridCol w:w="6002"/>
      </w:tblGrid>
      <w:tr w14:paraId="7BFAC0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3" w:hRule="atLeast"/>
          <w:jc w:val="center"/>
        </w:trPr>
        <w:tc>
          <w:tcPr>
            <w:tcW w:w="535" w:type="pct"/>
            <w:tcBorders>
              <w:top w:val="single" w:color="000000" w:sz="4" w:space="0"/>
              <w:left w:val="single" w:color="000000" w:sz="4" w:space="0"/>
              <w:bottom w:val="single" w:color="000000" w:sz="4" w:space="0"/>
              <w:right w:val="single" w:color="000000" w:sz="4" w:space="0"/>
            </w:tcBorders>
          </w:tcPr>
          <w:p w14:paraId="48785096">
            <w:pPr>
              <w:spacing w:line="360" w:lineRule="auto"/>
              <w:jc w:val="center"/>
              <w:rPr>
                <w:rFonts w:ascii="宋体" w:hAnsi="宋体" w:cs="宋体"/>
                <w:b/>
                <w:szCs w:val="21"/>
              </w:rPr>
            </w:pPr>
            <w:r>
              <w:rPr>
                <w:rFonts w:hint="eastAsia" w:ascii="宋体" w:hAnsi="宋体" w:cs="宋体"/>
                <w:b/>
                <w:szCs w:val="21"/>
              </w:rPr>
              <w:t>条款号</w:t>
            </w:r>
          </w:p>
        </w:tc>
        <w:tc>
          <w:tcPr>
            <w:tcW w:w="1109" w:type="pct"/>
            <w:tcBorders>
              <w:top w:val="single" w:color="000000" w:sz="4" w:space="0"/>
              <w:left w:val="single" w:color="000000" w:sz="4" w:space="0"/>
              <w:bottom w:val="single" w:color="000000" w:sz="4" w:space="0"/>
              <w:right w:val="single" w:color="000000" w:sz="4" w:space="0"/>
            </w:tcBorders>
            <w:vAlign w:val="center"/>
          </w:tcPr>
          <w:p w14:paraId="7BD0096D">
            <w:pPr>
              <w:spacing w:line="360" w:lineRule="auto"/>
              <w:jc w:val="center"/>
              <w:rPr>
                <w:rFonts w:ascii="宋体" w:hAnsi="宋体" w:cs="宋体"/>
                <w:b/>
                <w:szCs w:val="21"/>
              </w:rPr>
            </w:pPr>
            <w:r>
              <w:rPr>
                <w:rFonts w:hint="eastAsia" w:ascii="宋体" w:hAnsi="宋体" w:cs="宋体"/>
                <w:b/>
                <w:szCs w:val="21"/>
              </w:rPr>
              <w:t>条款内容</w:t>
            </w:r>
          </w:p>
        </w:tc>
        <w:tc>
          <w:tcPr>
            <w:tcW w:w="3356" w:type="pct"/>
            <w:tcBorders>
              <w:top w:val="single" w:color="000000" w:sz="4" w:space="0"/>
              <w:left w:val="single" w:color="000000" w:sz="4" w:space="0"/>
              <w:bottom w:val="single" w:color="000000" w:sz="4" w:space="0"/>
              <w:right w:val="single" w:color="000000" w:sz="4" w:space="0"/>
            </w:tcBorders>
          </w:tcPr>
          <w:p w14:paraId="5594C895">
            <w:pPr>
              <w:spacing w:line="360" w:lineRule="auto"/>
              <w:jc w:val="center"/>
              <w:rPr>
                <w:rFonts w:ascii="宋体" w:hAnsi="宋体" w:cs="宋体"/>
                <w:b/>
                <w:szCs w:val="21"/>
              </w:rPr>
            </w:pPr>
            <w:r>
              <w:rPr>
                <w:rFonts w:hint="eastAsia" w:ascii="宋体" w:hAnsi="宋体" w:cs="宋体"/>
                <w:b/>
                <w:szCs w:val="21"/>
              </w:rPr>
              <w:t>具体要求</w:t>
            </w:r>
          </w:p>
        </w:tc>
      </w:tr>
      <w:tr w14:paraId="4AFF4F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3" w:hRule="atLeast"/>
          <w:jc w:val="center"/>
        </w:trPr>
        <w:tc>
          <w:tcPr>
            <w:tcW w:w="535" w:type="pct"/>
            <w:tcBorders>
              <w:top w:val="single" w:color="000000" w:sz="4" w:space="0"/>
              <w:left w:val="single" w:color="000000" w:sz="4" w:space="0"/>
              <w:bottom w:val="single" w:color="000000" w:sz="4" w:space="0"/>
              <w:right w:val="single" w:color="000000" w:sz="4" w:space="0"/>
            </w:tcBorders>
          </w:tcPr>
          <w:p w14:paraId="7E747810">
            <w:pPr>
              <w:spacing w:line="360" w:lineRule="auto"/>
              <w:rPr>
                <w:rFonts w:ascii="宋体" w:hAnsi="宋体" w:cs="宋体"/>
                <w:szCs w:val="21"/>
              </w:rPr>
            </w:pPr>
            <w:r>
              <w:rPr>
                <w:rFonts w:hint="eastAsia" w:ascii="宋体" w:hAnsi="宋体" w:cs="宋体"/>
                <w:szCs w:val="21"/>
              </w:rPr>
              <w:t>3.1</w:t>
            </w:r>
          </w:p>
        </w:tc>
        <w:tc>
          <w:tcPr>
            <w:tcW w:w="1109" w:type="pct"/>
            <w:tcBorders>
              <w:top w:val="single" w:color="000000" w:sz="4" w:space="0"/>
              <w:left w:val="single" w:color="000000" w:sz="4" w:space="0"/>
              <w:bottom w:val="single" w:color="000000" w:sz="4" w:space="0"/>
              <w:right w:val="single" w:color="000000" w:sz="4" w:space="0"/>
            </w:tcBorders>
            <w:vAlign w:val="center"/>
          </w:tcPr>
          <w:p w14:paraId="5A516BC2">
            <w:pPr>
              <w:spacing w:line="360" w:lineRule="auto"/>
              <w:jc w:val="center"/>
              <w:rPr>
                <w:rFonts w:ascii="宋体" w:hAnsi="宋体" w:cs="宋体"/>
                <w:szCs w:val="21"/>
              </w:rPr>
            </w:pPr>
            <w:r>
              <w:rPr>
                <w:rFonts w:hint="eastAsia" w:ascii="宋体" w:hAnsi="宋体" w:cs="宋体"/>
                <w:szCs w:val="21"/>
              </w:rPr>
              <w:t>供应商资格条件</w:t>
            </w:r>
          </w:p>
        </w:tc>
        <w:tc>
          <w:tcPr>
            <w:tcW w:w="3356" w:type="pct"/>
            <w:tcBorders>
              <w:top w:val="single" w:color="000000" w:sz="4" w:space="0"/>
              <w:left w:val="single" w:color="000000" w:sz="4" w:space="0"/>
              <w:bottom w:val="single" w:color="000000" w:sz="4" w:space="0"/>
              <w:right w:val="single" w:color="000000" w:sz="4" w:space="0"/>
            </w:tcBorders>
          </w:tcPr>
          <w:p w14:paraId="132B029B">
            <w:pPr>
              <w:spacing w:line="400" w:lineRule="exact"/>
              <w:rPr>
                <w:rFonts w:ascii="宋体" w:hAnsi="宋体" w:cs="宋体"/>
                <w:b/>
                <w:szCs w:val="21"/>
              </w:rPr>
            </w:pPr>
            <w:r>
              <w:rPr>
                <w:rFonts w:hint="eastAsia" w:ascii="宋体" w:hAnsi="宋体"/>
                <w:szCs w:val="21"/>
              </w:rPr>
              <w:t>供应商资格条件要求详见公告。</w:t>
            </w:r>
          </w:p>
        </w:tc>
      </w:tr>
      <w:tr w14:paraId="58CE94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35" w:type="pct"/>
            <w:tcBorders>
              <w:top w:val="single" w:color="000000" w:sz="4" w:space="0"/>
              <w:left w:val="single" w:color="000000" w:sz="4" w:space="0"/>
              <w:bottom w:val="single" w:color="000000" w:sz="4" w:space="0"/>
              <w:right w:val="single" w:color="000000" w:sz="4" w:space="0"/>
            </w:tcBorders>
            <w:vAlign w:val="center"/>
          </w:tcPr>
          <w:p w14:paraId="7463AF94">
            <w:pPr>
              <w:spacing w:line="360" w:lineRule="auto"/>
              <w:jc w:val="center"/>
              <w:rPr>
                <w:rFonts w:ascii="宋体" w:hAnsi="宋体" w:cs="宋体"/>
                <w:szCs w:val="21"/>
              </w:rPr>
            </w:pPr>
            <w:r>
              <w:rPr>
                <w:rFonts w:hint="eastAsia" w:ascii="宋体" w:hAnsi="宋体" w:cs="宋体"/>
                <w:szCs w:val="21"/>
              </w:rPr>
              <w:t>5.1</w:t>
            </w:r>
          </w:p>
        </w:tc>
        <w:tc>
          <w:tcPr>
            <w:tcW w:w="1109" w:type="pct"/>
            <w:tcBorders>
              <w:top w:val="single" w:color="000000" w:sz="4" w:space="0"/>
              <w:left w:val="single" w:color="000000" w:sz="4" w:space="0"/>
              <w:bottom w:val="single" w:color="000000" w:sz="4" w:space="0"/>
              <w:right w:val="single" w:color="000000" w:sz="4" w:space="0"/>
            </w:tcBorders>
            <w:vAlign w:val="center"/>
          </w:tcPr>
          <w:p w14:paraId="7ACAE18D">
            <w:pPr>
              <w:spacing w:line="360" w:lineRule="auto"/>
              <w:jc w:val="center"/>
              <w:rPr>
                <w:rFonts w:ascii="宋体" w:hAnsi="宋体" w:cs="宋体"/>
                <w:szCs w:val="21"/>
              </w:rPr>
            </w:pPr>
            <w:r>
              <w:rPr>
                <w:rFonts w:hint="eastAsia" w:ascii="宋体" w:hAnsi="宋体" w:cs="宋体"/>
                <w:szCs w:val="21"/>
              </w:rPr>
              <w:t>是否接受联合体竞标</w:t>
            </w:r>
          </w:p>
        </w:tc>
        <w:tc>
          <w:tcPr>
            <w:tcW w:w="3356" w:type="pct"/>
            <w:tcBorders>
              <w:top w:val="single" w:color="000000" w:sz="4" w:space="0"/>
              <w:left w:val="single" w:color="000000" w:sz="4" w:space="0"/>
              <w:bottom w:val="single" w:color="000000" w:sz="4" w:space="0"/>
              <w:right w:val="single" w:color="000000" w:sz="4" w:space="0"/>
            </w:tcBorders>
            <w:vAlign w:val="center"/>
          </w:tcPr>
          <w:p w14:paraId="76C261AE">
            <w:pPr>
              <w:spacing w:line="360" w:lineRule="auto"/>
              <w:rPr>
                <w:rFonts w:ascii="宋体" w:hAnsi="宋体" w:cs="宋体"/>
                <w:szCs w:val="21"/>
              </w:rPr>
            </w:pPr>
            <w:r>
              <w:rPr>
                <w:rFonts w:hint="eastAsia" w:ascii="宋体" w:hAnsi="宋体"/>
                <w:szCs w:val="21"/>
              </w:rPr>
              <w:t>□是/</w:t>
            </w:r>
            <w:r>
              <w:rPr>
                <w:rFonts w:hint="eastAsia" w:ascii="宋体" w:hAnsi="宋体"/>
                <w:b/>
                <w:szCs w:val="21"/>
              </w:rPr>
              <w:t>√</w:t>
            </w:r>
            <w:r>
              <w:rPr>
                <w:rFonts w:hint="eastAsia" w:ascii="宋体" w:hAnsi="宋体"/>
                <w:szCs w:val="21"/>
              </w:rPr>
              <w:t>否。</w:t>
            </w:r>
          </w:p>
        </w:tc>
      </w:tr>
      <w:tr w14:paraId="0E6303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35" w:type="pct"/>
            <w:tcBorders>
              <w:top w:val="single" w:color="000000" w:sz="4" w:space="0"/>
              <w:left w:val="single" w:color="000000" w:sz="4" w:space="0"/>
              <w:bottom w:val="single" w:color="000000" w:sz="4" w:space="0"/>
              <w:right w:val="single" w:color="000000" w:sz="4" w:space="0"/>
            </w:tcBorders>
            <w:vAlign w:val="center"/>
          </w:tcPr>
          <w:p w14:paraId="396CDF83">
            <w:pPr>
              <w:spacing w:line="360" w:lineRule="auto"/>
              <w:jc w:val="center"/>
              <w:rPr>
                <w:rFonts w:ascii="宋体" w:hAnsi="宋体" w:cs="宋体"/>
                <w:szCs w:val="21"/>
              </w:rPr>
            </w:pPr>
            <w:r>
              <w:rPr>
                <w:rFonts w:hint="eastAsia" w:ascii="宋体" w:hAnsi="宋体" w:cs="宋体"/>
                <w:szCs w:val="21"/>
              </w:rPr>
              <w:t>5.2</w:t>
            </w:r>
          </w:p>
        </w:tc>
        <w:tc>
          <w:tcPr>
            <w:tcW w:w="1109" w:type="pct"/>
            <w:tcBorders>
              <w:top w:val="single" w:color="000000" w:sz="4" w:space="0"/>
              <w:left w:val="single" w:color="000000" w:sz="4" w:space="0"/>
              <w:bottom w:val="single" w:color="000000" w:sz="4" w:space="0"/>
              <w:right w:val="single" w:color="000000" w:sz="4" w:space="0"/>
            </w:tcBorders>
            <w:vAlign w:val="center"/>
          </w:tcPr>
          <w:p w14:paraId="7E9DECDB">
            <w:pPr>
              <w:spacing w:line="360" w:lineRule="auto"/>
              <w:jc w:val="center"/>
              <w:rPr>
                <w:rFonts w:ascii="宋体" w:hAnsi="宋体" w:cs="宋体"/>
                <w:szCs w:val="21"/>
              </w:rPr>
            </w:pPr>
            <w:r>
              <w:rPr>
                <w:rFonts w:hint="eastAsia" w:ascii="宋体" w:hAnsi="宋体"/>
                <w:szCs w:val="21"/>
              </w:rPr>
              <w:t>联合体竞标要求</w:t>
            </w:r>
          </w:p>
        </w:tc>
        <w:tc>
          <w:tcPr>
            <w:tcW w:w="3356" w:type="pct"/>
            <w:tcBorders>
              <w:top w:val="single" w:color="000000" w:sz="4" w:space="0"/>
              <w:left w:val="single" w:color="000000" w:sz="4" w:space="0"/>
              <w:bottom w:val="single" w:color="000000" w:sz="4" w:space="0"/>
              <w:right w:val="single" w:color="000000" w:sz="4" w:space="0"/>
            </w:tcBorders>
            <w:vAlign w:val="center"/>
          </w:tcPr>
          <w:p w14:paraId="70C2A196">
            <w:pPr>
              <w:spacing w:line="360" w:lineRule="auto"/>
              <w:rPr>
                <w:rFonts w:ascii="宋体" w:hAnsi="宋体" w:cs="宋体"/>
                <w:szCs w:val="21"/>
              </w:rPr>
            </w:pPr>
            <w:r>
              <w:rPr>
                <w:rFonts w:hint="eastAsia" w:ascii="宋体" w:hAnsi="宋体" w:cs="宋体"/>
                <w:szCs w:val="21"/>
              </w:rPr>
              <w:t>无</w:t>
            </w:r>
          </w:p>
        </w:tc>
      </w:tr>
      <w:tr w14:paraId="442AA5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35" w:type="pct"/>
            <w:tcBorders>
              <w:top w:val="single" w:color="000000" w:sz="4" w:space="0"/>
              <w:left w:val="single" w:color="000000" w:sz="4" w:space="0"/>
              <w:bottom w:val="single" w:color="000000" w:sz="4" w:space="0"/>
              <w:right w:val="single" w:color="000000" w:sz="4" w:space="0"/>
            </w:tcBorders>
            <w:vAlign w:val="center"/>
          </w:tcPr>
          <w:p w14:paraId="26B80035">
            <w:pPr>
              <w:spacing w:line="360" w:lineRule="auto"/>
              <w:jc w:val="center"/>
              <w:rPr>
                <w:rFonts w:ascii="宋体" w:hAnsi="宋体" w:cs="宋体"/>
                <w:szCs w:val="21"/>
              </w:rPr>
            </w:pPr>
            <w:r>
              <w:rPr>
                <w:rFonts w:hint="eastAsia" w:ascii="宋体" w:hAnsi="宋体" w:cs="宋体"/>
                <w:szCs w:val="21"/>
              </w:rPr>
              <w:t>6.1</w:t>
            </w:r>
          </w:p>
        </w:tc>
        <w:tc>
          <w:tcPr>
            <w:tcW w:w="1109" w:type="pct"/>
            <w:tcBorders>
              <w:top w:val="single" w:color="000000" w:sz="4" w:space="0"/>
              <w:left w:val="single" w:color="000000" w:sz="4" w:space="0"/>
              <w:bottom w:val="single" w:color="000000" w:sz="4" w:space="0"/>
              <w:right w:val="single" w:color="000000" w:sz="4" w:space="0"/>
            </w:tcBorders>
            <w:vAlign w:val="center"/>
          </w:tcPr>
          <w:p w14:paraId="56C53266">
            <w:pPr>
              <w:spacing w:line="360" w:lineRule="auto"/>
              <w:jc w:val="center"/>
              <w:rPr>
                <w:rFonts w:ascii="宋体" w:hAnsi="宋体" w:cs="宋体"/>
                <w:szCs w:val="21"/>
              </w:rPr>
            </w:pPr>
            <w:r>
              <w:rPr>
                <w:rFonts w:hint="eastAsia" w:ascii="宋体" w:hAnsi="宋体" w:cs="宋体"/>
                <w:szCs w:val="21"/>
              </w:rPr>
              <w:t>是否允许分包</w:t>
            </w:r>
          </w:p>
        </w:tc>
        <w:tc>
          <w:tcPr>
            <w:tcW w:w="3356" w:type="pct"/>
            <w:tcBorders>
              <w:top w:val="single" w:color="000000" w:sz="4" w:space="0"/>
              <w:left w:val="single" w:color="000000" w:sz="4" w:space="0"/>
              <w:bottom w:val="single" w:color="000000" w:sz="4" w:space="0"/>
              <w:right w:val="single" w:color="000000" w:sz="4" w:space="0"/>
            </w:tcBorders>
            <w:vAlign w:val="center"/>
          </w:tcPr>
          <w:p w14:paraId="30E43730">
            <w:pPr>
              <w:spacing w:line="360" w:lineRule="auto"/>
              <w:jc w:val="left"/>
              <w:rPr>
                <w:rFonts w:ascii="宋体" w:hAnsi="宋体"/>
                <w:szCs w:val="21"/>
              </w:rPr>
            </w:pPr>
            <w:r>
              <w:rPr>
                <w:rFonts w:hint="eastAsia" w:ascii="宋体" w:hAnsi="宋体"/>
                <w:b/>
                <w:szCs w:val="21"/>
              </w:rPr>
              <w:t>√</w:t>
            </w:r>
            <w:r>
              <w:rPr>
                <w:rFonts w:hint="eastAsia" w:ascii="宋体" w:hAnsi="宋体"/>
                <w:szCs w:val="21"/>
              </w:rPr>
              <w:t>不允许分包</w:t>
            </w:r>
          </w:p>
          <w:p w14:paraId="1464EE45">
            <w:pPr>
              <w:spacing w:line="360" w:lineRule="auto"/>
              <w:jc w:val="left"/>
              <w:rPr>
                <w:rFonts w:ascii="宋体" w:hAnsi="宋体"/>
                <w:szCs w:val="21"/>
              </w:rPr>
            </w:pPr>
            <w:r>
              <w:rPr>
                <w:rFonts w:hint="eastAsia" w:ascii="宋体" w:hAnsi="宋体"/>
                <w:szCs w:val="21"/>
              </w:rPr>
              <w:t>□允许分包</w:t>
            </w:r>
          </w:p>
          <w:p w14:paraId="078A7F65">
            <w:pPr>
              <w:spacing w:line="360" w:lineRule="auto"/>
              <w:jc w:val="left"/>
              <w:rPr>
                <w:rFonts w:ascii="宋体" w:hAnsi="宋体"/>
                <w:szCs w:val="21"/>
                <w:u w:val="single"/>
              </w:rPr>
            </w:pPr>
            <w:r>
              <w:rPr>
                <w:rFonts w:hint="eastAsia" w:ascii="宋体" w:hAnsi="宋体"/>
                <w:szCs w:val="21"/>
              </w:rPr>
              <w:t>分包内容：</w:t>
            </w:r>
            <w:r>
              <w:rPr>
                <w:rFonts w:hint="eastAsia" w:ascii="宋体" w:hAnsi="宋体"/>
                <w:szCs w:val="21"/>
                <w:u w:val="single"/>
              </w:rPr>
              <w:t>。</w:t>
            </w:r>
          </w:p>
          <w:p w14:paraId="35055DD7">
            <w:pPr>
              <w:spacing w:line="360" w:lineRule="auto"/>
              <w:jc w:val="left"/>
              <w:rPr>
                <w:rFonts w:ascii="宋体" w:hAnsi="宋体" w:cs="宋体"/>
                <w:szCs w:val="21"/>
              </w:rPr>
            </w:pPr>
            <w:r>
              <w:rPr>
                <w:rFonts w:hint="eastAsia" w:ascii="宋体" w:hAnsi="宋体"/>
                <w:szCs w:val="21"/>
              </w:rPr>
              <w:t>分包金额或者比例：</w:t>
            </w:r>
            <w:r>
              <w:rPr>
                <w:rFonts w:hint="eastAsia" w:ascii="宋体" w:hAnsi="宋体"/>
                <w:szCs w:val="21"/>
                <w:u w:val="single"/>
              </w:rPr>
              <w:t>。</w:t>
            </w:r>
          </w:p>
        </w:tc>
      </w:tr>
      <w:tr w14:paraId="3B1A71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35" w:type="pct"/>
            <w:tcBorders>
              <w:top w:val="single" w:color="000000" w:sz="4" w:space="0"/>
              <w:left w:val="single" w:color="000000" w:sz="4" w:space="0"/>
              <w:bottom w:val="single" w:color="000000" w:sz="4" w:space="0"/>
              <w:right w:val="single" w:color="000000" w:sz="4" w:space="0"/>
            </w:tcBorders>
            <w:vAlign w:val="center"/>
          </w:tcPr>
          <w:p w14:paraId="5E8CBC2D">
            <w:pPr>
              <w:spacing w:line="360" w:lineRule="auto"/>
              <w:jc w:val="center"/>
              <w:rPr>
                <w:rFonts w:ascii="宋体" w:hAnsi="宋体" w:cs="宋体"/>
                <w:szCs w:val="21"/>
              </w:rPr>
            </w:pPr>
            <w:r>
              <w:rPr>
                <w:rFonts w:hint="eastAsia" w:ascii="宋体" w:hAnsi="宋体" w:cs="宋体"/>
                <w:szCs w:val="21"/>
              </w:rPr>
              <w:t>12.1.1</w:t>
            </w:r>
          </w:p>
        </w:tc>
        <w:tc>
          <w:tcPr>
            <w:tcW w:w="1109" w:type="pct"/>
            <w:tcBorders>
              <w:top w:val="single" w:color="000000" w:sz="4" w:space="0"/>
              <w:left w:val="single" w:color="000000" w:sz="4" w:space="0"/>
              <w:bottom w:val="single" w:color="000000" w:sz="4" w:space="0"/>
              <w:right w:val="single" w:color="000000" w:sz="4" w:space="0"/>
            </w:tcBorders>
            <w:vAlign w:val="center"/>
          </w:tcPr>
          <w:p w14:paraId="2DB5E571">
            <w:pPr>
              <w:spacing w:line="360" w:lineRule="auto"/>
              <w:jc w:val="center"/>
              <w:rPr>
                <w:rFonts w:ascii="宋体" w:hAnsi="宋体" w:cs="宋体"/>
                <w:b/>
                <w:szCs w:val="21"/>
              </w:rPr>
            </w:pPr>
            <w:r>
              <w:rPr>
                <w:rFonts w:hint="eastAsia" w:ascii="宋体" w:hAnsi="宋体" w:cs="宋体"/>
                <w:b/>
                <w:szCs w:val="21"/>
              </w:rPr>
              <w:t>资格证明文件组成</w:t>
            </w:r>
          </w:p>
          <w:p w14:paraId="24DB4A56">
            <w:pPr>
              <w:spacing w:line="360" w:lineRule="auto"/>
              <w:jc w:val="center"/>
              <w:rPr>
                <w:rFonts w:ascii="宋体" w:hAnsi="宋体" w:cs="宋体"/>
                <w:szCs w:val="21"/>
              </w:rPr>
            </w:pPr>
          </w:p>
        </w:tc>
        <w:tc>
          <w:tcPr>
            <w:tcW w:w="3356" w:type="pct"/>
            <w:tcBorders>
              <w:top w:val="single" w:color="000000" w:sz="4" w:space="0"/>
              <w:left w:val="single" w:color="000000" w:sz="4" w:space="0"/>
              <w:bottom w:val="single" w:color="000000" w:sz="4" w:space="0"/>
              <w:right w:val="single" w:color="000000" w:sz="4" w:space="0"/>
            </w:tcBorders>
            <w:vAlign w:val="center"/>
          </w:tcPr>
          <w:p w14:paraId="19351E7D">
            <w:pPr>
              <w:spacing w:line="360" w:lineRule="auto"/>
              <w:jc w:val="left"/>
              <w:rPr>
                <w:rFonts w:ascii="宋体" w:hAnsi="宋体"/>
                <w:szCs w:val="21"/>
              </w:rPr>
            </w:pPr>
            <w:r>
              <w:rPr>
                <w:rFonts w:hint="eastAsia" w:ascii="宋体" w:hAnsi="宋体" w:cs="宋体"/>
                <w:szCs w:val="21"/>
              </w:rPr>
              <w:t>1.供应商为法人或者其他组织的提供其营业执照等证明文件（如营业执照或者事业单位法人证书或者执业许可证等），供应商为自然人的提供其身份证复印件；（</w:t>
            </w:r>
            <w:r>
              <w:rPr>
                <w:rFonts w:hint="eastAsia" w:ascii="宋体" w:hAnsi="宋体" w:cs="宋体"/>
                <w:b/>
                <w:szCs w:val="21"/>
              </w:rPr>
              <w:t>必须提供，否则谈判文件按无效响应处理</w:t>
            </w:r>
            <w:r>
              <w:rPr>
                <w:rFonts w:hint="eastAsia" w:ascii="宋体" w:hAnsi="宋体" w:cs="宋体"/>
                <w:szCs w:val="21"/>
              </w:rPr>
              <w:t>）</w:t>
            </w:r>
          </w:p>
          <w:p w14:paraId="61DC2816">
            <w:pPr>
              <w:spacing w:line="360" w:lineRule="auto"/>
              <w:jc w:val="left"/>
              <w:rPr>
                <w:rFonts w:ascii="宋体" w:hAnsi="宋体"/>
                <w:szCs w:val="21"/>
              </w:rPr>
            </w:pPr>
            <w:r>
              <w:rPr>
                <w:rFonts w:hint="eastAsia" w:ascii="宋体" w:hAnsi="宋体" w:cs="宋体"/>
                <w:szCs w:val="21"/>
              </w:rPr>
              <w:t>2. 供应商依法缴纳税收的相关材料：[</w:t>
            </w:r>
            <w:r>
              <w:rPr>
                <w:rFonts w:hint="eastAsia" w:ascii="宋体" w:hAnsi="宋体" w:cs="宋体"/>
                <w:szCs w:val="21"/>
                <w:u w:val="single"/>
              </w:rPr>
              <w:t xml:space="preserve"> 2025</w:t>
            </w:r>
            <w:r>
              <w:rPr>
                <w:rFonts w:hint="eastAsia" w:ascii="宋体" w:hAnsi="宋体" w:cs="宋体"/>
                <w:szCs w:val="21"/>
              </w:rPr>
              <w:t>年</w:t>
            </w:r>
            <w:r>
              <w:rPr>
                <w:rFonts w:ascii="宋体" w:hAnsi="宋体" w:cs="宋体"/>
                <w:szCs w:val="21"/>
                <w:u w:val="single"/>
              </w:rPr>
              <w:t>1</w:t>
            </w:r>
            <w:r>
              <w:rPr>
                <w:rFonts w:hint="eastAsia" w:ascii="宋体" w:hAnsi="宋体" w:cs="宋体"/>
                <w:szCs w:val="21"/>
                <w:u w:val="single"/>
              </w:rPr>
              <w:t>2</w:t>
            </w:r>
            <w:r>
              <w:rPr>
                <w:rFonts w:hint="eastAsia" w:ascii="宋体" w:hAnsi="宋体" w:cs="宋体"/>
                <w:szCs w:val="21"/>
              </w:rPr>
              <w:t>月至</w:t>
            </w:r>
            <w:r>
              <w:rPr>
                <w:rFonts w:hint="eastAsia" w:ascii="宋体" w:hAnsi="宋体" w:cs="宋体"/>
                <w:szCs w:val="21"/>
                <w:u w:val="single"/>
              </w:rPr>
              <w:t xml:space="preserve"> 2026</w:t>
            </w:r>
            <w:r>
              <w:rPr>
                <w:rFonts w:hint="eastAsia" w:ascii="宋体" w:hAnsi="宋体" w:cs="宋体"/>
                <w:szCs w:val="21"/>
              </w:rPr>
              <w:t>年</w:t>
            </w:r>
            <w:r>
              <w:rPr>
                <w:rFonts w:hint="eastAsia" w:ascii="宋体" w:hAnsi="宋体" w:cs="宋体"/>
                <w:szCs w:val="21"/>
                <w:u w:val="single"/>
              </w:rPr>
              <w:t>5</w:t>
            </w:r>
            <w:r>
              <w:rPr>
                <w:rFonts w:hint="eastAsia" w:ascii="宋体" w:hAnsi="宋体" w:cs="宋体"/>
                <w:szCs w:val="21"/>
              </w:rPr>
              <w:t>月]连续</w:t>
            </w:r>
            <w:r>
              <w:rPr>
                <w:rFonts w:hint="eastAsia" w:ascii="宋体" w:hAnsi="宋体" w:cs="宋体"/>
                <w:szCs w:val="21"/>
                <w:u w:val="single"/>
              </w:rPr>
              <w:t>3</w:t>
            </w:r>
            <w:r>
              <w:rPr>
                <w:rFonts w:hint="eastAsia" w:ascii="宋体" w:hAnsi="宋体" w:cs="宋体"/>
                <w:szCs w:val="21"/>
              </w:rPr>
              <w:t>个月的依法缴纳税收的凭据复印件；依</w:t>
            </w:r>
            <w:r>
              <w:rPr>
                <w:rFonts w:hint="eastAsia" w:ascii="宋体" w:hAnsi="宋体"/>
                <w:szCs w:val="21"/>
              </w:rPr>
              <w:t>法免税的供应商，必须提供相应文件证明其依法免税。</w:t>
            </w:r>
            <w:r>
              <w:rPr>
                <w:rFonts w:hint="eastAsia" w:ascii="宋体" w:hAnsi="宋体" w:cs="宋体"/>
                <w:szCs w:val="21"/>
              </w:rPr>
              <w:t>从取得营业执照时间起到</w:t>
            </w:r>
            <w:r>
              <w:rPr>
                <w:rFonts w:hint="eastAsia" w:ascii="宋体" w:hAnsi="宋体" w:cs="仿宋"/>
                <w:szCs w:val="21"/>
                <w:lang w:bidi="ar"/>
              </w:rPr>
              <w:t>响应</w:t>
            </w:r>
            <w:r>
              <w:rPr>
                <w:rFonts w:hint="eastAsia" w:ascii="宋体" w:hAnsi="宋体" w:cs="宋体"/>
                <w:szCs w:val="21"/>
              </w:rPr>
              <w:t>文件提交截止时间为止不足要求月数的，只需提供从取得营业执照起的依法缴纳税收</w:t>
            </w:r>
            <w:r>
              <w:rPr>
                <w:rFonts w:hint="eastAsia" w:ascii="宋体" w:hAnsi="宋体"/>
                <w:szCs w:val="21"/>
              </w:rPr>
              <w:t>相应证明文件</w:t>
            </w:r>
            <w:r>
              <w:rPr>
                <w:rFonts w:hint="eastAsia" w:ascii="宋体" w:hAnsi="宋体" w:cs="宋体"/>
                <w:szCs w:val="21"/>
              </w:rPr>
              <w:t>）</w:t>
            </w:r>
            <w:r>
              <w:rPr>
                <w:rFonts w:hint="eastAsia" w:ascii="宋体" w:hAnsi="宋体"/>
                <w:szCs w:val="21"/>
              </w:rPr>
              <w:t>；（</w:t>
            </w:r>
            <w:r>
              <w:rPr>
                <w:rFonts w:hint="eastAsia" w:ascii="宋体" w:hAnsi="宋体"/>
                <w:b/>
                <w:szCs w:val="21"/>
              </w:rPr>
              <w:t>必须提供，否则作无效响应处理</w:t>
            </w:r>
            <w:r>
              <w:rPr>
                <w:rFonts w:hint="eastAsia" w:ascii="宋体" w:hAnsi="宋体"/>
                <w:szCs w:val="21"/>
              </w:rPr>
              <w:t>）</w:t>
            </w:r>
          </w:p>
          <w:p w14:paraId="758B70F5">
            <w:pPr>
              <w:spacing w:line="360" w:lineRule="auto"/>
              <w:jc w:val="left"/>
              <w:rPr>
                <w:rFonts w:ascii="宋体" w:hAnsi="宋体"/>
                <w:szCs w:val="21"/>
              </w:rPr>
            </w:pPr>
            <w:r>
              <w:rPr>
                <w:rFonts w:hint="eastAsia" w:ascii="宋体" w:hAnsi="宋体" w:cs="宋体"/>
                <w:szCs w:val="21"/>
              </w:rPr>
              <w:t>3.供应商依法缴纳社会保障资金的相关材料[</w:t>
            </w:r>
            <w:r>
              <w:rPr>
                <w:rFonts w:hint="eastAsia" w:ascii="宋体" w:hAnsi="宋体" w:cs="宋体"/>
                <w:szCs w:val="21"/>
                <w:u w:val="single"/>
              </w:rPr>
              <w:t xml:space="preserve"> 2025</w:t>
            </w:r>
            <w:r>
              <w:rPr>
                <w:rFonts w:hint="eastAsia" w:ascii="宋体" w:hAnsi="宋体" w:cs="宋体"/>
                <w:szCs w:val="21"/>
              </w:rPr>
              <w:t>年</w:t>
            </w:r>
            <w:r>
              <w:rPr>
                <w:rFonts w:ascii="宋体" w:hAnsi="宋体" w:cs="宋体"/>
                <w:szCs w:val="21"/>
                <w:u w:val="single"/>
              </w:rPr>
              <w:t>1</w:t>
            </w:r>
            <w:r>
              <w:rPr>
                <w:rFonts w:hint="eastAsia" w:ascii="宋体" w:hAnsi="宋体" w:cs="宋体"/>
                <w:szCs w:val="21"/>
                <w:u w:val="single"/>
              </w:rPr>
              <w:t>2</w:t>
            </w:r>
            <w:r>
              <w:rPr>
                <w:rFonts w:hint="eastAsia" w:ascii="宋体" w:hAnsi="宋体" w:cs="宋体"/>
                <w:szCs w:val="21"/>
              </w:rPr>
              <w:t>月至</w:t>
            </w:r>
            <w:r>
              <w:rPr>
                <w:rFonts w:hint="eastAsia" w:ascii="宋体" w:hAnsi="宋体" w:cs="宋体"/>
                <w:szCs w:val="21"/>
                <w:u w:val="single"/>
              </w:rPr>
              <w:t>2026</w:t>
            </w:r>
            <w:r>
              <w:rPr>
                <w:rFonts w:hint="eastAsia" w:ascii="宋体" w:hAnsi="宋体" w:cs="宋体"/>
                <w:szCs w:val="21"/>
              </w:rPr>
              <w:t>年</w:t>
            </w:r>
            <w:r>
              <w:rPr>
                <w:rFonts w:hint="eastAsia" w:ascii="宋体" w:hAnsi="宋体" w:cs="宋体"/>
                <w:szCs w:val="21"/>
                <w:u w:val="single"/>
              </w:rPr>
              <w:t>5</w:t>
            </w:r>
            <w:r>
              <w:rPr>
                <w:rFonts w:hint="eastAsia" w:ascii="宋体" w:hAnsi="宋体" w:cs="宋体"/>
                <w:szCs w:val="21"/>
              </w:rPr>
              <w:t>月]连续</w:t>
            </w:r>
            <w:r>
              <w:rPr>
                <w:rFonts w:hint="eastAsia" w:ascii="宋体" w:hAnsi="宋体" w:cs="宋体"/>
                <w:szCs w:val="21"/>
                <w:u w:val="single"/>
              </w:rPr>
              <w:t>3</w:t>
            </w:r>
            <w:r>
              <w:rPr>
                <w:rFonts w:hint="eastAsia" w:ascii="宋体" w:hAnsi="宋体" w:cs="宋体"/>
                <w:szCs w:val="21"/>
              </w:rPr>
              <w:t>个月的依法缴纳社会保障资金的缴费凭证（专用收据或者社会保险缴纳清单）复印件；</w:t>
            </w:r>
            <w:r>
              <w:rPr>
                <w:rFonts w:hint="eastAsia" w:ascii="宋体" w:hAnsi="宋体"/>
                <w:szCs w:val="21"/>
              </w:rPr>
              <w:t>依法不需要缴纳社会保障资金的供应商，必须提供相应文件证明不需要缴纳社会保障资金。</w:t>
            </w:r>
            <w:r>
              <w:rPr>
                <w:rFonts w:hint="eastAsia" w:ascii="宋体" w:hAnsi="宋体" w:cs="宋体"/>
                <w:szCs w:val="21"/>
              </w:rPr>
              <w:t>从取得营业执照时间起到响应文件提交截止时间为止不足要求月数的只需提供从取得营业执照起的依法缴纳社会保障资金的</w:t>
            </w:r>
            <w:r>
              <w:rPr>
                <w:rFonts w:hint="eastAsia" w:ascii="宋体" w:hAnsi="宋体"/>
                <w:szCs w:val="21"/>
              </w:rPr>
              <w:t>相应证明文件</w:t>
            </w:r>
            <w:r>
              <w:rPr>
                <w:rFonts w:hint="eastAsia" w:ascii="宋体" w:hAnsi="宋体" w:cs="宋体"/>
                <w:szCs w:val="21"/>
              </w:rPr>
              <w:t>]</w:t>
            </w:r>
            <w:r>
              <w:rPr>
                <w:rFonts w:hint="eastAsia" w:ascii="宋体" w:hAnsi="宋体"/>
                <w:szCs w:val="21"/>
              </w:rPr>
              <w:t>；（</w:t>
            </w:r>
            <w:r>
              <w:rPr>
                <w:rFonts w:hint="eastAsia" w:ascii="宋体" w:hAnsi="宋体"/>
                <w:b/>
                <w:szCs w:val="21"/>
              </w:rPr>
              <w:t>必须提供，否则作无效响应处理</w:t>
            </w:r>
            <w:r>
              <w:rPr>
                <w:rFonts w:hint="eastAsia" w:ascii="宋体" w:hAnsi="宋体"/>
                <w:szCs w:val="21"/>
              </w:rPr>
              <w:t>）</w:t>
            </w:r>
          </w:p>
          <w:p w14:paraId="241B144F">
            <w:pPr>
              <w:spacing w:line="380" w:lineRule="exact"/>
              <w:jc w:val="left"/>
              <w:rPr>
                <w:rFonts w:ascii="宋体" w:hAnsi="宋体"/>
                <w:szCs w:val="21"/>
              </w:rPr>
            </w:pPr>
            <w:r>
              <w:rPr>
                <w:rFonts w:hint="eastAsia" w:ascii="宋体" w:hAnsi="宋体" w:cs="宋体"/>
                <w:szCs w:val="21"/>
              </w:rPr>
              <w:t>4.供应商财务状况报告：</w:t>
            </w:r>
            <w:r>
              <w:rPr>
                <w:rFonts w:hint="eastAsia" w:ascii="宋体" w:hAnsi="宋体"/>
                <w:b/>
                <w:szCs w:val="21"/>
              </w:rPr>
              <w:t>2025年财务状况报告复印件；供应商成立不满一年的应按提供截标之日上一个月的财务状况报告复印件。（上述财务状况报告包括：供应商执行《企业会计准则》的，提供资产负债表、利润表、现金流量表、所有者权益变动表及其附注（以下称“四表一注”）；供应商执行《小企业会计准则》的，提供资产负债表、利润表、现金流量表及其附注（以下称“三表一注”）；供应商执行《政府会计制度》的，提供资产负债表、收入费用表和净资产变动表及其附注)</w:t>
            </w:r>
            <w:r>
              <w:rPr>
                <w:rFonts w:hint="eastAsia" w:ascii="宋体" w:hAnsi="宋体"/>
                <w:szCs w:val="21"/>
              </w:rPr>
              <w:t>。（</w:t>
            </w:r>
            <w:r>
              <w:rPr>
                <w:rFonts w:hint="eastAsia" w:ascii="宋体" w:hAnsi="宋体"/>
                <w:b/>
                <w:szCs w:val="21"/>
              </w:rPr>
              <w:t>必须按要求提供，否则作无效响应处理</w:t>
            </w:r>
            <w:r>
              <w:rPr>
                <w:rFonts w:hint="eastAsia" w:ascii="宋体" w:hAnsi="宋体"/>
                <w:szCs w:val="21"/>
              </w:rPr>
              <w:t>）</w:t>
            </w:r>
          </w:p>
          <w:p w14:paraId="5896D3ED">
            <w:pPr>
              <w:spacing w:line="380" w:lineRule="exact"/>
              <w:jc w:val="left"/>
              <w:rPr>
                <w:rFonts w:ascii="宋体" w:hAnsi="宋体"/>
                <w:szCs w:val="21"/>
              </w:rPr>
            </w:pPr>
          </w:p>
          <w:p w14:paraId="44BC2075">
            <w:pPr>
              <w:spacing w:line="360" w:lineRule="auto"/>
              <w:jc w:val="left"/>
              <w:rPr>
                <w:rFonts w:ascii="宋体" w:hAnsi="宋体" w:cs="宋体"/>
                <w:szCs w:val="21"/>
              </w:rPr>
            </w:pPr>
            <w:r>
              <w:rPr>
                <w:rFonts w:hint="eastAsia" w:ascii="宋体" w:hAnsi="宋体" w:cs="宋体"/>
                <w:szCs w:val="21"/>
              </w:rPr>
              <w:t>5.供应商直接控股、管理关系信息表；（</w:t>
            </w:r>
            <w:r>
              <w:rPr>
                <w:rFonts w:hint="eastAsia" w:ascii="宋体" w:hAnsi="宋体" w:cs="宋体"/>
                <w:b/>
                <w:szCs w:val="21"/>
              </w:rPr>
              <w:t>必须提供，否则响应文件按无效响应处理</w:t>
            </w:r>
            <w:r>
              <w:rPr>
                <w:rFonts w:hint="eastAsia" w:ascii="宋体" w:hAnsi="宋体" w:cs="宋体"/>
                <w:szCs w:val="21"/>
              </w:rPr>
              <w:t>）</w:t>
            </w:r>
          </w:p>
          <w:p w14:paraId="20F0C746">
            <w:pPr>
              <w:spacing w:line="360" w:lineRule="auto"/>
              <w:jc w:val="left"/>
              <w:rPr>
                <w:rFonts w:ascii="宋体" w:hAnsi="宋体" w:cs="宋体"/>
                <w:szCs w:val="21"/>
              </w:rPr>
            </w:pPr>
            <w:r>
              <w:rPr>
                <w:rFonts w:hint="eastAsia" w:ascii="宋体" w:hAnsi="宋体" w:cs="宋体"/>
                <w:szCs w:val="21"/>
              </w:rPr>
              <w:t>6.资格声明函；（</w:t>
            </w:r>
            <w:r>
              <w:rPr>
                <w:rFonts w:hint="eastAsia" w:ascii="宋体" w:hAnsi="宋体" w:cs="宋体"/>
                <w:b/>
                <w:szCs w:val="21"/>
              </w:rPr>
              <w:t>必须提供，否则响应文件按无效响应处理</w:t>
            </w:r>
            <w:r>
              <w:rPr>
                <w:rFonts w:hint="eastAsia" w:ascii="宋体" w:hAnsi="宋体" w:cs="宋体"/>
                <w:szCs w:val="21"/>
              </w:rPr>
              <w:t>）</w:t>
            </w:r>
          </w:p>
          <w:p w14:paraId="049CE456">
            <w:pPr>
              <w:spacing w:line="400" w:lineRule="exact"/>
              <w:jc w:val="left"/>
              <w:rPr>
                <w:rFonts w:ascii="宋体" w:hAnsi="宋体"/>
                <w:szCs w:val="21"/>
              </w:rPr>
            </w:pPr>
            <w:r>
              <w:rPr>
                <w:rFonts w:hint="eastAsia" w:ascii="宋体" w:hAnsi="宋体"/>
                <w:szCs w:val="21"/>
              </w:rPr>
              <w:t xml:space="preserve"> 7.</w:t>
            </w:r>
            <w:r>
              <w:rPr>
                <w:rFonts w:hint="eastAsia" w:ascii="宋体" w:hAnsi="宋体"/>
                <w:b/>
              </w:rPr>
              <w:t>本项目为</w:t>
            </w:r>
            <w:r>
              <w:rPr>
                <w:rFonts w:hint="eastAsia" w:ascii="宋体" w:hAnsi="宋体"/>
                <w:b/>
                <w:szCs w:val="21"/>
              </w:rPr>
              <w:t>中小</w:t>
            </w:r>
            <w:r>
              <w:rPr>
                <w:rFonts w:hint="eastAsia" w:ascii="宋体" w:hAnsi="宋体"/>
                <w:b/>
              </w:rPr>
              <w:t>企业预留项目，参加本项目的供应商所投产品制造商必须为中型、小型、微型企业，或监狱企业，或残疾人福利性单位，否则竞标无效。供应商应符合以上其中一项资格，并根据</w:t>
            </w:r>
            <w:r>
              <w:rPr>
                <w:rFonts w:hint="eastAsia" w:ascii="宋体" w:hAnsi="宋体" w:cs="宋体"/>
                <w:b/>
              </w:rPr>
              <w:t>情况提供材料</w:t>
            </w:r>
            <w:r>
              <w:rPr>
                <w:rFonts w:hint="eastAsia" w:ascii="宋体" w:hAnsi="宋体" w:cs="宋体"/>
              </w:rPr>
              <w:t>（</w:t>
            </w:r>
            <w:r>
              <w:rPr>
                <w:rFonts w:hint="eastAsia" w:ascii="宋体" w:hAnsi="宋体" w:cs="宋体"/>
                <w:b/>
              </w:rPr>
              <w:t>必须提供，</w:t>
            </w:r>
            <w:r>
              <w:rPr>
                <w:rFonts w:hint="eastAsia" w:ascii="宋体" w:hAnsi="宋体" w:cs="宋体"/>
                <w:b/>
                <w:szCs w:val="21"/>
              </w:rPr>
              <w:t>否则响应文件按无效响应处理</w:t>
            </w:r>
            <w:r>
              <w:rPr>
                <w:rFonts w:hint="eastAsia" w:ascii="宋体" w:hAnsi="宋体"/>
              </w:rPr>
              <w:t>）：</w:t>
            </w:r>
          </w:p>
          <w:p w14:paraId="69157A2E">
            <w:pPr>
              <w:spacing w:line="400" w:lineRule="exact"/>
              <w:ind w:firstLine="420"/>
              <w:jc w:val="left"/>
              <w:rPr>
                <w:rFonts w:ascii="宋体" w:hAnsi="宋体"/>
              </w:rPr>
            </w:pPr>
            <w:r>
              <w:fldChar w:fldCharType="begin"/>
            </w:r>
            <w:r>
              <w:rPr>
                <w:rFonts w:hint="eastAsia" w:ascii="宋体" w:hAnsi="宋体"/>
              </w:rPr>
              <w:instrText xml:space="preserve"> = 1 \* GB3 </w:instrText>
            </w:r>
            <w:r>
              <w:fldChar w:fldCharType="separate"/>
            </w:r>
            <w:r>
              <w:rPr>
                <w:rFonts w:hint="eastAsia" w:ascii="宋体" w:hAnsi="宋体"/>
              </w:rPr>
              <w:t>①</w:t>
            </w:r>
            <w:r>
              <w:fldChar w:fldCharType="end"/>
            </w:r>
            <w:r>
              <w:rPr>
                <w:rFonts w:hint="eastAsia" w:ascii="宋体" w:hAnsi="宋体"/>
              </w:rPr>
              <w:t>《中小企业声明函》（格式后附）；</w:t>
            </w:r>
          </w:p>
          <w:p w14:paraId="4C991018">
            <w:pPr>
              <w:spacing w:line="400" w:lineRule="exact"/>
              <w:ind w:firstLine="420"/>
              <w:jc w:val="left"/>
              <w:rPr>
                <w:rFonts w:ascii="宋体" w:hAnsi="宋体"/>
              </w:rPr>
            </w:pPr>
            <w:r>
              <w:fldChar w:fldCharType="begin"/>
            </w:r>
            <w:r>
              <w:rPr>
                <w:rFonts w:hint="eastAsia" w:ascii="宋体" w:hAnsi="宋体"/>
              </w:rPr>
              <w:instrText xml:space="preserve"> = 2 \* GB3 </w:instrText>
            </w:r>
            <w:r>
              <w:fldChar w:fldCharType="separate"/>
            </w:r>
            <w:r>
              <w:rPr>
                <w:rFonts w:hint="eastAsia" w:ascii="宋体" w:hAnsi="宋体"/>
              </w:rPr>
              <w:t>②</w:t>
            </w:r>
            <w:r>
              <w:fldChar w:fldCharType="end"/>
            </w:r>
            <w:r>
              <w:rPr>
                <w:rFonts w:hint="eastAsia" w:ascii="宋体" w:hAnsi="宋体"/>
              </w:rPr>
              <w:t>《残疾人福利性单位声明函》（格式后附）；</w:t>
            </w:r>
          </w:p>
          <w:p w14:paraId="36F5375C">
            <w:pPr>
              <w:spacing w:line="400" w:lineRule="exact"/>
              <w:ind w:firstLine="420"/>
              <w:jc w:val="left"/>
              <w:rPr>
                <w:rFonts w:hAnsi="宋体"/>
              </w:rPr>
            </w:pPr>
            <w:r>
              <w:fldChar w:fldCharType="begin"/>
            </w:r>
            <w:r>
              <w:rPr>
                <w:rFonts w:hAnsi="宋体"/>
              </w:rPr>
              <w:instrText xml:space="preserve"> = 3 \* GB3 </w:instrText>
            </w:r>
            <w:r>
              <w:fldChar w:fldCharType="separate"/>
            </w:r>
            <w:r>
              <w:rPr>
                <w:rFonts w:hint="eastAsia" w:hAnsi="宋体"/>
              </w:rPr>
              <w:t>③</w:t>
            </w:r>
            <w:r>
              <w:fldChar w:fldCharType="end"/>
            </w:r>
            <w:r>
              <w:rPr>
                <w:rFonts w:hint="eastAsia" w:hAnsi="宋体"/>
              </w:rPr>
              <w:t>由省级或以上监狱管理局、戒毒管理局（含新疆生产建设兵团）出具的属于监狱企业的证明文件。</w:t>
            </w:r>
          </w:p>
          <w:p w14:paraId="6034AA81">
            <w:pPr>
              <w:spacing w:line="400" w:lineRule="exact"/>
              <w:ind w:firstLine="422"/>
              <w:jc w:val="left"/>
              <w:rPr>
                <w:rFonts w:ascii="宋体" w:hAnsi="宋体"/>
                <w:b/>
                <w:szCs w:val="21"/>
              </w:rPr>
            </w:pPr>
          </w:p>
          <w:p w14:paraId="3F788341">
            <w:pPr>
              <w:spacing w:line="360" w:lineRule="auto"/>
              <w:jc w:val="left"/>
              <w:rPr>
                <w:rFonts w:ascii="宋体" w:hAnsi="宋体" w:cs="宋体"/>
                <w:szCs w:val="21"/>
              </w:rPr>
            </w:pPr>
            <w:r>
              <w:rPr>
                <w:rFonts w:hint="eastAsia" w:ascii="宋体" w:hAnsi="宋体" w:cs="宋体"/>
                <w:szCs w:val="21"/>
              </w:rPr>
              <w:t>8.除谈判文件规定必须提供以外，供应商认为需要提供的其他证明材料；</w:t>
            </w:r>
          </w:p>
          <w:p w14:paraId="44F18482">
            <w:pPr>
              <w:spacing w:line="360" w:lineRule="auto"/>
              <w:jc w:val="left"/>
              <w:rPr>
                <w:rFonts w:ascii="宋体" w:hAnsi="宋体" w:cs="宋体"/>
                <w:b/>
                <w:szCs w:val="21"/>
              </w:rPr>
            </w:pPr>
            <w:r>
              <w:rPr>
                <w:rFonts w:hint="eastAsia" w:ascii="宋体" w:hAnsi="宋体" w:cs="宋体"/>
                <w:b/>
                <w:szCs w:val="21"/>
              </w:rPr>
              <w:t>注：</w:t>
            </w:r>
          </w:p>
          <w:p w14:paraId="5598B0A0">
            <w:pPr>
              <w:spacing w:line="360" w:lineRule="auto"/>
              <w:ind w:firstLine="413"/>
              <w:jc w:val="left"/>
              <w:rPr>
                <w:rFonts w:ascii="宋体" w:hAnsi="宋体" w:cs="宋体"/>
                <w:b/>
                <w:szCs w:val="21"/>
              </w:rPr>
            </w:pPr>
            <w:r>
              <w:rPr>
                <w:rFonts w:hint="eastAsia" w:ascii="宋体" w:hAnsi="宋体" w:cs="宋体"/>
                <w:b/>
                <w:szCs w:val="21"/>
              </w:rPr>
              <w:t>1.以上标明“必须提供”的材料属于复印件的扫描件的，必须加盖供应商电子公章，否则响应文件按无效响应处理。</w:t>
            </w:r>
          </w:p>
          <w:p w14:paraId="61188C93">
            <w:pPr>
              <w:spacing w:line="360" w:lineRule="auto"/>
              <w:ind w:firstLine="422"/>
              <w:jc w:val="left"/>
              <w:rPr>
                <w:rFonts w:ascii="宋体" w:hAnsi="宋体" w:cs="宋体"/>
                <w:b/>
                <w:szCs w:val="21"/>
              </w:rPr>
            </w:pPr>
            <w:r>
              <w:rPr>
                <w:rFonts w:hint="eastAsia" w:ascii="宋体" w:hAnsi="宋体" w:cs="宋体"/>
                <w:b/>
                <w:szCs w:val="21"/>
              </w:rPr>
              <w:t>2.联合体竞标时，第1-5项资格证明文件联合体各方均必须分别提供，联合体各方分别盖章和签字，否则响应文件按无效响应处理。</w:t>
            </w:r>
          </w:p>
        </w:tc>
      </w:tr>
      <w:tr w14:paraId="0F3132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35" w:type="pct"/>
            <w:vMerge w:val="restart"/>
            <w:tcBorders>
              <w:top w:val="single" w:color="000000" w:sz="4" w:space="0"/>
              <w:left w:val="single" w:color="000000" w:sz="4" w:space="0"/>
              <w:bottom w:val="single" w:color="000000" w:sz="4" w:space="0"/>
              <w:right w:val="single" w:color="000000" w:sz="4" w:space="0"/>
            </w:tcBorders>
            <w:vAlign w:val="center"/>
          </w:tcPr>
          <w:p w14:paraId="217AB7FF">
            <w:pPr>
              <w:spacing w:line="360" w:lineRule="auto"/>
              <w:jc w:val="center"/>
              <w:rPr>
                <w:rFonts w:ascii="宋体" w:hAnsi="宋体" w:cs="宋体"/>
                <w:szCs w:val="21"/>
              </w:rPr>
            </w:pPr>
            <w:r>
              <w:rPr>
                <w:rFonts w:hint="eastAsia" w:ascii="宋体" w:hAnsi="宋体" w:cs="宋体"/>
                <w:szCs w:val="21"/>
              </w:rPr>
              <w:t>12.1.2</w:t>
            </w:r>
          </w:p>
        </w:tc>
        <w:tc>
          <w:tcPr>
            <w:tcW w:w="1109" w:type="pct"/>
            <w:tcBorders>
              <w:top w:val="single" w:color="000000" w:sz="4" w:space="0"/>
              <w:left w:val="single" w:color="000000" w:sz="4" w:space="0"/>
              <w:bottom w:val="single" w:color="000000" w:sz="4" w:space="0"/>
              <w:right w:val="single" w:color="000000" w:sz="4" w:space="0"/>
            </w:tcBorders>
            <w:vAlign w:val="center"/>
          </w:tcPr>
          <w:p w14:paraId="2E9EE2A5">
            <w:pPr>
              <w:spacing w:line="360" w:lineRule="auto"/>
              <w:jc w:val="center"/>
              <w:rPr>
                <w:rFonts w:ascii="宋体" w:hAnsi="宋体" w:cs="宋体"/>
                <w:b/>
                <w:bCs/>
                <w:szCs w:val="21"/>
              </w:rPr>
            </w:pPr>
            <w:r>
              <w:rPr>
                <w:rFonts w:hint="eastAsia" w:ascii="宋体" w:hAnsi="宋体" w:cs="宋体"/>
                <w:b/>
                <w:bCs/>
                <w:szCs w:val="21"/>
              </w:rPr>
              <w:t>商务文件组成</w:t>
            </w:r>
          </w:p>
        </w:tc>
        <w:tc>
          <w:tcPr>
            <w:tcW w:w="3356" w:type="pct"/>
            <w:tcBorders>
              <w:top w:val="single" w:color="000000" w:sz="4" w:space="0"/>
              <w:left w:val="single" w:color="000000" w:sz="4" w:space="0"/>
              <w:bottom w:val="single" w:color="000000" w:sz="4" w:space="0"/>
              <w:right w:val="single" w:color="000000" w:sz="4" w:space="0"/>
            </w:tcBorders>
            <w:vAlign w:val="center"/>
          </w:tcPr>
          <w:p w14:paraId="017C26D3">
            <w:pPr>
              <w:spacing w:line="360" w:lineRule="auto"/>
              <w:rPr>
                <w:rFonts w:ascii="宋体" w:hAnsi="宋体" w:cs="宋体"/>
                <w:szCs w:val="21"/>
              </w:rPr>
            </w:pPr>
            <w:r>
              <w:rPr>
                <w:rFonts w:hint="eastAsia" w:ascii="宋体" w:hAnsi="宋体" w:cs="宋体"/>
                <w:szCs w:val="21"/>
              </w:rPr>
              <w:t>1.无串通竞标行为的承诺函；（</w:t>
            </w:r>
            <w:r>
              <w:rPr>
                <w:rFonts w:hint="eastAsia" w:ascii="宋体" w:hAnsi="宋体" w:cs="宋体"/>
                <w:b/>
                <w:szCs w:val="21"/>
              </w:rPr>
              <w:t>必须提供，否则响应文件按无效响应处理</w:t>
            </w:r>
            <w:r>
              <w:rPr>
                <w:rFonts w:hint="eastAsia" w:ascii="宋体" w:hAnsi="宋体" w:cs="宋体"/>
                <w:szCs w:val="21"/>
              </w:rPr>
              <w:t>）</w:t>
            </w:r>
          </w:p>
          <w:p w14:paraId="6BC99D10">
            <w:pPr>
              <w:spacing w:line="360" w:lineRule="auto"/>
              <w:jc w:val="left"/>
              <w:rPr>
                <w:rFonts w:ascii="宋体" w:hAnsi="宋体" w:cs="宋体"/>
                <w:szCs w:val="21"/>
              </w:rPr>
            </w:pPr>
            <w:r>
              <w:rPr>
                <w:rFonts w:hint="eastAsia" w:ascii="宋体" w:hAnsi="宋体" w:cs="宋体"/>
                <w:szCs w:val="21"/>
              </w:rPr>
              <w:t>2.法定代表人身份证明书及法定代表人有效身份证正反面复印件；（</w:t>
            </w:r>
            <w:r>
              <w:rPr>
                <w:rFonts w:hint="eastAsia" w:ascii="宋体" w:hAnsi="宋体" w:cs="宋体"/>
                <w:b/>
                <w:bCs/>
                <w:szCs w:val="21"/>
              </w:rPr>
              <w:t>除自然人竞标外</w:t>
            </w:r>
            <w:r>
              <w:rPr>
                <w:rFonts w:hint="eastAsia" w:ascii="宋体" w:hAnsi="宋体" w:cs="宋体"/>
                <w:b/>
                <w:szCs w:val="21"/>
              </w:rPr>
              <w:t>必须提供，否则响应文件按无效响应处理</w:t>
            </w:r>
            <w:r>
              <w:rPr>
                <w:rFonts w:hint="eastAsia" w:ascii="宋体" w:hAnsi="宋体" w:cs="宋体"/>
                <w:szCs w:val="21"/>
              </w:rPr>
              <w:t>）</w:t>
            </w:r>
          </w:p>
          <w:p w14:paraId="53B7E28A">
            <w:pPr>
              <w:spacing w:line="360" w:lineRule="auto"/>
              <w:rPr>
                <w:rFonts w:ascii="宋体" w:hAnsi="宋体" w:cs="宋体"/>
                <w:b/>
                <w:szCs w:val="21"/>
              </w:rPr>
            </w:pPr>
            <w:r>
              <w:rPr>
                <w:rFonts w:hint="eastAsia" w:ascii="宋体" w:hAnsi="宋体" w:cs="宋体"/>
                <w:szCs w:val="21"/>
              </w:rPr>
              <w:t>3.法定代表人授权委托书及委托代理人有效身份证正反面复印件；（</w:t>
            </w:r>
            <w:r>
              <w:rPr>
                <w:rFonts w:hint="eastAsia" w:ascii="宋体" w:hAnsi="宋体" w:cs="宋体"/>
                <w:b/>
                <w:szCs w:val="21"/>
              </w:rPr>
              <w:t>委托时必须提供，否则响应文件按无效响应处理</w:t>
            </w:r>
            <w:r>
              <w:rPr>
                <w:rFonts w:hint="eastAsia" w:ascii="宋体" w:hAnsi="宋体" w:cs="宋体"/>
                <w:szCs w:val="21"/>
              </w:rPr>
              <w:t>）</w:t>
            </w:r>
          </w:p>
          <w:p w14:paraId="3A1A14F0">
            <w:pPr>
              <w:spacing w:line="360" w:lineRule="auto"/>
              <w:rPr>
                <w:rFonts w:ascii="宋体" w:hAnsi="宋体" w:cs="宋体"/>
                <w:szCs w:val="21"/>
              </w:rPr>
            </w:pPr>
            <w:r>
              <w:rPr>
                <w:rFonts w:hint="eastAsia" w:ascii="宋体" w:hAnsi="宋体" w:cs="宋体"/>
                <w:szCs w:val="21"/>
              </w:rPr>
              <w:t>4.商务条款偏离表；（</w:t>
            </w:r>
            <w:r>
              <w:rPr>
                <w:rFonts w:hint="eastAsia" w:ascii="宋体" w:hAnsi="宋体" w:cs="宋体"/>
                <w:b/>
                <w:szCs w:val="21"/>
              </w:rPr>
              <w:t>必须提供，否则响应文件按无效响应处理</w:t>
            </w:r>
            <w:r>
              <w:rPr>
                <w:rFonts w:hint="eastAsia" w:ascii="宋体" w:hAnsi="宋体" w:cs="宋体"/>
                <w:szCs w:val="21"/>
              </w:rPr>
              <w:t>）</w:t>
            </w:r>
          </w:p>
          <w:p w14:paraId="3A3AB088">
            <w:pPr>
              <w:spacing w:line="360" w:lineRule="auto"/>
              <w:rPr>
                <w:rFonts w:ascii="宋体" w:hAnsi="宋体" w:cs="宋体"/>
                <w:szCs w:val="21"/>
              </w:rPr>
            </w:pPr>
            <w:r>
              <w:rPr>
                <w:rFonts w:hint="eastAsia" w:ascii="宋体" w:hAnsi="宋体" w:cs="宋体"/>
                <w:szCs w:val="21"/>
              </w:rPr>
              <w:t>5.竞标人情况介绍；</w:t>
            </w:r>
          </w:p>
          <w:p w14:paraId="6648F3EA">
            <w:pPr>
              <w:spacing w:line="360" w:lineRule="auto"/>
              <w:rPr>
                <w:rFonts w:ascii="宋体" w:hAnsi="宋体" w:cs="宋体"/>
                <w:b/>
                <w:szCs w:val="21"/>
              </w:rPr>
            </w:pPr>
            <w:r>
              <w:rPr>
                <w:rFonts w:hint="eastAsia" w:ascii="宋体" w:hAnsi="宋体" w:cs="宋体"/>
                <w:szCs w:val="21"/>
              </w:rPr>
              <w:t>6.联合体协议书；</w:t>
            </w:r>
            <w:r>
              <w:rPr>
                <w:rFonts w:hint="eastAsia" w:ascii="宋体" w:hAnsi="宋体" w:cs="宋体"/>
                <w:b/>
                <w:szCs w:val="21"/>
              </w:rPr>
              <w:t>（联合体竞标时必须提供，否则作无效响应处理）</w:t>
            </w:r>
          </w:p>
          <w:p w14:paraId="0FE87200">
            <w:pPr>
              <w:spacing w:line="360" w:lineRule="auto"/>
              <w:rPr>
                <w:rFonts w:ascii="宋体" w:hAnsi="宋体" w:cs="宋体"/>
                <w:szCs w:val="21"/>
              </w:rPr>
            </w:pPr>
            <w:r>
              <w:rPr>
                <w:rFonts w:hint="eastAsia" w:ascii="宋体" w:hAnsi="宋体" w:cs="宋体"/>
                <w:szCs w:val="21"/>
              </w:rPr>
              <w:t>7.供应商认为需要提供的其他有关资料。</w:t>
            </w:r>
          </w:p>
          <w:p w14:paraId="6CA06247">
            <w:pPr>
              <w:spacing w:line="360" w:lineRule="auto"/>
              <w:jc w:val="left"/>
              <w:rPr>
                <w:rFonts w:ascii="宋体" w:hAnsi="宋体" w:cs="宋体"/>
                <w:b/>
                <w:szCs w:val="21"/>
              </w:rPr>
            </w:pPr>
            <w:r>
              <w:rPr>
                <w:rFonts w:hint="eastAsia" w:ascii="宋体" w:hAnsi="宋体" w:cs="宋体"/>
                <w:b/>
                <w:szCs w:val="21"/>
              </w:rPr>
              <w:t>注：</w:t>
            </w:r>
          </w:p>
          <w:p w14:paraId="5907F688">
            <w:pPr>
              <w:spacing w:line="360" w:lineRule="auto"/>
              <w:ind w:firstLine="413"/>
              <w:jc w:val="left"/>
              <w:rPr>
                <w:rFonts w:ascii="宋体" w:hAnsi="宋体" w:cs="宋体"/>
                <w:b/>
                <w:szCs w:val="21"/>
              </w:rPr>
            </w:pPr>
            <w:r>
              <w:rPr>
                <w:rFonts w:hint="eastAsia" w:ascii="宋体" w:hAnsi="宋体" w:cs="宋体"/>
                <w:b/>
                <w:szCs w:val="21"/>
              </w:rPr>
              <w:t>1.法定代表人授权委托书必须由法定代表人及委托代理人签字，并加盖供应商公章，否则响应文件按无效响应处理。</w:t>
            </w:r>
          </w:p>
          <w:p w14:paraId="516AC302">
            <w:pPr>
              <w:spacing w:line="360" w:lineRule="auto"/>
              <w:ind w:firstLine="413"/>
              <w:rPr>
                <w:rFonts w:ascii="宋体" w:hAnsi="宋体" w:cs="宋体"/>
                <w:b/>
                <w:szCs w:val="21"/>
              </w:rPr>
            </w:pPr>
            <w:r>
              <w:rPr>
                <w:rFonts w:hint="eastAsia" w:ascii="宋体" w:hAnsi="宋体" w:cs="宋体"/>
                <w:b/>
                <w:szCs w:val="21"/>
              </w:rPr>
              <w:t>2.以上标明“必须提供”的材料属于复印件的扫描件的，必须加盖供应商电子公章，否则响应文件按无效响应处理。</w:t>
            </w:r>
          </w:p>
        </w:tc>
      </w:tr>
      <w:tr w14:paraId="6B6E9F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35" w:type="pct"/>
            <w:vMerge w:val="continue"/>
            <w:tcBorders>
              <w:top w:val="single" w:color="000000" w:sz="4" w:space="0"/>
              <w:left w:val="single" w:color="000000" w:sz="4" w:space="0"/>
              <w:bottom w:val="single" w:color="000000" w:sz="4" w:space="0"/>
              <w:right w:val="single" w:color="000000" w:sz="4" w:space="0"/>
            </w:tcBorders>
            <w:vAlign w:val="center"/>
          </w:tcPr>
          <w:p w14:paraId="2539327E">
            <w:pPr>
              <w:widowControl/>
              <w:jc w:val="left"/>
              <w:rPr>
                <w:rFonts w:ascii="宋体" w:hAnsi="宋体" w:cs="宋体"/>
                <w:szCs w:val="21"/>
              </w:rPr>
            </w:pPr>
          </w:p>
        </w:tc>
        <w:tc>
          <w:tcPr>
            <w:tcW w:w="1109" w:type="pct"/>
            <w:tcBorders>
              <w:top w:val="single" w:color="000000" w:sz="4" w:space="0"/>
              <w:left w:val="single" w:color="000000" w:sz="4" w:space="0"/>
              <w:bottom w:val="single" w:color="000000" w:sz="4" w:space="0"/>
              <w:right w:val="single" w:color="000000" w:sz="4" w:space="0"/>
            </w:tcBorders>
            <w:vAlign w:val="center"/>
          </w:tcPr>
          <w:p w14:paraId="35D0EEDC">
            <w:pPr>
              <w:spacing w:line="360" w:lineRule="auto"/>
              <w:jc w:val="center"/>
              <w:rPr>
                <w:rFonts w:ascii="宋体" w:hAnsi="宋体" w:cs="宋体"/>
                <w:b/>
                <w:bCs/>
                <w:szCs w:val="21"/>
              </w:rPr>
            </w:pPr>
            <w:r>
              <w:rPr>
                <w:rFonts w:hint="eastAsia" w:ascii="宋体" w:hAnsi="宋体" w:cs="宋体"/>
                <w:b/>
                <w:bCs/>
                <w:szCs w:val="21"/>
              </w:rPr>
              <w:t>技术文件组成</w:t>
            </w:r>
          </w:p>
        </w:tc>
        <w:tc>
          <w:tcPr>
            <w:tcW w:w="3356" w:type="pct"/>
            <w:tcBorders>
              <w:top w:val="single" w:color="000000" w:sz="4" w:space="0"/>
              <w:left w:val="single" w:color="000000" w:sz="4" w:space="0"/>
              <w:bottom w:val="single" w:color="000000" w:sz="4" w:space="0"/>
              <w:right w:val="single" w:color="000000" w:sz="4" w:space="0"/>
            </w:tcBorders>
            <w:vAlign w:val="center"/>
          </w:tcPr>
          <w:p w14:paraId="236B5BFB">
            <w:pPr>
              <w:spacing w:line="360" w:lineRule="auto"/>
              <w:rPr>
                <w:rFonts w:ascii="宋体" w:hAnsi="宋体" w:cs="宋体"/>
                <w:szCs w:val="21"/>
              </w:rPr>
            </w:pPr>
            <w:r>
              <w:rPr>
                <w:rFonts w:hint="eastAsia" w:ascii="宋体" w:hAnsi="宋体" w:cs="宋体"/>
                <w:szCs w:val="21"/>
              </w:rPr>
              <w:t>1.货物需求偏离表；（</w:t>
            </w:r>
            <w:r>
              <w:rPr>
                <w:rFonts w:hint="eastAsia" w:ascii="宋体" w:hAnsi="宋体" w:cs="宋体"/>
                <w:b/>
                <w:szCs w:val="21"/>
              </w:rPr>
              <w:t>必须提供，否则响应文件按无效响应处理</w:t>
            </w:r>
            <w:r>
              <w:rPr>
                <w:rFonts w:hint="eastAsia" w:ascii="宋体" w:hAnsi="宋体" w:cs="宋体"/>
                <w:szCs w:val="21"/>
              </w:rPr>
              <w:t>）</w:t>
            </w:r>
          </w:p>
          <w:p w14:paraId="5677F0F3">
            <w:pPr>
              <w:spacing w:line="360" w:lineRule="auto"/>
              <w:rPr>
                <w:rFonts w:ascii="宋体" w:hAnsi="宋体" w:cs="宋体"/>
                <w:szCs w:val="21"/>
              </w:rPr>
            </w:pPr>
            <w:r>
              <w:rPr>
                <w:rFonts w:hint="eastAsia" w:ascii="宋体" w:hAnsi="宋体" w:cs="宋体"/>
                <w:szCs w:val="21"/>
              </w:rPr>
              <w:t>2.配置清单（均不含报价）；（</w:t>
            </w:r>
            <w:r>
              <w:rPr>
                <w:rFonts w:hint="eastAsia" w:ascii="宋体" w:hAnsi="宋体" w:cs="宋体"/>
                <w:b/>
                <w:szCs w:val="21"/>
              </w:rPr>
              <w:t>必须提供，否则响应文件作无效处理</w:t>
            </w:r>
            <w:r>
              <w:rPr>
                <w:rFonts w:hint="eastAsia" w:ascii="宋体" w:hAnsi="宋体" w:cs="宋体"/>
                <w:szCs w:val="21"/>
              </w:rPr>
              <w:t>）</w:t>
            </w:r>
          </w:p>
          <w:p w14:paraId="5EB539D6">
            <w:pPr>
              <w:spacing w:line="360" w:lineRule="auto"/>
              <w:rPr>
                <w:rFonts w:ascii="宋体" w:hAnsi="宋体" w:cs="宋体"/>
                <w:szCs w:val="21"/>
              </w:rPr>
            </w:pPr>
            <w:r>
              <w:rPr>
                <w:rFonts w:hint="eastAsia" w:ascii="宋体" w:hAnsi="宋体" w:cs="宋体"/>
                <w:szCs w:val="21"/>
              </w:rPr>
              <w:t>3.售后服务承诺；（</w:t>
            </w:r>
            <w:r>
              <w:rPr>
                <w:rFonts w:hint="eastAsia" w:ascii="宋体" w:hAnsi="宋体" w:cs="宋体"/>
                <w:b/>
                <w:szCs w:val="21"/>
              </w:rPr>
              <w:t>必须提供，否则响应文件按无效响应处理</w:t>
            </w:r>
            <w:r>
              <w:rPr>
                <w:rFonts w:hint="eastAsia" w:ascii="宋体" w:hAnsi="宋体" w:cs="宋体"/>
                <w:szCs w:val="21"/>
              </w:rPr>
              <w:t>）</w:t>
            </w:r>
          </w:p>
          <w:p w14:paraId="68E41B0A">
            <w:pPr>
              <w:spacing w:line="360" w:lineRule="auto"/>
              <w:rPr>
                <w:rFonts w:ascii="宋体" w:hAnsi="宋体" w:cs="宋体"/>
                <w:szCs w:val="21"/>
              </w:rPr>
            </w:pPr>
            <w:r>
              <w:rPr>
                <w:rFonts w:hint="eastAsia" w:ascii="宋体" w:hAnsi="宋体" w:cs="宋体"/>
                <w:szCs w:val="21"/>
              </w:rPr>
              <w:t>4.项目实施人员一览表；</w:t>
            </w:r>
          </w:p>
          <w:p w14:paraId="0719EDAA">
            <w:pPr>
              <w:spacing w:line="360" w:lineRule="auto"/>
              <w:rPr>
                <w:rFonts w:ascii="宋体" w:hAnsi="宋体" w:cs="宋体"/>
                <w:szCs w:val="21"/>
              </w:rPr>
            </w:pPr>
            <w:r>
              <w:rPr>
                <w:rFonts w:hint="eastAsia" w:ascii="宋体" w:hAnsi="宋体" w:cs="宋体"/>
                <w:szCs w:val="21"/>
              </w:rPr>
              <w:t>5.对应采购需求的货物需求、商务条款提供的其他文件资料；</w:t>
            </w:r>
          </w:p>
          <w:p w14:paraId="1B70B8AE">
            <w:pPr>
              <w:spacing w:line="360" w:lineRule="auto"/>
              <w:rPr>
                <w:rFonts w:ascii="宋体" w:hAnsi="宋体" w:cs="宋体"/>
                <w:szCs w:val="21"/>
              </w:rPr>
            </w:pPr>
            <w:r>
              <w:rPr>
                <w:rFonts w:hint="eastAsia" w:ascii="宋体" w:hAnsi="宋体" w:cs="宋体"/>
                <w:szCs w:val="21"/>
              </w:rPr>
              <w:t>6.供应商认为需要提供的其他有关资料。</w:t>
            </w:r>
          </w:p>
          <w:p w14:paraId="20066ADA">
            <w:pPr>
              <w:spacing w:line="360" w:lineRule="auto"/>
              <w:rPr>
                <w:rFonts w:ascii="宋体" w:hAnsi="宋体" w:cs="宋体"/>
                <w:szCs w:val="21"/>
              </w:rPr>
            </w:pPr>
            <w:r>
              <w:rPr>
                <w:rFonts w:hint="eastAsia" w:ascii="宋体" w:hAnsi="宋体" w:cs="宋体"/>
                <w:b/>
                <w:szCs w:val="21"/>
              </w:rPr>
              <w:t>注：以上标明“必须提供”的材料属于复印件的扫描件的，必须加盖供应商电子公章，否则响应文件按无效响应处理。</w:t>
            </w:r>
          </w:p>
        </w:tc>
      </w:tr>
      <w:tr w14:paraId="78D688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35" w:type="pct"/>
            <w:tcBorders>
              <w:top w:val="single" w:color="000000" w:sz="4" w:space="0"/>
              <w:left w:val="single" w:color="000000" w:sz="4" w:space="0"/>
              <w:bottom w:val="single" w:color="000000" w:sz="4" w:space="0"/>
              <w:right w:val="single" w:color="000000" w:sz="4" w:space="0"/>
            </w:tcBorders>
            <w:vAlign w:val="center"/>
          </w:tcPr>
          <w:p w14:paraId="68426836">
            <w:pPr>
              <w:spacing w:line="360" w:lineRule="auto"/>
              <w:jc w:val="center"/>
              <w:rPr>
                <w:rFonts w:ascii="宋体" w:hAnsi="宋体" w:cs="宋体"/>
                <w:szCs w:val="21"/>
              </w:rPr>
            </w:pPr>
            <w:r>
              <w:rPr>
                <w:rFonts w:hint="eastAsia" w:ascii="宋体" w:hAnsi="宋体" w:cs="宋体"/>
                <w:szCs w:val="21"/>
              </w:rPr>
              <w:t>12.1.3</w:t>
            </w:r>
          </w:p>
        </w:tc>
        <w:tc>
          <w:tcPr>
            <w:tcW w:w="1109" w:type="pct"/>
            <w:tcBorders>
              <w:top w:val="single" w:color="000000" w:sz="4" w:space="0"/>
              <w:left w:val="single" w:color="000000" w:sz="4" w:space="0"/>
              <w:bottom w:val="single" w:color="000000" w:sz="4" w:space="0"/>
              <w:right w:val="single" w:color="000000" w:sz="4" w:space="0"/>
            </w:tcBorders>
            <w:vAlign w:val="center"/>
          </w:tcPr>
          <w:p w14:paraId="1041FA81">
            <w:pPr>
              <w:spacing w:line="360" w:lineRule="auto"/>
              <w:jc w:val="center"/>
              <w:rPr>
                <w:rFonts w:ascii="宋体" w:hAnsi="宋体" w:cs="宋体"/>
                <w:szCs w:val="21"/>
              </w:rPr>
            </w:pPr>
            <w:r>
              <w:rPr>
                <w:rFonts w:hint="eastAsia" w:ascii="宋体" w:hAnsi="宋体" w:cs="宋体"/>
                <w:b/>
                <w:bCs/>
                <w:szCs w:val="21"/>
              </w:rPr>
              <w:t>报价文件组成</w:t>
            </w:r>
          </w:p>
        </w:tc>
        <w:tc>
          <w:tcPr>
            <w:tcW w:w="3356" w:type="pct"/>
            <w:tcBorders>
              <w:top w:val="single" w:color="000000" w:sz="4" w:space="0"/>
              <w:left w:val="single" w:color="000000" w:sz="4" w:space="0"/>
              <w:bottom w:val="single" w:color="000000" w:sz="4" w:space="0"/>
              <w:right w:val="single" w:color="000000" w:sz="4" w:space="0"/>
            </w:tcBorders>
            <w:vAlign w:val="center"/>
          </w:tcPr>
          <w:p w14:paraId="4DB28775">
            <w:pPr>
              <w:tabs>
                <w:tab w:val="left" w:pos="459"/>
              </w:tabs>
              <w:spacing w:line="360" w:lineRule="auto"/>
              <w:jc w:val="left"/>
              <w:rPr>
                <w:rFonts w:ascii="宋体" w:hAnsi="宋体"/>
                <w:szCs w:val="21"/>
              </w:rPr>
            </w:pPr>
            <w:r>
              <w:rPr>
                <w:rFonts w:hint="eastAsia" w:ascii="宋体" w:hAnsi="宋体"/>
                <w:szCs w:val="21"/>
              </w:rPr>
              <w:t>1.响应函；</w:t>
            </w:r>
            <w:r>
              <w:rPr>
                <w:rFonts w:hint="eastAsia" w:ascii="宋体" w:hAnsi="宋体"/>
                <w:b/>
                <w:szCs w:val="21"/>
              </w:rPr>
              <w:t>（必须提供，否则作无效响应处理）</w:t>
            </w:r>
          </w:p>
          <w:p w14:paraId="1A965C1D">
            <w:pPr>
              <w:spacing w:line="360" w:lineRule="auto"/>
              <w:rPr>
                <w:rFonts w:ascii="宋体" w:hAnsi="宋体" w:cs="宋体"/>
                <w:szCs w:val="21"/>
              </w:rPr>
            </w:pPr>
            <w:r>
              <w:rPr>
                <w:rFonts w:hint="eastAsia" w:ascii="宋体" w:hAnsi="宋体" w:cs="宋体"/>
                <w:sz w:val="24"/>
              </w:rPr>
              <w:t>2.</w:t>
            </w:r>
            <w:r>
              <w:rPr>
                <w:rFonts w:hint="eastAsia" w:ascii="宋体" w:hAnsi="宋体" w:cs="宋体"/>
                <w:szCs w:val="21"/>
              </w:rPr>
              <w:t>响应报价表；（</w:t>
            </w:r>
            <w:r>
              <w:rPr>
                <w:rFonts w:hint="eastAsia" w:ascii="宋体" w:hAnsi="宋体" w:cs="宋体"/>
                <w:b/>
                <w:szCs w:val="21"/>
              </w:rPr>
              <w:t>必须提供，否则响应文件按无效响应处理</w:t>
            </w:r>
            <w:r>
              <w:rPr>
                <w:rFonts w:hint="eastAsia" w:ascii="宋体" w:hAnsi="宋体" w:cs="宋体"/>
                <w:szCs w:val="21"/>
              </w:rPr>
              <w:t>）</w:t>
            </w:r>
          </w:p>
          <w:p w14:paraId="43C89936">
            <w:pPr>
              <w:spacing w:line="360" w:lineRule="auto"/>
              <w:rPr>
                <w:rFonts w:ascii="宋体" w:hAnsi="宋体"/>
                <w:szCs w:val="21"/>
              </w:rPr>
            </w:pPr>
            <w:r>
              <w:rPr>
                <w:rFonts w:hint="eastAsia" w:ascii="宋体" w:hAnsi="宋体" w:cs="宋体"/>
                <w:b/>
                <w:szCs w:val="21"/>
              </w:rPr>
              <w:t>注：以上标明“必须提供”的材料属于复印件的扫描件的，必须加盖供应商电子公章，否则响应文件按无效响应处理。</w:t>
            </w:r>
          </w:p>
        </w:tc>
      </w:tr>
      <w:tr w14:paraId="3D3190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35" w:type="pct"/>
            <w:tcBorders>
              <w:top w:val="single" w:color="000000" w:sz="4" w:space="0"/>
              <w:left w:val="single" w:color="000000" w:sz="4" w:space="0"/>
              <w:bottom w:val="single" w:color="000000" w:sz="4" w:space="0"/>
              <w:right w:val="single" w:color="000000" w:sz="4" w:space="0"/>
            </w:tcBorders>
            <w:vAlign w:val="center"/>
          </w:tcPr>
          <w:p w14:paraId="5F2A7880">
            <w:pPr>
              <w:spacing w:line="360" w:lineRule="auto"/>
              <w:jc w:val="center"/>
              <w:rPr>
                <w:rFonts w:ascii="宋体" w:hAnsi="宋体" w:cs="宋体"/>
                <w:szCs w:val="21"/>
              </w:rPr>
            </w:pPr>
            <w:r>
              <w:rPr>
                <w:rFonts w:hint="eastAsia" w:ascii="宋体" w:hAnsi="宋体" w:cs="宋体"/>
                <w:szCs w:val="21"/>
              </w:rPr>
              <w:t>12.2</w:t>
            </w:r>
          </w:p>
        </w:tc>
        <w:tc>
          <w:tcPr>
            <w:tcW w:w="1109" w:type="pct"/>
            <w:tcBorders>
              <w:top w:val="single" w:color="000000" w:sz="4" w:space="0"/>
              <w:left w:val="single" w:color="000000" w:sz="4" w:space="0"/>
              <w:bottom w:val="single" w:color="000000" w:sz="4" w:space="0"/>
              <w:right w:val="single" w:color="000000" w:sz="4" w:space="0"/>
            </w:tcBorders>
            <w:vAlign w:val="center"/>
          </w:tcPr>
          <w:p w14:paraId="6B1F1E61">
            <w:pPr>
              <w:spacing w:line="360" w:lineRule="auto"/>
              <w:jc w:val="center"/>
              <w:rPr>
                <w:rFonts w:ascii="宋体" w:hAnsi="宋体" w:cs="宋体"/>
                <w:szCs w:val="21"/>
              </w:rPr>
            </w:pPr>
            <w:r>
              <w:rPr>
                <w:rFonts w:hint="eastAsia" w:ascii="宋体" w:hAnsi="宋体" w:cs="宋体"/>
                <w:szCs w:val="21"/>
              </w:rPr>
              <w:t>响应文件电子版要求</w:t>
            </w:r>
          </w:p>
        </w:tc>
        <w:tc>
          <w:tcPr>
            <w:tcW w:w="3356" w:type="pct"/>
            <w:tcBorders>
              <w:top w:val="single" w:color="000000" w:sz="4" w:space="0"/>
              <w:left w:val="single" w:color="000000" w:sz="4" w:space="0"/>
              <w:bottom w:val="single" w:color="000000" w:sz="4" w:space="0"/>
              <w:right w:val="single" w:color="000000" w:sz="4" w:space="0"/>
            </w:tcBorders>
            <w:vAlign w:val="center"/>
          </w:tcPr>
          <w:p w14:paraId="7CC9F7C7">
            <w:pPr>
              <w:spacing w:line="360" w:lineRule="auto"/>
              <w:jc w:val="left"/>
              <w:rPr>
                <w:rFonts w:ascii="宋体" w:hAnsi="宋体" w:cs="宋体"/>
                <w:szCs w:val="21"/>
              </w:rPr>
            </w:pPr>
            <w:r>
              <w:rPr>
                <w:rFonts w:hint="eastAsia" w:ascii="宋体" w:hAnsi="宋体" w:cs="宋体"/>
                <w:szCs w:val="21"/>
              </w:rPr>
              <w:t>1.响应文件电子版要求：按照本采购文件“</w:t>
            </w:r>
            <w:r>
              <w:rPr>
                <w:rFonts w:hint="eastAsia" w:ascii="宋体" w:hAnsi="宋体"/>
                <w:szCs w:val="21"/>
              </w:rPr>
              <w:t>第五章响应文件格式</w:t>
            </w:r>
            <w:r>
              <w:rPr>
                <w:rFonts w:hint="eastAsia" w:ascii="宋体" w:hAnsi="宋体" w:cs="宋体"/>
                <w:szCs w:val="21"/>
              </w:rPr>
              <w:t>”编写（第五章未附格式的，由供应商自行拟定），不可涂改并在规定加盖公章处加盖电子公章，</w:t>
            </w:r>
            <w:r>
              <w:rPr>
                <w:rFonts w:hint="eastAsia" w:ascii="宋体" w:hAnsi="宋体" w:cs="宋体"/>
                <w:b/>
                <w:szCs w:val="21"/>
              </w:rPr>
              <w:t>否则响应文件按无效响应处理</w:t>
            </w:r>
            <w:r>
              <w:rPr>
                <w:rFonts w:hint="eastAsia" w:ascii="宋体" w:hAnsi="宋体" w:cs="宋体"/>
                <w:szCs w:val="21"/>
              </w:rPr>
              <w:t>。</w:t>
            </w:r>
          </w:p>
          <w:p w14:paraId="0E3E6B8D">
            <w:pPr>
              <w:spacing w:line="360" w:lineRule="auto"/>
              <w:jc w:val="left"/>
              <w:rPr>
                <w:rFonts w:ascii="宋体" w:hAnsi="宋体" w:cs="宋体"/>
                <w:szCs w:val="21"/>
              </w:rPr>
            </w:pPr>
            <w:r>
              <w:rPr>
                <w:rFonts w:hint="eastAsia" w:ascii="宋体" w:hAnsi="宋体" w:cs="宋体"/>
                <w:szCs w:val="21"/>
              </w:rPr>
              <w:t>2</w:t>
            </w:r>
            <w:r>
              <w:rPr>
                <w:rFonts w:hint="eastAsia" w:ascii="宋体" w:hAnsi="宋体" w:cs="Courier New"/>
                <w:szCs w:val="21"/>
              </w:rPr>
              <w:t>.响应文件电子版密封方式：电子响应文件通过平台有效CA加密后在广西政府采购云平台投送。（操作方式见公告附件“</w:t>
            </w:r>
            <w:r>
              <w:rPr>
                <w:rFonts w:hint="eastAsia" w:ascii="宋体" w:hAnsi="宋体"/>
                <w:szCs w:val="21"/>
              </w:rPr>
              <w:t>电子响应文件制作与投送教程</w:t>
            </w:r>
            <w:r>
              <w:rPr>
                <w:rFonts w:hint="eastAsia" w:ascii="宋体" w:hAnsi="宋体" w:cs="Courier New"/>
                <w:szCs w:val="21"/>
              </w:rPr>
              <w:t>”）</w:t>
            </w:r>
          </w:p>
        </w:tc>
      </w:tr>
      <w:tr w14:paraId="1B4A91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35" w:type="pct"/>
            <w:tcBorders>
              <w:top w:val="single" w:color="000000" w:sz="4" w:space="0"/>
              <w:left w:val="single" w:color="000000" w:sz="4" w:space="0"/>
              <w:bottom w:val="single" w:color="000000" w:sz="4" w:space="0"/>
              <w:right w:val="single" w:color="000000" w:sz="4" w:space="0"/>
            </w:tcBorders>
            <w:vAlign w:val="center"/>
          </w:tcPr>
          <w:p w14:paraId="050AE45C">
            <w:pPr>
              <w:spacing w:line="360" w:lineRule="auto"/>
              <w:jc w:val="center"/>
              <w:rPr>
                <w:rFonts w:ascii="宋体" w:hAnsi="宋体" w:cs="宋体"/>
                <w:szCs w:val="21"/>
              </w:rPr>
            </w:pPr>
            <w:r>
              <w:rPr>
                <w:rFonts w:hint="eastAsia" w:ascii="宋体" w:hAnsi="宋体" w:cs="宋体"/>
                <w:szCs w:val="21"/>
              </w:rPr>
              <w:t>15.2</w:t>
            </w:r>
          </w:p>
        </w:tc>
        <w:tc>
          <w:tcPr>
            <w:tcW w:w="1109" w:type="pct"/>
            <w:tcBorders>
              <w:top w:val="single" w:color="000000" w:sz="4" w:space="0"/>
              <w:left w:val="single" w:color="000000" w:sz="4" w:space="0"/>
              <w:bottom w:val="single" w:color="000000" w:sz="4" w:space="0"/>
              <w:right w:val="single" w:color="000000" w:sz="4" w:space="0"/>
            </w:tcBorders>
            <w:vAlign w:val="center"/>
          </w:tcPr>
          <w:p w14:paraId="22923026">
            <w:pPr>
              <w:spacing w:line="360" w:lineRule="auto"/>
              <w:jc w:val="center"/>
              <w:rPr>
                <w:rFonts w:ascii="宋体" w:hAnsi="宋体" w:cs="宋体"/>
                <w:szCs w:val="21"/>
              </w:rPr>
            </w:pPr>
            <w:r>
              <w:rPr>
                <w:rFonts w:hint="eastAsia" w:ascii="宋体" w:hAnsi="宋体" w:cs="宋体"/>
                <w:szCs w:val="21"/>
              </w:rPr>
              <w:t>响应报价要求</w:t>
            </w:r>
          </w:p>
        </w:tc>
        <w:tc>
          <w:tcPr>
            <w:tcW w:w="3356" w:type="pct"/>
            <w:tcBorders>
              <w:top w:val="single" w:color="000000" w:sz="4" w:space="0"/>
              <w:left w:val="single" w:color="000000" w:sz="4" w:space="0"/>
              <w:bottom w:val="single" w:color="000000" w:sz="4" w:space="0"/>
              <w:right w:val="single" w:color="000000" w:sz="4" w:space="0"/>
            </w:tcBorders>
            <w:vAlign w:val="center"/>
          </w:tcPr>
          <w:p w14:paraId="63D2C1E0">
            <w:pPr>
              <w:spacing w:line="360" w:lineRule="auto"/>
              <w:jc w:val="left"/>
              <w:rPr>
                <w:rFonts w:ascii="宋体" w:hAnsi="宋体" w:cs="宋体"/>
                <w:szCs w:val="21"/>
              </w:rPr>
            </w:pPr>
            <w:r>
              <w:rPr>
                <w:rFonts w:hint="eastAsia" w:ascii="宋体" w:hAnsi="宋体" w:cs="宋体"/>
                <w:szCs w:val="21"/>
              </w:rPr>
              <w:t>竞标报价为采购人指定地点的现场交货使用价，包括：</w:t>
            </w:r>
          </w:p>
          <w:p w14:paraId="69378057">
            <w:pPr>
              <w:spacing w:line="360" w:lineRule="auto"/>
              <w:jc w:val="left"/>
              <w:rPr>
                <w:rFonts w:ascii="宋体" w:hAnsi="宋体" w:cs="宋体"/>
                <w:szCs w:val="21"/>
              </w:rPr>
            </w:pPr>
            <w:r>
              <w:rPr>
                <w:rFonts w:hint="eastAsia" w:ascii="宋体" w:hAnsi="宋体" w:cs="宋体"/>
                <w:szCs w:val="21"/>
              </w:rPr>
              <w:t>（1）《货物需求一览表》要求提供的货物及标准附件、备品备件、专用工具的价格</w:t>
            </w:r>
          </w:p>
          <w:p w14:paraId="2BD5A849">
            <w:pPr>
              <w:spacing w:line="360" w:lineRule="auto"/>
              <w:jc w:val="left"/>
              <w:rPr>
                <w:rFonts w:ascii="宋体" w:hAnsi="宋体" w:cs="宋体"/>
                <w:szCs w:val="21"/>
              </w:rPr>
            </w:pPr>
            <w:r>
              <w:rPr>
                <w:rFonts w:hint="eastAsia" w:ascii="宋体" w:hAnsi="宋体" w:cs="宋体"/>
                <w:szCs w:val="21"/>
              </w:rPr>
              <w:t>（2）运输、装卸、售后服务等费用；</w:t>
            </w:r>
          </w:p>
          <w:p w14:paraId="1EA4AD31">
            <w:pPr>
              <w:spacing w:line="360" w:lineRule="auto"/>
              <w:jc w:val="left"/>
              <w:rPr>
                <w:rFonts w:ascii="宋体" w:hAnsi="宋体" w:cs="宋体"/>
                <w:szCs w:val="21"/>
              </w:rPr>
            </w:pPr>
            <w:r>
              <w:rPr>
                <w:rFonts w:hint="eastAsia" w:ascii="宋体" w:hAnsi="宋体" w:cs="宋体"/>
                <w:szCs w:val="21"/>
              </w:rPr>
              <w:t>（3）必要的保险费用和各项税费。</w:t>
            </w:r>
          </w:p>
          <w:p w14:paraId="5991D581">
            <w:pPr>
              <w:spacing w:line="360" w:lineRule="auto"/>
              <w:jc w:val="left"/>
              <w:rPr>
                <w:rFonts w:ascii="宋体" w:hAnsi="宋体" w:cs="宋体"/>
                <w:szCs w:val="21"/>
              </w:rPr>
            </w:pPr>
            <w:r>
              <w:rPr>
                <w:rFonts w:hint="eastAsia" w:ascii="宋体" w:hAnsi="宋体" w:cs="宋体"/>
                <w:szCs w:val="21"/>
              </w:rPr>
              <w:t>（4）供应商送货上门包含运费，充分考虑因节日（如国庆等）因素产生的价格波动，采购人不因市场价格波动而做价格调整。《如采购需求有约定的从其约定》</w:t>
            </w:r>
          </w:p>
        </w:tc>
      </w:tr>
      <w:tr w14:paraId="38F1C8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35" w:type="pct"/>
            <w:tcBorders>
              <w:top w:val="single" w:color="000000" w:sz="4" w:space="0"/>
              <w:left w:val="single" w:color="000000" w:sz="4" w:space="0"/>
              <w:bottom w:val="single" w:color="000000" w:sz="4" w:space="0"/>
              <w:right w:val="single" w:color="000000" w:sz="4" w:space="0"/>
            </w:tcBorders>
            <w:vAlign w:val="center"/>
          </w:tcPr>
          <w:p w14:paraId="516A5B83">
            <w:pPr>
              <w:spacing w:line="360" w:lineRule="auto"/>
              <w:jc w:val="center"/>
              <w:rPr>
                <w:rFonts w:ascii="宋体" w:hAnsi="宋体" w:cs="宋体"/>
                <w:szCs w:val="21"/>
              </w:rPr>
            </w:pPr>
            <w:r>
              <w:rPr>
                <w:rFonts w:hint="eastAsia" w:ascii="宋体" w:hAnsi="宋体" w:cs="宋体"/>
                <w:szCs w:val="21"/>
              </w:rPr>
              <w:t>16.2</w:t>
            </w:r>
          </w:p>
        </w:tc>
        <w:tc>
          <w:tcPr>
            <w:tcW w:w="1109" w:type="pct"/>
            <w:tcBorders>
              <w:top w:val="single" w:color="000000" w:sz="4" w:space="0"/>
              <w:left w:val="single" w:color="000000" w:sz="4" w:space="0"/>
              <w:bottom w:val="single" w:color="000000" w:sz="4" w:space="0"/>
              <w:right w:val="single" w:color="000000" w:sz="4" w:space="0"/>
            </w:tcBorders>
            <w:vAlign w:val="center"/>
          </w:tcPr>
          <w:p w14:paraId="4706173F">
            <w:pPr>
              <w:spacing w:line="360" w:lineRule="auto"/>
              <w:jc w:val="center"/>
              <w:rPr>
                <w:rFonts w:ascii="宋体" w:hAnsi="宋体" w:cs="宋体"/>
                <w:szCs w:val="21"/>
              </w:rPr>
            </w:pPr>
            <w:r>
              <w:rPr>
                <w:rFonts w:hint="eastAsia" w:ascii="宋体" w:hAnsi="宋体" w:cs="宋体"/>
                <w:szCs w:val="21"/>
              </w:rPr>
              <w:t>竞标有效期</w:t>
            </w:r>
          </w:p>
        </w:tc>
        <w:tc>
          <w:tcPr>
            <w:tcW w:w="3356" w:type="pct"/>
            <w:tcBorders>
              <w:top w:val="single" w:color="000000" w:sz="4" w:space="0"/>
              <w:left w:val="single" w:color="000000" w:sz="4" w:space="0"/>
              <w:bottom w:val="single" w:color="000000" w:sz="4" w:space="0"/>
              <w:right w:val="single" w:color="000000" w:sz="4" w:space="0"/>
            </w:tcBorders>
            <w:vAlign w:val="center"/>
          </w:tcPr>
          <w:p w14:paraId="661A5FC7">
            <w:pPr>
              <w:tabs>
                <w:tab w:val="left" w:pos="720"/>
                <w:tab w:val="left" w:pos="840"/>
              </w:tabs>
              <w:spacing w:after="120" w:line="360" w:lineRule="auto"/>
              <w:ind w:left="283" w:hanging="283"/>
              <w:jc w:val="left"/>
              <w:rPr>
                <w:rFonts w:ascii="宋体" w:hAnsi="宋体" w:cs="宋体"/>
                <w:szCs w:val="21"/>
              </w:rPr>
            </w:pPr>
            <w:r>
              <w:rPr>
                <w:rFonts w:hint="eastAsia" w:ascii="宋体" w:hAnsi="宋体" w:cs="宋体"/>
                <w:szCs w:val="21"/>
              </w:rPr>
              <w:t>自首次响应文件提交截止之日起</w:t>
            </w:r>
            <w:r>
              <w:rPr>
                <w:rFonts w:hint="eastAsia" w:ascii="宋体" w:hAnsi="宋体" w:cs="宋体"/>
                <w:szCs w:val="21"/>
                <w:u w:val="single"/>
              </w:rPr>
              <w:t>90</w:t>
            </w:r>
            <w:r>
              <w:rPr>
                <w:rFonts w:hint="eastAsia" w:ascii="宋体" w:hAnsi="宋体" w:cs="宋体"/>
                <w:szCs w:val="21"/>
              </w:rPr>
              <w:t>日。</w:t>
            </w:r>
          </w:p>
        </w:tc>
      </w:tr>
      <w:tr w14:paraId="70182E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35" w:type="pct"/>
            <w:tcBorders>
              <w:top w:val="single" w:color="000000" w:sz="4" w:space="0"/>
              <w:left w:val="single" w:color="000000" w:sz="4" w:space="0"/>
              <w:bottom w:val="single" w:color="000000" w:sz="4" w:space="0"/>
              <w:right w:val="single" w:color="000000" w:sz="4" w:space="0"/>
            </w:tcBorders>
            <w:vAlign w:val="center"/>
          </w:tcPr>
          <w:p w14:paraId="54818F03">
            <w:pPr>
              <w:spacing w:line="360" w:lineRule="auto"/>
              <w:jc w:val="center"/>
              <w:rPr>
                <w:rFonts w:ascii="宋体" w:hAnsi="宋体" w:cs="宋体"/>
                <w:szCs w:val="21"/>
              </w:rPr>
            </w:pPr>
            <w:r>
              <w:rPr>
                <w:rFonts w:hint="eastAsia" w:ascii="宋体" w:hAnsi="宋体" w:cs="宋体"/>
                <w:szCs w:val="21"/>
              </w:rPr>
              <w:t>17.1</w:t>
            </w:r>
          </w:p>
        </w:tc>
        <w:tc>
          <w:tcPr>
            <w:tcW w:w="1109" w:type="pct"/>
            <w:tcBorders>
              <w:top w:val="single" w:color="000000" w:sz="4" w:space="0"/>
              <w:left w:val="single" w:color="000000" w:sz="4" w:space="0"/>
              <w:bottom w:val="single" w:color="000000" w:sz="4" w:space="0"/>
              <w:right w:val="single" w:color="000000" w:sz="4" w:space="0"/>
            </w:tcBorders>
            <w:vAlign w:val="center"/>
          </w:tcPr>
          <w:p w14:paraId="0AF9E2B5">
            <w:pPr>
              <w:spacing w:line="360" w:lineRule="auto"/>
              <w:jc w:val="center"/>
              <w:rPr>
                <w:rFonts w:ascii="宋体" w:hAnsi="宋体" w:cs="宋体"/>
                <w:szCs w:val="21"/>
              </w:rPr>
            </w:pPr>
            <w:r>
              <w:rPr>
                <w:rFonts w:hint="eastAsia" w:ascii="宋体" w:hAnsi="宋体" w:cs="宋体"/>
                <w:szCs w:val="21"/>
              </w:rPr>
              <w:t>谈判保证金</w:t>
            </w:r>
          </w:p>
        </w:tc>
        <w:tc>
          <w:tcPr>
            <w:tcW w:w="3356" w:type="pct"/>
            <w:tcBorders>
              <w:top w:val="single" w:color="000000" w:sz="4" w:space="0"/>
              <w:left w:val="single" w:color="000000" w:sz="4" w:space="0"/>
              <w:bottom w:val="single" w:color="000000" w:sz="4" w:space="0"/>
              <w:right w:val="single" w:color="000000" w:sz="4" w:space="0"/>
            </w:tcBorders>
            <w:vAlign w:val="center"/>
          </w:tcPr>
          <w:p w14:paraId="2614B449">
            <w:pPr>
              <w:spacing w:line="360" w:lineRule="auto"/>
              <w:rPr>
                <w:rFonts w:ascii="宋体" w:hAnsi="宋体"/>
                <w:szCs w:val="21"/>
              </w:rPr>
            </w:pPr>
            <w:r>
              <w:rPr>
                <w:rFonts w:hint="eastAsia" w:ascii="宋体" w:hAnsi="宋体"/>
                <w:szCs w:val="21"/>
              </w:rPr>
              <w:t>本项目不收取谈判保证金。</w:t>
            </w:r>
          </w:p>
        </w:tc>
      </w:tr>
      <w:tr w14:paraId="11197D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8" w:hRule="atLeast"/>
          <w:jc w:val="center"/>
        </w:trPr>
        <w:tc>
          <w:tcPr>
            <w:tcW w:w="535" w:type="pct"/>
            <w:vMerge w:val="restart"/>
            <w:tcBorders>
              <w:top w:val="single" w:color="000000" w:sz="4" w:space="0"/>
              <w:left w:val="single" w:color="000000" w:sz="4" w:space="0"/>
              <w:bottom w:val="single" w:color="000000" w:sz="4" w:space="0"/>
              <w:right w:val="single" w:color="000000" w:sz="4" w:space="0"/>
            </w:tcBorders>
            <w:vAlign w:val="center"/>
          </w:tcPr>
          <w:p w14:paraId="5DD99CC7">
            <w:pPr>
              <w:spacing w:line="360" w:lineRule="auto"/>
              <w:jc w:val="center"/>
              <w:rPr>
                <w:rFonts w:ascii="宋体" w:hAnsi="宋体" w:cs="宋体"/>
                <w:szCs w:val="21"/>
              </w:rPr>
            </w:pPr>
            <w:r>
              <w:rPr>
                <w:rFonts w:hint="eastAsia" w:ascii="宋体" w:hAnsi="宋体" w:cs="宋体"/>
                <w:szCs w:val="21"/>
              </w:rPr>
              <w:t>20.1</w:t>
            </w:r>
          </w:p>
        </w:tc>
        <w:tc>
          <w:tcPr>
            <w:tcW w:w="1109" w:type="pct"/>
            <w:tcBorders>
              <w:top w:val="single" w:color="000000" w:sz="4" w:space="0"/>
              <w:left w:val="single" w:color="000000" w:sz="4" w:space="0"/>
              <w:bottom w:val="single" w:color="000000" w:sz="4" w:space="0"/>
              <w:right w:val="single" w:color="000000" w:sz="4" w:space="0"/>
            </w:tcBorders>
            <w:vAlign w:val="center"/>
          </w:tcPr>
          <w:p w14:paraId="1F7AB96F">
            <w:pPr>
              <w:spacing w:line="360" w:lineRule="auto"/>
              <w:jc w:val="center"/>
              <w:rPr>
                <w:rFonts w:ascii="宋体" w:hAnsi="宋体" w:cs="宋体"/>
                <w:szCs w:val="21"/>
              </w:rPr>
            </w:pPr>
            <w:r>
              <w:rPr>
                <w:rFonts w:hint="eastAsia" w:ascii="宋体" w:hAnsi="宋体" w:cs="宋体"/>
                <w:szCs w:val="21"/>
              </w:rPr>
              <w:t>首次响应文件提交起止时间</w:t>
            </w:r>
          </w:p>
        </w:tc>
        <w:tc>
          <w:tcPr>
            <w:tcW w:w="3356" w:type="pct"/>
            <w:tcBorders>
              <w:top w:val="single" w:color="000000" w:sz="4" w:space="0"/>
              <w:left w:val="single" w:color="000000" w:sz="4" w:space="0"/>
              <w:bottom w:val="single" w:color="000000" w:sz="4" w:space="0"/>
              <w:right w:val="single" w:color="000000" w:sz="4" w:space="0"/>
            </w:tcBorders>
            <w:vAlign w:val="center"/>
          </w:tcPr>
          <w:p w14:paraId="7822634A">
            <w:pPr>
              <w:spacing w:line="360" w:lineRule="auto"/>
              <w:jc w:val="left"/>
              <w:rPr>
                <w:rFonts w:ascii="宋体" w:hAnsi="宋体" w:cs="宋体"/>
                <w:szCs w:val="21"/>
                <w:u w:val="single"/>
              </w:rPr>
            </w:pPr>
            <w:r>
              <w:rPr>
                <w:rFonts w:hint="eastAsia" w:ascii="宋体" w:hAnsi="宋体" w:cs="宋体"/>
                <w:szCs w:val="21"/>
              </w:rPr>
              <w:t>详见竞争性谈判公告。</w:t>
            </w:r>
          </w:p>
        </w:tc>
      </w:tr>
      <w:tr w14:paraId="4F847D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535" w:type="pct"/>
            <w:vMerge w:val="continue"/>
            <w:tcBorders>
              <w:top w:val="single" w:color="000000" w:sz="4" w:space="0"/>
              <w:left w:val="single" w:color="000000" w:sz="4" w:space="0"/>
              <w:bottom w:val="single" w:color="000000" w:sz="4" w:space="0"/>
              <w:right w:val="single" w:color="000000" w:sz="4" w:space="0"/>
            </w:tcBorders>
            <w:vAlign w:val="center"/>
          </w:tcPr>
          <w:p w14:paraId="5E55DFA9">
            <w:pPr>
              <w:widowControl/>
              <w:jc w:val="left"/>
              <w:rPr>
                <w:rFonts w:ascii="宋体" w:hAnsi="宋体" w:cs="宋体"/>
                <w:szCs w:val="21"/>
              </w:rPr>
            </w:pPr>
          </w:p>
        </w:tc>
        <w:tc>
          <w:tcPr>
            <w:tcW w:w="1109" w:type="pct"/>
            <w:tcBorders>
              <w:top w:val="single" w:color="000000" w:sz="4" w:space="0"/>
              <w:left w:val="single" w:color="000000" w:sz="4" w:space="0"/>
              <w:bottom w:val="single" w:color="000000" w:sz="4" w:space="0"/>
              <w:right w:val="single" w:color="000000" w:sz="4" w:space="0"/>
            </w:tcBorders>
            <w:vAlign w:val="center"/>
          </w:tcPr>
          <w:p w14:paraId="29B513C5">
            <w:pPr>
              <w:spacing w:line="360" w:lineRule="auto"/>
              <w:jc w:val="center"/>
              <w:rPr>
                <w:rFonts w:ascii="宋体" w:hAnsi="宋体" w:cs="宋体"/>
                <w:szCs w:val="21"/>
              </w:rPr>
            </w:pPr>
            <w:r>
              <w:rPr>
                <w:rFonts w:hint="eastAsia" w:ascii="宋体" w:hAnsi="宋体" w:cs="宋体"/>
                <w:szCs w:val="21"/>
              </w:rPr>
              <w:t>首次响应文件提交地点</w:t>
            </w:r>
          </w:p>
        </w:tc>
        <w:tc>
          <w:tcPr>
            <w:tcW w:w="3356" w:type="pct"/>
            <w:tcBorders>
              <w:top w:val="single" w:color="000000" w:sz="4" w:space="0"/>
              <w:left w:val="single" w:color="000000" w:sz="4" w:space="0"/>
              <w:bottom w:val="single" w:color="000000" w:sz="4" w:space="0"/>
              <w:right w:val="single" w:color="000000" w:sz="4" w:space="0"/>
            </w:tcBorders>
            <w:vAlign w:val="center"/>
          </w:tcPr>
          <w:p w14:paraId="6D4A18CC">
            <w:pPr>
              <w:spacing w:line="360" w:lineRule="auto"/>
              <w:jc w:val="left"/>
              <w:rPr>
                <w:rFonts w:ascii="宋体" w:hAnsi="宋体" w:cs="宋体"/>
                <w:szCs w:val="21"/>
                <w:u w:val="single"/>
              </w:rPr>
            </w:pPr>
            <w:r>
              <w:rPr>
                <w:rFonts w:hint="eastAsia" w:ascii="宋体" w:hAnsi="宋体" w:cs="宋体"/>
                <w:szCs w:val="21"/>
              </w:rPr>
              <w:t>详见竞争性谈判公告。</w:t>
            </w:r>
          </w:p>
        </w:tc>
      </w:tr>
      <w:tr w14:paraId="5ABFF8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535" w:type="pct"/>
            <w:tcBorders>
              <w:top w:val="single" w:color="000000" w:sz="4" w:space="0"/>
              <w:left w:val="single" w:color="000000" w:sz="4" w:space="0"/>
              <w:bottom w:val="single" w:color="000000" w:sz="4" w:space="0"/>
              <w:right w:val="single" w:color="000000" w:sz="4" w:space="0"/>
            </w:tcBorders>
            <w:vAlign w:val="center"/>
          </w:tcPr>
          <w:p w14:paraId="733584B0">
            <w:pPr>
              <w:spacing w:line="360" w:lineRule="auto"/>
              <w:jc w:val="center"/>
              <w:rPr>
                <w:rFonts w:ascii="宋体" w:hAnsi="宋体" w:cs="宋体"/>
                <w:szCs w:val="21"/>
              </w:rPr>
            </w:pPr>
            <w:r>
              <w:rPr>
                <w:rFonts w:hint="eastAsia" w:ascii="宋体" w:hAnsi="宋体" w:cs="宋体"/>
                <w:szCs w:val="21"/>
              </w:rPr>
              <w:t>20.6</w:t>
            </w:r>
          </w:p>
        </w:tc>
        <w:tc>
          <w:tcPr>
            <w:tcW w:w="1109" w:type="pct"/>
            <w:tcBorders>
              <w:top w:val="single" w:color="000000" w:sz="4" w:space="0"/>
              <w:left w:val="single" w:color="000000" w:sz="4" w:space="0"/>
              <w:bottom w:val="single" w:color="000000" w:sz="4" w:space="0"/>
              <w:right w:val="single" w:color="000000" w:sz="4" w:space="0"/>
            </w:tcBorders>
            <w:vAlign w:val="center"/>
          </w:tcPr>
          <w:p w14:paraId="1798D0C3">
            <w:pPr>
              <w:spacing w:line="360" w:lineRule="auto"/>
              <w:jc w:val="center"/>
              <w:rPr>
                <w:rFonts w:ascii="宋体" w:hAnsi="宋体" w:cs="宋体"/>
                <w:szCs w:val="21"/>
              </w:rPr>
            </w:pPr>
            <w:r>
              <w:rPr>
                <w:rFonts w:hint="eastAsia" w:ascii="宋体" w:hAnsi="宋体" w:cs="宋体"/>
                <w:szCs w:val="21"/>
              </w:rPr>
              <w:t>备份响应文件</w:t>
            </w:r>
          </w:p>
        </w:tc>
        <w:tc>
          <w:tcPr>
            <w:tcW w:w="3356" w:type="pct"/>
            <w:tcBorders>
              <w:top w:val="single" w:color="000000" w:sz="4" w:space="0"/>
              <w:left w:val="single" w:color="000000" w:sz="4" w:space="0"/>
              <w:bottom w:val="single" w:color="000000" w:sz="4" w:space="0"/>
              <w:right w:val="single" w:color="000000" w:sz="4" w:space="0"/>
            </w:tcBorders>
            <w:vAlign w:val="center"/>
          </w:tcPr>
          <w:p w14:paraId="1E81E11B">
            <w:pPr>
              <w:spacing w:line="360" w:lineRule="auto"/>
              <w:jc w:val="left"/>
              <w:rPr>
                <w:rFonts w:ascii="宋体" w:hAnsi="宋体" w:cs="宋体"/>
                <w:szCs w:val="21"/>
              </w:rPr>
            </w:pPr>
            <w:r>
              <w:rPr>
                <w:rFonts w:hint="eastAsia" w:ascii="宋体" w:hAnsi="宋体"/>
                <w:szCs w:val="21"/>
              </w:rPr>
              <w:t>本项目不接受备份响应文件。</w:t>
            </w:r>
          </w:p>
        </w:tc>
      </w:tr>
      <w:tr w14:paraId="066D71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535" w:type="pct"/>
            <w:tcBorders>
              <w:top w:val="single" w:color="000000" w:sz="4" w:space="0"/>
              <w:left w:val="single" w:color="000000" w:sz="4" w:space="0"/>
              <w:bottom w:val="single" w:color="000000" w:sz="4" w:space="0"/>
              <w:right w:val="single" w:color="000000" w:sz="4" w:space="0"/>
            </w:tcBorders>
            <w:vAlign w:val="center"/>
          </w:tcPr>
          <w:p w14:paraId="27A8EC11">
            <w:pPr>
              <w:spacing w:line="360" w:lineRule="auto"/>
              <w:jc w:val="center"/>
              <w:rPr>
                <w:rFonts w:ascii="宋体" w:hAnsi="宋体" w:cs="宋体"/>
                <w:szCs w:val="21"/>
              </w:rPr>
            </w:pPr>
            <w:r>
              <w:rPr>
                <w:rFonts w:hint="eastAsia" w:ascii="宋体" w:hAnsi="宋体" w:cs="宋体"/>
                <w:szCs w:val="21"/>
              </w:rPr>
              <w:t>21</w:t>
            </w:r>
          </w:p>
        </w:tc>
        <w:tc>
          <w:tcPr>
            <w:tcW w:w="1109" w:type="pct"/>
            <w:tcBorders>
              <w:top w:val="single" w:color="000000" w:sz="4" w:space="0"/>
              <w:left w:val="single" w:color="000000" w:sz="4" w:space="0"/>
              <w:bottom w:val="single" w:color="000000" w:sz="4" w:space="0"/>
              <w:right w:val="single" w:color="000000" w:sz="4" w:space="0"/>
            </w:tcBorders>
            <w:vAlign w:val="center"/>
          </w:tcPr>
          <w:p w14:paraId="51E2044B">
            <w:pPr>
              <w:spacing w:line="360" w:lineRule="auto"/>
              <w:jc w:val="center"/>
              <w:rPr>
                <w:rFonts w:ascii="宋体" w:hAnsi="宋体" w:cs="宋体"/>
                <w:szCs w:val="21"/>
              </w:rPr>
            </w:pPr>
            <w:r>
              <w:rPr>
                <w:rFonts w:hint="eastAsia" w:ascii="宋体" w:hAnsi="宋体" w:cs="宋体"/>
                <w:szCs w:val="21"/>
              </w:rPr>
              <w:t>首次响应文件的退回</w:t>
            </w:r>
          </w:p>
        </w:tc>
        <w:tc>
          <w:tcPr>
            <w:tcW w:w="3356" w:type="pct"/>
            <w:tcBorders>
              <w:top w:val="single" w:color="000000" w:sz="4" w:space="0"/>
              <w:left w:val="single" w:color="000000" w:sz="4" w:space="0"/>
              <w:bottom w:val="single" w:color="000000" w:sz="4" w:space="0"/>
              <w:right w:val="single" w:color="000000" w:sz="4" w:space="0"/>
            </w:tcBorders>
            <w:vAlign w:val="center"/>
          </w:tcPr>
          <w:p w14:paraId="53548869">
            <w:pPr>
              <w:spacing w:line="360" w:lineRule="auto"/>
              <w:jc w:val="left"/>
              <w:rPr>
                <w:rFonts w:ascii="宋体" w:hAnsi="宋体" w:cs="宋体"/>
                <w:szCs w:val="21"/>
              </w:rPr>
            </w:pPr>
            <w:r>
              <w:rPr>
                <w:rFonts w:hint="eastAsia" w:ascii="宋体" w:hAnsi="宋体" w:cs="宋体"/>
                <w:szCs w:val="21"/>
              </w:rPr>
              <w:t>详见竞争性谈判公告。</w:t>
            </w:r>
          </w:p>
        </w:tc>
      </w:tr>
      <w:tr w14:paraId="7AFF83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4" w:hRule="atLeast"/>
          <w:jc w:val="center"/>
        </w:trPr>
        <w:tc>
          <w:tcPr>
            <w:tcW w:w="535" w:type="pct"/>
            <w:vMerge w:val="restart"/>
            <w:tcBorders>
              <w:top w:val="single" w:color="000000" w:sz="4" w:space="0"/>
              <w:left w:val="single" w:color="000000" w:sz="4" w:space="0"/>
              <w:bottom w:val="single" w:color="000000" w:sz="4" w:space="0"/>
              <w:right w:val="single" w:color="000000" w:sz="4" w:space="0"/>
            </w:tcBorders>
            <w:vAlign w:val="center"/>
          </w:tcPr>
          <w:p w14:paraId="32A577FD">
            <w:pPr>
              <w:spacing w:line="360" w:lineRule="auto"/>
              <w:jc w:val="center"/>
              <w:rPr>
                <w:rFonts w:ascii="宋体" w:hAnsi="宋体" w:cs="宋体"/>
                <w:szCs w:val="21"/>
              </w:rPr>
            </w:pPr>
            <w:r>
              <w:rPr>
                <w:rFonts w:hint="eastAsia" w:ascii="宋体" w:hAnsi="宋体" w:cs="宋体"/>
                <w:szCs w:val="21"/>
              </w:rPr>
              <w:t>26.2</w:t>
            </w:r>
          </w:p>
        </w:tc>
        <w:tc>
          <w:tcPr>
            <w:tcW w:w="1109" w:type="pct"/>
            <w:tcBorders>
              <w:top w:val="single" w:color="000000" w:sz="4" w:space="0"/>
              <w:left w:val="single" w:color="000000" w:sz="4" w:space="0"/>
              <w:bottom w:val="single" w:color="000000" w:sz="4" w:space="0"/>
              <w:right w:val="single" w:color="000000" w:sz="4" w:space="0"/>
            </w:tcBorders>
            <w:vAlign w:val="center"/>
          </w:tcPr>
          <w:p w14:paraId="1C93CE27">
            <w:pPr>
              <w:spacing w:line="360" w:lineRule="auto"/>
              <w:jc w:val="center"/>
              <w:rPr>
                <w:rFonts w:ascii="宋体" w:hAnsi="宋体" w:cs="宋体"/>
                <w:szCs w:val="21"/>
              </w:rPr>
            </w:pPr>
            <w:r>
              <w:rPr>
                <w:rFonts w:hint="eastAsia" w:ascii="宋体" w:hAnsi="宋体" w:cs="宋体"/>
                <w:szCs w:val="21"/>
              </w:rPr>
              <w:t>负偏离要求</w:t>
            </w:r>
          </w:p>
        </w:tc>
        <w:tc>
          <w:tcPr>
            <w:tcW w:w="3356" w:type="pct"/>
            <w:tcBorders>
              <w:top w:val="single" w:color="000000" w:sz="4" w:space="0"/>
              <w:left w:val="single" w:color="000000" w:sz="4" w:space="0"/>
              <w:bottom w:val="single" w:color="000000" w:sz="4" w:space="0"/>
              <w:right w:val="single" w:color="000000" w:sz="4" w:space="0"/>
            </w:tcBorders>
            <w:vAlign w:val="center"/>
          </w:tcPr>
          <w:p w14:paraId="0F7BCFC8">
            <w:pPr>
              <w:spacing w:line="360" w:lineRule="auto"/>
              <w:rPr>
                <w:rFonts w:ascii="宋体" w:hAnsi="宋体" w:cs="宋体"/>
                <w:b/>
                <w:szCs w:val="21"/>
              </w:rPr>
            </w:pPr>
            <w:r>
              <w:rPr>
                <w:rFonts w:hint="eastAsia" w:ascii="宋体" w:hAnsi="宋体" w:cs="宋体"/>
                <w:b/>
                <w:szCs w:val="21"/>
              </w:rPr>
              <w:t>商务条款评审中允许负偏离的条款数为</w:t>
            </w:r>
            <w:r>
              <w:rPr>
                <w:rFonts w:hint="eastAsia" w:ascii="宋体" w:hAnsi="宋体" w:cs="宋体"/>
                <w:b/>
                <w:szCs w:val="21"/>
                <w:u w:val="single"/>
              </w:rPr>
              <w:t xml:space="preserve"> 0</w:t>
            </w:r>
            <w:r>
              <w:rPr>
                <w:rFonts w:hint="eastAsia" w:ascii="宋体" w:hAnsi="宋体" w:cs="宋体"/>
                <w:b/>
                <w:szCs w:val="21"/>
              </w:rPr>
              <w:t>项。</w:t>
            </w:r>
          </w:p>
          <w:p w14:paraId="17ED52AD">
            <w:pPr>
              <w:spacing w:line="360" w:lineRule="auto"/>
              <w:rPr>
                <w:rFonts w:ascii="宋体" w:hAnsi="宋体" w:cs="宋体"/>
                <w:szCs w:val="21"/>
              </w:rPr>
            </w:pPr>
            <w:r>
              <w:rPr>
                <w:rFonts w:hint="eastAsia" w:ascii="宋体" w:hAnsi="宋体" w:cs="宋体"/>
                <w:b/>
                <w:szCs w:val="21"/>
              </w:rPr>
              <w:t>货物需求一览表评审中允许负偏离的条款数为</w:t>
            </w:r>
            <w:r>
              <w:rPr>
                <w:rFonts w:hint="eastAsia" w:ascii="宋体" w:hAnsi="宋体" w:cs="宋体"/>
                <w:b/>
                <w:szCs w:val="21"/>
                <w:u w:val="single"/>
              </w:rPr>
              <w:t>2</w:t>
            </w:r>
            <w:r>
              <w:rPr>
                <w:rFonts w:hint="eastAsia" w:ascii="宋体" w:hAnsi="宋体" w:cs="宋体"/>
                <w:b/>
                <w:szCs w:val="21"/>
              </w:rPr>
              <w:t>项（即非标“▲”的条款负偏离达2项则作无效标处理）。</w:t>
            </w:r>
          </w:p>
        </w:tc>
      </w:tr>
      <w:tr w14:paraId="7630B9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35" w:type="pct"/>
            <w:vMerge w:val="continue"/>
            <w:tcBorders>
              <w:top w:val="single" w:color="000000" w:sz="4" w:space="0"/>
              <w:left w:val="single" w:color="000000" w:sz="4" w:space="0"/>
              <w:bottom w:val="single" w:color="000000" w:sz="4" w:space="0"/>
              <w:right w:val="single" w:color="000000" w:sz="4" w:space="0"/>
            </w:tcBorders>
            <w:vAlign w:val="center"/>
          </w:tcPr>
          <w:p w14:paraId="3432D8F5">
            <w:pPr>
              <w:widowControl/>
              <w:jc w:val="left"/>
              <w:rPr>
                <w:rFonts w:ascii="宋体" w:hAnsi="宋体" w:cs="宋体"/>
                <w:szCs w:val="21"/>
              </w:rPr>
            </w:pPr>
          </w:p>
        </w:tc>
        <w:tc>
          <w:tcPr>
            <w:tcW w:w="1109" w:type="pct"/>
            <w:tcBorders>
              <w:top w:val="single" w:color="000000" w:sz="4" w:space="0"/>
              <w:left w:val="single" w:color="000000" w:sz="4" w:space="0"/>
              <w:bottom w:val="single" w:color="000000" w:sz="4" w:space="0"/>
              <w:right w:val="single" w:color="000000" w:sz="4" w:space="0"/>
            </w:tcBorders>
            <w:vAlign w:val="center"/>
          </w:tcPr>
          <w:p w14:paraId="1159082E">
            <w:pPr>
              <w:spacing w:line="360" w:lineRule="auto"/>
              <w:jc w:val="center"/>
              <w:rPr>
                <w:rFonts w:ascii="宋体" w:hAnsi="宋体" w:cs="宋体"/>
                <w:szCs w:val="21"/>
              </w:rPr>
            </w:pPr>
            <w:r>
              <w:rPr>
                <w:rFonts w:hint="eastAsia" w:ascii="宋体" w:hAnsi="宋体" w:cs="宋体"/>
                <w:szCs w:val="21"/>
              </w:rPr>
              <w:t>谈判的顺序</w:t>
            </w:r>
          </w:p>
        </w:tc>
        <w:tc>
          <w:tcPr>
            <w:tcW w:w="3356" w:type="pct"/>
            <w:tcBorders>
              <w:top w:val="single" w:color="000000" w:sz="4" w:space="0"/>
              <w:left w:val="single" w:color="000000" w:sz="4" w:space="0"/>
              <w:bottom w:val="single" w:color="000000" w:sz="4" w:space="0"/>
              <w:right w:val="single" w:color="000000" w:sz="4" w:space="0"/>
            </w:tcBorders>
            <w:vAlign w:val="center"/>
          </w:tcPr>
          <w:p w14:paraId="5C2D4E67">
            <w:pPr>
              <w:spacing w:line="360" w:lineRule="auto"/>
              <w:rPr>
                <w:rFonts w:ascii="宋体" w:hAnsi="宋体" w:cs="宋体"/>
                <w:szCs w:val="21"/>
              </w:rPr>
            </w:pPr>
            <w:r>
              <w:rPr>
                <w:rFonts w:hint="eastAsia" w:ascii="宋体" w:hAnsi="宋体" w:cs="宋体"/>
                <w:szCs w:val="21"/>
              </w:rPr>
              <w:t>系统自动提取的顺序</w:t>
            </w:r>
          </w:p>
          <w:p w14:paraId="6503C02A">
            <w:pPr>
              <w:spacing w:line="360" w:lineRule="auto"/>
              <w:jc w:val="left"/>
              <w:rPr>
                <w:rFonts w:ascii="宋体" w:hAnsi="宋体" w:cs="宋体"/>
                <w:b/>
                <w:szCs w:val="21"/>
              </w:rPr>
            </w:pPr>
            <w:r>
              <w:rPr>
                <w:rFonts w:hint="eastAsia" w:ascii="宋体" w:hAnsi="宋体" w:cs="宋体"/>
                <w:b/>
                <w:szCs w:val="21"/>
              </w:rPr>
              <w:t>参与谈判前，供应商法定代表人或者委托代理人必须通过电脑摄像头向谈判小组出示本人有效证件原件[有效证件可以是身份证（含临时身份证明）、机动车驾驶证、社会保障卡或者护照的其中一项]，若参与谈判的委托代理人不是响应文件中授权的委托代理人时，必须同时出示有效的法定代表人授权委托书原件。如无法核实谈判对象有效身份证明的，谈判小组将拒绝其谈判。</w:t>
            </w:r>
          </w:p>
        </w:tc>
      </w:tr>
      <w:tr w14:paraId="618B08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35" w:type="pct"/>
            <w:vMerge w:val="continue"/>
            <w:tcBorders>
              <w:top w:val="single" w:color="000000" w:sz="4" w:space="0"/>
              <w:left w:val="single" w:color="000000" w:sz="4" w:space="0"/>
              <w:bottom w:val="single" w:color="000000" w:sz="4" w:space="0"/>
              <w:right w:val="single" w:color="000000" w:sz="4" w:space="0"/>
            </w:tcBorders>
            <w:vAlign w:val="center"/>
          </w:tcPr>
          <w:p w14:paraId="43D5A504">
            <w:pPr>
              <w:widowControl/>
              <w:jc w:val="left"/>
              <w:rPr>
                <w:rFonts w:ascii="宋体" w:hAnsi="宋体" w:cs="宋体"/>
                <w:szCs w:val="21"/>
              </w:rPr>
            </w:pPr>
          </w:p>
        </w:tc>
        <w:tc>
          <w:tcPr>
            <w:tcW w:w="1109" w:type="pct"/>
            <w:tcBorders>
              <w:top w:val="single" w:color="000000" w:sz="4" w:space="0"/>
              <w:left w:val="single" w:color="000000" w:sz="4" w:space="0"/>
              <w:bottom w:val="single" w:color="000000" w:sz="4" w:space="0"/>
              <w:right w:val="single" w:color="000000" w:sz="4" w:space="0"/>
            </w:tcBorders>
            <w:vAlign w:val="center"/>
          </w:tcPr>
          <w:p w14:paraId="7C73C8C8">
            <w:pPr>
              <w:spacing w:line="360" w:lineRule="auto"/>
              <w:jc w:val="center"/>
              <w:rPr>
                <w:rFonts w:ascii="宋体" w:hAnsi="宋体" w:cs="宋体"/>
                <w:szCs w:val="21"/>
              </w:rPr>
            </w:pPr>
            <w:r>
              <w:rPr>
                <w:rFonts w:hint="eastAsia" w:ascii="宋体" w:hAnsi="宋体" w:cs="宋体"/>
                <w:szCs w:val="21"/>
              </w:rPr>
              <w:t>评审价相同时成交原则</w:t>
            </w:r>
          </w:p>
        </w:tc>
        <w:tc>
          <w:tcPr>
            <w:tcW w:w="3356" w:type="pct"/>
            <w:tcBorders>
              <w:top w:val="single" w:color="000000" w:sz="4" w:space="0"/>
              <w:left w:val="single" w:color="000000" w:sz="4" w:space="0"/>
              <w:bottom w:val="single" w:color="000000" w:sz="4" w:space="0"/>
              <w:right w:val="single" w:color="000000" w:sz="4" w:space="0"/>
            </w:tcBorders>
            <w:vAlign w:val="center"/>
          </w:tcPr>
          <w:p w14:paraId="49E1DB20">
            <w:pPr>
              <w:spacing w:line="360" w:lineRule="auto"/>
              <w:rPr>
                <w:rFonts w:ascii="宋体" w:hAnsi="宋体" w:cs="宋体"/>
                <w:szCs w:val="21"/>
              </w:rPr>
            </w:pPr>
            <w:r>
              <w:rPr>
                <w:rFonts w:hint="eastAsia" w:ascii="宋体" w:hAnsi="宋体" w:cs="宋体"/>
                <w:szCs w:val="21"/>
              </w:rPr>
              <w:t>评审价相同时，按照最后报价由低到高顺序依次推荐；最后报价相同时，按以下原则确定成交候选人的顺序：</w:t>
            </w:r>
          </w:p>
          <w:p w14:paraId="2A0265AE">
            <w:pPr>
              <w:spacing w:line="360" w:lineRule="auto"/>
              <w:rPr>
                <w:rFonts w:ascii="宋体" w:hAnsi="宋体" w:cs="宋体"/>
                <w:szCs w:val="21"/>
              </w:rPr>
            </w:pPr>
            <w:r>
              <w:rPr>
                <w:rFonts w:hint="eastAsia" w:ascii="宋体" w:hAnsi="宋体"/>
                <w:szCs w:val="21"/>
              </w:rPr>
              <w:t>√</w:t>
            </w:r>
            <w:r>
              <w:rPr>
                <w:rFonts w:hint="eastAsia" w:ascii="宋体" w:hAnsi="宋体" w:cs="宋体"/>
                <w:szCs w:val="21"/>
              </w:rPr>
              <w:t>依次按带“▲”的实质性要求正偏离项数多的优先、均无正偏离或者正偏离项数一致时负偏离项数少的优先、质量保证期长优先、交货期短优先、故障响应时间短优先的顺序排列。</w:t>
            </w:r>
          </w:p>
          <w:p w14:paraId="1A2C1790">
            <w:pPr>
              <w:spacing w:line="360" w:lineRule="auto"/>
              <w:rPr>
                <w:rFonts w:ascii="宋体" w:hAnsi="宋体" w:cs="宋体"/>
                <w:szCs w:val="21"/>
              </w:rPr>
            </w:pPr>
            <w:r>
              <w:rPr>
                <w:rFonts w:hint="eastAsia" w:ascii="宋体" w:hAnsi="宋体" w:cs="宋体"/>
                <w:szCs w:val="21"/>
              </w:rPr>
              <w:t>□由谈判小组推荐代表随机抽取。</w:t>
            </w:r>
          </w:p>
        </w:tc>
      </w:tr>
      <w:tr w14:paraId="51109F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8" w:hRule="atLeast"/>
          <w:jc w:val="center"/>
        </w:trPr>
        <w:tc>
          <w:tcPr>
            <w:tcW w:w="535" w:type="pct"/>
            <w:tcBorders>
              <w:top w:val="single" w:color="000000" w:sz="4" w:space="0"/>
              <w:left w:val="single" w:color="000000" w:sz="4" w:space="0"/>
              <w:bottom w:val="single" w:color="000000" w:sz="4" w:space="0"/>
              <w:right w:val="single" w:color="000000" w:sz="4" w:space="0"/>
            </w:tcBorders>
            <w:vAlign w:val="center"/>
          </w:tcPr>
          <w:p w14:paraId="08024223">
            <w:pPr>
              <w:spacing w:line="360" w:lineRule="auto"/>
              <w:rPr>
                <w:rFonts w:ascii="宋体" w:hAnsi="宋体" w:cs="宋体"/>
                <w:szCs w:val="21"/>
              </w:rPr>
            </w:pPr>
            <w:r>
              <w:rPr>
                <w:rFonts w:hint="eastAsia" w:ascii="宋体" w:hAnsi="宋体" w:cs="宋体"/>
                <w:szCs w:val="21"/>
              </w:rPr>
              <w:t>28</w:t>
            </w:r>
          </w:p>
        </w:tc>
        <w:tc>
          <w:tcPr>
            <w:tcW w:w="1109" w:type="pct"/>
            <w:tcBorders>
              <w:top w:val="single" w:color="000000" w:sz="4" w:space="0"/>
              <w:left w:val="single" w:color="000000" w:sz="4" w:space="0"/>
              <w:bottom w:val="single" w:color="000000" w:sz="4" w:space="0"/>
              <w:right w:val="single" w:color="000000" w:sz="4" w:space="0"/>
            </w:tcBorders>
            <w:vAlign w:val="center"/>
          </w:tcPr>
          <w:p w14:paraId="682B475F">
            <w:pPr>
              <w:spacing w:line="360" w:lineRule="auto"/>
              <w:rPr>
                <w:rFonts w:ascii="宋体" w:hAnsi="宋体" w:cs="宋体"/>
                <w:szCs w:val="21"/>
              </w:rPr>
            </w:pPr>
            <w:r>
              <w:rPr>
                <w:rFonts w:hint="eastAsia" w:ascii="宋体" w:hAnsi="宋体" w:cs="宋体"/>
                <w:szCs w:val="21"/>
              </w:rPr>
              <w:t>履约保证金</w:t>
            </w:r>
          </w:p>
        </w:tc>
        <w:tc>
          <w:tcPr>
            <w:tcW w:w="3356" w:type="pct"/>
            <w:tcBorders>
              <w:top w:val="single" w:color="000000" w:sz="4" w:space="0"/>
              <w:left w:val="single" w:color="000000" w:sz="4" w:space="0"/>
              <w:bottom w:val="single" w:color="000000" w:sz="4" w:space="0"/>
              <w:right w:val="single" w:color="000000" w:sz="4" w:space="0"/>
            </w:tcBorders>
            <w:vAlign w:val="center"/>
          </w:tcPr>
          <w:p w14:paraId="74D87D10">
            <w:pPr>
              <w:spacing w:line="360" w:lineRule="auto"/>
              <w:rPr>
                <w:rFonts w:ascii="宋体" w:hAnsi="宋体" w:cs="宋体"/>
                <w:szCs w:val="21"/>
              </w:rPr>
            </w:pPr>
            <w:r>
              <w:rPr>
                <w:rFonts w:hint="eastAsia" w:ascii="宋体" w:hAnsi="宋体" w:cs="宋体"/>
                <w:szCs w:val="21"/>
              </w:rPr>
              <w:t>本项目不收取履约保证金</w:t>
            </w:r>
          </w:p>
        </w:tc>
      </w:tr>
      <w:tr w14:paraId="6974A8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35" w:type="pct"/>
            <w:tcBorders>
              <w:top w:val="single" w:color="000000" w:sz="4" w:space="0"/>
              <w:left w:val="single" w:color="000000" w:sz="4" w:space="0"/>
              <w:bottom w:val="single" w:color="000000" w:sz="4" w:space="0"/>
              <w:right w:val="single" w:color="000000" w:sz="4" w:space="0"/>
            </w:tcBorders>
            <w:vAlign w:val="center"/>
          </w:tcPr>
          <w:p w14:paraId="54FDD9F4">
            <w:pPr>
              <w:spacing w:line="360" w:lineRule="auto"/>
              <w:jc w:val="center"/>
              <w:rPr>
                <w:rFonts w:ascii="宋体" w:hAnsi="宋体" w:cs="宋体"/>
                <w:szCs w:val="21"/>
              </w:rPr>
            </w:pPr>
            <w:r>
              <w:rPr>
                <w:rFonts w:hint="eastAsia" w:ascii="宋体" w:hAnsi="宋体" w:cs="宋体"/>
                <w:szCs w:val="21"/>
              </w:rPr>
              <w:t>29.5</w:t>
            </w:r>
          </w:p>
        </w:tc>
        <w:tc>
          <w:tcPr>
            <w:tcW w:w="1109" w:type="pct"/>
            <w:tcBorders>
              <w:top w:val="single" w:color="000000" w:sz="4" w:space="0"/>
              <w:left w:val="single" w:color="000000" w:sz="4" w:space="0"/>
              <w:bottom w:val="single" w:color="000000" w:sz="4" w:space="0"/>
              <w:right w:val="single" w:color="000000" w:sz="4" w:space="0"/>
            </w:tcBorders>
            <w:vAlign w:val="center"/>
          </w:tcPr>
          <w:p w14:paraId="27A45C56">
            <w:pPr>
              <w:spacing w:line="360" w:lineRule="auto"/>
              <w:jc w:val="center"/>
              <w:rPr>
                <w:rFonts w:ascii="宋体" w:hAnsi="宋体" w:cs="宋体"/>
                <w:szCs w:val="21"/>
              </w:rPr>
            </w:pPr>
            <w:r>
              <w:rPr>
                <w:rFonts w:hint="eastAsia" w:ascii="宋体" w:hAnsi="宋体"/>
                <w:szCs w:val="21"/>
              </w:rPr>
              <w:t>签订合同携带的材料</w:t>
            </w:r>
          </w:p>
        </w:tc>
        <w:tc>
          <w:tcPr>
            <w:tcW w:w="3356" w:type="pct"/>
            <w:tcBorders>
              <w:top w:val="single" w:color="000000" w:sz="4" w:space="0"/>
              <w:left w:val="single" w:color="000000" w:sz="4" w:space="0"/>
              <w:bottom w:val="single" w:color="000000" w:sz="4" w:space="0"/>
              <w:right w:val="single" w:color="000000" w:sz="4" w:space="0"/>
            </w:tcBorders>
            <w:vAlign w:val="center"/>
          </w:tcPr>
          <w:p w14:paraId="0874800F">
            <w:pPr>
              <w:spacing w:line="360" w:lineRule="auto"/>
              <w:rPr>
                <w:rFonts w:ascii="宋体" w:hAnsi="宋体" w:cs="宋体"/>
                <w:szCs w:val="21"/>
              </w:rPr>
            </w:pPr>
            <w:r>
              <w:rPr>
                <w:rFonts w:hint="eastAsia" w:ascii="宋体" w:hAnsi="宋体"/>
                <w:szCs w:val="21"/>
              </w:rPr>
              <w:t>使用的有效CA证书加盖单位电子公章</w:t>
            </w:r>
          </w:p>
        </w:tc>
      </w:tr>
      <w:tr w14:paraId="10AB00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35" w:type="pct"/>
            <w:vMerge w:val="restart"/>
            <w:tcBorders>
              <w:top w:val="single" w:color="000000" w:sz="4" w:space="0"/>
              <w:left w:val="single" w:color="000000" w:sz="4" w:space="0"/>
              <w:bottom w:val="single" w:color="000000" w:sz="4" w:space="0"/>
              <w:right w:val="single" w:color="000000" w:sz="4" w:space="0"/>
            </w:tcBorders>
            <w:vAlign w:val="center"/>
          </w:tcPr>
          <w:p w14:paraId="140AA055">
            <w:pPr>
              <w:spacing w:line="360" w:lineRule="auto"/>
              <w:jc w:val="center"/>
              <w:rPr>
                <w:rFonts w:ascii="宋体" w:hAnsi="宋体" w:cs="宋体"/>
                <w:szCs w:val="21"/>
              </w:rPr>
            </w:pPr>
            <w:r>
              <w:rPr>
                <w:rFonts w:hint="eastAsia" w:ascii="宋体" w:hAnsi="宋体" w:cs="宋体"/>
                <w:szCs w:val="21"/>
              </w:rPr>
              <w:t>31.2</w:t>
            </w:r>
          </w:p>
        </w:tc>
        <w:tc>
          <w:tcPr>
            <w:tcW w:w="1109" w:type="pct"/>
            <w:tcBorders>
              <w:top w:val="single" w:color="000000" w:sz="4" w:space="0"/>
              <w:left w:val="single" w:color="000000" w:sz="4" w:space="0"/>
              <w:bottom w:val="single" w:color="000000" w:sz="4" w:space="0"/>
              <w:right w:val="single" w:color="000000" w:sz="4" w:space="0"/>
            </w:tcBorders>
            <w:vAlign w:val="center"/>
          </w:tcPr>
          <w:p w14:paraId="03DC8722">
            <w:pPr>
              <w:spacing w:line="380" w:lineRule="exact"/>
              <w:jc w:val="center"/>
              <w:rPr>
                <w:rFonts w:ascii="宋体" w:hAnsi="宋体"/>
                <w:szCs w:val="21"/>
              </w:rPr>
            </w:pPr>
            <w:r>
              <w:rPr>
                <w:rFonts w:hint="eastAsia" w:ascii="宋体" w:hAnsi="宋体"/>
                <w:szCs w:val="21"/>
              </w:rPr>
              <w:t>接收质疑函方式</w:t>
            </w:r>
          </w:p>
        </w:tc>
        <w:tc>
          <w:tcPr>
            <w:tcW w:w="3356" w:type="pct"/>
            <w:tcBorders>
              <w:top w:val="single" w:color="000000" w:sz="4" w:space="0"/>
              <w:left w:val="single" w:color="000000" w:sz="4" w:space="0"/>
              <w:bottom w:val="single" w:color="000000" w:sz="4" w:space="0"/>
              <w:right w:val="single" w:color="000000" w:sz="4" w:space="0"/>
            </w:tcBorders>
            <w:vAlign w:val="center"/>
          </w:tcPr>
          <w:p w14:paraId="1C068727">
            <w:pPr>
              <w:spacing w:line="380" w:lineRule="exact"/>
              <w:rPr>
                <w:rFonts w:ascii="宋体" w:hAnsi="宋体"/>
                <w:szCs w:val="21"/>
              </w:rPr>
            </w:pPr>
            <w:r>
              <w:rPr>
                <w:rFonts w:hint="eastAsia" w:ascii="宋体" w:hAnsi="宋体"/>
                <w:szCs w:val="21"/>
              </w:rPr>
              <w:t>以书面形式</w:t>
            </w:r>
          </w:p>
        </w:tc>
      </w:tr>
      <w:tr w14:paraId="4EA804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35" w:type="pct"/>
            <w:vMerge w:val="continue"/>
            <w:tcBorders>
              <w:top w:val="single" w:color="000000" w:sz="4" w:space="0"/>
              <w:left w:val="single" w:color="000000" w:sz="4" w:space="0"/>
              <w:bottom w:val="single" w:color="000000" w:sz="4" w:space="0"/>
              <w:right w:val="single" w:color="000000" w:sz="4" w:space="0"/>
            </w:tcBorders>
            <w:vAlign w:val="center"/>
          </w:tcPr>
          <w:p w14:paraId="2A9E1079">
            <w:pPr>
              <w:widowControl/>
              <w:jc w:val="left"/>
              <w:rPr>
                <w:rFonts w:ascii="宋体" w:hAnsi="宋体" w:cs="宋体"/>
                <w:szCs w:val="21"/>
              </w:rPr>
            </w:pPr>
          </w:p>
        </w:tc>
        <w:tc>
          <w:tcPr>
            <w:tcW w:w="1109" w:type="pct"/>
            <w:tcBorders>
              <w:top w:val="single" w:color="000000" w:sz="4" w:space="0"/>
              <w:left w:val="single" w:color="000000" w:sz="4" w:space="0"/>
              <w:bottom w:val="single" w:color="000000" w:sz="4" w:space="0"/>
              <w:right w:val="single" w:color="000000" w:sz="4" w:space="0"/>
            </w:tcBorders>
            <w:vAlign w:val="center"/>
          </w:tcPr>
          <w:p w14:paraId="07FE86E7">
            <w:pPr>
              <w:spacing w:line="380" w:lineRule="exact"/>
              <w:jc w:val="center"/>
              <w:rPr>
                <w:rFonts w:ascii="宋体" w:hAnsi="宋体"/>
                <w:szCs w:val="21"/>
              </w:rPr>
            </w:pPr>
            <w:r>
              <w:rPr>
                <w:rFonts w:hint="eastAsia" w:ascii="宋体" w:hAnsi="宋体"/>
                <w:szCs w:val="21"/>
              </w:rPr>
              <w:t>质疑联系部门及联系方式</w:t>
            </w:r>
          </w:p>
        </w:tc>
        <w:tc>
          <w:tcPr>
            <w:tcW w:w="3356" w:type="pct"/>
            <w:tcBorders>
              <w:top w:val="single" w:color="000000" w:sz="4" w:space="0"/>
              <w:left w:val="single" w:color="000000" w:sz="4" w:space="0"/>
              <w:bottom w:val="single" w:color="000000" w:sz="4" w:space="0"/>
              <w:right w:val="single" w:color="000000" w:sz="4" w:space="0"/>
            </w:tcBorders>
            <w:vAlign w:val="center"/>
          </w:tcPr>
          <w:p w14:paraId="069AFF3F">
            <w:pPr>
              <w:spacing w:line="380" w:lineRule="exact"/>
              <w:rPr>
                <w:rFonts w:ascii="宋体" w:hAnsi="宋体"/>
                <w:szCs w:val="21"/>
              </w:rPr>
            </w:pPr>
            <w:r>
              <w:rPr>
                <w:rFonts w:hint="eastAsia" w:ascii="宋体" w:hAnsi="宋体"/>
                <w:szCs w:val="21"/>
                <w:u w:val="single"/>
              </w:rPr>
              <w:t>（1）云之龙咨询集团有限公司政府采购全过程咨询部</w:t>
            </w:r>
            <w:r>
              <w:rPr>
                <w:rFonts w:hint="eastAsia" w:ascii="宋体" w:hAnsi="宋体"/>
                <w:szCs w:val="21"/>
              </w:rPr>
              <w:t>；</w:t>
            </w:r>
          </w:p>
          <w:p w14:paraId="41512F0E">
            <w:pPr>
              <w:spacing w:line="380" w:lineRule="exact"/>
              <w:rPr>
                <w:rFonts w:ascii="宋体" w:hAnsi="宋体"/>
                <w:szCs w:val="21"/>
              </w:rPr>
            </w:pPr>
            <w:r>
              <w:rPr>
                <w:rFonts w:hint="eastAsia" w:ascii="宋体" w:hAnsi="宋体"/>
                <w:szCs w:val="21"/>
              </w:rPr>
              <w:t>联系电话：0771-2618199、2618118 、2611898</w:t>
            </w:r>
          </w:p>
          <w:p w14:paraId="1A0AAF93">
            <w:pPr>
              <w:spacing w:line="380" w:lineRule="exact"/>
              <w:rPr>
                <w:rFonts w:ascii="宋体" w:hAnsi="宋体"/>
                <w:szCs w:val="21"/>
              </w:rPr>
            </w:pPr>
            <w:r>
              <w:rPr>
                <w:rFonts w:hint="eastAsia" w:ascii="宋体" w:hAnsi="宋体"/>
                <w:szCs w:val="21"/>
              </w:rPr>
              <w:t>通讯地址</w:t>
            </w:r>
            <w:r>
              <w:rPr>
                <w:rFonts w:hint="eastAsia" w:ascii="宋体" w:hAnsi="宋体" w:cs="Helvetica"/>
                <w:szCs w:val="21"/>
              </w:rPr>
              <w:t>：</w:t>
            </w:r>
            <w:r>
              <w:rPr>
                <w:rFonts w:hint="eastAsia" w:ascii="宋体" w:hAnsi="宋体"/>
                <w:szCs w:val="21"/>
                <w:u w:val="single"/>
              </w:rPr>
              <w:t>广西南宁市良庆区云英路15号南宁城建集团总部地块项目3号写字楼6楼政府采购全过程咨询部</w:t>
            </w:r>
            <w:r>
              <w:t>﻿</w:t>
            </w:r>
          </w:p>
          <w:p w14:paraId="1C113FB5">
            <w:pPr>
              <w:spacing w:line="380" w:lineRule="exact"/>
              <w:rPr>
                <w:rFonts w:ascii="宋体" w:hAnsi="宋体"/>
                <w:szCs w:val="21"/>
              </w:rPr>
            </w:pPr>
            <w:r>
              <w:rPr>
                <w:rFonts w:hint="eastAsia" w:ascii="宋体" w:hAnsi="宋体"/>
                <w:szCs w:val="21"/>
                <w:u w:val="single"/>
              </w:rPr>
              <w:t>（2）广西南宁技师学院</w:t>
            </w:r>
            <w:r>
              <w:rPr>
                <w:rFonts w:hint="eastAsia" w:ascii="宋体" w:hAnsi="宋体"/>
                <w:szCs w:val="21"/>
              </w:rPr>
              <w:t>；</w:t>
            </w:r>
          </w:p>
          <w:p w14:paraId="6E9E9AB4">
            <w:pPr>
              <w:tabs>
                <w:tab w:val="left" w:pos="5093"/>
              </w:tabs>
              <w:spacing w:line="380" w:lineRule="exact"/>
              <w:rPr>
                <w:rFonts w:ascii="宋体" w:hAnsi="宋体"/>
                <w:szCs w:val="21"/>
              </w:rPr>
            </w:pPr>
            <w:r>
              <w:rPr>
                <w:rFonts w:hint="eastAsia" w:ascii="宋体" w:hAnsi="宋体"/>
                <w:szCs w:val="21"/>
              </w:rPr>
              <w:t>联系电话：</w:t>
            </w:r>
            <w:r>
              <w:rPr>
                <w:rFonts w:ascii="宋体" w:hAnsi="宋体"/>
                <w:szCs w:val="21"/>
              </w:rPr>
              <w:t>0771-4928055</w:t>
            </w:r>
          </w:p>
          <w:p w14:paraId="15522E89">
            <w:pPr>
              <w:spacing w:line="380" w:lineRule="exact"/>
              <w:rPr>
                <w:rFonts w:ascii="宋体" w:hAnsi="宋体"/>
                <w:szCs w:val="21"/>
              </w:rPr>
            </w:pPr>
            <w:r>
              <w:rPr>
                <w:rFonts w:hint="eastAsia" w:ascii="宋体" w:hAnsi="宋体"/>
                <w:szCs w:val="21"/>
              </w:rPr>
              <w:t>通讯地址</w:t>
            </w:r>
            <w:r>
              <w:rPr>
                <w:rFonts w:hint="eastAsia" w:ascii="宋体" w:hAnsi="宋体" w:cs="Helvetica"/>
                <w:szCs w:val="21"/>
              </w:rPr>
              <w:t>：</w:t>
            </w:r>
            <w:r>
              <w:rPr>
                <w:rFonts w:hint="eastAsia" w:ascii="宋体" w:hAnsi="宋体"/>
                <w:szCs w:val="21"/>
              </w:rPr>
              <w:t>南宁市西乡塘区大学西路157号 </w:t>
            </w:r>
          </w:p>
        </w:tc>
      </w:tr>
      <w:tr w14:paraId="2704FE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35" w:type="pct"/>
            <w:vMerge w:val="continue"/>
            <w:tcBorders>
              <w:top w:val="single" w:color="000000" w:sz="4" w:space="0"/>
              <w:left w:val="single" w:color="000000" w:sz="4" w:space="0"/>
              <w:bottom w:val="single" w:color="000000" w:sz="4" w:space="0"/>
              <w:right w:val="single" w:color="000000" w:sz="4" w:space="0"/>
            </w:tcBorders>
            <w:vAlign w:val="center"/>
          </w:tcPr>
          <w:p w14:paraId="26EBBCC3">
            <w:pPr>
              <w:widowControl/>
              <w:jc w:val="left"/>
              <w:rPr>
                <w:rFonts w:ascii="宋体" w:hAnsi="宋体" w:cs="宋体"/>
                <w:szCs w:val="21"/>
              </w:rPr>
            </w:pPr>
          </w:p>
        </w:tc>
        <w:tc>
          <w:tcPr>
            <w:tcW w:w="1109" w:type="pct"/>
            <w:tcBorders>
              <w:top w:val="single" w:color="000000" w:sz="4" w:space="0"/>
              <w:left w:val="single" w:color="000000" w:sz="4" w:space="0"/>
              <w:bottom w:val="single" w:color="000000" w:sz="4" w:space="0"/>
              <w:right w:val="single" w:color="000000" w:sz="4" w:space="0"/>
            </w:tcBorders>
            <w:vAlign w:val="center"/>
          </w:tcPr>
          <w:p w14:paraId="5CB91567">
            <w:pPr>
              <w:spacing w:line="380" w:lineRule="exact"/>
              <w:jc w:val="center"/>
              <w:rPr>
                <w:rFonts w:ascii="宋体" w:hAnsi="宋体"/>
                <w:szCs w:val="21"/>
              </w:rPr>
            </w:pPr>
            <w:r>
              <w:rPr>
                <w:rFonts w:hint="eastAsia" w:hAnsi="宋体"/>
              </w:rPr>
              <w:t>现场提交质疑办理业务时间</w:t>
            </w:r>
          </w:p>
        </w:tc>
        <w:tc>
          <w:tcPr>
            <w:tcW w:w="3356" w:type="pct"/>
            <w:tcBorders>
              <w:top w:val="single" w:color="000000" w:sz="4" w:space="0"/>
              <w:left w:val="single" w:color="000000" w:sz="4" w:space="0"/>
              <w:bottom w:val="single" w:color="000000" w:sz="4" w:space="0"/>
              <w:right w:val="single" w:color="000000" w:sz="4" w:space="0"/>
            </w:tcBorders>
            <w:vAlign w:val="center"/>
          </w:tcPr>
          <w:p w14:paraId="14E96385">
            <w:pPr>
              <w:spacing w:line="380" w:lineRule="exact"/>
              <w:rPr>
                <w:rFonts w:ascii="宋体" w:hAnsi="宋体"/>
                <w:szCs w:val="21"/>
              </w:rPr>
            </w:pPr>
            <w:r>
              <w:rPr>
                <w:rFonts w:hint="eastAsia" w:hAnsi="宋体"/>
              </w:rPr>
              <w:t>质疑期内每个工作日</w:t>
            </w:r>
            <w:r>
              <w:rPr>
                <w:rFonts w:hAnsi="宋体"/>
                <w:u w:val="single"/>
              </w:rPr>
              <w:t xml:space="preserve"> 8</w:t>
            </w:r>
            <w:r>
              <w:rPr>
                <w:rFonts w:hint="eastAsia" w:hAnsi="宋体"/>
              </w:rPr>
              <w:t>时</w:t>
            </w:r>
            <w:r>
              <w:rPr>
                <w:rFonts w:hAnsi="宋体"/>
                <w:u w:val="single"/>
              </w:rPr>
              <w:t xml:space="preserve"> 00</w:t>
            </w:r>
            <w:r>
              <w:rPr>
                <w:rFonts w:hint="eastAsia" w:hAnsi="宋体"/>
              </w:rPr>
              <w:t>分到</w:t>
            </w:r>
            <w:r>
              <w:rPr>
                <w:rFonts w:hAnsi="宋体"/>
                <w:u w:val="single"/>
              </w:rPr>
              <w:t xml:space="preserve"> 12 </w:t>
            </w:r>
            <w:r>
              <w:rPr>
                <w:rFonts w:hint="eastAsia" w:hAnsi="宋体"/>
              </w:rPr>
              <w:t>时</w:t>
            </w:r>
            <w:r>
              <w:rPr>
                <w:rFonts w:hAnsi="宋体"/>
              </w:rPr>
              <w:t>00</w:t>
            </w:r>
            <w:r>
              <w:rPr>
                <w:rFonts w:hint="eastAsia" w:hAnsi="宋体"/>
              </w:rPr>
              <w:t>分，</w:t>
            </w:r>
            <w:r>
              <w:rPr>
                <w:rFonts w:hAnsi="宋体"/>
                <w:u w:val="single"/>
              </w:rPr>
              <w:t xml:space="preserve">15 </w:t>
            </w:r>
            <w:r>
              <w:rPr>
                <w:rFonts w:hint="eastAsia" w:hAnsi="宋体"/>
              </w:rPr>
              <w:t>时</w:t>
            </w:r>
            <w:r>
              <w:rPr>
                <w:rFonts w:hAnsi="宋体"/>
                <w:u w:val="single"/>
              </w:rPr>
              <w:t>00</w:t>
            </w:r>
            <w:r>
              <w:rPr>
                <w:rFonts w:hint="eastAsia" w:hAnsi="宋体"/>
              </w:rPr>
              <w:t>分到</w:t>
            </w:r>
            <w:r>
              <w:rPr>
                <w:rFonts w:hAnsi="宋体"/>
                <w:u w:val="single"/>
              </w:rPr>
              <w:t>18</w:t>
            </w:r>
            <w:r>
              <w:rPr>
                <w:rFonts w:hint="eastAsia" w:hAnsi="宋体"/>
              </w:rPr>
              <w:t>时</w:t>
            </w:r>
            <w:r>
              <w:rPr>
                <w:rFonts w:hAnsi="宋体"/>
                <w:u w:val="single"/>
              </w:rPr>
              <w:t xml:space="preserve">00 </w:t>
            </w:r>
            <w:r>
              <w:rPr>
                <w:rFonts w:hint="eastAsia" w:hAnsi="宋体"/>
              </w:rPr>
              <w:t>分</w:t>
            </w:r>
          </w:p>
        </w:tc>
      </w:tr>
      <w:tr w14:paraId="01F6BD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35" w:type="pct"/>
            <w:tcBorders>
              <w:top w:val="single" w:color="000000" w:sz="4" w:space="0"/>
              <w:left w:val="single" w:color="000000" w:sz="4" w:space="0"/>
              <w:bottom w:val="single" w:color="000000" w:sz="4" w:space="0"/>
              <w:right w:val="single" w:color="000000" w:sz="4" w:space="0"/>
            </w:tcBorders>
            <w:vAlign w:val="center"/>
          </w:tcPr>
          <w:p w14:paraId="2AC02908">
            <w:pPr>
              <w:spacing w:line="360" w:lineRule="auto"/>
              <w:jc w:val="center"/>
              <w:rPr>
                <w:rFonts w:ascii="宋体" w:hAnsi="宋体" w:cs="宋体"/>
                <w:szCs w:val="21"/>
              </w:rPr>
            </w:pPr>
            <w:r>
              <w:rPr>
                <w:rFonts w:hint="eastAsia" w:ascii="宋体" w:hAnsi="宋体" w:cs="宋体"/>
                <w:szCs w:val="21"/>
              </w:rPr>
              <w:t>31.6</w:t>
            </w:r>
          </w:p>
        </w:tc>
        <w:tc>
          <w:tcPr>
            <w:tcW w:w="1109" w:type="pct"/>
            <w:tcBorders>
              <w:top w:val="single" w:color="000000" w:sz="4" w:space="0"/>
              <w:left w:val="single" w:color="000000" w:sz="4" w:space="0"/>
              <w:bottom w:val="single" w:color="000000" w:sz="4" w:space="0"/>
              <w:right w:val="single" w:color="000000" w:sz="4" w:space="0"/>
            </w:tcBorders>
            <w:vAlign w:val="center"/>
          </w:tcPr>
          <w:p w14:paraId="2049DDF3">
            <w:pPr>
              <w:spacing w:line="360" w:lineRule="auto"/>
              <w:jc w:val="center"/>
              <w:rPr>
                <w:rFonts w:ascii="宋体" w:hAnsi="宋体" w:cs="宋体"/>
                <w:szCs w:val="21"/>
              </w:rPr>
            </w:pPr>
            <w:r>
              <w:rPr>
                <w:rFonts w:hint="eastAsia" w:ascii="宋体" w:hAnsi="宋体" w:cs="宋体"/>
                <w:szCs w:val="21"/>
              </w:rPr>
              <w:t>受理投诉方式</w:t>
            </w:r>
          </w:p>
        </w:tc>
        <w:tc>
          <w:tcPr>
            <w:tcW w:w="3356" w:type="pct"/>
            <w:tcBorders>
              <w:top w:val="single" w:color="000000" w:sz="4" w:space="0"/>
              <w:left w:val="single" w:color="000000" w:sz="4" w:space="0"/>
              <w:bottom w:val="single" w:color="000000" w:sz="4" w:space="0"/>
              <w:right w:val="single" w:color="000000" w:sz="4" w:space="0"/>
            </w:tcBorders>
            <w:vAlign w:val="center"/>
          </w:tcPr>
          <w:p w14:paraId="2ED08511">
            <w:pPr>
              <w:spacing w:line="360" w:lineRule="auto"/>
              <w:rPr>
                <w:rFonts w:ascii="宋体" w:hAnsi="宋体"/>
                <w:szCs w:val="21"/>
              </w:rPr>
            </w:pPr>
            <w:r>
              <w:rPr>
                <w:rFonts w:hint="eastAsia" w:ascii="宋体" w:hAnsi="宋体"/>
                <w:szCs w:val="21"/>
              </w:rPr>
              <w:t>1、受理方式：纸质方式受理，投诉书正、副本（经过质疑的事项才可投诉）。</w:t>
            </w:r>
          </w:p>
          <w:p w14:paraId="27C191D0">
            <w:pPr>
              <w:spacing w:line="360" w:lineRule="auto"/>
              <w:rPr>
                <w:rFonts w:ascii="宋体" w:hAnsi="宋体"/>
                <w:szCs w:val="21"/>
              </w:rPr>
            </w:pPr>
            <w:r>
              <w:rPr>
                <w:rFonts w:hint="eastAsia" w:ascii="宋体" w:hAnsi="宋体"/>
                <w:szCs w:val="21"/>
              </w:rPr>
              <w:t>2、邮寄地址：</w:t>
            </w:r>
          </w:p>
          <w:p w14:paraId="3E579300">
            <w:pPr>
              <w:spacing w:line="360" w:lineRule="auto"/>
              <w:rPr>
                <w:rFonts w:ascii="宋体" w:hAnsi="宋体" w:cs="宋体"/>
                <w:szCs w:val="21"/>
              </w:rPr>
            </w:pPr>
            <w:r>
              <w:rPr>
                <w:rFonts w:hint="eastAsia" w:ascii="宋体" w:hAnsi="宋体" w:cs="宋体"/>
                <w:szCs w:val="21"/>
              </w:rPr>
              <w:t>名称：</w:t>
            </w:r>
            <w:bookmarkStart w:id="32" w:name="PO_3000001871_PM036"/>
            <w:r>
              <w:rPr>
                <w:rFonts w:hint="eastAsia" w:ascii="宋体" w:hAnsi="宋体" w:cs="宋体"/>
                <w:szCs w:val="21"/>
              </w:rPr>
              <w:t>南宁市财政局政府采购监督管理科</w:t>
            </w:r>
            <w:bookmarkEnd w:id="32"/>
          </w:p>
          <w:p w14:paraId="4F203606">
            <w:pPr>
              <w:spacing w:line="360" w:lineRule="auto"/>
              <w:rPr>
                <w:rFonts w:ascii="宋体" w:hAnsi="宋体" w:cs="宋体"/>
                <w:szCs w:val="21"/>
              </w:rPr>
            </w:pPr>
            <w:r>
              <w:rPr>
                <w:rFonts w:hint="eastAsia" w:ascii="宋体" w:hAnsi="宋体" w:cs="宋体"/>
                <w:szCs w:val="21"/>
              </w:rPr>
              <w:t>地址：</w:t>
            </w:r>
            <w:bookmarkStart w:id="33" w:name="PO_3000001871_PM039"/>
            <w:r>
              <w:rPr>
                <w:rFonts w:hint="eastAsia" w:ascii="宋体" w:hAnsi="宋体" w:cs="宋体"/>
                <w:szCs w:val="21"/>
              </w:rPr>
              <w:t>南宁市青秀区东葛路129号</w:t>
            </w:r>
            <w:bookmarkEnd w:id="33"/>
          </w:p>
          <w:p w14:paraId="5BEE773D">
            <w:pPr>
              <w:spacing w:line="360" w:lineRule="auto"/>
              <w:rPr>
                <w:rFonts w:ascii="宋体" w:hAnsi="宋体" w:cs="宋体"/>
                <w:szCs w:val="21"/>
              </w:rPr>
            </w:pPr>
            <w:r>
              <w:rPr>
                <w:rFonts w:hint="eastAsia" w:ascii="宋体" w:hAnsi="宋体" w:cs="宋体"/>
                <w:szCs w:val="21"/>
              </w:rPr>
              <w:t>联系电话：</w:t>
            </w:r>
            <w:bookmarkStart w:id="34" w:name="PO_3000001871_PM038"/>
            <w:r>
              <w:rPr>
                <w:rFonts w:hint="eastAsia" w:ascii="宋体" w:hAnsi="宋体" w:cs="宋体"/>
                <w:szCs w:val="21"/>
              </w:rPr>
              <w:t>0771-2189091</w:t>
            </w:r>
            <w:bookmarkEnd w:id="34"/>
          </w:p>
        </w:tc>
      </w:tr>
      <w:tr w14:paraId="6B7111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35" w:type="pct"/>
            <w:tcBorders>
              <w:top w:val="single" w:color="000000" w:sz="4" w:space="0"/>
              <w:left w:val="single" w:color="000000" w:sz="4" w:space="0"/>
              <w:bottom w:val="single" w:color="000000" w:sz="4" w:space="0"/>
              <w:right w:val="single" w:color="000000" w:sz="4" w:space="0"/>
            </w:tcBorders>
            <w:vAlign w:val="center"/>
          </w:tcPr>
          <w:p w14:paraId="0A568FF8">
            <w:pPr>
              <w:spacing w:line="360" w:lineRule="auto"/>
              <w:jc w:val="center"/>
              <w:rPr>
                <w:rFonts w:ascii="宋体" w:hAnsi="宋体" w:cs="宋体"/>
                <w:szCs w:val="21"/>
              </w:rPr>
            </w:pPr>
            <w:r>
              <w:rPr>
                <w:rFonts w:hint="eastAsia" w:ascii="宋体" w:hAnsi="宋体" w:cs="宋体"/>
                <w:szCs w:val="21"/>
              </w:rPr>
              <w:t>33</w:t>
            </w:r>
          </w:p>
        </w:tc>
        <w:tc>
          <w:tcPr>
            <w:tcW w:w="1109" w:type="pct"/>
            <w:tcBorders>
              <w:top w:val="single" w:color="000000" w:sz="4" w:space="0"/>
              <w:left w:val="single" w:color="000000" w:sz="4" w:space="0"/>
              <w:bottom w:val="single" w:color="000000" w:sz="4" w:space="0"/>
              <w:right w:val="single" w:color="000000" w:sz="4" w:space="0"/>
            </w:tcBorders>
            <w:vAlign w:val="center"/>
          </w:tcPr>
          <w:p w14:paraId="36E5DC90">
            <w:pPr>
              <w:spacing w:line="360" w:lineRule="auto"/>
              <w:jc w:val="center"/>
              <w:rPr>
                <w:rFonts w:ascii="宋体" w:hAnsi="宋体" w:cs="宋体"/>
                <w:szCs w:val="21"/>
              </w:rPr>
            </w:pPr>
            <w:r>
              <w:rPr>
                <w:rFonts w:hint="eastAsia" w:ascii="宋体" w:hAnsi="宋体" w:cs="宋体"/>
                <w:szCs w:val="21"/>
              </w:rPr>
              <w:t>采购代理费</w:t>
            </w:r>
          </w:p>
        </w:tc>
        <w:tc>
          <w:tcPr>
            <w:tcW w:w="3356" w:type="pct"/>
            <w:tcBorders>
              <w:top w:val="single" w:color="000000" w:sz="4" w:space="0"/>
              <w:left w:val="single" w:color="000000" w:sz="4" w:space="0"/>
              <w:bottom w:val="single" w:color="000000" w:sz="4" w:space="0"/>
              <w:right w:val="single" w:color="000000" w:sz="4" w:space="0"/>
            </w:tcBorders>
            <w:vAlign w:val="center"/>
          </w:tcPr>
          <w:p w14:paraId="0E5D4408">
            <w:pPr>
              <w:spacing w:line="360" w:lineRule="auto"/>
              <w:rPr>
                <w:rFonts w:ascii="宋体" w:hAnsi="宋体" w:cs="宋体"/>
                <w:szCs w:val="21"/>
              </w:rPr>
            </w:pPr>
            <w:r>
              <w:rPr>
                <w:rFonts w:hint="eastAsia" w:ascii="宋体" w:hAnsi="宋体" w:cs="宋体"/>
                <w:szCs w:val="21"/>
              </w:rPr>
              <w:t>1. 是否收取采购代理费：</w:t>
            </w:r>
          </w:p>
          <w:p w14:paraId="0DA60A7E">
            <w:pPr>
              <w:spacing w:line="360" w:lineRule="auto"/>
              <w:rPr>
                <w:rFonts w:ascii="宋体" w:hAnsi="宋体" w:cs="宋体"/>
                <w:szCs w:val="21"/>
              </w:rPr>
            </w:pPr>
            <w:r>
              <w:rPr>
                <w:rFonts w:hint="eastAsia" w:ascii="宋体" w:hAnsi="宋体"/>
                <w:sz w:val="20"/>
                <w:szCs w:val="21"/>
              </w:rPr>
              <w:t>√</w:t>
            </w:r>
            <w:r>
              <w:rPr>
                <w:rFonts w:hint="eastAsia" w:ascii="宋体" w:hAnsi="宋体" w:cs="宋体"/>
                <w:szCs w:val="21"/>
              </w:rPr>
              <w:t>是□否</w:t>
            </w:r>
          </w:p>
          <w:p w14:paraId="792FFF93">
            <w:pPr>
              <w:spacing w:line="360" w:lineRule="auto"/>
              <w:rPr>
                <w:rFonts w:ascii="宋体" w:hAnsi="宋体" w:cs="宋体"/>
                <w:szCs w:val="21"/>
              </w:rPr>
            </w:pPr>
            <w:r>
              <w:rPr>
                <w:rFonts w:hint="eastAsia" w:ascii="宋体" w:hAnsi="宋体" w:cs="宋体"/>
                <w:szCs w:val="21"/>
              </w:rPr>
              <w:t>2.采购代理费支付方式：</w:t>
            </w:r>
          </w:p>
          <w:p w14:paraId="75DBD2EE">
            <w:pPr>
              <w:spacing w:line="360" w:lineRule="auto"/>
              <w:rPr>
                <w:rFonts w:ascii="宋体" w:hAnsi="宋体" w:cs="宋体"/>
                <w:szCs w:val="21"/>
              </w:rPr>
            </w:pPr>
            <w:r>
              <w:rPr>
                <w:rFonts w:hint="eastAsia" w:ascii="宋体" w:hAnsi="宋体"/>
                <w:sz w:val="20"/>
                <w:szCs w:val="21"/>
              </w:rPr>
              <w:t>√</w:t>
            </w:r>
            <w:r>
              <w:rPr>
                <w:rFonts w:hint="eastAsia" w:ascii="宋体" w:hAnsi="宋体" w:cs="宋体"/>
                <w:szCs w:val="21"/>
              </w:rPr>
              <w:t>本项目代理服务费由</w:t>
            </w:r>
            <w:r>
              <w:rPr>
                <w:rFonts w:hint="eastAsia" w:ascii="宋体" w:hAnsi="宋体" w:cs="宋体"/>
                <w:szCs w:val="21"/>
                <w:u w:val="single"/>
              </w:rPr>
              <w:t>成交供应商</w:t>
            </w:r>
            <w:r>
              <w:rPr>
                <w:rFonts w:hint="eastAsia" w:ascii="宋体" w:hAnsi="宋体" w:cs="宋体"/>
                <w:szCs w:val="21"/>
              </w:rPr>
              <w:t>领取成交通知书前，一次性向采购代理机构支付。</w:t>
            </w:r>
          </w:p>
          <w:p w14:paraId="373C9331">
            <w:pPr>
              <w:spacing w:line="360" w:lineRule="auto"/>
              <w:rPr>
                <w:rFonts w:ascii="宋体" w:hAnsi="宋体" w:cs="宋体"/>
                <w:szCs w:val="21"/>
              </w:rPr>
            </w:pPr>
            <w:r>
              <w:rPr>
                <w:rFonts w:hint="eastAsia" w:ascii="宋体" w:hAnsi="宋体" w:cs="宋体"/>
                <w:szCs w:val="21"/>
              </w:rPr>
              <w:t>□采购人支付。</w:t>
            </w:r>
          </w:p>
          <w:p w14:paraId="1509A21B">
            <w:pPr>
              <w:spacing w:line="360" w:lineRule="auto"/>
              <w:rPr>
                <w:rFonts w:ascii="宋体" w:hAnsi="宋体" w:cs="宋体"/>
                <w:szCs w:val="21"/>
              </w:rPr>
            </w:pPr>
            <w:r>
              <w:rPr>
                <w:rFonts w:hint="eastAsia" w:ascii="宋体" w:hAnsi="宋体" w:cs="宋体"/>
                <w:szCs w:val="21"/>
              </w:rPr>
              <w:t>3.采购代理费收取标准：</w:t>
            </w:r>
          </w:p>
          <w:p w14:paraId="729FD158">
            <w:pPr>
              <w:spacing w:line="360" w:lineRule="auto"/>
              <w:rPr>
                <w:rFonts w:ascii="宋体" w:hAnsi="宋体" w:cs="宋体"/>
                <w:szCs w:val="21"/>
              </w:rPr>
            </w:pPr>
            <w:r>
              <w:rPr>
                <w:rFonts w:hint="eastAsia" w:ascii="宋体" w:hAnsi="宋体"/>
                <w:b/>
                <w:sz w:val="20"/>
                <w:szCs w:val="21"/>
              </w:rPr>
              <w:t>√</w:t>
            </w:r>
            <w:r>
              <w:rPr>
                <w:rFonts w:hint="eastAsia" w:ascii="宋体" w:hAnsi="宋体" w:cs="宋体"/>
                <w:szCs w:val="21"/>
              </w:rPr>
              <w:t>以分标（</w:t>
            </w:r>
            <w:r>
              <w:rPr>
                <w:rFonts w:hint="eastAsia" w:ascii="宋体" w:hAnsi="宋体"/>
                <w:b/>
                <w:sz w:val="20"/>
                <w:szCs w:val="21"/>
              </w:rPr>
              <w:t>√</w:t>
            </w:r>
            <w:r>
              <w:rPr>
                <w:rFonts w:hint="eastAsia" w:ascii="宋体" w:hAnsi="宋体" w:cs="宋体"/>
                <w:szCs w:val="21"/>
              </w:rPr>
              <w:t>成交金额/□采购预算/□暂定成交金额/□其他）为计费额，按货物类采用差额定率累进法计算出收费基准价格，采购代理收费按国家计委关于印发《招标代理服务收费管理暂行办法》（国家发展计划委员会计价格[2002] 1980号），国家发改委《国家发展改革委办公厅关于招标代理服务收费有关问题的通知》（发改办价格[2003]857号）和《国家发展改革委关于降低部分建设项目收费标准规范收费行为等有关问题的通知》（发改价格〔2011〕534号）标准收取。</w:t>
            </w:r>
          </w:p>
          <w:p w14:paraId="69678E2E">
            <w:pPr>
              <w:spacing w:line="360" w:lineRule="auto"/>
              <w:rPr>
                <w:rFonts w:ascii="宋体" w:hAnsi="宋体" w:cs="宋体"/>
                <w:szCs w:val="21"/>
                <w:u w:val="single"/>
              </w:rPr>
            </w:pPr>
            <w:r>
              <w:rPr>
                <w:rFonts w:hint="eastAsia" w:ascii="宋体" w:hAnsi="宋体" w:cs="宋体"/>
                <w:szCs w:val="21"/>
              </w:rPr>
              <w:t>□固定采购代理收费</w:t>
            </w:r>
            <w:r>
              <w:rPr>
                <w:rFonts w:hint="eastAsia" w:ascii="宋体" w:hAnsi="宋体" w:cs="宋体"/>
                <w:szCs w:val="21"/>
                <w:u w:val="single"/>
              </w:rPr>
              <w:t>。</w:t>
            </w:r>
          </w:p>
          <w:p w14:paraId="01F5BEDD">
            <w:pPr>
              <w:spacing w:line="360" w:lineRule="auto"/>
              <w:rPr>
                <w:rFonts w:ascii="宋体" w:hAnsi="宋体" w:cs="宋体"/>
                <w:szCs w:val="21"/>
              </w:rPr>
            </w:pPr>
            <w:r>
              <w:rPr>
                <w:rFonts w:hint="eastAsia" w:ascii="宋体" w:hAnsi="宋体" w:cs="宋体"/>
                <w:szCs w:val="21"/>
              </w:rPr>
              <w:t>4. 采购代理费收取银行账户</w:t>
            </w:r>
          </w:p>
          <w:p w14:paraId="18374394">
            <w:pPr>
              <w:spacing w:line="360" w:lineRule="auto"/>
              <w:rPr>
                <w:rFonts w:ascii="宋体" w:hAnsi="宋体" w:cs="宋体"/>
                <w:szCs w:val="21"/>
              </w:rPr>
            </w:pPr>
            <w:r>
              <w:rPr>
                <w:rFonts w:hint="eastAsia" w:ascii="宋体" w:hAnsi="宋体" w:cs="宋体"/>
                <w:szCs w:val="21"/>
              </w:rPr>
              <w:t>开户名称：云之龙咨询集团有限公司；</w:t>
            </w:r>
          </w:p>
          <w:p w14:paraId="1095C041">
            <w:pPr>
              <w:spacing w:line="360" w:lineRule="auto"/>
              <w:rPr>
                <w:rFonts w:ascii="宋体" w:hAnsi="宋体" w:cs="宋体"/>
                <w:szCs w:val="21"/>
              </w:rPr>
            </w:pPr>
            <w:r>
              <w:rPr>
                <w:rFonts w:hint="eastAsia" w:ascii="宋体" w:hAnsi="宋体" w:cs="宋体"/>
                <w:szCs w:val="21"/>
              </w:rPr>
              <w:t>银行账号：8113001013400293071；</w:t>
            </w:r>
          </w:p>
          <w:p w14:paraId="006CA24A">
            <w:pPr>
              <w:spacing w:line="360" w:lineRule="auto"/>
              <w:rPr>
                <w:rFonts w:ascii="宋体" w:hAnsi="宋体" w:cs="宋体"/>
                <w:szCs w:val="21"/>
              </w:rPr>
            </w:pPr>
            <w:r>
              <w:rPr>
                <w:rFonts w:hint="eastAsia" w:ascii="宋体" w:hAnsi="宋体" w:cs="宋体"/>
                <w:szCs w:val="21"/>
              </w:rPr>
              <w:t>开户银行：中信银行南宁园湖支行；</w:t>
            </w:r>
          </w:p>
          <w:p w14:paraId="06C5F2EE">
            <w:pPr>
              <w:spacing w:line="360" w:lineRule="auto"/>
              <w:rPr>
                <w:rFonts w:ascii="宋体" w:hAnsi="宋体" w:cs="宋体"/>
                <w:szCs w:val="21"/>
              </w:rPr>
            </w:pPr>
            <w:r>
              <w:rPr>
                <w:rFonts w:hint="eastAsia" w:ascii="宋体" w:hAnsi="宋体" w:cs="宋体"/>
                <w:szCs w:val="21"/>
              </w:rPr>
              <w:t>开户行行号：302611029137。</w:t>
            </w:r>
          </w:p>
        </w:tc>
      </w:tr>
      <w:tr w14:paraId="086F35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35" w:type="pct"/>
            <w:tcBorders>
              <w:top w:val="single" w:color="000000" w:sz="4" w:space="0"/>
              <w:left w:val="single" w:color="000000" w:sz="4" w:space="0"/>
              <w:bottom w:val="single" w:color="000000" w:sz="4" w:space="0"/>
              <w:right w:val="single" w:color="000000" w:sz="4" w:space="0"/>
            </w:tcBorders>
            <w:vAlign w:val="center"/>
          </w:tcPr>
          <w:p w14:paraId="66A4237E">
            <w:pPr>
              <w:spacing w:line="360" w:lineRule="auto"/>
              <w:jc w:val="center"/>
              <w:rPr>
                <w:rFonts w:ascii="宋体" w:hAnsi="宋体" w:cs="宋体"/>
                <w:szCs w:val="21"/>
              </w:rPr>
            </w:pPr>
            <w:r>
              <w:rPr>
                <w:rFonts w:hint="eastAsia" w:ascii="宋体" w:hAnsi="宋体" w:cs="宋体"/>
                <w:szCs w:val="21"/>
              </w:rPr>
              <w:t>34.1</w:t>
            </w:r>
          </w:p>
        </w:tc>
        <w:tc>
          <w:tcPr>
            <w:tcW w:w="1109" w:type="pct"/>
            <w:tcBorders>
              <w:top w:val="single" w:color="000000" w:sz="4" w:space="0"/>
              <w:left w:val="single" w:color="000000" w:sz="4" w:space="0"/>
              <w:bottom w:val="single" w:color="000000" w:sz="4" w:space="0"/>
              <w:right w:val="single" w:color="000000" w:sz="4" w:space="0"/>
            </w:tcBorders>
            <w:vAlign w:val="center"/>
          </w:tcPr>
          <w:p w14:paraId="4973D247">
            <w:pPr>
              <w:spacing w:line="360" w:lineRule="auto"/>
              <w:jc w:val="center"/>
              <w:rPr>
                <w:rFonts w:ascii="宋体" w:hAnsi="宋体" w:cs="宋体"/>
                <w:szCs w:val="21"/>
              </w:rPr>
            </w:pPr>
            <w:r>
              <w:rPr>
                <w:rFonts w:hint="eastAsia" w:hAnsi="宋体"/>
              </w:rPr>
              <w:t>解释</w:t>
            </w:r>
          </w:p>
        </w:tc>
        <w:tc>
          <w:tcPr>
            <w:tcW w:w="3356" w:type="pct"/>
            <w:tcBorders>
              <w:top w:val="single" w:color="000000" w:sz="4" w:space="0"/>
              <w:left w:val="single" w:color="000000" w:sz="4" w:space="0"/>
              <w:bottom w:val="single" w:color="000000" w:sz="4" w:space="0"/>
              <w:right w:val="single" w:color="000000" w:sz="4" w:space="0"/>
            </w:tcBorders>
            <w:vAlign w:val="center"/>
          </w:tcPr>
          <w:p w14:paraId="17D94AA5">
            <w:pPr>
              <w:spacing w:line="360" w:lineRule="auto"/>
              <w:rPr>
                <w:rFonts w:ascii="宋体" w:hAnsi="宋体"/>
                <w:b/>
                <w:szCs w:val="21"/>
              </w:rPr>
            </w:pPr>
            <w:r>
              <w:rPr>
                <w:rFonts w:hint="eastAsia" w:ascii="宋体" w:hAnsi="宋体"/>
                <w:b/>
                <w:szCs w:val="21"/>
              </w:rPr>
              <w:t>解释权：</w:t>
            </w:r>
            <w:r>
              <w:rPr>
                <w:rFonts w:hint="eastAsia" w:ascii="宋体" w:hAnsi="宋体"/>
                <w:szCs w:val="21"/>
              </w:rPr>
              <w:t>构成本谈判文件的各个组成文件应互为解释，互为说明；除谈判文件中有特别规定外，仅适用于竞标阶段的规定，按更正公告（澄清公告）、竞争性谈判公告、供应商须知、采购需求、</w:t>
            </w:r>
            <w:r>
              <w:rPr>
                <w:rFonts w:hint="eastAsia" w:ascii="宋体" w:hAnsi="Courier New"/>
                <w:szCs w:val="21"/>
              </w:rPr>
              <w:t>评审程序、评审方法和评审标准</w:t>
            </w:r>
            <w:r>
              <w:rPr>
                <w:rFonts w:hint="eastAsia" w:ascii="宋体" w:hAnsi="宋体"/>
                <w:szCs w:val="21"/>
              </w:rPr>
              <w:t>、响应文件格式、合同文本的先后顺序解释；同一组成文件中就同一事项的规定或者约定不一致的，以编排顺序在后者为准；同一组成文件不同版本之间有不一致的，以形成时间在后者为准；更正公告（澄清公告）与同步更新的谈判文件不一致时以更正公告（澄清公告）为准。按本款前述规定仍不能形成结论的，</w:t>
            </w:r>
            <w:r>
              <w:rPr>
                <w:rFonts w:hint="eastAsia" w:ascii="宋体" w:hAnsi="宋体"/>
                <w:b/>
                <w:szCs w:val="21"/>
              </w:rPr>
              <w:t>由采购人或者采购代理机构负责解释。</w:t>
            </w:r>
          </w:p>
          <w:p w14:paraId="2BFCF4EF">
            <w:pPr>
              <w:tabs>
                <w:tab w:val="left" w:pos="1080"/>
              </w:tabs>
              <w:spacing w:line="360" w:lineRule="auto"/>
              <w:rPr>
                <w:rFonts w:ascii="宋体" w:hAnsi="宋体"/>
                <w:szCs w:val="21"/>
              </w:rPr>
            </w:pPr>
            <w:r>
              <w:rPr>
                <w:rFonts w:hint="eastAsia" w:ascii="宋体" w:hAnsi="宋体"/>
                <w:b/>
                <w:szCs w:val="21"/>
              </w:rPr>
              <w:t>法律责任：</w:t>
            </w:r>
          </w:p>
          <w:p w14:paraId="52203B49">
            <w:pPr>
              <w:tabs>
                <w:tab w:val="left" w:pos="1080"/>
              </w:tabs>
              <w:spacing w:line="360" w:lineRule="auto"/>
              <w:rPr>
                <w:rFonts w:ascii="宋体" w:hAnsi="宋体"/>
                <w:szCs w:val="21"/>
              </w:rPr>
            </w:pPr>
            <w:r>
              <w:rPr>
                <w:rFonts w:hint="eastAsia" w:ascii="宋体" w:hAnsi="宋体"/>
                <w:szCs w:val="21"/>
              </w:rPr>
              <w:t>1.本采购文件根据《中华人民共和国政府采购法》、《中华人民共和国民法典》；《中华人民共和国政府采购法实施条例》、《政府采购非招标采购方式管理办法》等有关法律、法规编制，参与本项目的各政府采购当事人依法享有上述法律法规所赋予的权利与义务。</w:t>
            </w:r>
          </w:p>
          <w:p w14:paraId="13C95854">
            <w:pPr>
              <w:spacing w:line="360" w:lineRule="auto"/>
              <w:rPr>
                <w:rFonts w:ascii="宋体" w:hAnsi="宋体" w:cs="宋体"/>
              </w:rPr>
            </w:pPr>
            <w:r>
              <w:rPr>
                <w:rFonts w:hint="eastAsia" w:ascii="宋体" w:hAnsi="宋体"/>
                <w:b/>
                <w:szCs w:val="21"/>
              </w:rPr>
              <w:t>2.本项目采购代理机构应严格按照广西政府采购云平台项目采购全流程电子化电子开评标规程执行项目采购活动，代理机构在广西政府采购云平台的“项目管理”—“采购文件管理”内开评标规则设置作为本采购文件的组成部分，截标之后不可更改，因代理机构开评标规则设置错误导致采购活动无法开展下去的情况，由代理机构负责解释并承担其后果。</w:t>
            </w:r>
          </w:p>
        </w:tc>
      </w:tr>
      <w:tr w14:paraId="0F70B2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35" w:type="pct"/>
            <w:tcBorders>
              <w:top w:val="single" w:color="000000" w:sz="4" w:space="0"/>
              <w:left w:val="single" w:color="000000" w:sz="4" w:space="0"/>
              <w:bottom w:val="single" w:color="000000" w:sz="4" w:space="0"/>
              <w:right w:val="single" w:color="000000" w:sz="4" w:space="0"/>
            </w:tcBorders>
            <w:vAlign w:val="center"/>
          </w:tcPr>
          <w:p w14:paraId="3AC23FF9">
            <w:pPr>
              <w:spacing w:line="360" w:lineRule="auto"/>
              <w:jc w:val="center"/>
              <w:rPr>
                <w:rFonts w:ascii="宋体" w:hAnsi="宋体" w:cs="宋体"/>
                <w:szCs w:val="21"/>
              </w:rPr>
            </w:pPr>
            <w:r>
              <w:rPr>
                <w:rFonts w:hint="eastAsia" w:ascii="宋体" w:hAnsi="宋体" w:cs="宋体"/>
                <w:szCs w:val="21"/>
              </w:rPr>
              <w:t>34.2</w:t>
            </w:r>
          </w:p>
        </w:tc>
        <w:tc>
          <w:tcPr>
            <w:tcW w:w="1109" w:type="pct"/>
            <w:tcBorders>
              <w:top w:val="single" w:color="000000" w:sz="4" w:space="0"/>
              <w:left w:val="single" w:color="000000" w:sz="4" w:space="0"/>
              <w:bottom w:val="single" w:color="000000" w:sz="4" w:space="0"/>
              <w:right w:val="single" w:color="000000" w:sz="4" w:space="0"/>
            </w:tcBorders>
            <w:vAlign w:val="center"/>
          </w:tcPr>
          <w:p w14:paraId="5BFDD473">
            <w:pPr>
              <w:spacing w:line="360" w:lineRule="auto"/>
              <w:jc w:val="center"/>
              <w:rPr>
                <w:rFonts w:ascii="宋体" w:hAnsi="宋体" w:cs="宋体"/>
                <w:szCs w:val="21"/>
              </w:rPr>
            </w:pPr>
            <w:r>
              <w:rPr>
                <w:rFonts w:hint="eastAsia" w:ascii="宋体" w:hAnsi="宋体" w:cs="宋体"/>
                <w:szCs w:val="21"/>
              </w:rPr>
              <w:t>其他</w:t>
            </w:r>
          </w:p>
        </w:tc>
        <w:tc>
          <w:tcPr>
            <w:tcW w:w="3356" w:type="pct"/>
            <w:tcBorders>
              <w:top w:val="single" w:color="000000" w:sz="4" w:space="0"/>
              <w:left w:val="single" w:color="000000" w:sz="4" w:space="0"/>
              <w:bottom w:val="single" w:color="000000" w:sz="4" w:space="0"/>
              <w:right w:val="single" w:color="000000" w:sz="4" w:space="0"/>
            </w:tcBorders>
            <w:vAlign w:val="center"/>
          </w:tcPr>
          <w:p w14:paraId="4ED97ACB">
            <w:pPr>
              <w:spacing w:line="360" w:lineRule="auto"/>
              <w:rPr>
                <w:rFonts w:ascii="宋体" w:hAnsi="宋体" w:cs="宋体"/>
                <w:szCs w:val="21"/>
              </w:rPr>
            </w:pPr>
            <w:r>
              <w:rPr>
                <w:rFonts w:hint="eastAsia" w:ascii="宋体" w:hAnsi="宋体" w:cs="宋体"/>
                <w:szCs w:val="21"/>
              </w:rPr>
              <w:t>1.本谈判文件中描述供应商的“公章”是指供应商通过指定电子化政府采购平台办理数字证书（CA认证）获得的以法定主体行为名称制作的电子印章。</w:t>
            </w:r>
          </w:p>
          <w:p w14:paraId="53D30693">
            <w:pPr>
              <w:spacing w:line="360" w:lineRule="auto"/>
              <w:rPr>
                <w:rFonts w:ascii="宋体" w:hAnsi="宋体" w:cs="宋体"/>
                <w:szCs w:val="21"/>
              </w:rPr>
            </w:pPr>
            <w:r>
              <w:rPr>
                <w:rFonts w:hint="eastAsia" w:ascii="宋体" w:hAnsi="宋体" w:cs="宋体"/>
                <w:szCs w:val="21"/>
              </w:rPr>
              <w:t>2.本谈判文件中描述供应商的“签字”是指供应商通过指定电子化政府采购平台办理数字证书（CA认证）获得的以供应商法定代表人或者委托代理人姓名制作的电子印章或手写签字。</w:t>
            </w:r>
          </w:p>
          <w:p w14:paraId="7634AC2B">
            <w:pPr>
              <w:spacing w:line="360" w:lineRule="auto"/>
              <w:rPr>
                <w:rFonts w:ascii="宋体" w:hAnsi="宋体" w:cs="宋体"/>
                <w:szCs w:val="21"/>
              </w:rPr>
            </w:pPr>
            <w:r>
              <w:rPr>
                <w:rFonts w:hint="eastAsia" w:ascii="宋体" w:hAnsi="宋体" w:cs="宋体"/>
                <w:szCs w:val="21"/>
              </w:rPr>
              <w:t>3.供应商为其他组织或者自然人时，本谈判文件规定的法定代表人指负责人或者自然人。本谈判文件所称负责人是指参加竞标的其他组织营业执照上的负责人，本谈判文件所称自然人指参与竞标的自然人本人。</w:t>
            </w:r>
          </w:p>
          <w:p w14:paraId="7755E9E4">
            <w:pPr>
              <w:spacing w:line="360" w:lineRule="auto"/>
              <w:rPr>
                <w:rFonts w:ascii="宋体" w:hAnsi="宋体" w:cs="宋体"/>
                <w:szCs w:val="21"/>
              </w:rPr>
            </w:pPr>
            <w:r>
              <w:rPr>
                <w:rFonts w:hint="eastAsia" w:ascii="宋体" w:hAnsi="宋体" w:cs="宋体"/>
                <w:szCs w:val="21"/>
              </w:rPr>
              <w:t>4.自然人竞标的，谈判文件规定盖公章处由自然人摁手指指印。</w:t>
            </w:r>
          </w:p>
          <w:p w14:paraId="46873E0A">
            <w:pPr>
              <w:spacing w:line="360" w:lineRule="auto"/>
              <w:rPr>
                <w:rFonts w:ascii="宋体" w:hAnsi="宋体" w:cs="宋体"/>
                <w:szCs w:val="21"/>
              </w:rPr>
            </w:pPr>
            <w:r>
              <w:rPr>
                <w:rFonts w:hint="eastAsia" w:ascii="宋体" w:hAnsi="宋体" w:cs="宋体"/>
                <w:szCs w:val="21"/>
              </w:rPr>
              <w:t>5.本谈判文件所称的“以上”“以下”“以内”“届满”，包括本数；所称的“不满”“超过”“以外”，不包括本数。</w:t>
            </w:r>
          </w:p>
        </w:tc>
      </w:tr>
    </w:tbl>
    <w:p w14:paraId="70E564EE">
      <w:pPr>
        <w:keepNext/>
        <w:keepLines/>
        <w:spacing w:before="260" w:after="260" w:line="420" w:lineRule="exact"/>
        <w:jc w:val="center"/>
        <w:outlineLvl w:val="1"/>
        <w:rPr>
          <w:rFonts w:ascii="宋体" w:hAnsi="宋体" w:cs="宋体"/>
          <w:bCs/>
          <w:sz w:val="32"/>
          <w:szCs w:val="32"/>
        </w:rPr>
      </w:pPr>
      <w:r>
        <w:rPr>
          <w:rFonts w:hint="eastAsia" w:ascii="宋体" w:hAnsi="宋体" w:cs="宋体"/>
          <w:b/>
          <w:sz w:val="32"/>
          <w:szCs w:val="32"/>
        </w:rPr>
        <w:br w:type="page" w:clear="all"/>
      </w:r>
      <w:bookmarkStart w:id="35" w:name="_Toc173510391"/>
      <w:r>
        <w:rPr>
          <w:rFonts w:hint="eastAsia" w:ascii="宋体" w:hAnsi="宋体" w:cs="宋体"/>
          <w:bCs/>
          <w:sz w:val="32"/>
          <w:szCs w:val="32"/>
        </w:rPr>
        <w:t>第二节供应商须知正文</w:t>
      </w:r>
      <w:bookmarkEnd w:id="35"/>
    </w:p>
    <w:p w14:paraId="53F4DC8B">
      <w:pPr>
        <w:keepNext/>
        <w:keepLines/>
        <w:spacing w:line="336" w:lineRule="auto"/>
        <w:ind w:firstLine="640"/>
        <w:outlineLvl w:val="2"/>
        <w:rPr>
          <w:rFonts w:ascii="宋体" w:hAnsi="宋体"/>
          <w:bCs/>
          <w:sz w:val="32"/>
          <w:szCs w:val="32"/>
        </w:rPr>
      </w:pPr>
      <w:bookmarkStart w:id="36" w:name="_Toc173510392"/>
      <w:r>
        <w:rPr>
          <w:rFonts w:hint="eastAsia" w:ascii="宋体" w:hAnsi="宋体"/>
          <w:bCs/>
          <w:sz w:val="32"/>
          <w:szCs w:val="32"/>
        </w:rPr>
        <w:t>一、总则</w:t>
      </w:r>
      <w:bookmarkEnd w:id="36"/>
    </w:p>
    <w:p w14:paraId="59CF0D02">
      <w:pPr>
        <w:spacing w:line="336" w:lineRule="auto"/>
        <w:ind w:firstLine="482"/>
        <w:rPr>
          <w:rFonts w:ascii="黑体" w:hAnsi="黑体" w:eastAsia="黑体" w:cs="宋体"/>
          <w:b/>
          <w:bCs/>
          <w:sz w:val="24"/>
        </w:rPr>
      </w:pPr>
      <w:r>
        <w:rPr>
          <w:rFonts w:hint="eastAsia" w:ascii="黑体" w:hAnsi="黑体" w:eastAsia="黑体" w:cs="宋体"/>
          <w:b/>
          <w:bCs/>
          <w:sz w:val="24"/>
        </w:rPr>
        <w:t>1.适用范围</w:t>
      </w:r>
    </w:p>
    <w:p w14:paraId="0F631EBB">
      <w:pPr>
        <w:spacing w:line="336" w:lineRule="auto"/>
        <w:ind w:firstLine="420"/>
        <w:rPr>
          <w:rFonts w:ascii="宋体" w:hAnsi="宋体" w:cs="宋体"/>
          <w:szCs w:val="21"/>
        </w:rPr>
      </w:pPr>
      <w:r>
        <w:rPr>
          <w:rFonts w:hint="eastAsia" w:ascii="宋体" w:hAnsi="宋体" w:cs="宋体"/>
          <w:szCs w:val="21"/>
        </w:rPr>
        <w:t>1.1适用法律：本项目采购人、采购代理机构、供应商、谈判小组的相关行为均受《中华人民共和国政府采购法》《中华人民共和国政府采购法实施条例》《政府采购非招标采购方式管理办法》及本项目本级和上级财政部门政府采购有关规定的约束和保护。</w:t>
      </w:r>
    </w:p>
    <w:p w14:paraId="4D7DDC2F">
      <w:pPr>
        <w:spacing w:line="336" w:lineRule="auto"/>
        <w:ind w:firstLine="420"/>
        <w:rPr>
          <w:rFonts w:ascii="宋体" w:hAnsi="宋体" w:cs="宋体"/>
          <w:szCs w:val="21"/>
        </w:rPr>
      </w:pPr>
      <w:r>
        <w:rPr>
          <w:rFonts w:hint="eastAsia" w:ascii="宋体" w:hAnsi="宋体" w:cs="宋体"/>
          <w:szCs w:val="21"/>
        </w:rPr>
        <w:t>1.2</w:t>
      </w:r>
      <w:r>
        <w:rPr>
          <w:rFonts w:hint="eastAsia" w:ascii="宋体" w:hAnsi="宋体" w:cs="宋体"/>
          <w:spacing w:val="-6"/>
          <w:szCs w:val="21"/>
        </w:rPr>
        <w:t>本竞争性谈判文件（以下简称谈判文件）适用于本项目的所有采购程序和环节（法律、法规另有规定的，从其规定）。</w:t>
      </w:r>
    </w:p>
    <w:p w14:paraId="2ACB46A7">
      <w:pPr>
        <w:spacing w:line="336" w:lineRule="auto"/>
        <w:ind w:firstLine="482"/>
        <w:rPr>
          <w:rFonts w:ascii="宋体" w:hAnsi="宋体" w:cs="宋体"/>
          <w:szCs w:val="21"/>
        </w:rPr>
      </w:pPr>
      <w:r>
        <w:rPr>
          <w:rFonts w:hint="eastAsia" w:ascii="黑体" w:hAnsi="黑体" w:eastAsia="黑体" w:cs="宋体"/>
          <w:b/>
          <w:bCs/>
          <w:sz w:val="24"/>
        </w:rPr>
        <w:t>2.定义</w:t>
      </w:r>
    </w:p>
    <w:p w14:paraId="65276ABF">
      <w:pPr>
        <w:spacing w:line="336" w:lineRule="auto"/>
        <w:ind w:firstLine="420"/>
        <w:rPr>
          <w:rFonts w:ascii="宋体" w:hAnsi="宋体" w:cs="宋体"/>
          <w:szCs w:val="21"/>
        </w:rPr>
      </w:pPr>
      <w:r>
        <w:rPr>
          <w:rFonts w:hint="eastAsia" w:ascii="宋体" w:hAnsi="宋体" w:cs="宋体"/>
          <w:szCs w:val="21"/>
        </w:rPr>
        <w:t>2.1“采购人”是指依法进行采购的国家机关、事业单位、团体组织。</w:t>
      </w:r>
    </w:p>
    <w:p w14:paraId="13702E38">
      <w:pPr>
        <w:spacing w:line="336" w:lineRule="auto"/>
        <w:ind w:firstLine="420"/>
        <w:rPr>
          <w:rFonts w:ascii="宋体" w:hAnsi="宋体"/>
          <w:b/>
          <w:szCs w:val="21"/>
        </w:rPr>
      </w:pPr>
      <w:r>
        <w:rPr>
          <w:rFonts w:hint="eastAsia" w:ascii="宋体" w:hAnsi="宋体" w:cs="宋体"/>
          <w:szCs w:val="21"/>
        </w:rPr>
        <w:t>2.2“采购代理机构”是指政府采购集中采购机构和集中采购机构以外的采购代理机构。</w:t>
      </w:r>
    </w:p>
    <w:p w14:paraId="6DC23968">
      <w:pPr>
        <w:spacing w:line="336" w:lineRule="auto"/>
        <w:ind w:firstLine="420"/>
        <w:rPr>
          <w:rFonts w:ascii="宋体" w:hAnsi="宋体" w:cs="宋体"/>
          <w:szCs w:val="21"/>
        </w:rPr>
      </w:pPr>
      <w:r>
        <w:rPr>
          <w:rFonts w:hint="eastAsia" w:ascii="宋体" w:hAnsi="宋体" w:cs="宋体"/>
          <w:szCs w:val="21"/>
        </w:rPr>
        <w:t>2.3“供应商”是指向采购人提供货物、工程或者服务的法人、其他组织或者自然人。</w:t>
      </w:r>
    </w:p>
    <w:p w14:paraId="3DE1AB99">
      <w:pPr>
        <w:spacing w:line="336" w:lineRule="auto"/>
        <w:ind w:firstLine="420"/>
        <w:rPr>
          <w:rFonts w:ascii="宋体" w:hAnsi="宋体" w:cs="宋体"/>
          <w:szCs w:val="21"/>
        </w:rPr>
      </w:pPr>
      <w:r>
        <w:rPr>
          <w:rFonts w:hint="eastAsia" w:ascii="宋体" w:hAnsi="宋体" w:cs="宋体"/>
          <w:szCs w:val="21"/>
        </w:rPr>
        <w:t>2.4“货物”是指各种形态和种类的物品，包括原材料、燃料、设备、产品等。</w:t>
      </w:r>
    </w:p>
    <w:p w14:paraId="59FE3651">
      <w:pPr>
        <w:spacing w:line="336" w:lineRule="auto"/>
        <w:ind w:firstLine="420"/>
        <w:rPr>
          <w:rFonts w:ascii="宋体" w:hAnsi="宋体" w:cs="宋体"/>
          <w:szCs w:val="21"/>
        </w:rPr>
      </w:pPr>
      <w:r>
        <w:rPr>
          <w:rFonts w:hint="eastAsia" w:ascii="宋体" w:hAnsi="宋体" w:cs="宋体"/>
          <w:szCs w:val="21"/>
        </w:rPr>
        <w:t>2.5“竞标”是指按照本项目竞争性谈判公告或者邀请函规定的方式供应商获取谈判文件、提交响应文件并希望获得标的的行为。</w:t>
      </w:r>
    </w:p>
    <w:p w14:paraId="27F45078">
      <w:pPr>
        <w:spacing w:line="336" w:lineRule="auto"/>
        <w:ind w:firstLine="420"/>
        <w:rPr>
          <w:rFonts w:ascii="宋体" w:hAnsi="宋体" w:cs="宋体"/>
          <w:szCs w:val="21"/>
        </w:rPr>
      </w:pPr>
      <w:r>
        <w:rPr>
          <w:rFonts w:hint="eastAsia" w:ascii="宋体" w:hAnsi="宋体" w:cs="宋体"/>
          <w:szCs w:val="21"/>
        </w:rPr>
        <w:t>2.6“售后服务”是指包含但不限于供应商须承担的备品备件、包装、运输、装卸、保险、货到就位以及安装、调试、培训、保修和其他类似的义务。</w:t>
      </w:r>
    </w:p>
    <w:p w14:paraId="7FEDAD4D">
      <w:pPr>
        <w:spacing w:line="336" w:lineRule="auto"/>
        <w:ind w:firstLine="420"/>
        <w:rPr>
          <w:rFonts w:ascii="宋体" w:hAnsi="宋体" w:cs="宋体"/>
          <w:szCs w:val="21"/>
        </w:rPr>
      </w:pPr>
      <w:r>
        <w:rPr>
          <w:rFonts w:hint="eastAsia" w:ascii="宋体" w:hAnsi="宋体" w:cs="宋体"/>
          <w:szCs w:val="21"/>
        </w:rPr>
        <w:t>2.7“书面形式”是指合同书、信件和数据电文（包括电报、电传、传真、电子数据交换和电子邮件）等可以有形地表现所载内容的形式。</w:t>
      </w:r>
    </w:p>
    <w:p w14:paraId="757F04A0">
      <w:pPr>
        <w:spacing w:line="336" w:lineRule="auto"/>
        <w:ind w:firstLine="420"/>
        <w:rPr>
          <w:rFonts w:ascii="宋体" w:hAnsi="宋体" w:cs="宋体"/>
          <w:szCs w:val="21"/>
        </w:rPr>
      </w:pPr>
      <w:r>
        <w:rPr>
          <w:rFonts w:hint="eastAsia" w:ascii="宋体" w:hAnsi="宋体" w:cs="宋体"/>
          <w:szCs w:val="21"/>
        </w:rPr>
        <w:t>2.8“响应文件”</w:t>
      </w:r>
      <w:r>
        <w:rPr>
          <w:rFonts w:hint="eastAsia" w:ascii="宋体" w:hAnsi="宋体" w:cs="宋体"/>
          <w:spacing w:val="-6"/>
          <w:szCs w:val="21"/>
        </w:rPr>
        <w:t>是指：供应商根据本文件要求，编制包含报价、技术和货物等所有内容的文件。</w:t>
      </w:r>
    </w:p>
    <w:p w14:paraId="5FF6865C">
      <w:pPr>
        <w:spacing w:line="336" w:lineRule="auto"/>
        <w:ind w:firstLine="420"/>
        <w:rPr>
          <w:rFonts w:ascii="宋体" w:hAnsi="宋体" w:cs="宋体"/>
          <w:szCs w:val="21"/>
        </w:rPr>
      </w:pPr>
      <w:r>
        <w:rPr>
          <w:rFonts w:hint="eastAsia" w:ascii="宋体" w:hAnsi="宋体" w:cs="宋体"/>
          <w:szCs w:val="21"/>
        </w:rPr>
        <w:t>2.9 “实质性要求”是指采购需求中带“▲”的条款或者不能负偏离的条款或者已经指明不满足按响应文件作无效处理的条款。</w:t>
      </w:r>
    </w:p>
    <w:p w14:paraId="35426E3A">
      <w:pPr>
        <w:spacing w:line="336" w:lineRule="auto"/>
        <w:ind w:firstLine="420"/>
        <w:rPr>
          <w:rFonts w:ascii="宋体" w:hAnsi="宋体" w:cs="宋体"/>
          <w:szCs w:val="21"/>
        </w:rPr>
      </w:pPr>
      <w:r>
        <w:rPr>
          <w:rFonts w:hint="eastAsia" w:ascii="宋体" w:hAnsi="宋体" w:cs="宋体"/>
          <w:szCs w:val="21"/>
        </w:rPr>
        <w:t>2.10“正偏离”，是指响应文件对谈判文件“采购需求”中有关条款作出优于条款要求并有利于采购人的响应情形；</w:t>
      </w:r>
    </w:p>
    <w:p w14:paraId="657430D6">
      <w:pPr>
        <w:spacing w:line="336" w:lineRule="auto"/>
        <w:ind w:firstLine="420"/>
        <w:rPr>
          <w:rFonts w:ascii="宋体" w:hAnsi="宋体" w:cs="宋体"/>
          <w:szCs w:val="21"/>
        </w:rPr>
      </w:pPr>
      <w:r>
        <w:rPr>
          <w:rFonts w:hint="eastAsia" w:ascii="宋体" w:hAnsi="宋体" w:cs="宋体"/>
          <w:szCs w:val="21"/>
        </w:rPr>
        <w:t>2.11“负偏离”，是指响应文件对谈判文件“采购需求”中有关条款作出的响应不满足条款要求，导致采购人要求不能得到满足的情形。</w:t>
      </w:r>
    </w:p>
    <w:p w14:paraId="1E5FEE64">
      <w:pPr>
        <w:spacing w:line="336" w:lineRule="auto"/>
        <w:ind w:firstLine="420"/>
        <w:rPr>
          <w:rFonts w:ascii="宋体" w:hAnsi="宋体" w:cs="宋体"/>
          <w:szCs w:val="21"/>
        </w:rPr>
      </w:pPr>
      <w:r>
        <w:rPr>
          <w:rFonts w:hint="eastAsia" w:ascii="宋体" w:hAnsi="宋体" w:cs="宋体"/>
          <w:szCs w:val="21"/>
        </w:rPr>
        <w:t>2.12“允许负偏离的条款”是指采购需求中的不属于“实质性要求”的条款。</w:t>
      </w:r>
    </w:p>
    <w:p w14:paraId="13F18D47">
      <w:pPr>
        <w:spacing w:line="336" w:lineRule="auto"/>
        <w:ind w:firstLine="420"/>
        <w:rPr>
          <w:rFonts w:ascii="宋体" w:hAnsi="宋体" w:cs="宋体"/>
          <w:szCs w:val="21"/>
        </w:rPr>
      </w:pPr>
      <w:r>
        <w:rPr>
          <w:rFonts w:hint="eastAsia" w:ascii="宋体" w:hAnsi="宋体" w:cs="宋体"/>
          <w:szCs w:val="21"/>
        </w:rPr>
        <w:t>2.13“首次报价”是指供应商提交的首次响应文件中的竞标报价。</w:t>
      </w:r>
    </w:p>
    <w:p w14:paraId="434D9D95">
      <w:pPr>
        <w:spacing w:line="336" w:lineRule="auto"/>
        <w:ind w:firstLine="482"/>
        <w:rPr>
          <w:rFonts w:ascii="黑体" w:hAnsi="黑体" w:eastAsia="黑体" w:cs="宋体"/>
          <w:b/>
          <w:bCs/>
          <w:sz w:val="24"/>
        </w:rPr>
      </w:pPr>
      <w:r>
        <w:rPr>
          <w:rFonts w:hint="eastAsia" w:ascii="黑体" w:hAnsi="黑体" w:eastAsia="黑体" w:cs="宋体"/>
          <w:b/>
          <w:bCs/>
          <w:sz w:val="24"/>
        </w:rPr>
        <w:t>3.供应商的资格条件</w:t>
      </w:r>
    </w:p>
    <w:p w14:paraId="0F07DC8C">
      <w:pPr>
        <w:spacing w:line="336" w:lineRule="auto"/>
        <w:ind w:firstLine="420"/>
        <w:rPr>
          <w:rFonts w:ascii="宋体" w:hAnsi="宋体" w:cs="宋体"/>
          <w:szCs w:val="21"/>
        </w:rPr>
      </w:pPr>
      <w:r>
        <w:rPr>
          <w:rFonts w:hint="eastAsia" w:ascii="宋体" w:hAnsi="宋体" w:cs="宋体"/>
          <w:szCs w:val="21"/>
        </w:rPr>
        <w:t>供应商的资格条件详见“供应商须知前附表”。</w:t>
      </w:r>
    </w:p>
    <w:p w14:paraId="63700E8B">
      <w:pPr>
        <w:spacing w:line="336" w:lineRule="auto"/>
        <w:ind w:firstLine="482"/>
        <w:rPr>
          <w:rFonts w:ascii="黑体" w:hAnsi="黑体" w:eastAsia="黑体" w:cs="宋体"/>
          <w:b/>
          <w:bCs/>
          <w:sz w:val="24"/>
        </w:rPr>
      </w:pPr>
      <w:r>
        <w:rPr>
          <w:rFonts w:hint="eastAsia" w:ascii="黑体" w:hAnsi="黑体" w:eastAsia="黑体" w:cs="宋体"/>
          <w:b/>
          <w:bCs/>
          <w:sz w:val="24"/>
        </w:rPr>
        <w:t>4.谈判费用</w:t>
      </w:r>
    </w:p>
    <w:p w14:paraId="5B4EF4E1">
      <w:pPr>
        <w:spacing w:line="336" w:lineRule="auto"/>
        <w:ind w:firstLine="420"/>
        <w:rPr>
          <w:rFonts w:ascii="宋体" w:hAnsi="宋体" w:cs="宋体"/>
          <w:szCs w:val="21"/>
        </w:rPr>
      </w:pPr>
      <w:r>
        <w:rPr>
          <w:rFonts w:hint="eastAsia" w:ascii="宋体" w:hAnsi="宋体" w:cs="宋体"/>
          <w:szCs w:val="21"/>
        </w:rPr>
        <w:t>供应商应承担参与本次采购活动有关的所有费用，包括但不限于、勘查现场、编制和提交响应文件、参加谈判与应答、签订合同等，不论竞标结果如何，均应自行承担。</w:t>
      </w:r>
    </w:p>
    <w:p w14:paraId="06A121A3">
      <w:pPr>
        <w:spacing w:line="336" w:lineRule="auto"/>
        <w:ind w:firstLine="482"/>
        <w:rPr>
          <w:rFonts w:ascii="黑体" w:hAnsi="黑体" w:eastAsia="黑体" w:cs="宋体"/>
          <w:b/>
          <w:bCs/>
          <w:sz w:val="24"/>
        </w:rPr>
      </w:pPr>
      <w:r>
        <w:rPr>
          <w:rFonts w:hint="eastAsia" w:ascii="黑体" w:hAnsi="黑体" w:eastAsia="黑体" w:cs="宋体"/>
          <w:b/>
          <w:bCs/>
          <w:sz w:val="24"/>
        </w:rPr>
        <w:t>5.联合体竞标</w:t>
      </w:r>
    </w:p>
    <w:p w14:paraId="2A2C0479">
      <w:pPr>
        <w:spacing w:line="336" w:lineRule="auto"/>
        <w:ind w:firstLine="420"/>
        <w:rPr>
          <w:rFonts w:ascii="宋体" w:hAnsi="宋体" w:cs="宋体"/>
          <w:szCs w:val="21"/>
        </w:rPr>
      </w:pPr>
      <w:r>
        <w:rPr>
          <w:rFonts w:hint="eastAsia" w:ascii="宋体" w:hAnsi="宋体" w:cs="宋体"/>
          <w:szCs w:val="21"/>
        </w:rPr>
        <w:t>5.1本项目是否接受联合体竞标，详见“供应商须知前附表”。</w:t>
      </w:r>
    </w:p>
    <w:p w14:paraId="50F2BA6E">
      <w:pPr>
        <w:spacing w:line="336" w:lineRule="auto"/>
        <w:ind w:firstLine="420"/>
        <w:rPr>
          <w:rFonts w:ascii="宋体" w:hAnsi="宋体" w:cs="宋体"/>
          <w:szCs w:val="21"/>
        </w:rPr>
      </w:pPr>
      <w:r>
        <w:rPr>
          <w:rFonts w:hint="eastAsia" w:ascii="宋体" w:hAnsi="宋体" w:cs="宋体"/>
          <w:szCs w:val="21"/>
        </w:rPr>
        <w:t>5.2</w:t>
      </w:r>
      <w:r>
        <w:rPr>
          <w:rFonts w:hint="eastAsia" w:ascii="宋体" w:hAnsi="宋体"/>
        </w:rPr>
        <w:t>如接受联合体竞标，</w:t>
      </w:r>
      <w:r>
        <w:rPr>
          <w:rFonts w:hint="eastAsia" w:ascii="宋体" w:hAnsi="宋体" w:cs="宋体"/>
          <w:szCs w:val="21"/>
        </w:rPr>
        <w:t>联合体竞标要求详见“供应商须知前附表”。</w:t>
      </w:r>
    </w:p>
    <w:p w14:paraId="58AFEE94">
      <w:pPr>
        <w:spacing w:line="336" w:lineRule="auto"/>
        <w:ind w:firstLine="420"/>
        <w:rPr>
          <w:rFonts w:ascii="宋体" w:hAnsi="宋体"/>
          <w:bCs/>
          <w:szCs w:val="21"/>
        </w:rPr>
      </w:pPr>
      <w:r>
        <w:rPr>
          <w:rFonts w:hint="eastAsia" w:ascii="宋体" w:hAnsi="宋体" w:cs="宋体"/>
          <w:szCs w:val="21"/>
        </w:rPr>
        <w:t>5.3</w:t>
      </w:r>
      <w:r>
        <w:rPr>
          <w:rFonts w:hint="eastAsia" w:ascii="宋体" w:hAnsi="宋体"/>
          <w:bCs/>
          <w:szCs w:val="21"/>
        </w:rPr>
        <w:t>根据《政府采购促进中小企业发展</w:t>
      </w:r>
      <w:r>
        <w:rPr>
          <w:rFonts w:hint="eastAsia"/>
        </w:rPr>
        <w:t>管理</w:t>
      </w:r>
      <w:r>
        <w:rPr>
          <w:rFonts w:hint="eastAsia" w:ascii="宋体" w:hAnsi="宋体"/>
          <w:bCs/>
          <w:szCs w:val="21"/>
        </w:rPr>
        <w:t>办法》（财库[2020]46号）第九条及《广西壮族自治区财政厅关于持续优化政府采购营商环境推动高质量发展的通知》（桂财采〔2024〕55号</w:t>
      </w:r>
      <w:r>
        <w:rPr>
          <w:rFonts w:hint="eastAsia" w:ascii="仿宋_GB2312" w:hAnsi="Calibri" w:eastAsia="仿宋_GB2312"/>
          <w:sz w:val="24"/>
        </w:rPr>
        <w:t>）</w:t>
      </w:r>
      <w:r>
        <w:rPr>
          <w:rFonts w:hint="eastAsia" w:ascii="宋体" w:hAnsi="宋体"/>
          <w:bCs/>
          <w:szCs w:val="21"/>
        </w:rPr>
        <w:t>规定，接受大中型企业与小微企业组成联合体的采购项目，对于联合协议约定小微企业的合同份额占到合同总金额 30%以上的，采购人、采购代理机构应当对联合体的报价给予 4%-6%（工程项目为 1%—2%）的扣除，用扣除后的价格参加评审。组成联合体的小微企业与联合体内其他企业、分包企业之间存在直接控股、管理关系的，不享受价格扣除优惠政策。</w:t>
      </w:r>
    </w:p>
    <w:p w14:paraId="4FFC1440">
      <w:pPr>
        <w:spacing w:line="336" w:lineRule="auto"/>
        <w:ind w:firstLine="482"/>
        <w:rPr>
          <w:rFonts w:ascii="黑体" w:hAnsi="黑体" w:eastAsia="黑体" w:cs="宋体"/>
          <w:b/>
          <w:bCs/>
          <w:sz w:val="24"/>
        </w:rPr>
      </w:pPr>
      <w:r>
        <w:rPr>
          <w:rFonts w:hint="eastAsia" w:ascii="黑体" w:hAnsi="黑体" w:eastAsia="黑体" w:cs="宋体"/>
          <w:b/>
          <w:bCs/>
          <w:sz w:val="24"/>
        </w:rPr>
        <w:t>6.转包与分包</w:t>
      </w:r>
    </w:p>
    <w:p w14:paraId="26BEAE7B">
      <w:pPr>
        <w:spacing w:line="336" w:lineRule="auto"/>
        <w:ind w:firstLine="420"/>
        <w:rPr>
          <w:rFonts w:ascii="宋体" w:hAnsi="宋体" w:cs="宋体"/>
          <w:szCs w:val="21"/>
        </w:rPr>
      </w:pPr>
      <w:r>
        <w:rPr>
          <w:rFonts w:hint="eastAsia" w:ascii="宋体" w:hAnsi="宋体" w:cs="宋体"/>
          <w:szCs w:val="21"/>
        </w:rPr>
        <w:t>6.1本项目是否允许分包详见“供应商须知前附表”，本项目不允许违法分包。</w:t>
      </w:r>
    </w:p>
    <w:p w14:paraId="41130EC4">
      <w:pPr>
        <w:spacing w:line="336" w:lineRule="auto"/>
        <w:ind w:firstLine="420"/>
        <w:rPr>
          <w:rFonts w:ascii="宋体" w:hAnsi="宋体" w:cs="宋体"/>
          <w:szCs w:val="21"/>
        </w:rPr>
      </w:pPr>
      <w:r>
        <w:rPr>
          <w:rFonts w:hint="eastAsia" w:ascii="宋体" w:hAnsi="宋体" w:cs="宋体"/>
          <w:szCs w:val="21"/>
        </w:rPr>
        <w:t>6.2</w:t>
      </w:r>
      <w:r>
        <w:rPr>
          <w:rFonts w:hint="eastAsia" w:ascii="宋体" w:hAnsi="宋体"/>
          <w:bCs/>
          <w:szCs w:val="21"/>
        </w:rPr>
        <w:t>根据《政府采购促进中小企业发展</w:t>
      </w:r>
      <w:r>
        <w:rPr>
          <w:rFonts w:hint="eastAsia"/>
        </w:rPr>
        <w:t>管理</w:t>
      </w:r>
      <w:r>
        <w:rPr>
          <w:rFonts w:hint="eastAsia" w:ascii="宋体" w:hAnsi="宋体"/>
          <w:bCs/>
          <w:szCs w:val="21"/>
        </w:rPr>
        <w:t>办法》（财库[2020]46号）第九条及《广西壮族自治区财政厅关于持续优化政府采购营商环境推动高质量发展的通知》（桂财采〔2024〕55号</w:t>
      </w:r>
      <w:r>
        <w:rPr>
          <w:rFonts w:hint="eastAsia" w:ascii="仿宋_GB2312" w:hAnsi="Calibri" w:eastAsia="仿宋_GB2312"/>
          <w:sz w:val="24"/>
        </w:rPr>
        <w:t>）</w:t>
      </w:r>
      <w:r>
        <w:rPr>
          <w:rFonts w:hint="eastAsia" w:ascii="宋体" w:hAnsi="宋体"/>
          <w:bCs/>
          <w:szCs w:val="21"/>
        </w:rPr>
        <w:t>规定，允许大中型企业向一家或者多家小微企业分包的采购项目，对于分包意向协议约定小微企业的合同份额占到合同总金额 30%以上的，采购人、采购代理机构应当对大中型企业的报价给予 4%-6%的扣除，用扣除后的价格参加评审。接受分包的小微企业与分包企业之间存在直接控股、管理关系的，不享受价格扣除优惠政策。</w:t>
      </w:r>
    </w:p>
    <w:p w14:paraId="318CFF9A">
      <w:pPr>
        <w:spacing w:line="336" w:lineRule="auto"/>
        <w:ind w:firstLine="482"/>
        <w:rPr>
          <w:rFonts w:ascii="黑体" w:hAnsi="黑体" w:eastAsia="黑体" w:cs="宋体"/>
          <w:b/>
          <w:bCs/>
          <w:sz w:val="24"/>
        </w:rPr>
      </w:pPr>
      <w:bookmarkStart w:id="37" w:name="_Toc254970532"/>
      <w:bookmarkStart w:id="38" w:name="_Toc254970673"/>
      <w:r>
        <w:rPr>
          <w:rFonts w:hint="eastAsia" w:ascii="黑体" w:hAnsi="黑体" w:eastAsia="黑体" w:cs="宋体"/>
          <w:b/>
          <w:bCs/>
          <w:sz w:val="24"/>
        </w:rPr>
        <w:t>7.特别说明</w:t>
      </w:r>
      <w:bookmarkEnd w:id="37"/>
      <w:bookmarkEnd w:id="38"/>
    </w:p>
    <w:p w14:paraId="73B08118">
      <w:pPr>
        <w:spacing w:line="336" w:lineRule="auto"/>
        <w:ind w:firstLine="420"/>
        <w:rPr>
          <w:rFonts w:ascii="宋体" w:hAnsi="宋体" w:cs="宋体"/>
          <w:szCs w:val="21"/>
        </w:rPr>
      </w:pPr>
      <w:bookmarkStart w:id="39" w:name="_8.1提供相同品牌产品且通过资格审查、符合性审查的不同投标人参加同一合"/>
      <w:bookmarkEnd w:id="39"/>
      <w:r>
        <w:rPr>
          <w:rFonts w:hint="eastAsia" w:ascii="宋体" w:hAnsi="宋体" w:cs="宋体"/>
          <w:szCs w:val="21"/>
        </w:rPr>
        <w:t>7.1如果本谈判文件要求提供供应商或制造商的资格、信誉、荣誉、业绩与企业认证等材料的，资格、信誉、荣誉、业绩与企业认证等必须为供应商或者制造商所拥有或自身获得。</w:t>
      </w:r>
    </w:p>
    <w:p w14:paraId="7D8E0727">
      <w:pPr>
        <w:spacing w:line="336" w:lineRule="auto"/>
        <w:ind w:firstLine="420"/>
        <w:rPr>
          <w:rFonts w:ascii="宋体" w:hAnsi="宋体" w:cs="宋体"/>
          <w:szCs w:val="21"/>
        </w:rPr>
      </w:pPr>
      <w:r>
        <w:rPr>
          <w:rFonts w:hint="eastAsia" w:ascii="宋体" w:hAnsi="宋体" w:cs="宋体"/>
          <w:szCs w:val="21"/>
        </w:rPr>
        <w:t>7.2供应商应仔细阅读谈判文件的所有内容，按照谈判文件的要求提交响应文件，并对所提供的全部资料的真实性承担法律责任。</w:t>
      </w:r>
    </w:p>
    <w:p w14:paraId="3B7B9A37">
      <w:pPr>
        <w:spacing w:line="336" w:lineRule="auto"/>
        <w:ind w:firstLine="420"/>
        <w:rPr>
          <w:rFonts w:ascii="宋体" w:hAnsi="宋体" w:cs="宋体"/>
          <w:szCs w:val="21"/>
        </w:rPr>
      </w:pPr>
      <w:r>
        <w:rPr>
          <w:rFonts w:hint="eastAsia" w:ascii="宋体" w:hAnsi="宋体" w:cs="宋体"/>
          <w:szCs w:val="21"/>
        </w:rPr>
        <w:t>7.3供应商在竞标活动中提供任何虚假材料,其响应文件作无效处理，并报监管部门查处；签订合同后发现的,成交供应商须依照《中华人民共和国消费者权益保护法》规定赔偿采购人，且民事赔偿并不免除违法供应商的行政与刑事责任。</w:t>
      </w:r>
    </w:p>
    <w:p w14:paraId="51FFE3C6">
      <w:pPr>
        <w:spacing w:line="336" w:lineRule="auto"/>
        <w:ind w:firstLine="420"/>
        <w:rPr>
          <w:rFonts w:ascii="宋体" w:hAnsi="宋体" w:cs="宋体"/>
          <w:szCs w:val="21"/>
        </w:rPr>
      </w:pPr>
      <w:r>
        <w:rPr>
          <w:rFonts w:hint="eastAsia" w:ascii="宋体" w:hAnsi="宋体" w:cs="宋体"/>
          <w:szCs w:val="21"/>
        </w:rPr>
        <w:t>7.4在政府采购活动中，采购人员及相关人员与供应商有下列利害关系之一的，应当回避：</w:t>
      </w:r>
    </w:p>
    <w:p w14:paraId="6BE60138">
      <w:pPr>
        <w:spacing w:line="336" w:lineRule="auto"/>
        <w:ind w:firstLine="420"/>
        <w:rPr>
          <w:rFonts w:ascii="宋体" w:hAnsi="宋体" w:cs="宋体"/>
          <w:szCs w:val="21"/>
        </w:rPr>
      </w:pPr>
      <w:r>
        <w:rPr>
          <w:rFonts w:hint="eastAsia" w:ascii="宋体" w:hAnsi="宋体" w:cs="宋体"/>
          <w:szCs w:val="21"/>
        </w:rPr>
        <w:t>（1）参加采购活动前3年内与供应商存在劳动关系；</w:t>
      </w:r>
    </w:p>
    <w:p w14:paraId="1F180C1D">
      <w:pPr>
        <w:spacing w:line="336" w:lineRule="auto"/>
        <w:ind w:firstLine="420"/>
        <w:rPr>
          <w:rFonts w:ascii="宋体" w:hAnsi="宋体" w:cs="宋体"/>
          <w:szCs w:val="21"/>
        </w:rPr>
      </w:pPr>
      <w:r>
        <w:rPr>
          <w:rFonts w:hint="eastAsia" w:ascii="宋体" w:hAnsi="宋体" w:cs="宋体"/>
          <w:szCs w:val="21"/>
        </w:rPr>
        <w:t>（2）参加采购活动前3年内担任供应商的董事、监事；</w:t>
      </w:r>
    </w:p>
    <w:p w14:paraId="6E6378BD">
      <w:pPr>
        <w:spacing w:line="336" w:lineRule="auto"/>
        <w:ind w:firstLine="420"/>
        <w:rPr>
          <w:rFonts w:ascii="宋体" w:hAnsi="宋体" w:cs="宋体"/>
          <w:szCs w:val="21"/>
        </w:rPr>
      </w:pPr>
      <w:r>
        <w:rPr>
          <w:rFonts w:hint="eastAsia" w:ascii="宋体" w:hAnsi="宋体" w:cs="宋体"/>
          <w:szCs w:val="21"/>
        </w:rPr>
        <w:t>（3）参加采购活动前3年内是供应商的控股股东或者实际控制人；</w:t>
      </w:r>
    </w:p>
    <w:p w14:paraId="12D7A6A6">
      <w:pPr>
        <w:spacing w:line="336" w:lineRule="auto"/>
        <w:ind w:firstLine="420"/>
        <w:rPr>
          <w:rFonts w:ascii="宋体" w:hAnsi="宋体" w:cs="宋体"/>
          <w:szCs w:val="21"/>
        </w:rPr>
      </w:pPr>
      <w:r>
        <w:rPr>
          <w:rFonts w:hint="eastAsia" w:ascii="宋体" w:hAnsi="宋体" w:cs="宋体"/>
          <w:szCs w:val="21"/>
        </w:rPr>
        <w:t>（4）与供应商的法定代表人或者负责人有夫妻、直系血亲、三代以内旁系血亲或者近姻亲关系；</w:t>
      </w:r>
    </w:p>
    <w:p w14:paraId="28C066D1">
      <w:pPr>
        <w:spacing w:line="336" w:lineRule="auto"/>
        <w:ind w:firstLine="420"/>
        <w:rPr>
          <w:rFonts w:ascii="宋体" w:hAnsi="宋体" w:cs="宋体"/>
          <w:szCs w:val="21"/>
        </w:rPr>
      </w:pPr>
      <w:r>
        <w:rPr>
          <w:rFonts w:hint="eastAsia" w:ascii="宋体" w:hAnsi="宋体" w:cs="宋体"/>
          <w:szCs w:val="21"/>
        </w:rPr>
        <w:t>（5）与供应商有其他可能影响政府采购活动公平、公正进行的关系。</w:t>
      </w:r>
    </w:p>
    <w:p w14:paraId="054EED41">
      <w:pPr>
        <w:spacing w:line="336" w:lineRule="auto"/>
        <w:ind w:firstLine="420"/>
        <w:rPr>
          <w:rFonts w:ascii="宋体" w:hAnsi="宋体" w:cs="宋体"/>
          <w:szCs w:val="21"/>
        </w:rPr>
      </w:pPr>
      <w:r>
        <w:rPr>
          <w:rFonts w:hint="eastAsia" w:ascii="宋体" w:hAnsi="宋体" w:cs="宋体"/>
          <w:szCs w:val="21"/>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7239587F">
      <w:pPr>
        <w:spacing w:line="336" w:lineRule="auto"/>
        <w:ind w:firstLine="420"/>
        <w:rPr>
          <w:rFonts w:ascii="宋体" w:hAnsi="宋体" w:cs="宋体"/>
          <w:szCs w:val="21"/>
        </w:rPr>
      </w:pPr>
      <w:r>
        <w:rPr>
          <w:rFonts w:hint="eastAsia" w:ascii="宋体" w:hAnsi="宋体" w:cs="宋体"/>
          <w:szCs w:val="21"/>
        </w:rPr>
        <w:t>7.5有下列情形之一的视为供应商相互串通竞标，响应文件将被视为无效：</w:t>
      </w:r>
    </w:p>
    <w:p w14:paraId="164EC08D">
      <w:pPr>
        <w:spacing w:line="336" w:lineRule="auto"/>
        <w:ind w:firstLine="420"/>
        <w:rPr>
          <w:rFonts w:ascii="宋体" w:hAnsi="宋体" w:cs="宋体"/>
          <w:szCs w:val="21"/>
        </w:rPr>
      </w:pPr>
      <w:r>
        <w:rPr>
          <w:rFonts w:hint="eastAsia" w:ascii="宋体" w:hAnsi="宋体" w:cs="宋体"/>
          <w:szCs w:val="21"/>
        </w:rPr>
        <w:t>（1）不同供应商的响应文件由同一单位或者个人编制；或者不同供应商报名的IP地址一致的；或者编制响应文件硬件设备CPU编号、硬盘编号、网卡地址一致的情况。</w:t>
      </w:r>
    </w:p>
    <w:p w14:paraId="4335D1BC">
      <w:pPr>
        <w:spacing w:line="336" w:lineRule="auto"/>
        <w:ind w:firstLine="420"/>
        <w:rPr>
          <w:rFonts w:ascii="宋体" w:hAnsi="宋体" w:cs="宋体"/>
          <w:szCs w:val="21"/>
        </w:rPr>
      </w:pPr>
      <w:r>
        <w:rPr>
          <w:rFonts w:hint="eastAsia" w:ascii="宋体" w:hAnsi="宋体" w:cs="宋体"/>
          <w:szCs w:val="21"/>
        </w:rPr>
        <w:t>（2）不同供应商委托同一单位或者个人办理竞标事宜；</w:t>
      </w:r>
    </w:p>
    <w:p w14:paraId="76F28B97">
      <w:pPr>
        <w:spacing w:line="336" w:lineRule="auto"/>
        <w:ind w:firstLine="420"/>
        <w:rPr>
          <w:rFonts w:ascii="宋体" w:hAnsi="宋体" w:cs="宋体"/>
          <w:szCs w:val="21"/>
        </w:rPr>
      </w:pPr>
      <w:r>
        <w:rPr>
          <w:rFonts w:hint="eastAsia" w:ascii="宋体" w:hAnsi="宋体" w:cs="宋体"/>
          <w:szCs w:val="21"/>
        </w:rPr>
        <w:t>（3）不同的供应商的响应文件载明的项目管理员为同一个人；</w:t>
      </w:r>
    </w:p>
    <w:p w14:paraId="50F671B8">
      <w:pPr>
        <w:spacing w:line="336" w:lineRule="auto"/>
        <w:ind w:firstLine="420"/>
        <w:rPr>
          <w:rFonts w:ascii="宋体" w:hAnsi="宋体" w:cs="宋体"/>
          <w:szCs w:val="21"/>
        </w:rPr>
      </w:pPr>
      <w:r>
        <w:rPr>
          <w:rFonts w:hint="eastAsia" w:ascii="宋体" w:hAnsi="宋体" w:cs="宋体"/>
          <w:szCs w:val="21"/>
        </w:rPr>
        <w:t>（4）不同供应商的响应文件异常一致或者报价呈规律性差异；</w:t>
      </w:r>
    </w:p>
    <w:p w14:paraId="7AC47234">
      <w:pPr>
        <w:spacing w:line="336" w:lineRule="auto"/>
        <w:ind w:firstLine="420"/>
        <w:rPr>
          <w:rFonts w:ascii="宋体" w:hAnsi="宋体" w:cs="宋体"/>
          <w:szCs w:val="21"/>
        </w:rPr>
      </w:pPr>
      <w:r>
        <w:rPr>
          <w:rFonts w:hint="eastAsia" w:ascii="宋体" w:hAnsi="宋体" w:cs="宋体"/>
          <w:szCs w:val="21"/>
        </w:rPr>
        <w:t>（5）不同供应商的响应文件相互混装；</w:t>
      </w:r>
    </w:p>
    <w:p w14:paraId="3A869829">
      <w:pPr>
        <w:spacing w:line="336" w:lineRule="auto"/>
        <w:ind w:firstLine="420"/>
        <w:rPr>
          <w:rFonts w:ascii="宋体" w:hAnsi="宋体" w:cs="宋体"/>
          <w:szCs w:val="21"/>
        </w:rPr>
      </w:pPr>
      <w:r>
        <w:rPr>
          <w:rFonts w:hint="eastAsia" w:ascii="宋体" w:hAnsi="宋体" w:cs="宋体"/>
          <w:szCs w:val="21"/>
        </w:rPr>
        <w:t>（6）不同供应商的竞标保证金从同一单位或者个人账户转出。</w:t>
      </w:r>
    </w:p>
    <w:p w14:paraId="44707370">
      <w:pPr>
        <w:spacing w:line="336" w:lineRule="auto"/>
        <w:ind w:firstLine="420"/>
        <w:rPr>
          <w:rFonts w:ascii="宋体" w:hAnsi="宋体" w:cs="宋体"/>
          <w:szCs w:val="21"/>
        </w:rPr>
      </w:pPr>
      <w:r>
        <w:rPr>
          <w:rFonts w:hint="eastAsia" w:ascii="宋体" w:hAnsi="宋体" w:cs="宋体"/>
          <w:szCs w:val="21"/>
        </w:rPr>
        <w:t>7.6供应商有下列情形之一的，属于恶意串通行为</w:t>
      </w:r>
      <w:bookmarkStart w:id="40" w:name="_Hlk54682620"/>
      <w:r>
        <w:rPr>
          <w:rFonts w:hint="eastAsia" w:ascii="宋体" w:hAnsi="宋体" w:cs="宋体"/>
          <w:szCs w:val="21"/>
        </w:rPr>
        <w:t>，将报同级监督管理部门</w:t>
      </w:r>
      <w:bookmarkEnd w:id="40"/>
      <w:r>
        <w:rPr>
          <w:rFonts w:hint="eastAsia" w:ascii="宋体" w:hAnsi="宋体" w:cs="宋体"/>
          <w:szCs w:val="21"/>
        </w:rPr>
        <w:t>：</w:t>
      </w:r>
    </w:p>
    <w:p w14:paraId="521D2518">
      <w:pPr>
        <w:spacing w:line="336" w:lineRule="auto"/>
        <w:ind w:firstLine="420"/>
        <w:rPr>
          <w:rFonts w:ascii="宋体" w:hAnsi="宋体" w:cs="宋体"/>
          <w:szCs w:val="21"/>
        </w:rPr>
      </w:pPr>
      <w:r>
        <w:rPr>
          <w:rFonts w:hint="eastAsia" w:ascii="宋体" w:hAnsi="宋体" w:cs="宋体"/>
          <w:szCs w:val="21"/>
        </w:rPr>
        <w:t>（1）供应商直接或者间接从采购人或者采购代理机构处获得其他供应商的相关信息并修改其响应文件；</w:t>
      </w:r>
    </w:p>
    <w:p w14:paraId="115FB89C">
      <w:pPr>
        <w:spacing w:line="336" w:lineRule="auto"/>
        <w:ind w:firstLine="420"/>
        <w:rPr>
          <w:rFonts w:ascii="宋体" w:hAnsi="宋体" w:cs="宋体"/>
          <w:szCs w:val="21"/>
        </w:rPr>
      </w:pPr>
      <w:r>
        <w:rPr>
          <w:rFonts w:hint="eastAsia" w:ascii="宋体" w:hAnsi="宋体" w:cs="宋体"/>
          <w:szCs w:val="21"/>
        </w:rPr>
        <w:t>（2）供应商按照采购人或者采购代理机构的授意撤换、修改响应文件；</w:t>
      </w:r>
    </w:p>
    <w:p w14:paraId="740C1D04">
      <w:pPr>
        <w:spacing w:line="336" w:lineRule="auto"/>
        <w:ind w:firstLine="420"/>
        <w:rPr>
          <w:rFonts w:ascii="宋体" w:hAnsi="宋体" w:cs="宋体"/>
          <w:szCs w:val="21"/>
        </w:rPr>
      </w:pPr>
      <w:r>
        <w:rPr>
          <w:rFonts w:hint="eastAsia" w:ascii="宋体" w:hAnsi="宋体" w:cs="宋体"/>
          <w:szCs w:val="21"/>
        </w:rPr>
        <w:t>（3）供应商之间协商报价、技术方案等响应文件或者响应文件的实质性内容；</w:t>
      </w:r>
    </w:p>
    <w:p w14:paraId="01CCB7E3">
      <w:pPr>
        <w:spacing w:line="336" w:lineRule="auto"/>
        <w:ind w:firstLine="420"/>
        <w:rPr>
          <w:rFonts w:ascii="宋体" w:hAnsi="宋体" w:cs="宋体"/>
          <w:szCs w:val="21"/>
        </w:rPr>
      </w:pPr>
      <w:r>
        <w:rPr>
          <w:rFonts w:hint="eastAsia" w:ascii="宋体" w:hAnsi="宋体" w:cs="宋体"/>
          <w:szCs w:val="21"/>
        </w:rPr>
        <w:t>（4）属于同一集团、协会、商会等组织成员的供应商按照该组织要求协同参加政府采购活动；</w:t>
      </w:r>
    </w:p>
    <w:p w14:paraId="65081264">
      <w:pPr>
        <w:spacing w:line="336" w:lineRule="auto"/>
        <w:ind w:firstLine="420"/>
        <w:rPr>
          <w:rFonts w:ascii="宋体" w:hAnsi="宋体" w:cs="宋体"/>
          <w:szCs w:val="21"/>
        </w:rPr>
      </w:pPr>
      <w:r>
        <w:rPr>
          <w:rFonts w:hint="eastAsia" w:ascii="宋体" w:hAnsi="宋体" w:cs="宋体"/>
          <w:szCs w:val="21"/>
        </w:rPr>
        <w:t>（5）供应商之间事先约定一致抬高或者压低报价,或者在政府采购活动中事先约定轮流以高价位或者低价位成交,或者事先约定由某一特定供应商成交,然后再参加竞标；</w:t>
      </w:r>
    </w:p>
    <w:p w14:paraId="26BA2D79">
      <w:pPr>
        <w:spacing w:line="336" w:lineRule="auto"/>
        <w:ind w:firstLine="420"/>
        <w:rPr>
          <w:rFonts w:ascii="宋体" w:hAnsi="宋体" w:cs="宋体"/>
          <w:szCs w:val="21"/>
        </w:rPr>
      </w:pPr>
      <w:r>
        <w:rPr>
          <w:rFonts w:hint="eastAsia" w:ascii="宋体" w:hAnsi="宋体" w:cs="宋体"/>
          <w:szCs w:val="21"/>
        </w:rPr>
        <w:t>（6）供应商之间商定部分供应商放弃参加政府采购活动或者放弃成交；</w:t>
      </w:r>
    </w:p>
    <w:p w14:paraId="7E3E089E">
      <w:pPr>
        <w:spacing w:line="336" w:lineRule="auto"/>
        <w:ind w:firstLine="420"/>
      </w:pPr>
      <w:r>
        <w:rPr>
          <w:rFonts w:hint="eastAsia"/>
        </w:rPr>
        <w:t>（</w:t>
      </w:r>
      <w:r>
        <w:t>7</w:t>
      </w:r>
      <w:r>
        <w:rPr>
          <w:rFonts w:hint="eastAsia"/>
        </w:rPr>
        <w:t>）供应商与采购人或者采购代理机构之间、供应商相互之间，为谋求特定供应商成交或者排斥其他供应商的其他串通行为。</w:t>
      </w:r>
      <w:bookmarkStart w:id="41" w:name="_Toc254970534"/>
      <w:bookmarkStart w:id="42" w:name="_Toc254970675"/>
    </w:p>
    <w:p w14:paraId="7AF9CCD6">
      <w:pPr>
        <w:pStyle w:val="12"/>
        <w:spacing w:line="360" w:lineRule="auto"/>
        <w:rPr>
          <w:rFonts w:ascii="宋体" w:hAnsi="宋体"/>
        </w:rPr>
      </w:pPr>
      <w:r>
        <w:rPr>
          <w:rFonts w:ascii="宋体" w:hAnsi="宋体"/>
        </w:rPr>
        <w:t>7.</w:t>
      </w:r>
      <w:r>
        <w:rPr>
          <w:rFonts w:hint="eastAsia" w:ascii="宋体" w:hAnsi="宋体"/>
        </w:rPr>
        <w:t>7根据《国务院办公厅关于在政府采购中实施本国产品标准及相关政策的通知》（国办发〔2025〕34号）的规定，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76DDF322">
      <w:pPr>
        <w:pStyle w:val="12"/>
        <w:spacing w:line="360" w:lineRule="auto"/>
        <w:rPr>
          <w:rFonts w:ascii="宋体" w:hAnsi="宋体"/>
        </w:rPr>
      </w:pPr>
      <w:r>
        <w:rPr>
          <w:rFonts w:hint="eastAsia" w:ascii="宋体" w:hAnsi="宋体"/>
        </w:rPr>
        <w:t>产品在中国境内生产的组件成本占比应当达到规定比例，计算公式为：</w:t>
      </w:r>
    </w:p>
    <w:p w14:paraId="54F2DBC1">
      <w:pPr>
        <w:widowControl/>
        <w:shd w:val="clear" w:color="auto" w:fill="FFFFFF"/>
        <w:spacing w:before="30" w:after="30" w:line="360" w:lineRule="auto"/>
        <w:jc w:val="center"/>
        <w:rPr>
          <w:rFonts w:ascii="宋体" w:hAnsi="宋体" w:cs="宋体"/>
          <w:sz w:val="24"/>
        </w:rPr>
      </w:pPr>
      <w:r>
        <w:rPr>
          <w:rFonts w:ascii="宋体" w:hAnsi="宋体" w:cs="宋体"/>
          <w:sz w:val="24"/>
        </w:rPr>
        <w:fldChar w:fldCharType="begin"/>
      </w:r>
      <w:r>
        <w:rPr>
          <w:rFonts w:ascii="宋体" w:hAnsi="宋体" w:cs="宋体"/>
          <w:sz w:val="24"/>
        </w:rPr>
        <w:instrText xml:space="preserve"> INCLUDEPICTURE "https://www.gov.cn/zhengce/content/202509/W020250930645245947614.png" \* MERGEFORMATINET </w:instrText>
      </w:r>
      <w:r>
        <w:rPr>
          <w:rFonts w:ascii="宋体" w:hAnsi="宋体" w:cs="宋体"/>
          <w:sz w:val="24"/>
        </w:rPr>
        <w:fldChar w:fldCharType="separate"/>
      </w:r>
      <w:r>
        <w:rPr>
          <w:rFonts w:ascii="宋体" w:hAnsi="宋体" w:cs="宋体"/>
          <w:sz w:val="24"/>
        </w:rPr>
        <w:fldChar w:fldCharType="begin"/>
      </w:r>
      <w:r>
        <w:rPr>
          <w:rFonts w:ascii="宋体" w:hAnsi="宋体" w:cs="宋体"/>
          <w:sz w:val="24"/>
        </w:rPr>
        <w:instrText xml:space="preserve"> INCLUDEPICTURE  "https://www.gov.cn/zhengce/content/202509/W020250930645245947614.png" \* MERGEFORMATINET </w:instrText>
      </w:r>
      <w:r>
        <w:rPr>
          <w:rFonts w:ascii="宋体" w:hAnsi="宋体" w:cs="宋体"/>
          <w:sz w:val="24"/>
        </w:rPr>
        <w:fldChar w:fldCharType="separate"/>
      </w:r>
      <w:r>
        <w:rPr>
          <w:rFonts w:ascii="宋体" w:hAnsi="宋体" w:cs="宋体"/>
          <w:sz w:val="24"/>
        </w:rPr>
        <w:pict>
          <v:shape id="_x0000_i1025" o:spt="75" type="#_x0000_t75" style="height:60.2pt;width:380.4pt;" filled="f" o:preferrelative="t" stroked="f" coordsize="21600,21600">
            <v:path/>
            <v:fill on="f" focussize="0,0"/>
            <v:stroke on="f" joinstyle="miter"/>
            <v:imagedata r:id="rId7" r:href="rId8" o:title=""/>
            <o:lock v:ext="edit" aspectratio="t"/>
            <w10:wrap type="none"/>
            <w10:anchorlock/>
          </v:shape>
        </w:pict>
      </w:r>
      <w:r>
        <w:rPr>
          <w:rFonts w:ascii="宋体" w:hAnsi="宋体" w:cs="宋体"/>
          <w:sz w:val="24"/>
        </w:rPr>
        <w:fldChar w:fldCharType="end"/>
      </w:r>
      <w:r>
        <w:rPr>
          <w:rFonts w:ascii="宋体" w:hAnsi="宋体" w:cs="宋体"/>
          <w:sz w:val="24"/>
        </w:rPr>
        <w:fldChar w:fldCharType="end"/>
      </w:r>
    </w:p>
    <w:p w14:paraId="7CCAC5D0">
      <w:pPr>
        <w:pStyle w:val="12"/>
        <w:spacing w:line="360" w:lineRule="auto"/>
        <w:rPr>
          <w:rFonts w:ascii="宋体" w:hAnsi="宋体"/>
        </w:rPr>
      </w:pPr>
      <w:r>
        <w:rPr>
          <w:rFonts w:hint="eastAsia" w:ascii="宋体" w:hAnsi="宋体"/>
        </w:rPr>
        <w:t>财政部会同有关行业主管部门，分产品确定在中国境内生产的组件成本占比应当达到的规定比例。在分产品的中国境内生产的组件成本占比相关要求实施前，符合《国务院办公厅关于在政府采购中实施本国产品标准及相关政策的通知》第一条第（一）项条件的产品在政府采购活动中视同本国产品。</w:t>
      </w:r>
    </w:p>
    <w:p w14:paraId="169B1259">
      <w:pPr>
        <w:pStyle w:val="12"/>
        <w:spacing w:line="360" w:lineRule="auto"/>
        <w:rPr>
          <w:rFonts w:ascii="宋体" w:hAnsi="宋体"/>
        </w:rPr>
      </w:pPr>
      <w:r>
        <w:rPr>
          <w:rFonts w:hint="eastAsia" w:ascii="宋体" w:hAnsi="宋体"/>
        </w:rPr>
        <w:t>政府采购活动中既有本国产品又有非本国产品参与竞争的，依法对本国产品给予价格评审优惠，对本国产品的报价给予20%的价格扣除，用扣除后的价格参与评审。</w:t>
      </w:r>
    </w:p>
    <w:p w14:paraId="256716BE">
      <w:pPr>
        <w:pStyle w:val="12"/>
        <w:spacing w:line="360" w:lineRule="auto"/>
        <w:rPr>
          <w:rFonts w:ascii="宋体" w:hAnsi="宋体"/>
        </w:rPr>
      </w:pPr>
      <w:r>
        <w:rPr>
          <w:rFonts w:hint="eastAsia" w:ascii="宋体" w:hAnsi="宋体"/>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2A7E697F">
      <w:pPr>
        <w:spacing w:line="336" w:lineRule="auto"/>
        <w:ind w:firstLine="420"/>
      </w:pPr>
    </w:p>
    <w:p w14:paraId="25E0E836">
      <w:pPr>
        <w:keepNext/>
        <w:keepLines/>
        <w:spacing w:line="336" w:lineRule="auto"/>
        <w:ind w:firstLine="640"/>
        <w:outlineLvl w:val="2"/>
        <w:rPr>
          <w:rFonts w:ascii="宋体" w:hAnsi="宋体"/>
          <w:sz w:val="32"/>
          <w:szCs w:val="32"/>
        </w:rPr>
      </w:pPr>
      <w:bookmarkStart w:id="43" w:name="_Toc173510393"/>
      <w:r>
        <w:rPr>
          <w:rFonts w:hint="eastAsia" w:ascii="宋体" w:hAnsi="宋体"/>
          <w:sz w:val="32"/>
          <w:szCs w:val="32"/>
        </w:rPr>
        <w:t>二、谈判文件</w:t>
      </w:r>
      <w:bookmarkEnd w:id="41"/>
      <w:bookmarkEnd w:id="42"/>
      <w:bookmarkEnd w:id="43"/>
    </w:p>
    <w:p w14:paraId="1E1448CC">
      <w:pPr>
        <w:spacing w:line="336" w:lineRule="auto"/>
        <w:ind w:firstLine="482"/>
        <w:rPr>
          <w:rFonts w:ascii="黑体" w:hAnsi="黑体" w:eastAsia="黑体" w:cs="宋体"/>
          <w:b/>
          <w:bCs/>
          <w:sz w:val="24"/>
        </w:rPr>
      </w:pPr>
      <w:r>
        <w:rPr>
          <w:rFonts w:hint="eastAsia" w:ascii="黑体" w:hAnsi="黑体" w:eastAsia="黑体" w:cs="宋体"/>
          <w:b/>
          <w:bCs/>
          <w:sz w:val="24"/>
        </w:rPr>
        <w:t>8.谈判文件的构成</w:t>
      </w:r>
    </w:p>
    <w:p w14:paraId="7B51B7D9">
      <w:pPr>
        <w:spacing w:line="336" w:lineRule="auto"/>
        <w:ind w:firstLine="420"/>
        <w:jc w:val="left"/>
        <w:rPr>
          <w:rFonts w:ascii="宋体" w:hAnsi="宋体"/>
          <w:szCs w:val="21"/>
        </w:rPr>
      </w:pPr>
      <w:r>
        <w:rPr>
          <w:rFonts w:hint="eastAsia" w:ascii="宋体" w:hAnsi="宋体"/>
          <w:szCs w:val="21"/>
        </w:rPr>
        <w:t>第一章竞争性谈判公告；</w:t>
      </w:r>
    </w:p>
    <w:p w14:paraId="666A6270">
      <w:pPr>
        <w:spacing w:line="336" w:lineRule="auto"/>
        <w:ind w:firstLine="420"/>
        <w:jc w:val="left"/>
        <w:rPr>
          <w:rFonts w:ascii="宋体" w:hAnsi="宋体"/>
          <w:szCs w:val="21"/>
        </w:rPr>
      </w:pPr>
      <w:r>
        <w:rPr>
          <w:rFonts w:hint="eastAsia" w:ascii="宋体" w:hAnsi="宋体"/>
          <w:szCs w:val="21"/>
        </w:rPr>
        <w:t>第二章采购需求；</w:t>
      </w:r>
    </w:p>
    <w:p w14:paraId="71FF63D3">
      <w:pPr>
        <w:spacing w:line="336" w:lineRule="auto"/>
        <w:ind w:firstLine="420"/>
        <w:jc w:val="left"/>
        <w:rPr>
          <w:rFonts w:ascii="宋体" w:hAnsi="宋体"/>
          <w:szCs w:val="21"/>
        </w:rPr>
      </w:pPr>
      <w:r>
        <w:rPr>
          <w:rFonts w:hint="eastAsia" w:ascii="宋体" w:hAnsi="宋体"/>
          <w:szCs w:val="21"/>
        </w:rPr>
        <w:t>第三章供应商须知；</w:t>
      </w:r>
    </w:p>
    <w:p w14:paraId="4E146F0A">
      <w:pPr>
        <w:spacing w:line="336" w:lineRule="auto"/>
        <w:ind w:firstLine="420"/>
        <w:jc w:val="left"/>
        <w:rPr>
          <w:rFonts w:ascii="宋体" w:hAnsi="宋体"/>
          <w:szCs w:val="21"/>
        </w:rPr>
      </w:pPr>
      <w:r>
        <w:rPr>
          <w:rFonts w:hint="eastAsia" w:ascii="宋体" w:hAnsi="宋体"/>
          <w:szCs w:val="21"/>
        </w:rPr>
        <w:t>第四章评审程序、评审方法和成交标准；</w:t>
      </w:r>
    </w:p>
    <w:p w14:paraId="4F3892C4">
      <w:pPr>
        <w:spacing w:line="336" w:lineRule="auto"/>
        <w:ind w:firstLine="420"/>
        <w:jc w:val="left"/>
        <w:rPr>
          <w:rFonts w:ascii="宋体" w:hAnsi="宋体"/>
          <w:szCs w:val="21"/>
        </w:rPr>
      </w:pPr>
      <w:r>
        <w:rPr>
          <w:rFonts w:hint="eastAsia" w:ascii="宋体" w:hAnsi="宋体"/>
          <w:szCs w:val="21"/>
        </w:rPr>
        <w:t>第五章响应文件格式；</w:t>
      </w:r>
    </w:p>
    <w:p w14:paraId="6A99C76B">
      <w:pPr>
        <w:spacing w:line="336" w:lineRule="auto"/>
        <w:ind w:firstLine="420"/>
        <w:jc w:val="left"/>
        <w:rPr>
          <w:rFonts w:ascii="宋体" w:hAnsi="宋体"/>
          <w:szCs w:val="21"/>
        </w:rPr>
      </w:pPr>
      <w:r>
        <w:rPr>
          <w:rFonts w:hint="eastAsia" w:ascii="宋体" w:hAnsi="宋体"/>
          <w:szCs w:val="21"/>
        </w:rPr>
        <w:t>第六章合同文本；</w:t>
      </w:r>
    </w:p>
    <w:p w14:paraId="6E8AF16C">
      <w:pPr>
        <w:spacing w:line="336" w:lineRule="auto"/>
        <w:ind w:firstLine="420"/>
        <w:jc w:val="left"/>
        <w:rPr>
          <w:rFonts w:ascii="宋体" w:hAnsi="宋体"/>
          <w:szCs w:val="21"/>
        </w:rPr>
      </w:pPr>
      <w:r>
        <w:rPr>
          <w:rFonts w:hint="eastAsia" w:ascii="宋体" w:hAnsi="宋体"/>
          <w:szCs w:val="21"/>
        </w:rPr>
        <w:t>第七章质疑、投诉材料格式。</w:t>
      </w:r>
    </w:p>
    <w:p w14:paraId="6D1A3BA0">
      <w:pPr>
        <w:spacing w:line="336" w:lineRule="auto"/>
        <w:ind w:firstLine="482"/>
        <w:rPr>
          <w:rFonts w:ascii="黑体" w:hAnsi="黑体" w:eastAsia="黑体" w:cs="宋体"/>
          <w:b/>
          <w:bCs/>
          <w:sz w:val="24"/>
        </w:rPr>
      </w:pPr>
      <w:r>
        <w:rPr>
          <w:rFonts w:hint="eastAsia" w:ascii="黑体" w:hAnsi="黑体" w:eastAsia="黑体" w:cs="宋体"/>
          <w:b/>
          <w:bCs/>
          <w:sz w:val="24"/>
        </w:rPr>
        <w:t>9.供应商的询问</w:t>
      </w:r>
    </w:p>
    <w:p w14:paraId="4377FAAA">
      <w:pPr>
        <w:spacing w:line="336" w:lineRule="auto"/>
        <w:ind w:firstLine="420"/>
        <w:rPr>
          <w:rFonts w:ascii="宋体" w:hAnsi="宋体"/>
          <w:szCs w:val="21"/>
        </w:rPr>
      </w:pPr>
      <w:r>
        <w:rPr>
          <w:rFonts w:hint="eastAsia" w:ascii="宋体" w:hAnsi="宋体"/>
          <w:szCs w:val="21"/>
        </w:rPr>
        <w:t>供应商应认真阅读谈判文件的采购需求，如供应商对谈判文件有疑问的，如要求采购人作出澄清或者修改的，供应商应在提交首次响应文件截止之日前，以书面形式向采购人、采购代理机构提出。</w:t>
      </w:r>
    </w:p>
    <w:p w14:paraId="730C8B43">
      <w:pPr>
        <w:spacing w:line="336" w:lineRule="auto"/>
        <w:ind w:firstLine="482"/>
        <w:rPr>
          <w:rFonts w:ascii="黑体" w:hAnsi="黑体" w:eastAsia="黑体" w:cs="宋体"/>
          <w:b/>
          <w:bCs/>
          <w:sz w:val="24"/>
        </w:rPr>
      </w:pPr>
      <w:r>
        <w:rPr>
          <w:rFonts w:hint="eastAsia" w:ascii="黑体" w:hAnsi="黑体" w:eastAsia="黑体" w:cs="宋体"/>
          <w:b/>
          <w:bCs/>
          <w:sz w:val="24"/>
        </w:rPr>
        <w:t>10.谈判文件的澄清和修改</w:t>
      </w:r>
    </w:p>
    <w:p w14:paraId="135DADD1">
      <w:pPr>
        <w:spacing w:line="336" w:lineRule="auto"/>
        <w:ind w:firstLine="420"/>
        <w:rPr>
          <w:rFonts w:ascii="宋体" w:hAnsi="宋体"/>
          <w:szCs w:val="21"/>
        </w:rPr>
      </w:pPr>
      <w:r>
        <w:rPr>
          <w:rFonts w:hint="eastAsia" w:ascii="宋体" w:hAnsi="宋体"/>
          <w:szCs w:val="21"/>
        </w:rPr>
        <w:t>10.1已获取谈判文件的潜在供应商，若有问题需要澄清，应于应标截止时间前，以书面形式向采购代理机构提出，采购代理机构与采购人研究后，对认为有必要回答的问题，按照本章10.3的内容处理。</w:t>
      </w:r>
    </w:p>
    <w:p w14:paraId="2CF0EED7">
      <w:pPr>
        <w:spacing w:line="336" w:lineRule="auto"/>
        <w:ind w:firstLine="422"/>
        <w:rPr>
          <w:rFonts w:ascii="宋体" w:hAnsi="宋体"/>
          <w:b/>
          <w:szCs w:val="21"/>
        </w:rPr>
      </w:pPr>
      <w:r>
        <w:rPr>
          <w:rFonts w:hint="eastAsia" w:ascii="宋体" w:hAnsi="宋体"/>
          <w:b/>
          <w:szCs w:val="21"/>
        </w:rPr>
        <w:t>10.2采购人或者采购代理机构可以对已发出的谈判文件进行必要的澄清或者修改，但不得改变采购标的和资格条件。澄清或者修改应当在原公告发布媒体上发布澄清公告。澄清或者修改的内容为谈判文件的组成部分。</w:t>
      </w:r>
    </w:p>
    <w:p w14:paraId="36337D87">
      <w:pPr>
        <w:spacing w:line="336" w:lineRule="auto"/>
        <w:ind w:firstLine="420"/>
        <w:rPr>
          <w:rFonts w:ascii="宋体" w:hAnsi="宋体"/>
          <w:szCs w:val="21"/>
        </w:rPr>
      </w:pPr>
      <w:r>
        <w:rPr>
          <w:rFonts w:hint="eastAsia" w:ascii="宋体" w:hAnsi="宋体"/>
          <w:szCs w:val="21"/>
        </w:rPr>
        <w:t>10.3提交首次响应文件截止之日前，采购人、采购代理机构或者谈判小组可以对已发出的谈判文件进行必要的澄清或者修改，澄清或者修改的内容作为谈判文件的组成部分。澄清或者修改的内容可能影响响应文件编制的，采购人、采购代理机构或者谈判小组在提交首次响应文件截止之日3个工作日前，以书面形式（目前为网上公告和系统短信等形式）通知所有获取谈判文件的供应商，不足3个工作日的，应当顺延提交首次响应文件截止之日。</w:t>
      </w:r>
    </w:p>
    <w:p w14:paraId="7D3EC3B1">
      <w:pPr>
        <w:spacing w:line="336" w:lineRule="auto"/>
        <w:ind w:firstLine="420"/>
        <w:rPr>
          <w:rFonts w:ascii="宋体" w:hAnsi="宋体"/>
          <w:szCs w:val="21"/>
        </w:rPr>
      </w:pPr>
      <w:r>
        <w:rPr>
          <w:rFonts w:hint="eastAsia" w:ascii="宋体" w:hAnsi="宋体"/>
          <w:szCs w:val="21"/>
        </w:rPr>
        <w:t>10.4</w:t>
      </w:r>
      <w:r>
        <w:rPr>
          <w:rFonts w:hint="eastAsia" w:ascii="Arial" w:hAnsi="Arial" w:cs="Arial"/>
        </w:rPr>
        <w:t>采购信息更正公告的内容应当包括采购人和采购代理机构名称、地址、联系方式，原公告的采购项目名称及首次公告日期，更正事项、内容及日期，采购项目联系人和电话。</w:t>
      </w:r>
    </w:p>
    <w:p w14:paraId="2973F9F4">
      <w:pPr>
        <w:spacing w:line="336" w:lineRule="auto"/>
        <w:ind w:firstLine="420"/>
      </w:pPr>
      <w:r>
        <w:rPr>
          <w:rFonts w:hAnsi="宋体"/>
        </w:rPr>
        <w:t xml:space="preserve">10.5  </w:t>
      </w:r>
      <w:r>
        <w:rPr>
          <w:rFonts w:hint="eastAsia"/>
        </w:rPr>
        <w:t>采购人和采购代理机构可以视采购具体情况，变更</w:t>
      </w:r>
      <w:r>
        <w:rPr>
          <w:rFonts w:hint="eastAsia" w:hAnsi="宋体"/>
        </w:rPr>
        <w:t>提交首次响应文件</w:t>
      </w:r>
      <w:r>
        <w:rPr>
          <w:rFonts w:hint="eastAsia"/>
        </w:rPr>
        <w:t>截止时间和竞谈时间，将变更时间将在</w:t>
      </w:r>
      <w:r>
        <w:rPr>
          <w:rFonts w:hint="eastAsia" w:hAnsi="宋体"/>
        </w:rPr>
        <w:t>“采购文件公告”中“七、其他补充事宜</w:t>
      </w:r>
      <w:r>
        <w:rPr>
          <w:rFonts w:hAnsi="宋体"/>
        </w:rPr>
        <w:t>3.</w:t>
      </w:r>
      <w:r>
        <w:rPr>
          <w:rFonts w:hint="eastAsia" w:hAnsi="宋体"/>
        </w:rPr>
        <w:t>网上查询地址”</w:t>
      </w:r>
      <w:r>
        <w:rPr>
          <w:rFonts w:hint="eastAsia" w:cs="宋体"/>
        </w:rPr>
        <w:t>规定的政府采购信息发布媒体上</w:t>
      </w:r>
      <w:r>
        <w:rPr>
          <w:rFonts w:hint="eastAsia"/>
        </w:rPr>
        <w:t>发布更正公告。</w:t>
      </w:r>
    </w:p>
    <w:p w14:paraId="7C8D5AF7">
      <w:pPr>
        <w:spacing w:line="336" w:lineRule="auto"/>
        <w:ind w:firstLine="400"/>
        <w:rPr>
          <w:rFonts w:ascii="宋体" w:hAnsi="Courier New"/>
          <w:sz w:val="20"/>
          <w:szCs w:val="21"/>
        </w:rPr>
      </w:pPr>
      <w:r>
        <w:rPr>
          <w:rFonts w:hint="eastAsia" w:ascii="宋体" w:hAnsi="Courier New"/>
          <w:sz w:val="20"/>
          <w:szCs w:val="21"/>
        </w:rPr>
        <w:t>▲</w:t>
      </w:r>
      <w:r>
        <w:rPr>
          <w:rFonts w:hint="eastAsia" w:ascii="宋体" w:hAnsi="Courier New"/>
          <w:b/>
          <w:sz w:val="20"/>
          <w:szCs w:val="21"/>
        </w:rPr>
        <w:t>响应文件未按谈判文件的澄清、修改的内容编制，又不符合实质性要求的，其响应文件作无效处理。</w:t>
      </w:r>
    </w:p>
    <w:p w14:paraId="0B0CDB40">
      <w:pPr>
        <w:keepNext/>
        <w:keepLines/>
        <w:spacing w:line="336" w:lineRule="auto"/>
        <w:ind w:firstLine="640"/>
        <w:outlineLvl w:val="2"/>
        <w:rPr>
          <w:rFonts w:ascii="宋体" w:hAnsi="宋体"/>
          <w:sz w:val="32"/>
          <w:szCs w:val="32"/>
        </w:rPr>
      </w:pPr>
      <w:bookmarkStart w:id="44" w:name="_Toc173510394"/>
      <w:r>
        <w:rPr>
          <w:rFonts w:hint="eastAsia" w:ascii="宋体" w:hAnsi="宋体"/>
          <w:sz w:val="32"/>
          <w:szCs w:val="32"/>
        </w:rPr>
        <w:t>三、响应文件的编制</w:t>
      </w:r>
      <w:bookmarkEnd w:id="44"/>
    </w:p>
    <w:p w14:paraId="448EAA2D">
      <w:pPr>
        <w:spacing w:line="336" w:lineRule="auto"/>
        <w:ind w:firstLine="482"/>
        <w:rPr>
          <w:rFonts w:ascii="黑体" w:hAnsi="黑体" w:eastAsia="黑体" w:cs="宋体"/>
          <w:b/>
          <w:bCs/>
          <w:sz w:val="24"/>
        </w:rPr>
      </w:pPr>
      <w:r>
        <w:rPr>
          <w:rFonts w:hint="eastAsia" w:ascii="黑体" w:hAnsi="黑体" w:eastAsia="黑体" w:cs="宋体"/>
          <w:b/>
          <w:bCs/>
          <w:sz w:val="24"/>
        </w:rPr>
        <w:t>11.响应文件的编制原则</w:t>
      </w:r>
    </w:p>
    <w:p w14:paraId="212F7C58">
      <w:pPr>
        <w:spacing w:line="336" w:lineRule="auto"/>
        <w:ind w:firstLine="420"/>
        <w:rPr>
          <w:rFonts w:ascii="宋体" w:hAnsi="宋体" w:cs="宋体"/>
          <w:szCs w:val="21"/>
        </w:rPr>
      </w:pPr>
      <w:r>
        <w:rPr>
          <w:rFonts w:hint="eastAsia" w:ascii="宋体" w:hAnsi="宋体" w:cs="宋体"/>
          <w:szCs w:val="21"/>
        </w:rPr>
        <w:t>供应商必须按照谈判文件的要求编制响应文件，并对其提交的响应文件的真实性、合法性承担法律责任。响应文件必须对谈判文件作出实质性响应。</w:t>
      </w:r>
    </w:p>
    <w:p w14:paraId="51E5401A">
      <w:pPr>
        <w:spacing w:line="336" w:lineRule="auto"/>
        <w:ind w:firstLine="482"/>
        <w:rPr>
          <w:rFonts w:ascii="黑体" w:hAnsi="黑体" w:eastAsia="黑体" w:cs="宋体"/>
          <w:b/>
          <w:bCs/>
          <w:sz w:val="24"/>
        </w:rPr>
      </w:pPr>
      <w:r>
        <w:rPr>
          <w:rFonts w:hint="eastAsia" w:ascii="黑体" w:hAnsi="黑体" w:eastAsia="黑体" w:cs="宋体"/>
          <w:b/>
          <w:bCs/>
          <w:sz w:val="24"/>
        </w:rPr>
        <w:t>12.响应文件的组成</w:t>
      </w:r>
    </w:p>
    <w:p w14:paraId="732852A4">
      <w:pPr>
        <w:spacing w:line="336" w:lineRule="auto"/>
        <w:ind w:firstLine="420"/>
        <w:rPr>
          <w:rFonts w:ascii="宋体" w:hAnsi="宋体" w:cs="宋体"/>
          <w:szCs w:val="21"/>
        </w:rPr>
      </w:pPr>
      <w:r>
        <w:rPr>
          <w:rFonts w:hint="eastAsia" w:ascii="宋体" w:hAnsi="宋体" w:cs="宋体"/>
          <w:szCs w:val="21"/>
        </w:rPr>
        <w:t>12.1响应文件由资格证明文件、报价文件、商务和技术文件三部分组成。</w:t>
      </w:r>
    </w:p>
    <w:p w14:paraId="61B96C56">
      <w:pPr>
        <w:spacing w:line="336" w:lineRule="auto"/>
        <w:ind w:left="420" w:firstLine="420"/>
        <w:rPr>
          <w:rFonts w:ascii="宋体" w:hAnsi="宋体" w:cs="宋体"/>
          <w:szCs w:val="21"/>
        </w:rPr>
      </w:pPr>
      <w:r>
        <w:rPr>
          <w:rFonts w:hint="eastAsia" w:ascii="宋体" w:hAnsi="宋体" w:cs="宋体"/>
          <w:szCs w:val="21"/>
        </w:rPr>
        <w:t>12.1.1资格证明文件：详见须知前附表</w:t>
      </w:r>
    </w:p>
    <w:p w14:paraId="7C151263">
      <w:pPr>
        <w:spacing w:line="336" w:lineRule="auto"/>
        <w:ind w:left="420" w:firstLine="420"/>
        <w:rPr>
          <w:rFonts w:ascii="宋体" w:hAnsi="宋体" w:cs="宋体"/>
          <w:szCs w:val="21"/>
        </w:rPr>
      </w:pPr>
      <w:r>
        <w:rPr>
          <w:rFonts w:hint="eastAsia" w:ascii="宋体" w:hAnsi="宋体" w:cs="宋体"/>
          <w:szCs w:val="21"/>
        </w:rPr>
        <w:t>12.1.2商务技术文件：详见须知前附表</w:t>
      </w:r>
    </w:p>
    <w:p w14:paraId="0698C855">
      <w:pPr>
        <w:spacing w:line="336" w:lineRule="auto"/>
        <w:ind w:left="420" w:firstLine="420"/>
        <w:rPr>
          <w:rFonts w:ascii="宋体" w:hAnsi="宋体" w:cs="宋体"/>
          <w:szCs w:val="21"/>
        </w:rPr>
      </w:pPr>
      <w:r>
        <w:rPr>
          <w:rFonts w:hint="eastAsia" w:ascii="宋体" w:hAnsi="宋体" w:cs="宋体"/>
          <w:szCs w:val="21"/>
        </w:rPr>
        <w:t>12.1.3报价文件：详见须知前附表</w:t>
      </w:r>
    </w:p>
    <w:p w14:paraId="0C121938">
      <w:pPr>
        <w:spacing w:line="336" w:lineRule="auto"/>
        <w:ind w:left="420" w:firstLine="420"/>
        <w:rPr>
          <w:rFonts w:ascii="宋体" w:hAnsi="宋体" w:cs="宋体"/>
          <w:szCs w:val="21"/>
        </w:rPr>
      </w:pPr>
      <w:r>
        <w:rPr>
          <w:rFonts w:hint="eastAsia" w:ascii="宋体" w:hAnsi="宋体" w:cs="宋体"/>
          <w:szCs w:val="21"/>
        </w:rPr>
        <w:t>12.2响应文件电子版：详见须知前附表</w:t>
      </w:r>
    </w:p>
    <w:p w14:paraId="298336B6">
      <w:pPr>
        <w:spacing w:line="336" w:lineRule="auto"/>
        <w:ind w:firstLine="482"/>
        <w:rPr>
          <w:rFonts w:ascii="黑体" w:hAnsi="黑体" w:eastAsia="黑体" w:cs="宋体"/>
          <w:b/>
          <w:bCs/>
          <w:sz w:val="24"/>
        </w:rPr>
      </w:pPr>
      <w:r>
        <w:rPr>
          <w:rFonts w:hint="eastAsia" w:ascii="黑体" w:hAnsi="黑体" w:eastAsia="黑体" w:cs="宋体"/>
          <w:b/>
          <w:bCs/>
          <w:sz w:val="24"/>
        </w:rPr>
        <w:t>13.计量单位</w:t>
      </w:r>
    </w:p>
    <w:p w14:paraId="3C837D65">
      <w:pPr>
        <w:spacing w:line="336" w:lineRule="auto"/>
        <w:ind w:firstLine="420"/>
        <w:rPr>
          <w:rFonts w:ascii="宋体" w:hAnsi="宋体" w:cs="宋体"/>
          <w:szCs w:val="21"/>
        </w:rPr>
      </w:pPr>
      <w:r>
        <w:rPr>
          <w:rFonts w:hint="eastAsia" w:ascii="宋体" w:hAnsi="宋体" w:cs="宋体"/>
          <w:szCs w:val="21"/>
        </w:rPr>
        <w:t>谈判文件已有明确规定的，使用谈判文件规定的计量单位；谈判文件没有规定的，应采用中华人民共和国法定计量单位，货币种类为人民币，否则视同未响应。</w:t>
      </w:r>
    </w:p>
    <w:p w14:paraId="5131CD1A">
      <w:pPr>
        <w:spacing w:line="336" w:lineRule="auto"/>
        <w:ind w:firstLine="482"/>
        <w:rPr>
          <w:rFonts w:ascii="黑体" w:hAnsi="黑体" w:eastAsia="黑体" w:cs="宋体"/>
          <w:b/>
          <w:bCs/>
          <w:sz w:val="24"/>
        </w:rPr>
      </w:pPr>
      <w:r>
        <w:rPr>
          <w:rFonts w:hint="eastAsia" w:ascii="黑体" w:hAnsi="黑体" w:eastAsia="黑体" w:cs="宋体"/>
          <w:b/>
          <w:bCs/>
          <w:sz w:val="24"/>
        </w:rPr>
        <w:t>14.竞标的风险</w:t>
      </w:r>
    </w:p>
    <w:p w14:paraId="22A0DD71">
      <w:pPr>
        <w:spacing w:line="336" w:lineRule="auto"/>
        <w:ind w:firstLine="420"/>
        <w:rPr>
          <w:rFonts w:ascii="宋体" w:hAnsi="宋体" w:cs="宋体"/>
          <w:szCs w:val="21"/>
        </w:rPr>
      </w:pPr>
      <w:r>
        <w:rPr>
          <w:rFonts w:hint="eastAsia" w:ascii="宋体" w:hAnsi="宋体" w:cs="宋体"/>
          <w:szCs w:val="21"/>
        </w:rPr>
        <w:t>供应商没有按照谈判文件要求提供全部资料，或者供应商没有对谈判文件在各方面作出实质性响应可能导致其响应无效，是供应商应当考虑的风险。</w:t>
      </w:r>
    </w:p>
    <w:p w14:paraId="0438C843">
      <w:pPr>
        <w:spacing w:line="336" w:lineRule="auto"/>
        <w:ind w:firstLine="482"/>
        <w:rPr>
          <w:rFonts w:ascii="黑体" w:hAnsi="黑体" w:eastAsia="黑体" w:cs="宋体"/>
          <w:b/>
          <w:bCs/>
          <w:sz w:val="24"/>
        </w:rPr>
      </w:pPr>
      <w:r>
        <w:rPr>
          <w:rFonts w:hint="eastAsia" w:ascii="黑体" w:hAnsi="黑体" w:eastAsia="黑体" w:cs="宋体"/>
          <w:b/>
          <w:bCs/>
          <w:sz w:val="24"/>
        </w:rPr>
        <w:t>15.响应报价要求和构成</w:t>
      </w:r>
    </w:p>
    <w:p w14:paraId="29E29ED9">
      <w:pPr>
        <w:tabs>
          <w:tab w:val="left" w:pos="2492"/>
        </w:tabs>
        <w:spacing w:line="336" w:lineRule="auto"/>
        <w:ind w:firstLine="420"/>
        <w:rPr>
          <w:rFonts w:ascii="宋体" w:hAnsi="宋体" w:cs="宋体"/>
          <w:szCs w:val="21"/>
        </w:rPr>
      </w:pPr>
      <w:r>
        <w:rPr>
          <w:rFonts w:hint="eastAsia" w:ascii="宋体" w:hAnsi="宋体" w:cs="宋体"/>
          <w:szCs w:val="21"/>
        </w:rPr>
        <w:t>15.1响应报价应按“第五章响应文件格式”中“响应报价表”格式填写。</w:t>
      </w:r>
    </w:p>
    <w:p w14:paraId="6AA5C98D">
      <w:pPr>
        <w:tabs>
          <w:tab w:val="left" w:pos="2492"/>
        </w:tabs>
        <w:spacing w:line="336" w:lineRule="auto"/>
        <w:ind w:firstLine="420"/>
        <w:rPr>
          <w:rFonts w:ascii="宋体" w:hAnsi="宋体" w:cs="宋体"/>
          <w:szCs w:val="21"/>
        </w:rPr>
      </w:pPr>
      <w:r>
        <w:rPr>
          <w:rFonts w:hint="eastAsia" w:ascii="宋体" w:hAnsi="宋体" w:cs="宋体"/>
          <w:szCs w:val="21"/>
        </w:rPr>
        <w:t>15.2响应报价的价格构成见“供应商须知前附表”。</w:t>
      </w:r>
    </w:p>
    <w:p w14:paraId="20A35400">
      <w:pPr>
        <w:spacing w:line="336" w:lineRule="auto"/>
        <w:ind w:firstLine="420"/>
        <w:rPr>
          <w:rFonts w:ascii="宋体" w:hAnsi="宋体" w:cs="宋体"/>
          <w:szCs w:val="21"/>
        </w:rPr>
      </w:pPr>
      <w:r>
        <w:rPr>
          <w:rFonts w:hint="eastAsia" w:ascii="宋体" w:hAnsi="宋体" w:cs="宋体"/>
          <w:szCs w:val="21"/>
        </w:rPr>
        <w:t>15.3响应报价要求</w:t>
      </w:r>
    </w:p>
    <w:p w14:paraId="5599A46F">
      <w:pPr>
        <w:spacing w:line="336" w:lineRule="auto"/>
        <w:ind w:firstLine="420"/>
        <w:rPr>
          <w:rFonts w:ascii="宋体" w:hAnsi="宋体" w:cs="宋体"/>
          <w:szCs w:val="21"/>
        </w:rPr>
      </w:pPr>
      <w:r>
        <w:rPr>
          <w:rFonts w:hint="eastAsia" w:ascii="宋体" w:hAnsi="宋体" w:cs="宋体"/>
          <w:szCs w:val="21"/>
        </w:rPr>
        <w:t>15.3.1供应商的响应报价应符合以下要求，否则响应文件按无效响应处理：</w:t>
      </w:r>
    </w:p>
    <w:p w14:paraId="779353AF">
      <w:pPr>
        <w:spacing w:line="336" w:lineRule="auto"/>
        <w:ind w:left="420"/>
        <w:rPr>
          <w:rFonts w:ascii="宋体" w:hAnsi="宋体" w:cs="宋体"/>
          <w:szCs w:val="21"/>
        </w:rPr>
      </w:pPr>
      <w:r>
        <w:rPr>
          <w:rFonts w:hint="eastAsia" w:ascii="宋体" w:hAnsi="宋体" w:cs="宋体"/>
          <w:szCs w:val="21"/>
        </w:rPr>
        <w:t>（1）供应商必须就“采购需求”中所竞标的每个分标的全部内容分别作完整唯一总价报价，不得存在漏项报价；</w:t>
      </w:r>
    </w:p>
    <w:p w14:paraId="29FF5B19">
      <w:pPr>
        <w:spacing w:line="336" w:lineRule="auto"/>
        <w:ind w:firstLine="420"/>
        <w:rPr>
          <w:rFonts w:ascii="宋体" w:hAnsi="宋体" w:cs="宋体"/>
          <w:szCs w:val="21"/>
        </w:rPr>
      </w:pPr>
      <w:r>
        <w:rPr>
          <w:rFonts w:hint="eastAsia" w:ascii="宋体" w:hAnsi="宋体" w:cs="宋体"/>
          <w:szCs w:val="21"/>
        </w:rPr>
        <w:t>（2）供应商必须就所竞标的分标的单项内容作唯一报价。</w:t>
      </w:r>
    </w:p>
    <w:p w14:paraId="16C2D7A8">
      <w:pPr>
        <w:spacing w:line="336" w:lineRule="auto"/>
        <w:ind w:firstLine="420"/>
        <w:rPr>
          <w:rFonts w:ascii="宋体" w:hAnsi="宋体" w:cs="宋体"/>
          <w:szCs w:val="21"/>
        </w:rPr>
      </w:pPr>
      <w:r>
        <w:rPr>
          <w:rFonts w:hint="eastAsia" w:ascii="宋体" w:hAnsi="宋体" w:cs="宋体"/>
          <w:szCs w:val="21"/>
        </w:rPr>
        <w:t>15.3.2响应报价（包含首次报价、最后报价）超过所竞标分标规定的采购预算金额或者最高限价的，其响应文件将作无效处理。</w:t>
      </w:r>
    </w:p>
    <w:p w14:paraId="179EFB00">
      <w:pPr>
        <w:spacing w:line="336" w:lineRule="auto"/>
        <w:ind w:firstLine="420"/>
        <w:rPr>
          <w:rFonts w:ascii="宋体" w:hAnsi="宋体" w:cs="宋体"/>
          <w:szCs w:val="21"/>
        </w:rPr>
      </w:pPr>
      <w:r>
        <w:rPr>
          <w:rFonts w:hint="eastAsia" w:ascii="宋体" w:hAnsi="宋体" w:cs="宋体"/>
          <w:szCs w:val="21"/>
        </w:rPr>
        <w:t>15.3.3</w:t>
      </w:r>
      <w:bookmarkStart w:id="45" w:name="_Hlk42592874"/>
      <w:r>
        <w:rPr>
          <w:rFonts w:hint="eastAsia" w:ascii="宋体" w:hAnsi="宋体" w:cs="宋体"/>
          <w:szCs w:val="21"/>
        </w:rPr>
        <w:t>响应报价（包含首次报价、最后报价）超过分项采购预算金额或者最高限价的，其响应文件将作无效处理。</w:t>
      </w:r>
    </w:p>
    <w:bookmarkEnd w:id="45"/>
    <w:p w14:paraId="38201214">
      <w:pPr>
        <w:spacing w:line="336" w:lineRule="auto"/>
        <w:ind w:firstLine="482"/>
        <w:rPr>
          <w:rFonts w:ascii="黑体" w:hAnsi="黑体" w:eastAsia="黑体" w:cs="宋体"/>
          <w:b/>
          <w:bCs/>
          <w:sz w:val="24"/>
        </w:rPr>
      </w:pPr>
      <w:r>
        <w:rPr>
          <w:rFonts w:hint="eastAsia" w:ascii="黑体" w:hAnsi="黑体" w:eastAsia="黑体" w:cs="宋体"/>
          <w:b/>
          <w:bCs/>
          <w:sz w:val="24"/>
        </w:rPr>
        <w:t>16.竞标有效期</w:t>
      </w:r>
    </w:p>
    <w:p w14:paraId="7E7C16D0">
      <w:pPr>
        <w:spacing w:line="336" w:lineRule="auto"/>
        <w:ind w:firstLine="420"/>
        <w:rPr>
          <w:rFonts w:ascii="宋体" w:hAnsi="宋体" w:cs="宋体"/>
          <w:szCs w:val="21"/>
        </w:rPr>
      </w:pPr>
      <w:r>
        <w:rPr>
          <w:rFonts w:hint="eastAsia" w:ascii="宋体" w:hAnsi="宋体" w:cs="宋体"/>
          <w:szCs w:val="21"/>
        </w:rPr>
        <w:t>16.1竞标有效期是指为保证采购人有足够的时间在提交响应文件后完成评审、确定成交供应商、合同签订等工作而要求供应商提交的响应文件在一定时间内保持有效的期限。</w:t>
      </w:r>
    </w:p>
    <w:p w14:paraId="21908251">
      <w:pPr>
        <w:spacing w:line="336" w:lineRule="auto"/>
        <w:ind w:firstLine="420"/>
        <w:rPr>
          <w:rFonts w:ascii="宋体" w:hAnsi="宋体" w:cs="宋体"/>
          <w:szCs w:val="21"/>
        </w:rPr>
      </w:pPr>
      <w:r>
        <w:rPr>
          <w:rFonts w:hint="eastAsia" w:ascii="宋体" w:hAnsi="宋体" w:cs="宋体"/>
          <w:szCs w:val="21"/>
        </w:rPr>
        <w:t>16.2 竞标有效期应由供应商按“供应商须知前附表”规定的期限作出响应。</w:t>
      </w:r>
    </w:p>
    <w:p w14:paraId="3306222D">
      <w:pPr>
        <w:spacing w:line="336" w:lineRule="auto"/>
        <w:ind w:firstLine="420"/>
        <w:rPr>
          <w:rFonts w:ascii="宋体" w:hAnsi="宋体" w:cs="宋体"/>
          <w:szCs w:val="21"/>
        </w:rPr>
      </w:pPr>
      <w:r>
        <w:rPr>
          <w:rFonts w:hint="eastAsia" w:ascii="宋体" w:hAnsi="宋体" w:cs="宋体"/>
          <w:szCs w:val="21"/>
        </w:rPr>
        <w:t>16.3供应商的响应文件在竞标有效期内均保持有效。</w:t>
      </w:r>
    </w:p>
    <w:p w14:paraId="7D7B98D1">
      <w:pPr>
        <w:spacing w:line="336" w:lineRule="auto"/>
        <w:ind w:firstLine="482"/>
        <w:rPr>
          <w:rFonts w:ascii="黑体" w:hAnsi="黑体" w:eastAsia="黑体" w:cs="宋体"/>
          <w:b/>
          <w:bCs/>
          <w:sz w:val="24"/>
        </w:rPr>
      </w:pPr>
      <w:r>
        <w:rPr>
          <w:rFonts w:hint="eastAsia" w:ascii="黑体" w:hAnsi="黑体" w:eastAsia="黑体" w:cs="宋体"/>
          <w:b/>
          <w:bCs/>
          <w:sz w:val="24"/>
        </w:rPr>
        <w:t>17.谈判保证金</w:t>
      </w:r>
    </w:p>
    <w:p w14:paraId="363D8548">
      <w:pPr>
        <w:spacing w:line="336" w:lineRule="auto"/>
        <w:ind w:firstLine="420"/>
        <w:rPr>
          <w:rFonts w:ascii="宋体" w:hAnsi="宋体" w:cs="宋体"/>
          <w:szCs w:val="21"/>
        </w:rPr>
      </w:pPr>
      <w:r>
        <w:rPr>
          <w:rFonts w:hint="eastAsia" w:ascii="宋体" w:hAnsi="宋体" w:cs="宋体"/>
          <w:szCs w:val="21"/>
        </w:rPr>
        <w:t>详见“供应商须知前附表”。</w:t>
      </w:r>
    </w:p>
    <w:p w14:paraId="32F173DD">
      <w:pPr>
        <w:spacing w:line="336" w:lineRule="auto"/>
        <w:ind w:firstLine="482"/>
        <w:rPr>
          <w:rFonts w:ascii="黑体" w:hAnsi="黑体" w:eastAsia="黑体" w:cs="宋体"/>
          <w:b/>
          <w:bCs/>
          <w:sz w:val="24"/>
        </w:rPr>
      </w:pPr>
      <w:r>
        <w:rPr>
          <w:rFonts w:hint="eastAsia" w:ascii="黑体" w:hAnsi="黑体" w:eastAsia="黑体" w:cs="宋体"/>
          <w:b/>
          <w:bCs/>
          <w:sz w:val="24"/>
        </w:rPr>
        <w:t>18.响应文件编制的要求</w:t>
      </w:r>
    </w:p>
    <w:p w14:paraId="6C562200">
      <w:pPr>
        <w:spacing w:line="336" w:lineRule="auto"/>
        <w:ind w:firstLine="420"/>
        <w:rPr>
          <w:rFonts w:ascii="宋体" w:hAnsi="宋体" w:cs="宋体"/>
          <w:szCs w:val="21"/>
        </w:rPr>
      </w:pPr>
      <w:r>
        <w:rPr>
          <w:rFonts w:hint="eastAsia" w:ascii="宋体" w:hAnsi="宋体" w:cs="宋体"/>
          <w:szCs w:val="21"/>
        </w:rPr>
        <w:t>18.1各供应商在编制响应文件时请按照谈判文件“第五章响应文件格式”规定的格式进行，混乱的编排导致响应文件被误读或谈判小组查找不到有效文件是供应商的风险。不完整、编排混乱导致响应文件被误读、漏读或者查找不到相关内容的，</w:t>
      </w:r>
      <w:r>
        <w:rPr>
          <w:rFonts w:hint="eastAsia" w:ascii="宋体" w:hAnsi="宋体" w:cs="宋体"/>
        </w:rPr>
        <w:t>由此引发的</w:t>
      </w:r>
      <w:r>
        <w:rPr>
          <w:rFonts w:hint="eastAsia" w:ascii="宋体" w:hAnsi="宋体" w:cs="宋体"/>
          <w:szCs w:val="21"/>
        </w:rPr>
        <w:t>后果由供应商承担。</w:t>
      </w:r>
    </w:p>
    <w:p w14:paraId="67F9070C">
      <w:pPr>
        <w:spacing w:line="336" w:lineRule="auto"/>
        <w:ind w:firstLine="420"/>
        <w:rPr>
          <w:rFonts w:ascii="宋体" w:hAnsi="宋体" w:cs="宋体"/>
          <w:szCs w:val="21"/>
        </w:rPr>
      </w:pPr>
      <w:r>
        <w:rPr>
          <w:rFonts w:hint="eastAsia" w:ascii="宋体" w:hAnsi="宋体" w:cs="宋体"/>
          <w:szCs w:val="21"/>
        </w:rPr>
        <w:t>18.2响应文件应按资格证明、报价分别编制，商务技术文件合并编制，本谈判只接收电子版响应文件，要求见本章“12.2响应文件电子版要求”。</w:t>
      </w:r>
    </w:p>
    <w:p w14:paraId="1CCA6764">
      <w:pPr>
        <w:spacing w:line="336" w:lineRule="auto"/>
        <w:ind w:firstLine="420"/>
        <w:rPr>
          <w:rFonts w:ascii="宋体" w:hAnsi="宋体" w:cs="宋体"/>
          <w:szCs w:val="21"/>
        </w:rPr>
      </w:pPr>
      <w:r>
        <w:rPr>
          <w:rFonts w:hint="eastAsia" w:ascii="宋体" w:hAnsi="宋体" w:cs="宋体"/>
          <w:szCs w:val="21"/>
        </w:rPr>
        <w:t>18.</w:t>
      </w:r>
      <w:bookmarkStart w:id="46" w:name="_Hlk65832699"/>
      <w:r>
        <w:rPr>
          <w:rFonts w:hint="eastAsia" w:ascii="宋体" w:hAnsi="宋体" w:cs="宋体"/>
          <w:szCs w:val="21"/>
        </w:rPr>
        <w:t>3</w:t>
      </w:r>
      <w:r>
        <w:rPr>
          <w:rFonts w:hint="eastAsia" w:ascii="宋体" w:hAnsi="宋体"/>
          <w:szCs w:val="21"/>
        </w:rPr>
        <w:t>响应文件须由供应商在</w:t>
      </w:r>
      <w:r>
        <w:rPr>
          <w:rFonts w:hint="eastAsia" w:ascii="宋体" w:hAnsi="宋体" w:cs="仿宋_GB2312"/>
          <w:szCs w:val="21"/>
          <w:lang w:val="zh-CN"/>
        </w:rPr>
        <w:t>“</w:t>
      </w:r>
      <w:r>
        <w:rPr>
          <w:rFonts w:hint="eastAsia" w:ascii="宋体" w:hAnsi="宋体"/>
          <w:szCs w:val="21"/>
        </w:rPr>
        <w:t>第五章响应文件格式</w:t>
      </w:r>
      <w:r>
        <w:rPr>
          <w:rFonts w:hint="eastAsia" w:ascii="宋体" w:hAnsi="宋体" w:cs="仿宋_GB2312"/>
          <w:szCs w:val="21"/>
          <w:lang w:val="zh-CN"/>
        </w:rPr>
        <w:t>”</w:t>
      </w:r>
      <w:r>
        <w:rPr>
          <w:rFonts w:hint="eastAsia" w:ascii="宋体" w:hAnsi="宋体"/>
          <w:szCs w:val="21"/>
        </w:rPr>
        <w:t>规定位置</w:t>
      </w:r>
      <w:r>
        <w:rPr>
          <w:rFonts w:hint="eastAsia" w:ascii="宋体" w:hAnsi="宋体" w:cs="仿宋_GB2312"/>
          <w:szCs w:val="21"/>
        </w:rPr>
        <w:t>进行签署、盖章</w:t>
      </w:r>
      <w:bookmarkEnd w:id="46"/>
      <w:r>
        <w:rPr>
          <w:rFonts w:hint="eastAsia" w:ascii="宋体" w:hAnsi="宋体" w:cs="宋体"/>
          <w:szCs w:val="21"/>
        </w:rPr>
        <w:t>，否则其响应文件按无效响应处理。骑缝盖公章不视为在规定位置盖章。</w:t>
      </w:r>
    </w:p>
    <w:p w14:paraId="19D09DC6">
      <w:pPr>
        <w:spacing w:line="336" w:lineRule="auto"/>
        <w:ind w:firstLine="420"/>
        <w:rPr>
          <w:rFonts w:ascii="宋体" w:hAnsi="宋体" w:cs="宋体"/>
          <w:szCs w:val="21"/>
        </w:rPr>
      </w:pPr>
      <w:r>
        <w:rPr>
          <w:rFonts w:hint="eastAsia" w:ascii="宋体" w:hAnsi="宋体" w:cs="宋体"/>
          <w:szCs w:val="21"/>
        </w:rPr>
        <w:t>18.4响应文件中标注的供应商名称应与营业执照（事业单位法人证书、执业许可证、自然人身份证）及电子公章一致，否则其响应文件按无效响应处理。</w:t>
      </w:r>
    </w:p>
    <w:p w14:paraId="0CFFAD30">
      <w:pPr>
        <w:spacing w:line="336" w:lineRule="auto"/>
        <w:ind w:firstLine="420"/>
        <w:rPr>
          <w:rFonts w:ascii="宋体" w:hAnsi="宋体" w:cs="宋体"/>
          <w:szCs w:val="21"/>
        </w:rPr>
      </w:pPr>
      <w:r>
        <w:rPr>
          <w:rFonts w:hint="eastAsia" w:ascii="宋体" w:hAnsi="宋体" w:cs="宋体"/>
          <w:szCs w:val="21"/>
        </w:rPr>
        <w:t>18.5响应文件应避免涂改、行间插字或者删除，否则其响应文件按无效响应处理。</w:t>
      </w:r>
    </w:p>
    <w:p w14:paraId="07DFCCD8">
      <w:pPr>
        <w:spacing w:line="336" w:lineRule="auto"/>
        <w:ind w:firstLine="482"/>
        <w:rPr>
          <w:rFonts w:ascii="黑体" w:hAnsi="黑体" w:eastAsia="黑体" w:cs="宋体"/>
          <w:b/>
          <w:bCs/>
          <w:sz w:val="24"/>
        </w:rPr>
      </w:pPr>
      <w:r>
        <w:rPr>
          <w:rFonts w:hint="eastAsia" w:ascii="黑体" w:hAnsi="黑体" w:eastAsia="黑体" w:cs="宋体"/>
          <w:b/>
          <w:bCs/>
          <w:sz w:val="24"/>
        </w:rPr>
        <w:t>19.响应文件的密封和标记</w:t>
      </w:r>
    </w:p>
    <w:p w14:paraId="28FAD4EC">
      <w:pPr>
        <w:spacing w:line="336" w:lineRule="auto"/>
        <w:ind w:firstLine="420"/>
        <w:rPr>
          <w:rFonts w:ascii="宋体" w:hAnsi="宋体" w:cs="仿宋_GB2312"/>
          <w:szCs w:val="21"/>
          <w:lang w:val="zh-CN"/>
        </w:rPr>
      </w:pPr>
      <w:r>
        <w:rPr>
          <w:rFonts w:hint="eastAsia" w:ascii="宋体" w:hAnsi="宋体" w:cs="仿宋_GB2312"/>
          <w:szCs w:val="21"/>
          <w:lang w:val="zh-CN"/>
        </w:rPr>
        <w:t>19.1供应商进行电子交易应安装客户端软件—“</w:t>
      </w:r>
      <w:r>
        <w:rPr>
          <w:rFonts w:hint="eastAsia" w:ascii="宋体" w:hAnsi="宋体" w:cs="仿宋_GB2312"/>
          <w:szCs w:val="21"/>
        </w:rPr>
        <w:t>政府采购云平台</w:t>
      </w:r>
      <w:r>
        <w:rPr>
          <w:rFonts w:hint="eastAsia" w:ascii="宋体" w:hAnsi="宋体" w:cs="仿宋_GB2312"/>
          <w:szCs w:val="21"/>
          <w:lang w:val="zh-CN"/>
        </w:rPr>
        <w:t>电子交易客户端”，并按照谈判文件和电子交易平台的要求编制并加密响应文件。供应商未按规定加密的响应文件，电子交易平台将拒收并提示。</w:t>
      </w:r>
    </w:p>
    <w:p w14:paraId="552DBB3B">
      <w:pPr>
        <w:spacing w:line="336" w:lineRule="auto"/>
        <w:ind w:firstLine="420"/>
        <w:rPr>
          <w:rFonts w:ascii="宋体" w:hAnsi="宋体" w:cs="仿宋_GB2312"/>
          <w:szCs w:val="21"/>
          <w:lang w:val="zh-CN"/>
        </w:rPr>
      </w:pPr>
      <w:r>
        <w:rPr>
          <w:rFonts w:hint="eastAsia" w:ascii="宋体" w:hAnsi="宋体" w:cs="仿宋_GB2312"/>
          <w:szCs w:val="21"/>
          <w:lang w:val="zh-CN"/>
        </w:rPr>
        <w:t>19.2使用“政采云电子交易客户端”需要提前申领CA数字证书，申领流程见该项目采购公告附件。</w:t>
      </w:r>
    </w:p>
    <w:p w14:paraId="17572B2E">
      <w:pPr>
        <w:spacing w:line="336" w:lineRule="auto"/>
        <w:ind w:firstLine="420"/>
        <w:rPr>
          <w:rFonts w:ascii="宋体" w:hAnsi="宋体" w:cs="仿宋_GB2312"/>
          <w:szCs w:val="21"/>
        </w:rPr>
      </w:pPr>
      <w:r>
        <w:rPr>
          <w:rFonts w:hint="eastAsia" w:ascii="宋体" w:hAnsi="宋体" w:cs="仿宋_GB2312"/>
          <w:szCs w:val="21"/>
        </w:rPr>
        <w:t>19.3为确保网上操作合法、有效和安全，供应商应当在响应文件提交截止时间前完成在“政府采购云平台”的身份认证，确保在电子交易过程中能够对相关数据电文进行加密和使用电子签名。</w:t>
      </w:r>
    </w:p>
    <w:p w14:paraId="5E6041D1">
      <w:pPr>
        <w:spacing w:line="336" w:lineRule="auto"/>
        <w:ind w:firstLine="482"/>
        <w:rPr>
          <w:rFonts w:ascii="黑体" w:hAnsi="黑体" w:eastAsia="黑体" w:cs="宋体"/>
          <w:b/>
          <w:bCs/>
          <w:sz w:val="24"/>
        </w:rPr>
      </w:pPr>
      <w:r>
        <w:rPr>
          <w:rFonts w:hint="eastAsia" w:ascii="黑体" w:hAnsi="黑体" w:eastAsia="黑体" w:cs="宋体"/>
          <w:b/>
          <w:bCs/>
          <w:sz w:val="24"/>
        </w:rPr>
        <w:t>20.响应文件的提交</w:t>
      </w:r>
    </w:p>
    <w:p w14:paraId="5781A424">
      <w:pPr>
        <w:spacing w:line="336" w:lineRule="auto"/>
        <w:ind w:firstLine="420"/>
        <w:rPr>
          <w:rFonts w:ascii="宋体" w:hAnsi="宋体" w:cs="宋体"/>
          <w:szCs w:val="21"/>
        </w:rPr>
      </w:pPr>
      <w:r>
        <w:rPr>
          <w:rFonts w:hint="eastAsia" w:ascii="宋体" w:hAnsi="宋体" w:cs="宋体"/>
          <w:szCs w:val="21"/>
        </w:rPr>
        <w:t>20.1供应商必须在“供应商须知前附表”规定的时间和地点提交响应文件。</w:t>
      </w:r>
    </w:p>
    <w:p w14:paraId="44A5B154">
      <w:pPr>
        <w:spacing w:line="336" w:lineRule="auto"/>
        <w:ind w:firstLine="420"/>
        <w:rPr>
          <w:rFonts w:ascii="宋体" w:hAnsi="宋体"/>
          <w:szCs w:val="21"/>
        </w:rPr>
      </w:pPr>
      <w:r>
        <w:rPr>
          <w:rFonts w:hint="eastAsia" w:ascii="宋体" w:hAnsi="宋体" w:cs="宋体"/>
          <w:szCs w:val="21"/>
        </w:rPr>
        <w:t>20</w:t>
      </w:r>
      <w:r>
        <w:rPr>
          <w:rFonts w:hint="eastAsia" w:ascii="宋体" w:hAnsi="宋体"/>
          <w:szCs w:val="21"/>
        </w:rPr>
        <w:t>.2 在响应文件提交截止时间以后，不能补充、修改响应文件。</w:t>
      </w:r>
    </w:p>
    <w:p w14:paraId="1AD4F7D2">
      <w:pPr>
        <w:spacing w:line="336" w:lineRule="auto"/>
        <w:ind w:firstLine="420"/>
        <w:rPr>
          <w:rFonts w:ascii="宋体" w:hAnsi="宋体"/>
          <w:szCs w:val="21"/>
        </w:rPr>
      </w:pPr>
      <w:r>
        <w:rPr>
          <w:rFonts w:hint="eastAsia" w:ascii="宋体" w:hAnsi="宋体"/>
          <w:szCs w:val="21"/>
        </w:rPr>
        <w:t>20.3 在提交“最后报价”后，供应商不能退出谈判。</w:t>
      </w:r>
    </w:p>
    <w:p w14:paraId="64CCFFD4">
      <w:pPr>
        <w:spacing w:line="336" w:lineRule="auto"/>
        <w:ind w:firstLine="420"/>
        <w:rPr>
          <w:rFonts w:ascii="宋体" w:hAnsi="宋体"/>
          <w:szCs w:val="21"/>
        </w:rPr>
      </w:pPr>
      <w:r>
        <w:rPr>
          <w:rFonts w:hint="eastAsia" w:ascii="宋体" w:hAnsi="宋体"/>
          <w:szCs w:val="21"/>
        </w:rPr>
        <w:t>20.4 电子交易平台收到响应文件，将妥善保存并即时向供应商发出确认回执通知。在响应文件提交截止时间前，除供应商补充、修改或者撤回响应文件外，任何单位和个人不得解密或提取响应文件。</w:t>
      </w:r>
    </w:p>
    <w:p w14:paraId="1563635D">
      <w:pPr>
        <w:spacing w:line="336" w:lineRule="auto"/>
        <w:ind w:firstLine="420"/>
        <w:rPr>
          <w:rFonts w:ascii="宋体" w:hAnsi="宋体"/>
          <w:szCs w:val="21"/>
        </w:rPr>
      </w:pPr>
      <w:r>
        <w:rPr>
          <w:rFonts w:hint="eastAsia" w:ascii="宋体" w:hAnsi="宋体"/>
          <w:szCs w:val="21"/>
        </w:rPr>
        <w:t>20.5 采购机构不可视情况延长提交响应文件的截止时间。</w:t>
      </w:r>
    </w:p>
    <w:p w14:paraId="255952BF">
      <w:pPr>
        <w:spacing w:line="336" w:lineRule="auto"/>
        <w:ind w:firstLine="420"/>
        <w:rPr>
          <w:rFonts w:ascii="黑体" w:hAnsi="黑体" w:eastAsia="黑体"/>
          <w:sz w:val="24"/>
        </w:rPr>
      </w:pPr>
      <w:r>
        <w:rPr>
          <w:rFonts w:hint="eastAsia" w:ascii="宋体" w:hAnsi="宋体"/>
          <w:szCs w:val="21"/>
        </w:rPr>
        <w:t>20.6备份响应文件。</w:t>
      </w:r>
      <w:r>
        <w:rPr>
          <w:rFonts w:hint="eastAsia" w:hAnsi="宋体"/>
          <w:bCs/>
          <w:szCs w:val="21"/>
        </w:rPr>
        <w:t>详见在“供应商须知前附表”。</w:t>
      </w:r>
    </w:p>
    <w:p w14:paraId="77C2A87A">
      <w:pPr>
        <w:spacing w:line="336" w:lineRule="auto"/>
        <w:ind w:firstLine="482"/>
        <w:rPr>
          <w:rFonts w:ascii="黑体" w:hAnsi="黑体" w:eastAsia="黑体" w:cs="宋体"/>
          <w:b/>
          <w:bCs/>
          <w:sz w:val="24"/>
        </w:rPr>
      </w:pPr>
      <w:r>
        <w:rPr>
          <w:rFonts w:hint="eastAsia" w:ascii="黑体" w:hAnsi="黑体" w:eastAsia="黑体" w:cs="宋体"/>
          <w:b/>
          <w:bCs/>
          <w:sz w:val="24"/>
        </w:rPr>
        <w:t>21.首次响应文件的补充、修改与撤回</w:t>
      </w:r>
    </w:p>
    <w:p w14:paraId="32B87115">
      <w:pPr>
        <w:spacing w:line="336" w:lineRule="auto"/>
        <w:ind w:firstLine="420"/>
        <w:rPr>
          <w:rFonts w:ascii="宋体" w:hAnsi="宋体" w:cs="仿宋_GB2312"/>
          <w:szCs w:val="21"/>
        </w:rPr>
      </w:pPr>
      <w:r>
        <w:rPr>
          <w:rFonts w:hint="eastAsia" w:ascii="宋体" w:hAnsi="宋体" w:cs="仿宋_GB2312"/>
          <w:szCs w:val="21"/>
        </w:rPr>
        <w:t>供应商应当在提交响应文件截止时间前完成响应文件的传输提交，并可以补充、修改或者撤回响应文件。补充或者修改响应文件的，应当先行撤回原文件，补充、修改后重新传输提交。提交响应文件截止时间前未完成传输的，视为撤回响应文件。响应文件提交截止时间后提交的响应文件，电子交易平台将拒收。</w:t>
      </w:r>
    </w:p>
    <w:p w14:paraId="34F83DB4">
      <w:pPr>
        <w:spacing w:line="336" w:lineRule="auto"/>
        <w:ind w:firstLine="482"/>
        <w:rPr>
          <w:rFonts w:ascii="黑体" w:hAnsi="黑体" w:eastAsia="黑体" w:cs="宋体"/>
          <w:b/>
          <w:bCs/>
          <w:sz w:val="24"/>
        </w:rPr>
      </w:pPr>
      <w:bookmarkStart w:id="47" w:name="_Hlk45702405"/>
      <w:r>
        <w:rPr>
          <w:rFonts w:hint="eastAsia" w:ascii="黑体" w:hAnsi="黑体" w:eastAsia="黑体" w:cs="宋体"/>
          <w:b/>
          <w:bCs/>
          <w:sz w:val="24"/>
        </w:rPr>
        <w:t>22. 首次响应文件的退回</w:t>
      </w:r>
    </w:p>
    <w:p w14:paraId="5344C5E4">
      <w:pPr>
        <w:spacing w:line="336" w:lineRule="auto"/>
        <w:ind w:firstLine="420"/>
        <w:rPr>
          <w:rFonts w:ascii="宋体" w:hAnsi="宋体" w:cs="宋体"/>
          <w:szCs w:val="21"/>
        </w:rPr>
      </w:pPr>
      <w:r>
        <w:rPr>
          <w:rFonts w:hint="eastAsia" w:ascii="宋体" w:hAnsi="宋体" w:cs="宋体"/>
          <w:szCs w:val="21"/>
        </w:rPr>
        <w:t>详见“供应商须知前附表”。</w:t>
      </w:r>
    </w:p>
    <w:p w14:paraId="5EF3CD17">
      <w:pPr>
        <w:spacing w:line="336" w:lineRule="auto"/>
        <w:ind w:firstLine="482"/>
        <w:rPr>
          <w:rFonts w:ascii="黑体" w:hAnsi="黑体" w:eastAsia="黑体" w:cs="宋体"/>
          <w:b/>
          <w:bCs/>
          <w:sz w:val="24"/>
        </w:rPr>
      </w:pPr>
      <w:r>
        <w:rPr>
          <w:rFonts w:hint="eastAsia" w:ascii="黑体" w:hAnsi="黑体" w:eastAsia="黑体" w:cs="宋体"/>
          <w:b/>
          <w:bCs/>
          <w:sz w:val="24"/>
        </w:rPr>
        <w:t>23. 截止时间后的撤回</w:t>
      </w:r>
    </w:p>
    <w:p w14:paraId="7D0EA9EA">
      <w:pPr>
        <w:spacing w:line="336" w:lineRule="auto"/>
        <w:ind w:firstLine="420"/>
        <w:rPr>
          <w:rFonts w:ascii="宋体" w:hAnsi="宋体"/>
          <w:szCs w:val="21"/>
        </w:rPr>
      </w:pPr>
      <w:r>
        <w:rPr>
          <w:rFonts w:hint="eastAsia" w:ascii="宋体" w:hAnsi="宋体" w:cs="宋体"/>
          <w:szCs w:val="21"/>
        </w:rPr>
        <w:t>本项目不收取谈判保证金，供应商在首次响应文件提交截止时间后可向采购人、采购代理机构书面申请撤回响应文件。</w:t>
      </w:r>
      <w:bookmarkEnd w:id="47"/>
    </w:p>
    <w:p w14:paraId="508276B0">
      <w:pPr>
        <w:keepNext/>
        <w:keepLines/>
        <w:spacing w:line="336" w:lineRule="auto"/>
        <w:ind w:firstLine="640"/>
        <w:outlineLvl w:val="2"/>
        <w:rPr>
          <w:rFonts w:ascii="宋体" w:hAnsi="宋体"/>
          <w:sz w:val="32"/>
          <w:szCs w:val="32"/>
        </w:rPr>
      </w:pPr>
      <w:bookmarkStart w:id="48" w:name="_Toc173510395"/>
      <w:r>
        <w:rPr>
          <w:rFonts w:hint="eastAsia" w:ascii="宋体" w:hAnsi="宋体"/>
          <w:sz w:val="32"/>
          <w:szCs w:val="32"/>
        </w:rPr>
        <w:t>四、评审及谈判</w:t>
      </w:r>
      <w:bookmarkEnd w:id="48"/>
    </w:p>
    <w:p w14:paraId="5BFA00C6">
      <w:pPr>
        <w:spacing w:line="336" w:lineRule="auto"/>
        <w:ind w:firstLine="482"/>
        <w:rPr>
          <w:rFonts w:ascii="黑体" w:hAnsi="黑体" w:eastAsia="黑体" w:cs="宋体"/>
          <w:b/>
          <w:bCs/>
          <w:sz w:val="24"/>
        </w:rPr>
      </w:pPr>
      <w:r>
        <w:rPr>
          <w:rFonts w:hint="eastAsia" w:ascii="黑体" w:hAnsi="黑体" w:eastAsia="黑体" w:cs="宋体"/>
          <w:b/>
          <w:bCs/>
          <w:sz w:val="24"/>
        </w:rPr>
        <w:t>24.谈判小组成立</w:t>
      </w:r>
    </w:p>
    <w:p w14:paraId="6EE26E30">
      <w:pPr>
        <w:spacing w:line="336" w:lineRule="auto"/>
        <w:ind w:firstLine="420"/>
        <w:rPr>
          <w:rFonts w:ascii="宋体" w:hAnsi="宋体" w:cs="宋体"/>
          <w:szCs w:val="21"/>
        </w:rPr>
      </w:pPr>
      <w:r>
        <w:rPr>
          <w:rFonts w:hint="eastAsia" w:ascii="宋体" w:hAnsi="宋体" w:cs="宋体"/>
          <w:szCs w:val="21"/>
        </w:rPr>
        <w:t>24.1谈判小组由采购人代表和评审专家共3人以上单数组成，其中评审专家人数不得少于谈判小组成员总数的2/3。采购人代表不得以评审专家身份参加本部门或者本单位采购项目的评审。采购代理机构人员不得参加本机构代理的采购项目的评审。达到公开招标数额标准的货物或者货物采购项目，或者达到公开招标规模标准的政府采购工程，经批准采用竞争性谈判方式采购的，谈判小组由5人以上单数组成。</w:t>
      </w:r>
    </w:p>
    <w:p w14:paraId="0196E157">
      <w:pPr>
        <w:spacing w:line="336" w:lineRule="auto"/>
        <w:ind w:firstLine="420"/>
        <w:rPr>
          <w:rFonts w:ascii="宋体" w:hAnsi="宋体" w:cs="宋体"/>
          <w:szCs w:val="21"/>
        </w:rPr>
      </w:pPr>
      <w:r>
        <w:rPr>
          <w:rFonts w:hint="eastAsia" w:ascii="宋体" w:hAnsi="宋体" w:cs="宋体"/>
          <w:szCs w:val="21"/>
        </w:rPr>
        <w:t>24.2评审专家应当从政府采购评审专家库内相关专业的专家名单中随机抽取。技术复杂、专业性强的竞争性谈判采购项目，评审专家中应当包含1名法律专家。</w:t>
      </w:r>
    </w:p>
    <w:p w14:paraId="0AB34278">
      <w:pPr>
        <w:spacing w:line="336" w:lineRule="auto"/>
        <w:ind w:firstLine="482"/>
        <w:rPr>
          <w:rFonts w:ascii="黑体" w:hAnsi="黑体" w:eastAsia="黑体" w:cs="宋体"/>
          <w:b/>
          <w:bCs/>
          <w:sz w:val="24"/>
        </w:rPr>
      </w:pPr>
      <w:r>
        <w:rPr>
          <w:rFonts w:hint="eastAsia" w:ascii="黑体" w:hAnsi="黑体" w:eastAsia="黑体" w:cs="宋体"/>
          <w:b/>
          <w:bCs/>
          <w:sz w:val="24"/>
        </w:rPr>
        <w:t>25.首次响应文件的开启</w:t>
      </w:r>
    </w:p>
    <w:p w14:paraId="34A6694F">
      <w:pPr>
        <w:spacing w:line="336" w:lineRule="auto"/>
        <w:ind w:firstLine="420"/>
        <w:rPr>
          <w:rFonts w:ascii="宋体" w:hAnsi="宋体" w:cs="宋体"/>
          <w:szCs w:val="21"/>
        </w:rPr>
      </w:pPr>
      <w:r>
        <w:rPr>
          <w:rFonts w:hint="eastAsia" w:ascii="宋体" w:hAnsi="宋体" w:cs="宋体"/>
          <w:szCs w:val="21"/>
        </w:rPr>
        <w:t>25.1首次响应文件由谈判小组或者采购代理机构在“供应商须知前附表”规定的时间开启。</w:t>
      </w:r>
    </w:p>
    <w:p w14:paraId="224F2CB0">
      <w:pPr>
        <w:spacing w:line="336" w:lineRule="auto"/>
        <w:ind w:firstLine="400"/>
        <w:rPr>
          <w:rFonts w:ascii="宋体" w:hAnsi="宋体"/>
          <w:bCs/>
          <w:sz w:val="20"/>
          <w:szCs w:val="21"/>
        </w:rPr>
      </w:pPr>
      <w:r>
        <w:rPr>
          <w:rFonts w:hint="eastAsia" w:ascii="宋体" w:hAnsi="宋体" w:cs="宋体"/>
          <w:sz w:val="20"/>
          <w:szCs w:val="21"/>
        </w:rPr>
        <w:t xml:space="preserve">25.2 </w:t>
      </w:r>
      <w:r>
        <w:rPr>
          <w:rFonts w:hint="eastAsia" w:ascii="宋体" w:hAnsi="宋体"/>
          <w:bCs/>
          <w:sz w:val="20"/>
          <w:szCs w:val="21"/>
        </w:rPr>
        <w:t>响应文件解密</w:t>
      </w:r>
    </w:p>
    <w:p w14:paraId="6200426E">
      <w:pPr>
        <w:spacing w:line="336" w:lineRule="auto"/>
        <w:ind w:firstLine="420"/>
        <w:rPr>
          <w:rFonts w:ascii="宋体" w:hAnsi="宋体"/>
          <w:szCs w:val="21"/>
        </w:rPr>
      </w:pPr>
      <w:r>
        <w:rPr>
          <w:rFonts w:hint="eastAsia" w:ascii="宋体" w:hAnsi="宋体"/>
          <w:bCs/>
          <w:szCs w:val="21"/>
        </w:rPr>
        <w:t>采购代理机构将在“供应商须知前附表”规定的时</w:t>
      </w:r>
      <w:r>
        <w:rPr>
          <w:rFonts w:hint="eastAsia" w:ascii="宋体" w:hAnsi="宋体"/>
          <w:szCs w:val="21"/>
        </w:rPr>
        <w:t>间通过电子交易平台组织响应文件开启，采购机构依托电子交易平台发起开始解密指令，供应商的法定代表人或其委托代理人</w:t>
      </w:r>
      <w:r>
        <w:rPr>
          <w:rFonts w:hint="eastAsia" w:ascii="宋体" w:hAnsi="宋体"/>
          <w:b/>
          <w:szCs w:val="21"/>
        </w:rPr>
        <w:t>须携带加密时所用的CA锁按平台提示和采购文件的规定登录到广西政府采购云平台电子开标大厅签到并在发起解密指令之时起30分钟内完成对电子响应文件在线解密</w:t>
      </w:r>
      <w:r>
        <w:rPr>
          <w:rFonts w:hint="eastAsia" w:ascii="宋体" w:hAnsi="宋体"/>
          <w:szCs w:val="21"/>
        </w:rPr>
        <w:t>。发起解密指令之时起5分钟内供应商还未进行解密的，代理机构要通知供应商，供应商没预留联系方式或预留联系方式无效，导致代理机构无法联系到供应商进行解密的，</w:t>
      </w:r>
      <w:r>
        <w:rPr>
          <w:rFonts w:hint="eastAsia" w:ascii="宋体" w:hAnsi="宋体"/>
          <w:b/>
          <w:szCs w:val="21"/>
        </w:rPr>
        <w:t>视为响应文件无效。</w:t>
      </w:r>
      <w:r>
        <w:rPr>
          <w:rFonts w:hint="eastAsia" w:ascii="宋体" w:hAnsi="宋体"/>
          <w:szCs w:val="21"/>
        </w:rPr>
        <w:t>（解密</w:t>
      </w:r>
      <w:r>
        <w:rPr>
          <w:rFonts w:hint="eastAsia" w:ascii="宋体" w:hAnsi="宋体"/>
          <w:bCs/>
          <w:szCs w:val="21"/>
        </w:rPr>
        <w:t>异常情况处理：详见本章</w:t>
      </w:r>
      <w:r>
        <w:rPr>
          <w:rFonts w:hint="eastAsia" w:ascii="宋体" w:hAnsi="宋体"/>
          <w:szCs w:val="21"/>
        </w:rPr>
        <w:t>26.3 电子交易活动的中止。）</w:t>
      </w:r>
    </w:p>
    <w:p w14:paraId="17360E96">
      <w:pPr>
        <w:spacing w:line="336" w:lineRule="auto"/>
        <w:ind w:firstLine="420"/>
        <w:rPr>
          <w:rFonts w:ascii="宋体" w:hAnsi="宋体"/>
          <w:szCs w:val="21"/>
        </w:rPr>
      </w:pPr>
      <w:r>
        <w:rPr>
          <w:rFonts w:hint="eastAsia" w:ascii="宋体" w:hAnsi="宋体"/>
          <w:szCs w:val="21"/>
        </w:rPr>
        <w:t>如</w:t>
      </w:r>
      <w:r>
        <w:rPr>
          <w:rFonts w:hint="eastAsia" w:ascii="宋体" w:hAnsi="宋体"/>
          <w:bCs/>
          <w:szCs w:val="21"/>
        </w:rPr>
        <w:t>供应商成功解密响应文件，但未在“政采云”电子开标大厅参加谈判的，视同认可谈判过程和结果，</w:t>
      </w:r>
      <w:r>
        <w:rPr>
          <w:rFonts w:hint="eastAsia" w:ascii="宋体" w:hAnsi="宋体"/>
          <w:szCs w:val="21"/>
        </w:rPr>
        <w:t>由此产生的后果由供应商自行负责。参与谈判的供应商不足3家的，不得谈判。</w:t>
      </w:r>
    </w:p>
    <w:p w14:paraId="23749686">
      <w:pPr>
        <w:spacing w:line="336" w:lineRule="auto"/>
        <w:ind w:firstLine="422"/>
        <w:rPr>
          <w:rFonts w:ascii="宋体" w:hAnsi="宋体" w:cs="宋体"/>
          <w:b/>
          <w:bCs/>
          <w:szCs w:val="21"/>
        </w:rPr>
      </w:pPr>
      <w:r>
        <w:rPr>
          <w:rFonts w:hint="eastAsia" w:ascii="宋体" w:hAnsi="宋体" w:cs="宋体"/>
          <w:b/>
          <w:bCs/>
          <w:szCs w:val="21"/>
        </w:rPr>
        <w:t>26.评审程序、评审方法和成交标准</w:t>
      </w:r>
    </w:p>
    <w:p w14:paraId="5BFF3595">
      <w:pPr>
        <w:spacing w:line="336" w:lineRule="auto"/>
        <w:ind w:firstLine="420"/>
        <w:rPr>
          <w:rFonts w:ascii="宋体" w:hAnsi="宋体" w:cs="宋体"/>
          <w:szCs w:val="21"/>
        </w:rPr>
      </w:pPr>
      <w:r>
        <w:rPr>
          <w:rFonts w:hint="eastAsia" w:ascii="宋体" w:hAnsi="宋体" w:cs="宋体"/>
          <w:szCs w:val="21"/>
        </w:rPr>
        <w:t>26.1谈判小组按照“第四章评审程序、评审方法和成交标准”规定的方法、评审因素、标准和程序对响应文件进行评审。</w:t>
      </w:r>
    </w:p>
    <w:p w14:paraId="778C53CB">
      <w:pPr>
        <w:spacing w:line="336" w:lineRule="auto"/>
        <w:ind w:firstLine="420"/>
        <w:rPr>
          <w:rFonts w:ascii="宋体" w:hAnsi="宋体"/>
          <w:szCs w:val="21"/>
        </w:rPr>
      </w:pPr>
      <w:r>
        <w:rPr>
          <w:rFonts w:hint="eastAsia" w:ascii="宋体" w:hAnsi="宋体"/>
          <w:szCs w:val="21"/>
        </w:rPr>
        <w:t>26.2 采购需求负偏离要求及谈判顺序详见“供应商须知前附表”。</w:t>
      </w:r>
    </w:p>
    <w:p w14:paraId="56EF2633">
      <w:pPr>
        <w:spacing w:line="336" w:lineRule="auto"/>
        <w:ind w:firstLine="420"/>
        <w:rPr>
          <w:rFonts w:hAnsi="宋体"/>
        </w:rPr>
      </w:pPr>
      <w:r>
        <w:rPr>
          <w:rFonts w:hAnsi="宋体"/>
        </w:rPr>
        <w:t>26.3</w:t>
      </w:r>
      <w:r>
        <w:rPr>
          <w:rFonts w:hint="eastAsia" w:hAnsi="宋体"/>
        </w:rPr>
        <w:t>电子交易活动的中止。采购过程中出现以下情形，导致电子交易平台无法正常运行，或者无法保证电子交易的公平、公正和安全时，采购机构可中止电子交易活动：</w:t>
      </w:r>
    </w:p>
    <w:p w14:paraId="2AEEE9CB">
      <w:pPr>
        <w:spacing w:line="336" w:lineRule="auto"/>
        <w:ind w:firstLine="420"/>
        <w:rPr>
          <w:rFonts w:hAnsi="宋体"/>
        </w:rPr>
      </w:pPr>
      <w:r>
        <w:rPr>
          <w:rFonts w:hint="eastAsia" w:hAnsi="宋体"/>
        </w:rPr>
        <w:t>（</w:t>
      </w:r>
      <w:r>
        <w:rPr>
          <w:rFonts w:hAnsi="宋体"/>
        </w:rPr>
        <w:t>1</w:t>
      </w:r>
      <w:r>
        <w:rPr>
          <w:rFonts w:hint="eastAsia" w:hAnsi="宋体"/>
        </w:rPr>
        <w:t>）电子交易平台发生故障而无法登录访问的；</w:t>
      </w:r>
    </w:p>
    <w:p w14:paraId="47C7A1D2">
      <w:pPr>
        <w:spacing w:line="336" w:lineRule="auto"/>
        <w:ind w:firstLine="420"/>
        <w:rPr>
          <w:rFonts w:hAnsi="宋体"/>
        </w:rPr>
      </w:pPr>
      <w:r>
        <w:rPr>
          <w:rFonts w:hint="eastAsia" w:hAnsi="宋体"/>
        </w:rPr>
        <w:t>（</w:t>
      </w:r>
      <w:r>
        <w:rPr>
          <w:rFonts w:hAnsi="宋体"/>
        </w:rPr>
        <w:t>2</w:t>
      </w:r>
      <w:r>
        <w:rPr>
          <w:rFonts w:hint="eastAsia" w:hAnsi="宋体"/>
        </w:rPr>
        <w:t>）电子交易平台应用或数据库出现错误，不能进行正常操作的；</w:t>
      </w:r>
    </w:p>
    <w:p w14:paraId="384746F6">
      <w:pPr>
        <w:spacing w:line="336" w:lineRule="auto"/>
        <w:ind w:firstLine="420"/>
        <w:rPr>
          <w:rFonts w:hAnsi="宋体"/>
        </w:rPr>
      </w:pPr>
      <w:r>
        <w:rPr>
          <w:rFonts w:hint="eastAsia" w:hAnsi="宋体"/>
        </w:rPr>
        <w:t>（</w:t>
      </w:r>
      <w:r>
        <w:rPr>
          <w:rFonts w:hAnsi="宋体"/>
        </w:rPr>
        <w:t>3</w:t>
      </w:r>
      <w:r>
        <w:rPr>
          <w:rFonts w:hint="eastAsia" w:hAnsi="宋体"/>
        </w:rPr>
        <w:t>）电子交易平台发现严重安全漏洞，有潜在泄密危险的；</w:t>
      </w:r>
    </w:p>
    <w:p w14:paraId="37251365">
      <w:pPr>
        <w:spacing w:line="336" w:lineRule="auto"/>
        <w:ind w:firstLine="420"/>
        <w:rPr>
          <w:rFonts w:hAnsi="宋体"/>
        </w:rPr>
      </w:pPr>
      <w:r>
        <w:rPr>
          <w:rFonts w:hint="eastAsia" w:hAnsi="宋体"/>
        </w:rPr>
        <w:t>（</w:t>
      </w:r>
      <w:r>
        <w:rPr>
          <w:rFonts w:hAnsi="宋体"/>
        </w:rPr>
        <w:t>4</w:t>
      </w:r>
      <w:r>
        <w:rPr>
          <w:rFonts w:hint="eastAsia" w:hAnsi="宋体"/>
        </w:rPr>
        <w:t>）病毒发作导致不能进行正常操作的；</w:t>
      </w:r>
    </w:p>
    <w:p w14:paraId="2027DC88">
      <w:pPr>
        <w:spacing w:line="336" w:lineRule="auto"/>
        <w:ind w:firstLine="420"/>
        <w:rPr>
          <w:rFonts w:hAnsi="宋体"/>
        </w:rPr>
      </w:pPr>
      <w:r>
        <w:rPr>
          <w:rFonts w:hint="eastAsia" w:hAnsi="宋体"/>
        </w:rPr>
        <w:t>（</w:t>
      </w:r>
      <w:r>
        <w:rPr>
          <w:rFonts w:hAnsi="宋体"/>
        </w:rPr>
        <w:t>4</w:t>
      </w:r>
      <w:r>
        <w:rPr>
          <w:rFonts w:hint="eastAsia" w:hAnsi="宋体"/>
        </w:rPr>
        <w:t>）其他无法保证电子交易的公平、公正和安全的情况。</w:t>
      </w:r>
    </w:p>
    <w:p w14:paraId="1FF26FCD">
      <w:pPr>
        <w:spacing w:line="336" w:lineRule="auto"/>
        <w:ind w:firstLine="420"/>
        <w:rPr>
          <w:rFonts w:hAnsi="宋体"/>
        </w:rPr>
      </w:pPr>
      <w:r>
        <w:rPr>
          <w:rFonts w:hAnsi="宋体"/>
        </w:rPr>
        <w:t>26.4</w:t>
      </w:r>
      <w:r>
        <w:rPr>
          <w:rFonts w:hint="eastAsia" w:hAnsi="宋体"/>
        </w:rPr>
        <w:t>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14:paraId="7ACD2465">
      <w:pPr>
        <w:keepNext/>
        <w:keepLines/>
        <w:spacing w:line="336" w:lineRule="auto"/>
        <w:ind w:firstLine="640"/>
        <w:outlineLvl w:val="2"/>
        <w:rPr>
          <w:rFonts w:ascii="宋体" w:hAnsi="宋体"/>
          <w:sz w:val="32"/>
          <w:szCs w:val="32"/>
        </w:rPr>
      </w:pPr>
      <w:bookmarkStart w:id="49" w:name="_Toc173510396"/>
      <w:r>
        <w:rPr>
          <w:rFonts w:hint="eastAsia" w:ascii="宋体" w:hAnsi="宋体"/>
          <w:sz w:val="32"/>
          <w:szCs w:val="32"/>
        </w:rPr>
        <w:t>五、成交及合同</w:t>
      </w:r>
      <w:bookmarkEnd w:id="49"/>
    </w:p>
    <w:p w14:paraId="64FAADA3">
      <w:pPr>
        <w:spacing w:line="336" w:lineRule="auto"/>
        <w:ind w:firstLine="482"/>
        <w:rPr>
          <w:rFonts w:ascii="黑体" w:hAnsi="黑体" w:eastAsia="黑体" w:cs="宋体"/>
          <w:b/>
          <w:bCs/>
          <w:sz w:val="24"/>
        </w:rPr>
      </w:pPr>
      <w:r>
        <w:rPr>
          <w:rFonts w:hint="eastAsia" w:ascii="黑体" w:hAnsi="黑体" w:eastAsia="黑体" w:cs="宋体"/>
          <w:b/>
          <w:bCs/>
          <w:sz w:val="24"/>
        </w:rPr>
        <w:t>27.确定成交供应商及结果公告</w:t>
      </w:r>
    </w:p>
    <w:p w14:paraId="42827ADA">
      <w:pPr>
        <w:spacing w:line="336" w:lineRule="auto"/>
        <w:ind w:firstLine="420"/>
        <w:rPr>
          <w:rFonts w:ascii="宋体" w:hAnsi="宋体" w:cs="宋体"/>
          <w:szCs w:val="21"/>
        </w:rPr>
      </w:pPr>
      <w:r>
        <w:rPr>
          <w:rFonts w:hint="eastAsia" w:ascii="宋体" w:hAnsi="宋体" w:cs="宋体"/>
          <w:szCs w:val="21"/>
        </w:rPr>
        <w:t>27.1确定成交供应商。</w:t>
      </w:r>
      <w:r>
        <w:rPr>
          <w:rFonts w:hint="eastAsia" w:ascii="宋体" w:hAnsi="宋体" w:cs="宋体"/>
          <w:szCs w:val="21"/>
          <w:u w:val="single"/>
        </w:rPr>
        <w:t>由采购人直接委托评审专家确定，评审报告提出的排序第一的供应商为成交供应商。</w:t>
      </w:r>
    </w:p>
    <w:p w14:paraId="3BD0DBCF">
      <w:pPr>
        <w:spacing w:line="336" w:lineRule="auto"/>
        <w:ind w:firstLine="420"/>
        <w:rPr>
          <w:rFonts w:ascii="宋体" w:hAnsi="宋体" w:cs="宋体"/>
          <w:szCs w:val="21"/>
        </w:rPr>
      </w:pPr>
      <w:r>
        <w:rPr>
          <w:rFonts w:hint="eastAsia" w:ascii="宋体" w:hAnsi="宋体" w:cs="宋体"/>
          <w:szCs w:val="21"/>
        </w:rPr>
        <w:t>27.2成交通知及成交结果公告。成交供应商确定后2个工作日内，在省级以上财政部门指定的媒体上公告成交结果（成交通知及成交结果公告应使用南宁市模板进行公告，公告内容除包含《政府采购公告和公示信息格式规范（2020年版）》要求内容外，还应包含采购人专门面向中小企业预留份额情况及成交供应商评审价格、优惠率等内容），同时向成交供应商发出成交通知书，成交通知书规定签订合同的时间不得超过25日。</w:t>
      </w:r>
    </w:p>
    <w:p w14:paraId="0D5C2064">
      <w:pPr>
        <w:spacing w:line="336" w:lineRule="auto"/>
        <w:ind w:firstLine="420"/>
        <w:rPr>
          <w:rFonts w:ascii="宋体" w:hAnsi="宋体" w:cs="Courier New"/>
          <w:szCs w:val="21"/>
        </w:rPr>
      </w:pPr>
      <w:r>
        <w:rPr>
          <w:rFonts w:hint="eastAsia" w:ascii="宋体" w:hAnsi="宋体" w:cs="宋体"/>
          <w:szCs w:val="21"/>
        </w:rPr>
        <w:t>27.3采购人或者采购代理机构发出成交通知书前，应当对成交供应商信用进行查询核实，对列入失信被执行人、</w:t>
      </w:r>
      <w:r>
        <w:rPr>
          <w:rFonts w:hint="eastAsia" w:ascii="宋体" w:hAnsi="宋体"/>
          <w:szCs w:val="21"/>
        </w:rPr>
        <w:t>重大税收违法失信主体</w:t>
      </w:r>
      <w:r>
        <w:rPr>
          <w:rFonts w:hint="eastAsia" w:ascii="宋体" w:hAnsi="宋体" w:cs="宋体"/>
          <w:szCs w:val="21"/>
        </w:rPr>
        <w:t>、政府采购严重违法失信行为记录名单及其他不符合《中华人民共和国政府采购法》第二十二条规定条件的供应商，取消其成交资格，并确定排名第二的成交候选人为成交供应商。排名第二的成交候选人因上述规定的同样原因被取消成交资格的，采购人可以确定排名第三的成交候选人为成交供应商，以此类推。以上信息查询记录及相关证据与谈判文件一并保存。</w:t>
      </w:r>
      <w:bookmarkStart w:id="50" w:name="_Hlk66782294"/>
      <w:r>
        <w:rPr>
          <w:rFonts w:hint="eastAsia" w:ascii="宋体" w:hAnsi="宋体" w:cs="Courier New"/>
          <w:szCs w:val="21"/>
        </w:rPr>
        <w:t>成交供应商享受</w:t>
      </w:r>
      <w:r>
        <w:rPr>
          <w:rFonts w:hint="eastAsia" w:ascii="宋体" w:hAnsi="宋体"/>
          <w:szCs w:val="21"/>
        </w:rPr>
        <w:t>《政府采购促进中小企业发展管理办法》（财库〔2020〕46号）规定的中小企业扶持</w:t>
      </w:r>
      <w:r>
        <w:rPr>
          <w:rFonts w:hint="eastAsia" w:ascii="宋体" w:hAnsi="宋体" w:cs="Courier New"/>
          <w:szCs w:val="21"/>
        </w:rPr>
        <w:t>政策的，采购人、采购代理机构应当随成交结果公开成交供应商的《中小企业声明函》。</w:t>
      </w:r>
      <w:bookmarkEnd w:id="50"/>
    </w:p>
    <w:p w14:paraId="0E00D3DF">
      <w:pPr>
        <w:spacing w:line="336" w:lineRule="auto"/>
        <w:ind w:firstLine="420"/>
        <w:rPr>
          <w:rFonts w:ascii="宋体" w:hAnsi="宋体" w:cs="宋体"/>
          <w:szCs w:val="21"/>
        </w:rPr>
      </w:pPr>
      <w:r>
        <w:rPr>
          <w:rFonts w:hint="eastAsia" w:ascii="宋体" w:hAnsi="宋体" w:cs="宋体"/>
          <w:szCs w:val="21"/>
        </w:rPr>
        <w:t>27.4采购人、采购代理机构认为供应商对采购过程、成交结果提出的质疑成立且影响或者可能影响成交结果的，合格供应商符合法定数量时，可以从合格的成交候选人中另行确定成交供应商的，应当依法另行确定成交供应商；否则应当重新开展采购活动。</w:t>
      </w:r>
    </w:p>
    <w:p w14:paraId="45260ED1">
      <w:pPr>
        <w:spacing w:line="336" w:lineRule="auto"/>
        <w:ind w:firstLine="420"/>
        <w:rPr>
          <w:rFonts w:ascii="宋体" w:hAnsi="宋体" w:cs="宋体"/>
          <w:szCs w:val="21"/>
        </w:rPr>
      </w:pPr>
      <w:r>
        <w:rPr>
          <w:rFonts w:hint="eastAsia" w:ascii="宋体" w:hAnsi="宋体"/>
          <w:bCs/>
          <w:szCs w:val="21"/>
        </w:rPr>
        <w:t>27.5排名第一的成交候选人放弃成交、因不可抗力提出不能履行合同，采购人可以确定排名第二的成交候选人为成交供应商。排名第二的成交候选人因前款规定的同样原因不能签订合同的，采购人可以确定排名第三的成交候选人为成交供应商。</w:t>
      </w:r>
    </w:p>
    <w:p w14:paraId="07E9D7F8">
      <w:pPr>
        <w:spacing w:line="336" w:lineRule="auto"/>
        <w:ind w:firstLine="482"/>
        <w:rPr>
          <w:rFonts w:ascii="黑体" w:hAnsi="黑体" w:eastAsia="黑体" w:cs="宋体"/>
          <w:b/>
          <w:bCs/>
          <w:sz w:val="24"/>
        </w:rPr>
      </w:pPr>
      <w:r>
        <w:rPr>
          <w:rFonts w:hint="eastAsia" w:ascii="黑体" w:hAnsi="黑体" w:eastAsia="黑体" w:cs="宋体"/>
          <w:b/>
          <w:bCs/>
          <w:sz w:val="24"/>
        </w:rPr>
        <w:t>28.履约保证金</w:t>
      </w:r>
    </w:p>
    <w:p w14:paraId="3E62E2B9">
      <w:pPr>
        <w:spacing w:line="336" w:lineRule="auto"/>
        <w:ind w:firstLine="420"/>
        <w:rPr>
          <w:rFonts w:ascii="黑体" w:hAnsi="黑体" w:eastAsia="黑体" w:cs="宋体"/>
          <w:b/>
          <w:bCs/>
          <w:sz w:val="24"/>
        </w:rPr>
      </w:pPr>
      <w:r>
        <w:rPr>
          <w:rFonts w:hint="eastAsia" w:ascii="宋体" w:hAnsi="宋体" w:cs="宋体"/>
          <w:szCs w:val="21"/>
        </w:rPr>
        <w:t>详见“供应商须知前附表”</w:t>
      </w:r>
    </w:p>
    <w:p w14:paraId="4FEBCE35">
      <w:pPr>
        <w:spacing w:line="336" w:lineRule="auto"/>
        <w:ind w:firstLine="482"/>
        <w:rPr>
          <w:rFonts w:ascii="黑体" w:hAnsi="黑体" w:eastAsia="黑体" w:cs="宋体"/>
          <w:b/>
          <w:bCs/>
          <w:sz w:val="24"/>
        </w:rPr>
      </w:pPr>
      <w:r>
        <w:rPr>
          <w:rFonts w:hint="eastAsia" w:ascii="黑体" w:hAnsi="黑体" w:eastAsia="黑体" w:cs="宋体"/>
          <w:b/>
          <w:bCs/>
          <w:sz w:val="24"/>
        </w:rPr>
        <w:t>29.签订合同</w:t>
      </w:r>
    </w:p>
    <w:p w14:paraId="1A8794DA">
      <w:pPr>
        <w:spacing w:line="336" w:lineRule="auto"/>
        <w:ind w:firstLine="420"/>
        <w:rPr>
          <w:rFonts w:ascii="宋体" w:hAnsi="宋体"/>
          <w:szCs w:val="21"/>
          <w:lang w:val="zh-CN"/>
        </w:rPr>
      </w:pPr>
      <w:r>
        <w:rPr>
          <w:rFonts w:hint="eastAsia" w:ascii="宋体" w:hAnsi="宋体" w:cs="宋体"/>
          <w:szCs w:val="21"/>
        </w:rPr>
        <w:t>29.1</w:t>
      </w:r>
      <w:r>
        <w:rPr>
          <w:rFonts w:hint="eastAsia" w:ascii="宋体" w:hAnsi="宋体"/>
          <w:szCs w:val="21"/>
        </w:rPr>
        <w:t>采购人与成交供应商应当在</w:t>
      </w:r>
      <w:r>
        <w:rPr>
          <w:rFonts w:hint="eastAsia" w:ascii="宋体" w:hAnsi="宋体" w:cs="宋体"/>
          <w:szCs w:val="21"/>
        </w:rPr>
        <w:t>成交通知书规定的时间内</w:t>
      </w:r>
      <w:r>
        <w:rPr>
          <w:rFonts w:hint="eastAsia" w:ascii="宋体" w:hAnsi="宋体"/>
          <w:szCs w:val="21"/>
        </w:rPr>
        <w:t>，按照谈判文件确定的合同文本以及采购标的、货物技术、采购金额、采购数量、技术和货物要求等事项签订政府采购合同。</w:t>
      </w:r>
      <w:r>
        <w:rPr>
          <w:rFonts w:hint="eastAsia" w:ascii="宋体" w:hAnsi="宋体"/>
          <w:szCs w:val="21"/>
          <w:lang w:val="zh-CN"/>
        </w:rPr>
        <w:t>如成交供应商为联合体的，由联合体成员各方法定代表人或其授权代表与采购人代表签订合同。</w:t>
      </w:r>
    </w:p>
    <w:p w14:paraId="76052F9B">
      <w:pPr>
        <w:spacing w:line="336" w:lineRule="auto"/>
        <w:ind w:firstLine="420"/>
        <w:rPr>
          <w:rFonts w:ascii="宋体" w:hAnsi="宋体"/>
          <w:szCs w:val="21"/>
        </w:rPr>
      </w:pPr>
      <w:r>
        <w:rPr>
          <w:rFonts w:hint="eastAsia" w:ascii="宋体" w:hAnsi="宋体"/>
          <w:szCs w:val="21"/>
        </w:rPr>
        <w:t>29.2采购人不得向成交供应商提出超出谈判文件以外的任何要求作为签订合同的条件，不得与成交供应商订立背离谈判文件确定的合同文本以及采购标的、货物技术、采购金额、采购数量、技术和货物要求等实质性内容的协议。</w:t>
      </w:r>
    </w:p>
    <w:p w14:paraId="11D59E81">
      <w:pPr>
        <w:spacing w:line="336" w:lineRule="auto"/>
        <w:ind w:firstLine="420"/>
        <w:rPr>
          <w:rFonts w:ascii="宋体" w:hAnsi="宋体"/>
          <w:szCs w:val="21"/>
        </w:rPr>
      </w:pPr>
      <w:r>
        <w:rPr>
          <w:rFonts w:hint="eastAsia" w:ascii="宋体" w:hAnsi="宋体"/>
          <w:szCs w:val="21"/>
        </w:rPr>
        <w:t>29.3成交供应商拒绝签订政府采购合同的，</w:t>
      </w:r>
      <w:r>
        <w:rPr>
          <w:rFonts w:hint="eastAsia" w:ascii="宋体" w:hAnsi="宋体" w:cs="宋体"/>
          <w:szCs w:val="21"/>
        </w:rPr>
        <w:t>采购人可以按照评审报告推荐的成交候选人名单排序，确定下一候选人为成交供应商</w:t>
      </w:r>
      <w:r>
        <w:rPr>
          <w:rFonts w:hint="eastAsia" w:ascii="宋体" w:hAnsi="宋体"/>
          <w:szCs w:val="21"/>
        </w:rPr>
        <w:t>，也可以重新开展采购活动。拒绝签订政府采购合同的成交供应商不得参加对该项目重新开展的采购活动。</w:t>
      </w:r>
    </w:p>
    <w:p w14:paraId="45DA0FCA">
      <w:pPr>
        <w:spacing w:line="336" w:lineRule="auto"/>
        <w:ind w:firstLine="420"/>
        <w:rPr>
          <w:rFonts w:ascii="宋体" w:hAnsi="宋体"/>
          <w:szCs w:val="21"/>
        </w:rPr>
      </w:pPr>
      <w:r>
        <w:rPr>
          <w:rFonts w:hint="eastAsia" w:ascii="宋体" w:hAnsi="宋体"/>
          <w:szCs w:val="21"/>
        </w:rPr>
        <w:t>29.4如签订合同并生效后，供应商无故拒绝或延期，除按照合同条款处理外，列入不良行为记录，并给予通报。</w:t>
      </w:r>
    </w:p>
    <w:p w14:paraId="571A2640">
      <w:pPr>
        <w:spacing w:line="336" w:lineRule="auto"/>
        <w:ind w:firstLine="420"/>
        <w:rPr>
          <w:rFonts w:ascii="宋体" w:hAnsi="宋体" w:cs="宋体"/>
          <w:sz w:val="24"/>
          <w:szCs w:val="21"/>
        </w:rPr>
      </w:pPr>
      <w:r>
        <w:rPr>
          <w:rFonts w:hint="eastAsia" w:ascii="宋体" w:hAnsi="宋体" w:cs="仿宋_GB2312"/>
          <w:szCs w:val="21"/>
        </w:rPr>
        <w:t>29.5采购合同由采购人与成交供应商根据</w:t>
      </w:r>
      <w:r>
        <w:rPr>
          <w:rFonts w:hint="eastAsia" w:ascii="宋体" w:hAnsi="宋体"/>
          <w:szCs w:val="21"/>
        </w:rPr>
        <w:t>谈判</w:t>
      </w:r>
      <w:r>
        <w:rPr>
          <w:rFonts w:hint="eastAsia" w:ascii="宋体" w:hAnsi="宋体" w:cs="仿宋_GB2312"/>
          <w:szCs w:val="21"/>
        </w:rPr>
        <w:t>文件、响应文件等内容通过政府采购电子交易平台在线签订，自动备案，在线签订须携带的材料见“供应商须</w:t>
      </w:r>
      <w:r>
        <w:rPr>
          <w:rFonts w:hint="eastAsia" w:ascii="宋体" w:hAnsi="宋体"/>
          <w:szCs w:val="21"/>
        </w:rPr>
        <w:t>知前附表</w:t>
      </w:r>
      <w:r>
        <w:rPr>
          <w:rFonts w:hint="eastAsia" w:ascii="宋体" w:hAnsi="宋体" w:cs="仿宋_GB2312"/>
          <w:szCs w:val="21"/>
        </w:rPr>
        <w:t>”。</w:t>
      </w:r>
    </w:p>
    <w:p w14:paraId="7D8117C5">
      <w:pPr>
        <w:spacing w:line="336" w:lineRule="auto"/>
        <w:ind w:firstLine="482"/>
        <w:rPr>
          <w:rFonts w:ascii="黑体" w:hAnsi="黑体" w:eastAsia="黑体" w:cs="宋体"/>
          <w:b/>
          <w:bCs/>
          <w:sz w:val="24"/>
        </w:rPr>
      </w:pPr>
      <w:r>
        <w:rPr>
          <w:rFonts w:hint="eastAsia" w:ascii="黑体" w:hAnsi="黑体" w:eastAsia="黑体" w:cs="宋体"/>
          <w:b/>
          <w:bCs/>
          <w:sz w:val="24"/>
        </w:rPr>
        <w:t>30.政府采购合同公告</w:t>
      </w:r>
    </w:p>
    <w:p w14:paraId="1FDBFEEE">
      <w:pPr>
        <w:spacing w:line="336" w:lineRule="auto"/>
        <w:ind w:firstLine="420"/>
        <w:rPr>
          <w:rFonts w:ascii="宋体" w:hAnsi="宋体" w:cs="宋体"/>
          <w:szCs w:val="21"/>
        </w:rPr>
      </w:pPr>
      <w:r>
        <w:rPr>
          <w:rFonts w:hint="eastAsia" w:ascii="宋体" w:hAnsi="宋体" w:cs="宋体"/>
          <w:szCs w:val="21"/>
        </w:rPr>
        <w:t>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w:t>
      </w:r>
    </w:p>
    <w:p w14:paraId="64E839A2">
      <w:pPr>
        <w:spacing w:line="336" w:lineRule="auto"/>
        <w:ind w:firstLine="482"/>
        <w:rPr>
          <w:rFonts w:ascii="黑体" w:hAnsi="黑体" w:eastAsia="黑体" w:cs="宋体"/>
          <w:b/>
          <w:bCs/>
          <w:sz w:val="24"/>
        </w:rPr>
      </w:pPr>
      <w:r>
        <w:rPr>
          <w:rFonts w:hint="eastAsia" w:ascii="黑体" w:hAnsi="黑体" w:eastAsia="黑体" w:cs="宋体"/>
          <w:b/>
          <w:bCs/>
          <w:sz w:val="24"/>
        </w:rPr>
        <w:t>31. 询问、质疑和投诉</w:t>
      </w:r>
    </w:p>
    <w:p w14:paraId="46A8397E">
      <w:pPr>
        <w:spacing w:line="336" w:lineRule="auto"/>
        <w:ind w:firstLine="420"/>
        <w:rPr>
          <w:rFonts w:ascii="宋体" w:hAnsi="宋体" w:cs="宋体"/>
        </w:rPr>
      </w:pPr>
      <w:r>
        <w:rPr>
          <w:rFonts w:hint="eastAsia" w:ascii="宋体" w:hAnsi="宋体" w:cs="宋体"/>
        </w:rPr>
        <w:t>31.1供应商对政府采购活动事项有疑问的，可以向采购人、采购代理机构提出询问，采购人或者采购代理机构应当在3个工作日内对供应商依法提出的询问作出答复。</w:t>
      </w:r>
    </w:p>
    <w:p w14:paraId="4DB20812">
      <w:pPr>
        <w:spacing w:line="336" w:lineRule="auto"/>
        <w:ind w:firstLine="420"/>
        <w:rPr>
          <w:rFonts w:ascii="宋体" w:hAnsi="宋体"/>
          <w:b/>
          <w:szCs w:val="21"/>
        </w:rPr>
      </w:pPr>
      <w:r>
        <w:rPr>
          <w:rFonts w:hint="eastAsia" w:ascii="宋体" w:hAnsi="宋体" w:cs="宋体"/>
        </w:rPr>
        <w:t>31.2供应商认为谈判文件、采购过程或者成交结果使自己的合法权益受到损害的，应当在知道或者应知其权益受到损害之日起7个工作日内，以书面形式向采购人、采购代理机构提出质疑，</w:t>
      </w:r>
      <w:r>
        <w:rPr>
          <w:rFonts w:hint="eastAsia" w:ascii="宋体" w:hAnsi="宋体" w:cs="Arial"/>
        </w:rPr>
        <w:t>接收质疑函的方式、联系部门、联系电话和通讯地址等信息详见</w:t>
      </w:r>
      <w:r>
        <w:rPr>
          <w:rFonts w:hint="eastAsia" w:ascii="宋体" w:hAnsi="宋体" w:cs="宋体"/>
          <w:szCs w:val="21"/>
        </w:rPr>
        <w:t>“供应商须知前附表”</w:t>
      </w:r>
      <w:r>
        <w:rPr>
          <w:rFonts w:hint="eastAsia" w:ascii="宋体" w:hAnsi="宋体" w:cs="宋体"/>
        </w:rPr>
        <w:t>。</w:t>
      </w:r>
      <w:r>
        <w:rPr>
          <w:rFonts w:hint="eastAsia" w:ascii="宋体" w:hAnsi="宋体"/>
          <w:b/>
          <w:szCs w:val="21"/>
        </w:rPr>
        <w:t>具体质疑起算时间及处理方式如下：</w:t>
      </w:r>
    </w:p>
    <w:p w14:paraId="68B32732">
      <w:pPr>
        <w:spacing w:line="336" w:lineRule="auto"/>
        <w:ind w:firstLine="420"/>
        <w:rPr>
          <w:rFonts w:hAnsi="宋体"/>
          <w:bCs/>
        </w:rPr>
      </w:pPr>
      <w:r>
        <w:rPr>
          <w:rFonts w:hint="eastAsia" w:hAnsi="宋体"/>
          <w:bCs/>
        </w:rPr>
        <w:t>（</w:t>
      </w:r>
      <w:r>
        <w:rPr>
          <w:rFonts w:hAnsi="宋体"/>
          <w:bCs/>
        </w:rPr>
        <w:t>1</w:t>
      </w:r>
      <w:r>
        <w:rPr>
          <w:rFonts w:hint="eastAsia" w:hAnsi="宋体"/>
          <w:bCs/>
        </w:rPr>
        <w:t>）潜在供应商依法获取采购文件后，认为采购文件使自己的权益受到损害的，应当在竞争性谈判采购文件公告期限届满之日起</w:t>
      </w:r>
      <w:r>
        <w:rPr>
          <w:rFonts w:hAnsi="宋体"/>
          <w:bCs/>
        </w:rPr>
        <w:t>7</w:t>
      </w:r>
      <w:r>
        <w:rPr>
          <w:rFonts w:hint="eastAsia" w:hAnsi="宋体"/>
          <w:bCs/>
        </w:rPr>
        <w:t>个工作日内提出质疑。</w:t>
      </w:r>
      <w:r>
        <w:rPr>
          <w:rFonts w:hint="eastAsia"/>
        </w:rPr>
        <w:t>委托代理协议无特殊约定的，</w:t>
      </w:r>
      <w:r>
        <w:rPr>
          <w:rFonts w:hint="eastAsia" w:hAnsi="宋体"/>
          <w:bCs/>
        </w:rPr>
        <w:t>对竞争性谈判文件中采购需求（含资格要求、采购预算和评分办法）的质疑由采购人受理并负责答复；对竞争性谈判文件中的采购执行程序的质疑由采购代理机构受理并负责答复。</w:t>
      </w:r>
    </w:p>
    <w:p w14:paraId="225A7914">
      <w:pPr>
        <w:spacing w:line="336" w:lineRule="auto"/>
        <w:ind w:firstLine="420"/>
        <w:rPr>
          <w:rFonts w:hAnsi="宋体"/>
          <w:bCs/>
        </w:rPr>
      </w:pPr>
      <w:r>
        <w:rPr>
          <w:rFonts w:hint="eastAsia" w:hAnsi="宋体"/>
          <w:bCs/>
        </w:rPr>
        <w:t>（</w:t>
      </w:r>
      <w:r>
        <w:rPr>
          <w:rFonts w:hAnsi="宋体"/>
          <w:bCs/>
        </w:rPr>
        <w:t>2</w:t>
      </w:r>
      <w:r>
        <w:rPr>
          <w:rFonts w:hint="eastAsia" w:hAnsi="宋体"/>
          <w:bCs/>
        </w:rPr>
        <w:t>）供应商认为采购过程使自己的权益受到损害的，应当在各采购程序环节结束之日起</w:t>
      </w:r>
      <w:r>
        <w:rPr>
          <w:rFonts w:hAnsi="宋体"/>
          <w:bCs/>
        </w:rPr>
        <w:t>7</w:t>
      </w:r>
      <w:r>
        <w:rPr>
          <w:rFonts w:hint="eastAsia" w:hAnsi="宋体"/>
          <w:bCs/>
        </w:rPr>
        <w:t>个工作日内提出质疑。对采购过程中资格审查、符合性审查等具体评审情况的质疑应向采购人或代理机构提出，由采购人或代理机构受理并负责答复；对采购过程中采购执行程序的质疑由采购代理机构受理并负责答复。</w:t>
      </w:r>
    </w:p>
    <w:p w14:paraId="089C04DB">
      <w:pPr>
        <w:spacing w:line="336" w:lineRule="auto"/>
        <w:ind w:firstLine="420"/>
        <w:rPr>
          <w:rFonts w:hAnsi="宋体"/>
          <w:bCs/>
        </w:rPr>
      </w:pPr>
      <w:r>
        <w:rPr>
          <w:rFonts w:hint="eastAsia" w:hAnsi="宋体"/>
          <w:bCs/>
        </w:rPr>
        <w:t>（</w:t>
      </w:r>
      <w:r>
        <w:rPr>
          <w:rFonts w:hAnsi="宋体"/>
          <w:bCs/>
        </w:rPr>
        <w:t>3</w:t>
      </w:r>
      <w:r>
        <w:rPr>
          <w:rFonts w:hint="eastAsia" w:hAnsi="宋体"/>
          <w:bCs/>
        </w:rPr>
        <w:t>）供应商认为成交结果使自己的权益受到损害的，应当在成交结果公告期限届满之日起</w:t>
      </w:r>
      <w:r>
        <w:rPr>
          <w:rFonts w:hAnsi="宋体"/>
          <w:bCs/>
        </w:rPr>
        <w:t>7</w:t>
      </w:r>
      <w:r>
        <w:rPr>
          <w:rFonts w:hint="eastAsia" w:hAnsi="宋体"/>
          <w:bCs/>
        </w:rPr>
        <w:t>个工作日内提出质疑，由采购人受理并负责答复。</w:t>
      </w:r>
    </w:p>
    <w:p w14:paraId="5C6D6354">
      <w:pPr>
        <w:spacing w:line="336" w:lineRule="auto"/>
        <w:ind w:firstLine="420"/>
        <w:rPr>
          <w:rFonts w:ascii="宋体" w:hAnsi="宋体" w:cs="宋体"/>
        </w:rPr>
      </w:pPr>
      <w:r>
        <w:rPr>
          <w:rFonts w:hint="eastAsia" w:ascii="宋体" w:hAnsi="宋体" w:cs="宋体"/>
        </w:rPr>
        <w:t>31.3供应商提出的询问或者质疑超出采购人对采购代理机构委托授权范围的，采购代理机构应当告知供应商向采购人提出。政府采购评审专家应当配合采购人或者采购代理机构答复供应商的询问和质疑。</w:t>
      </w:r>
    </w:p>
    <w:p w14:paraId="743F998A">
      <w:pPr>
        <w:spacing w:line="336" w:lineRule="auto"/>
        <w:ind w:firstLine="420"/>
        <w:rPr>
          <w:rFonts w:ascii="宋体" w:hAnsi="宋体" w:cs="宋体"/>
        </w:rPr>
      </w:pPr>
      <w:r>
        <w:rPr>
          <w:rFonts w:hint="eastAsia" w:ascii="宋体" w:hAnsi="宋体" w:cs="宋体"/>
        </w:rPr>
        <w:t>31.4 供应商提出质疑应当提交质疑函和必要的证明材料，针对同一采购程序环节的质疑必须在法定质疑期内一次性提出。质疑函应当包括下列内容</w:t>
      </w:r>
      <w:r>
        <w:rPr>
          <w:rFonts w:hint="eastAsia" w:hAnsi="宋体"/>
          <w:bCs/>
        </w:rPr>
        <w:t>（质疑函格式后附）</w:t>
      </w:r>
      <w:r>
        <w:rPr>
          <w:rFonts w:hint="eastAsia" w:ascii="宋体" w:hAnsi="宋体" w:cs="宋体"/>
        </w:rPr>
        <w:t>：</w:t>
      </w:r>
    </w:p>
    <w:p w14:paraId="3AB9F4F4">
      <w:pPr>
        <w:spacing w:line="336" w:lineRule="auto"/>
        <w:ind w:firstLine="420"/>
        <w:rPr>
          <w:rFonts w:ascii="宋体" w:hAnsi="宋体" w:cs="宋体"/>
        </w:rPr>
      </w:pPr>
      <w:r>
        <w:rPr>
          <w:rFonts w:hint="eastAsia" w:ascii="宋体" w:hAnsi="宋体" w:cs="宋体"/>
        </w:rPr>
        <w:t>（1）供应商的姓名或者名称、地址、邮编、联系人及联系电话；</w:t>
      </w:r>
    </w:p>
    <w:p w14:paraId="195E8CE9">
      <w:pPr>
        <w:spacing w:line="336" w:lineRule="auto"/>
        <w:ind w:firstLine="420"/>
        <w:rPr>
          <w:rFonts w:ascii="宋体" w:hAnsi="宋体" w:cs="宋体"/>
        </w:rPr>
      </w:pPr>
      <w:r>
        <w:rPr>
          <w:rFonts w:hint="eastAsia" w:ascii="宋体" w:hAnsi="宋体" w:cs="宋体"/>
        </w:rPr>
        <w:t>（2）质疑项目的名称、编号；</w:t>
      </w:r>
    </w:p>
    <w:p w14:paraId="1214BE8B">
      <w:pPr>
        <w:spacing w:line="336" w:lineRule="auto"/>
        <w:ind w:firstLine="420"/>
        <w:rPr>
          <w:rFonts w:ascii="宋体" w:hAnsi="宋体" w:cs="宋体"/>
        </w:rPr>
      </w:pPr>
      <w:r>
        <w:rPr>
          <w:rFonts w:hint="eastAsia" w:ascii="宋体" w:hAnsi="宋体" w:cs="宋体"/>
        </w:rPr>
        <w:t>（3）具体、明确的质疑事项和与质疑事项相关的请求；</w:t>
      </w:r>
    </w:p>
    <w:p w14:paraId="0077DE85">
      <w:pPr>
        <w:spacing w:line="336" w:lineRule="auto"/>
        <w:ind w:firstLine="420"/>
        <w:rPr>
          <w:rFonts w:ascii="宋体" w:hAnsi="宋体" w:cs="宋体"/>
        </w:rPr>
      </w:pPr>
      <w:r>
        <w:rPr>
          <w:rFonts w:hint="eastAsia" w:ascii="宋体" w:hAnsi="宋体" w:cs="宋体"/>
        </w:rPr>
        <w:t>（4）事实依据；</w:t>
      </w:r>
    </w:p>
    <w:p w14:paraId="5E1F6E1A">
      <w:pPr>
        <w:spacing w:line="336" w:lineRule="auto"/>
        <w:ind w:firstLine="420"/>
        <w:rPr>
          <w:rFonts w:ascii="宋体" w:hAnsi="宋体" w:cs="宋体"/>
        </w:rPr>
      </w:pPr>
      <w:r>
        <w:rPr>
          <w:rFonts w:hint="eastAsia" w:ascii="宋体" w:hAnsi="宋体" w:cs="宋体"/>
        </w:rPr>
        <w:t>（5）必要的法律依据；</w:t>
      </w:r>
    </w:p>
    <w:p w14:paraId="347FCFBA">
      <w:pPr>
        <w:spacing w:line="336" w:lineRule="auto"/>
        <w:ind w:firstLine="420"/>
        <w:rPr>
          <w:rFonts w:ascii="宋体" w:hAnsi="宋体" w:cs="宋体"/>
        </w:rPr>
      </w:pPr>
      <w:r>
        <w:rPr>
          <w:rFonts w:hint="eastAsia" w:ascii="宋体" w:hAnsi="宋体" w:cs="宋体"/>
        </w:rPr>
        <w:t>（6）提出质疑的日期。</w:t>
      </w:r>
    </w:p>
    <w:p w14:paraId="5FC1E27C">
      <w:pPr>
        <w:spacing w:line="336" w:lineRule="auto"/>
        <w:ind w:firstLine="420"/>
        <w:rPr>
          <w:rFonts w:ascii="宋体" w:hAnsi="宋体" w:cs="宋体"/>
        </w:rPr>
      </w:pPr>
      <w:r>
        <w:rPr>
          <w:rFonts w:hint="eastAsia" w:ascii="宋体" w:hAnsi="宋体" w:cs="宋体"/>
        </w:rPr>
        <w:t>供应商为自然人的，应当由本人签字；供应商为法人或者其他组织的，应当由法定代表人、主要负责人，或者其委托代理人签字或者盖章，并加盖公章。</w:t>
      </w:r>
    </w:p>
    <w:p w14:paraId="4C053376">
      <w:pPr>
        <w:spacing w:line="336" w:lineRule="auto"/>
        <w:ind w:firstLine="420"/>
        <w:rPr>
          <w:rFonts w:ascii="宋体" w:hAnsi="宋体" w:cs="宋体"/>
        </w:rPr>
      </w:pPr>
      <w:r>
        <w:rPr>
          <w:rFonts w:hint="eastAsia" w:ascii="宋体" w:hAnsi="宋体" w:cs="宋体"/>
        </w:rPr>
        <w:t>31.5采购人、采购代理机构认为供应商质疑不成立，或者成立但未对成交结果构成影响的，继续开展采购活动；认为供应商质疑成立且影响或者可能影响成交结果的，按照下列情况处理：</w:t>
      </w:r>
    </w:p>
    <w:p w14:paraId="250A6146">
      <w:pPr>
        <w:spacing w:line="336" w:lineRule="auto"/>
        <w:ind w:firstLine="420"/>
        <w:rPr>
          <w:rFonts w:ascii="宋体" w:hAnsi="宋体" w:cs="宋体"/>
        </w:rPr>
      </w:pPr>
      <w:r>
        <w:rPr>
          <w:rFonts w:hint="eastAsia" w:ascii="宋体" w:hAnsi="宋体" w:cs="宋体"/>
        </w:rPr>
        <w:t>（一）对采购文件提出的质疑，依法通过澄清或者修改可以继续开展采购活动的，澄清或者修改采购文件后继续开展采购活动；否则应当修改采购文件后重新开展采购活动。</w:t>
      </w:r>
    </w:p>
    <w:p w14:paraId="4B427AD2">
      <w:pPr>
        <w:spacing w:line="336" w:lineRule="auto"/>
        <w:ind w:firstLine="420"/>
        <w:rPr>
          <w:rFonts w:ascii="宋体" w:hAnsi="宋体" w:cs="宋体"/>
        </w:rPr>
      </w:pPr>
      <w:r>
        <w:rPr>
          <w:rFonts w:hint="eastAsia" w:ascii="宋体" w:hAnsi="宋体" w:cs="宋体"/>
        </w:rPr>
        <w:t>（二）对采购过程或者成交结果提出的质疑，合格供应商符合法定数量时，可以从合格的成交候选人中另行确定成交供应商的，应当依法另行确定成交供应商；否则应当重新开展采购活动。</w:t>
      </w:r>
    </w:p>
    <w:p w14:paraId="347B0B09">
      <w:pPr>
        <w:spacing w:line="336" w:lineRule="auto"/>
        <w:ind w:firstLine="420"/>
        <w:rPr>
          <w:rFonts w:ascii="宋体" w:hAnsi="宋体" w:cs="宋体"/>
        </w:rPr>
      </w:pPr>
      <w:r>
        <w:rPr>
          <w:rFonts w:hint="eastAsia" w:ascii="宋体" w:hAnsi="宋体" w:cs="宋体"/>
        </w:rPr>
        <w:t>质疑答复导致成交结果改变的，采购人或者采购代理机构应当将有关情况书面报告本级财政部门。</w:t>
      </w:r>
    </w:p>
    <w:p w14:paraId="64BD58CB">
      <w:pPr>
        <w:spacing w:line="336" w:lineRule="auto"/>
        <w:ind w:firstLine="420"/>
        <w:rPr>
          <w:rFonts w:ascii="宋体" w:hAnsi="宋体" w:cs="宋体"/>
        </w:rPr>
      </w:pPr>
      <w:r>
        <w:rPr>
          <w:rFonts w:hint="eastAsia" w:ascii="宋体" w:hAnsi="宋体" w:cs="宋体"/>
        </w:rPr>
        <w:t>31.6投诉的权利。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受理投诉方式见“供应商须知前附表”。</w:t>
      </w:r>
    </w:p>
    <w:p w14:paraId="62863BB2">
      <w:pPr>
        <w:keepNext/>
        <w:keepLines/>
        <w:spacing w:line="336" w:lineRule="auto"/>
        <w:ind w:firstLine="643"/>
        <w:outlineLvl w:val="2"/>
        <w:rPr>
          <w:rFonts w:ascii="宋体" w:hAnsi="宋体"/>
          <w:bCs/>
          <w:sz w:val="32"/>
          <w:szCs w:val="32"/>
        </w:rPr>
      </w:pPr>
      <w:bookmarkStart w:id="51" w:name="_Toc173510397"/>
      <w:r>
        <w:rPr>
          <w:rFonts w:hint="eastAsia" w:ascii="宋体" w:hAnsi="宋体"/>
          <w:b/>
          <w:bCs/>
          <w:sz w:val="32"/>
          <w:szCs w:val="32"/>
        </w:rPr>
        <w:t>六</w:t>
      </w:r>
      <w:r>
        <w:rPr>
          <w:rFonts w:hint="eastAsia" w:ascii="宋体" w:hAnsi="宋体"/>
          <w:bCs/>
          <w:sz w:val="32"/>
          <w:szCs w:val="32"/>
        </w:rPr>
        <w:t>、验收</w:t>
      </w:r>
      <w:bookmarkEnd w:id="51"/>
    </w:p>
    <w:p w14:paraId="17FE1FF1">
      <w:pPr>
        <w:tabs>
          <w:tab w:val="left" w:pos="0"/>
        </w:tabs>
        <w:spacing w:line="336" w:lineRule="auto"/>
        <w:ind w:firstLine="482"/>
        <w:rPr>
          <w:rFonts w:ascii="黑体" w:hAnsi="黑体" w:eastAsia="黑体" w:cs="宋体"/>
          <w:b/>
          <w:bCs/>
          <w:sz w:val="24"/>
        </w:rPr>
      </w:pPr>
      <w:r>
        <w:rPr>
          <w:rFonts w:hint="eastAsia" w:ascii="黑体" w:hAnsi="黑体" w:eastAsia="黑体" w:cs="宋体"/>
          <w:b/>
          <w:bCs/>
          <w:sz w:val="24"/>
        </w:rPr>
        <w:t>32.验收</w:t>
      </w:r>
    </w:p>
    <w:p w14:paraId="44B53CEF">
      <w:pPr>
        <w:tabs>
          <w:tab w:val="left" w:pos="0"/>
        </w:tabs>
        <w:spacing w:line="336" w:lineRule="auto"/>
        <w:ind w:firstLine="420"/>
        <w:rPr>
          <w:rFonts w:ascii="宋体" w:hAnsi="宋体" w:cs="Helvetica"/>
          <w:szCs w:val="21"/>
        </w:rPr>
      </w:pPr>
      <w:r>
        <w:rPr>
          <w:rFonts w:hint="eastAsia" w:ascii="宋体" w:hAnsi="宋体" w:cs="Helvetica"/>
          <w:szCs w:val="21"/>
        </w:rPr>
        <w:t>32.1采购人会同实际使用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542CC44A">
      <w:pPr>
        <w:tabs>
          <w:tab w:val="left" w:pos="0"/>
        </w:tabs>
        <w:spacing w:line="336" w:lineRule="auto"/>
        <w:ind w:firstLine="420"/>
        <w:rPr>
          <w:rFonts w:ascii="宋体" w:hAnsi="宋体" w:cs="Helvetica"/>
          <w:szCs w:val="21"/>
        </w:rPr>
      </w:pPr>
      <w:r>
        <w:rPr>
          <w:rFonts w:hint="eastAsia" w:ascii="宋体" w:hAnsi="宋体" w:cs="Helvetica"/>
          <w:szCs w:val="21"/>
        </w:rPr>
        <w:t>32.2采购人可以邀请参加本项目的其他供应商或者第三方机构参与验收。参与验收的供应商或者第三方机构的意见作为验收书的参考资料一并存档。</w:t>
      </w:r>
    </w:p>
    <w:p w14:paraId="1405BD9D">
      <w:pPr>
        <w:tabs>
          <w:tab w:val="left" w:pos="0"/>
        </w:tabs>
        <w:spacing w:line="336" w:lineRule="auto"/>
        <w:ind w:firstLine="420"/>
        <w:rPr>
          <w:rFonts w:ascii="宋体" w:hAnsi="宋体" w:cs="Helvetica"/>
          <w:szCs w:val="21"/>
        </w:rPr>
      </w:pPr>
      <w:r>
        <w:rPr>
          <w:rFonts w:hint="eastAsia" w:ascii="宋体" w:hAnsi="宋体" w:cs="Helvetica"/>
          <w:szCs w:val="21"/>
        </w:rPr>
        <w:t>32.3严格按照采购合同开展履约验收。采购人成立验收小组，按照采购合同的约定对供应商履约情况进行验收。验收时，按照采购合同的约定对每一项技术、货物、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4A87320E">
      <w:pPr>
        <w:tabs>
          <w:tab w:val="left" w:pos="0"/>
        </w:tabs>
        <w:spacing w:line="336" w:lineRule="auto"/>
        <w:ind w:firstLine="420"/>
        <w:rPr>
          <w:rFonts w:ascii="宋体" w:hAnsi="宋体" w:cs="宋体"/>
          <w:szCs w:val="21"/>
        </w:rPr>
      </w:pPr>
      <w:r>
        <w:rPr>
          <w:rFonts w:hint="eastAsia" w:ascii="宋体" w:hAnsi="宋体" w:cs="Helvetica"/>
          <w:szCs w:val="21"/>
        </w:rPr>
        <w:t>32.4验收合格的项目，实际使用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3EE04CF5">
      <w:pPr>
        <w:keepNext/>
        <w:keepLines/>
        <w:spacing w:line="336" w:lineRule="auto"/>
        <w:ind w:firstLine="640"/>
        <w:outlineLvl w:val="2"/>
        <w:rPr>
          <w:rFonts w:ascii="宋体" w:hAnsi="宋体"/>
          <w:sz w:val="32"/>
          <w:szCs w:val="32"/>
        </w:rPr>
      </w:pPr>
      <w:bookmarkStart w:id="52" w:name="_Toc173510398"/>
      <w:r>
        <w:rPr>
          <w:rFonts w:hint="eastAsia" w:ascii="宋体" w:hAnsi="宋体"/>
          <w:sz w:val="32"/>
          <w:szCs w:val="32"/>
        </w:rPr>
        <w:t>七、其他事项</w:t>
      </w:r>
      <w:bookmarkEnd w:id="52"/>
    </w:p>
    <w:p w14:paraId="0A35902D">
      <w:pPr>
        <w:spacing w:line="336" w:lineRule="auto"/>
        <w:ind w:firstLine="482"/>
        <w:rPr>
          <w:rFonts w:ascii="黑体" w:hAnsi="黑体" w:eastAsia="黑体" w:cs="宋体"/>
          <w:b/>
          <w:bCs/>
          <w:sz w:val="24"/>
        </w:rPr>
      </w:pPr>
      <w:r>
        <w:rPr>
          <w:rFonts w:hint="eastAsia" w:ascii="黑体" w:hAnsi="黑体" w:eastAsia="黑体" w:cs="宋体"/>
          <w:b/>
          <w:bCs/>
          <w:sz w:val="24"/>
        </w:rPr>
        <w:t>33.代理服务费</w:t>
      </w:r>
    </w:p>
    <w:p w14:paraId="155F99C8">
      <w:pPr>
        <w:tabs>
          <w:tab w:val="left" w:pos="2835"/>
        </w:tabs>
        <w:spacing w:line="336" w:lineRule="auto"/>
        <w:ind w:firstLine="420"/>
        <w:rPr>
          <w:rFonts w:ascii="宋体" w:hAnsi="宋体" w:cs="宋体"/>
          <w:szCs w:val="21"/>
        </w:rPr>
      </w:pPr>
      <w:r>
        <w:rPr>
          <w:rFonts w:hint="eastAsia" w:ascii="宋体" w:hAnsi="宋体" w:cs="宋体"/>
          <w:szCs w:val="21"/>
        </w:rPr>
        <w:t>代理服务收费标准及缴费账户详见“供应商须知前附表”，供应商为联合体的，可以由联合体中的一方或者多方共同交纳代理服务费。</w:t>
      </w:r>
    </w:p>
    <w:p w14:paraId="793FC462">
      <w:pPr>
        <w:spacing w:line="336" w:lineRule="auto"/>
        <w:ind w:firstLine="482"/>
        <w:rPr>
          <w:rFonts w:ascii="黑体" w:hAnsi="黑体" w:eastAsia="黑体" w:cs="宋体"/>
          <w:b/>
          <w:bCs/>
          <w:sz w:val="24"/>
        </w:rPr>
      </w:pPr>
      <w:r>
        <w:rPr>
          <w:rFonts w:hint="eastAsia" w:ascii="黑体" w:hAnsi="黑体" w:eastAsia="黑体" w:cs="宋体"/>
          <w:b/>
          <w:bCs/>
          <w:sz w:val="24"/>
        </w:rPr>
        <w:t>34.需要补充的其他内容</w:t>
      </w:r>
    </w:p>
    <w:p w14:paraId="18CFC7F9">
      <w:pPr>
        <w:spacing w:line="336" w:lineRule="auto"/>
        <w:ind w:firstLine="420"/>
        <w:rPr>
          <w:rFonts w:ascii="宋体" w:hAnsi="宋体"/>
          <w:szCs w:val="21"/>
        </w:rPr>
      </w:pPr>
      <w:r>
        <w:rPr>
          <w:rFonts w:hint="eastAsia" w:ascii="宋体" w:hAnsi="宋体"/>
          <w:szCs w:val="21"/>
        </w:rPr>
        <w:t>34.1</w:t>
      </w:r>
      <w:r>
        <w:rPr>
          <w:rFonts w:hint="eastAsia" w:ascii="宋体" w:hAnsi="宋体" w:cs="宋体"/>
          <w:szCs w:val="21"/>
        </w:rPr>
        <w:t>本谈判文件解释规则详见</w:t>
      </w:r>
      <w:r>
        <w:rPr>
          <w:rFonts w:hint="eastAsia" w:ascii="宋体" w:hAnsi="宋体"/>
          <w:szCs w:val="21"/>
        </w:rPr>
        <w:t>“供应商须知前附表”。</w:t>
      </w:r>
    </w:p>
    <w:p w14:paraId="772DEA04">
      <w:pPr>
        <w:spacing w:line="336" w:lineRule="auto"/>
        <w:ind w:firstLine="420"/>
        <w:rPr>
          <w:rFonts w:hAnsi="宋体"/>
        </w:rPr>
      </w:pPr>
      <w:r>
        <w:rPr>
          <w:rFonts w:hint="eastAsia" w:ascii="宋体" w:hAnsi="宋体" w:cs="宋体"/>
          <w:szCs w:val="21"/>
        </w:rPr>
        <w:t>34.2 其他事</w:t>
      </w:r>
      <w:r>
        <w:rPr>
          <w:rFonts w:hint="eastAsia" w:hAnsi="宋体"/>
        </w:rPr>
        <w:t>项详见“供应商须知前附表”。</w:t>
      </w:r>
    </w:p>
    <w:p w14:paraId="32295AFC">
      <w:pPr>
        <w:spacing w:line="336" w:lineRule="auto"/>
        <w:ind w:firstLine="400"/>
        <w:rPr>
          <w:rFonts w:ascii="宋体" w:hAnsi="宋体"/>
          <w:szCs w:val="21"/>
        </w:rPr>
      </w:pPr>
      <w:r>
        <w:rPr>
          <w:rFonts w:hint="eastAsia" w:ascii="宋体" w:hAnsi="宋体"/>
          <w:sz w:val="20"/>
          <w:szCs w:val="21"/>
        </w:rPr>
        <w:t>34.3</w:t>
      </w:r>
      <w:bookmarkStart w:id="53" w:name="_Hlk65857140"/>
      <w:r>
        <w:rPr>
          <w:rFonts w:hint="eastAsia" w:ascii="宋体" w:hAnsi="宋体"/>
          <w:szCs w:val="21"/>
        </w:rPr>
        <w:t>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货物符合下列情形的，享受本文件规定的中小企业扶持政策：</w:t>
      </w:r>
    </w:p>
    <w:p w14:paraId="16E7E75F">
      <w:pPr>
        <w:spacing w:line="336" w:lineRule="auto"/>
        <w:ind w:firstLine="420"/>
        <w:rPr>
          <w:rFonts w:ascii="宋体" w:hAnsi="宋体"/>
          <w:szCs w:val="21"/>
        </w:rPr>
      </w:pPr>
      <w:r>
        <w:rPr>
          <w:rFonts w:hint="eastAsia" w:ascii="宋体" w:hAnsi="宋体"/>
          <w:szCs w:val="21"/>
        </w:rPr>
        <w:t>在货物采购项目中，货物由中小企业制造，即货物由中小企业生产且使用该中小企业商号或者注册商标，不对其中涉及的工程承建商和货物的承接商作出要求；</w:t>
      </w:r>
    </w:p>
    <w:p w14:paraId="0ED49392">
      <w:pPr>
        <w:spacing w:line="336" w:lineRule="auto"/>
        <w:ind w:firstLine="420"/>
        <w:rPr>
          <w:rFonts w:ascii="宋体" w:hAnsi="宋体"/>
          <w:szCs w:val="21"/>
        </w:rPr>
      </w:pPr>
      <w:r>
        <w:rPr>
          <w:rFonts w:hint="eastAsia" w:ascii="宋体" w:hAnsi="宋体"/>
          <w:szCs w:val="21"/>
        </w:rPr>
        <w:t>在货物采购项目中，供应商提供的货物既有中小企业制造货物，也有大型企业制造货物的，不享受本文件规定的中小企业扶持政策。以联合体形式参加政府采购活动，联合体各方均为中小企业的，联合体视同中小企业。其中，联合体各方均为小微企业的，联合体视同小微企业。</w:t>
      </w:r>
    </w:p>
    <w:p w14:paraId="43F10C36">
      <w:pPr>
        <w:spacing w:line="336" w:lineRule="auto"/>
        <w:ind w:firstLine="420"/>
        <w:rPr>
          <w:rFonts w:ascii="宋体" w:hAnsi="宋体"/>
          <w:szCs w:val="21"/>
        </w:rPr>
      </w:pPr>
      <w:r>
        <w:rPr>
          <w:rFonts w:hint="eastAsia" w:ascii="宋体" w:hAnsi="宋体"/>
          <w:szCs w:val="21"/>
        </w:rPr>
        <w:t>依据本文件规定享受扶持政策获得政府采购合同的，小微企业不得将合同分包给大中型企业，中型企业不得将合同分包给大型企业。</w:t>
      </w:r>
      <w:bookmarkEnd w:id="53"/>
    </w:p>
    <w:p w14:paraId="5F9B0830">
      <w:pPr>
        <w:spacing w:line="336" w:lineRule="auto"/>
        <w:ind w:firstLine="480"/>
        <w:rPr>
          <w:rFonts w:ascii="黑体" w:hAnsi="黑体" w:eastAsia="黑体"/>
          <w:sz w:val="24"/>
        </w:rPr>
      </w:pPr>
      <w:r>
        <w:rPr>
          <w:rFonts w:hint="eastAsia" w:ascii="黑体" w:hAnsi="黑体" w:eastAsia="黑体"/>
          <w:sz w:val="24"/>
        </w:rPr>
        <w:t>35. 政采贷相关说明</w:t>
      </w:r>
    </w:p>
    <w:p w14:paraId="19F1EB35">
      <w:pPr>
        <w:spacing w:line="336" w:lineRule="auto"/>
        <w:ind w:firstLine="420"/>
        <w:rPr>
          <w:rFonts w:ascii="宋体" w:hAnsi="宋体"/>
          <w:szCs w:val="21"/>
        </w:rPr>
      </w:pPr>
      <w:r>
        <w:rPr>
          <w:rFonts w:hint="eastAsia" w:ascii="宋体" w:hAnsi="宋体"/>
          <w:szCs w:val="21"/>
        </w:rPr>
        <w:t>为优化政府采购营商环境，缓解供应商资金难题，南宁市政府采购试行政府采购信用融资制度，中标供应商如有融资需求，可凭政府采购合同通过以下方式申请政府采购信用融资贷款：</w:t>
      </w:r>
    </w:p>
    <w:p w14:paraId="7953A0EB">
      <w:pPr>
        <w:numPr>
          <w:ilvl w:val="0"/>
          <w:numId w:val="1"/>
        </w:numPr>
        <w:spacing w:line="336" w:lineRule="auto"/>
        <w:ind w:firstLine="420"/>
        <w:rPr>
          <w:rFonts w:ascii="宋体" w:hAnsi="宋体"/>
          <w:szCs w:val="21"/>
        </w:rPr>
      </w:pPr>
      <w:r>
        <w:rPr>
          <w:rFonts w:hint="eastAsia" w:ascii="宋体" w:hAnsi="宋体"/>
          <w:szCs w:val="21"/>
        </w:rPr>
        <w:t>线下渠道：在“南宁市公共资源交易中心”官网（网址：http://www.nnggzy.org.cn）“交易信息-政府采购-政府采购信用融资”中融资银行和南宁市企业融资货物中心专栏信息申请政府采购信用融资。</w:t>
      </w:r>
    </w:p>
    <w:p w14:paraId="1C09574F">
      <w:pPr>
        <w:numPr>
          <w:ilvl w:val="0"/>
          <w:numId w:val="1"/>
        </w:numPr>
        <w:spacing w:line="336" w:lineRule="auto"/>
        <w:ind w:firstLine="420"/>
        <w:rPr>
          <w:rFonts w:ascii="宋体" w:hAnsi="Courier New"/>
          <w:sz w:val="20"/>
          <w:szCs w:val="21"/>
        </w:rPr>
      </w:pPr>
      <w:r>
        <w:rPr>
          <w:rFonts w:hint="eastAsia" w:ascii="宋体" w:hAnsi="宋体"/>
          <w:szCs w:val="21"/>
        </w:rPr>
        <w:t>线上渠道：登录中征营应收账款融资服务平台（网址：https://www.crcrfsp.com，客服电话：400-009-0001），选择相关金融产品和银行业金融机构金融融资贷款。具体操作方式见《中国人民银行南宁中心支行广西壮族自治区财政厅关于推广线上“政采贷”融资模式的通知》（南宁银发〔2021〕258号）文（文件公开网址详情见：“广西政府采购网”——http://www.ccgp-guangxi.gov.cn/AdministrativeRegulations/AutonomousRegion/9830442.html）</w:t>
      </w:r>
      <w:r>
        <w:rPr>
          <w:rFonts w:hint="eastAsia" w:ascii="宋体" w:hAnsi="宋体"/>
          <w:b/>
          <w:sz w:val="20"/>
          <w:szCs w:val="21"/>
        </w:rPr>
        <w:br w:type="page" w:clear="all"/>
      </w:r>
    </w:p>
    <w:p w14:paraId="5B2E1282">
      <w:pPr>
        <w:keepNext/>
        <w:keepLines/>
        <w:spacing w:before="340" w:after="330" w:line="360" w:lineRule="auto"/>
        <w:jc w:val="center"/>
        <w:outlineLvl w:val="0"/>
        <w:rPr>
          <w:b/>
          <w:bCs/>
          <w:sz w:val="44"/>
          <w:szCs w:val="44"/>
        </w:rPr>
      </w:pPr>
      <w:bookmarkStart w:id="54" w:name="_Toc173510399"/>
      <w:r>
        <w:rPr>
          <w:rFonts w:hint="eastAsia"/>
          <w:b/>
          <w:bCs/>
          <w:sz w:val="44"/>
          <w:szCs w:val="44"/>
        </w:rPr>
        <w:t>第四章评审程序、评审方法和成交标准</w:t>
      </w:r>
      <w:bookmarkEnd w:id="54"/>
    </w:p>
    <w:p w14:paraId="25D610C8">
      <w:pPr>
        <w:keepNext/>
        <w:keepLines/>
        <w:spacing w:line="360" w:lineRule="auto"/>
        <w:ind w:firstLine="640"/>
        <w:jc w:val="center"/>
        <w:outlineLvl w:val="1"/>
        <w:rPr>
          <w:rFonts w:ascii="宋体" w:hAnsi="宋体" w:cs="宋体"/>
          <w:bCs/>
          <w:sz w:val="32"/>
          <w:szCs w:val="32"/>
        </w:rPr>
      </w:pPr>
      <w:bookmarkStart w:id="55" w:name="_Toc173510400"/>
      <w:r>
        <w:rPr>
          <w:rFonts w:hint="eastAsia" w:ascii="宋体" w:hAnsi="宋体" w:cs="宋体"/>
          <w:bCs/>
          <w:sz w:val="32"/>
          <w:szCs w:val="32"/>
        </w:rPr>
        <w:t>第一节评审程序和评审方法</w:t>
      </w:r>
      <w:bookmarkEnd w:id="55"/>
    </w:p>
    <w:p w14:paraId="04E68F18">
      <w:pPr>
        <w:spacing w:line="360" w:lineRule="auto"/>
        <w:ind w:firstLine="482"/>
        <w:rPr>
          <w:rFonts w:ascii="黑体" w:hAnsi="黑体" w:eastAsia="黑体" w:cs="宋体"/>
          <w:b/>
          <w:bCs/>
          <w:sz w:val="24"/>
        </w:rPr>
      </w:pPr>
      <w:r>
        <w:rPr>
          <w:rFonts w:hint="eastAsia" w:ascii="黑体" w:hAnsi="黑体" w:eastAsia="黑体" w:cs="宋体"/>
          <w:b/>
          <w:bCs/>
          <w:sz w:val="24"/>
        </w:rPr>
        <w:t>1.确认谈判文件</w:t>
      </w:r>
    </w:p>
    <w:p w14:paraId="4EE7A232">
      <w:pPr>
        <w:spacing w:line="360" w:lineRule="auto"/>
        <w:ind w:firstLine="420"/>
        <w:rPr>
          <w:rFonts w:ascii="宋体" w:hAnsi="宋体" w:cs="宋体"/>
          <w:szCs w:val="21"/>
        </w:rPr>
      </w:pPr>
      <w:r>
        <w:rPr>
          <w:rFonts w:hint="eastAsia" w:ascii="宋体" w:hAnsi="宋体" w:cs="宋体"/>
          <w:szCs w:val="21"/>
        </w:rPr>
        <w:t>由谈判小组确认谈判文件。</w:t>
      </w:r>
    </w:p>
    <w:p w14:paraId="5EA4FA81">
      <w:pPr>
        <w:spacing w:line="360" w:lineRule="auto"/>
        <w:ind w:firstLine="482"/>
        <w:rPr>
          <w:rFonts w:ascii="黑体" w:hAnsi="黑体" w:eastAsia="黑体" w:cs="宋体"/>
          <w:b/>
          <w:bCs/>
          <w:sz w:val="24"/>
        </w:rPr>
      </w:pPr>
      <w:r>
        <w:rPr>
          <w:rFonts w:hint="eastAsia" w:ascii="黑体" w:hAnsi="黑体" w:eastAsia="黑体" w:cs="宋体"/>
          <w:b/>
          <w:bCs/>
          <w:sz w:val="24"/>
        </w:rPr>
        <w:t>2.资格审查</w:t>
      </w:r>
    </w:p>
    <w:p w14:paraId="58FC3BEB">
      <w:pPr>
        <w:spacing w:line="360" w:lineRule="auto"/>
        <w:ind w:firstLine="420"/>
        <w:rPr>
          <w:rFonts w:ascii="宋体" w:hAnsi="宋体"/>
          <w:szCs w:val="21"/>
        </w:rPr>
      </w:pPr>
      <w:r>
        <w:rPr>
          <w:rFonts w:hint="eastAsia" w:ascii="宋体" w:hAnsi="宋体" w:cs="宋体"/>
          <w:szCs w:val="21"/>
        </w:rPr>
        <w:t>2.1</w:t>
      </w:r>
      <w:r>
        <w:rPr>
          <w:rFonts w:hint="eastAsia" w:ascii="宋体" w:hAnsi="宋体"/>
          <w:szCs w:val="21"/>
        </w:rPr>
        <w:t>响应文件开启后，谈判小组依法对供应商的资格证明文件进行审查。</w:t>
      </w:r>
    </w:p>
    <w:p w14:paraId="68BB4F3D">
      <w:pPr>
        <w:spacing w:line="360" w:lineRule="auto"/>
        <w:ind w:firstLine="420"/>
        <w:rPr>
          <w:rFonts w:ascii="宋体" w:hAnsi="宋体" w:cs="宋体"/>
          <w:szCs w:val="21"/>
        </w:rPr>
      </w:pPr>
      <w:r>
        <w:rPr>
          <w:rFonts w:hint="eastAsia" w:ascii="宋体" w:hAnsi="宋体" w:cs="宋体"/>
          <w:szCs w:val="21"/>
        </w:rPr>
        <w:t>注：采购人代表或者采购代理机构在资格审查结束前，对供应商进行信用查询。</w:t>
      </w:r>
    </w:p>
    <w:p w14:paraId="4FC00AE1">
      <w:pPr>
        <w:spacing w:line="360" w:lineRule="auto"/>
        <w:ind w:firstLine="420"/>
        <w:jc w:val="left"/>
        <w:rPr>
          <w:rFonts w:ascii="宋体" w:hAnsi="宋体" w:cs="宋体"/>
          <w:szCs w:val="21"/>
        </w:rPr>
      </w:pPr>
      <w:r>
        <w:rPr>
          <w:rFonts w:hint="eastAsia" w:ascii="宋体" w:hAnsi="宋体" w:cs="宋体"/>
          <w:szCs w:val="21"/>
        </w:rPr>
        <w:t>（1）查询渠道：广西政府采购云平台“信用中国”网站(</w:t>
      </w:r>
      <w:r>
        <w:fldChar w:fldCharType="begin"/>
      </w:r>
      <w:r>
        <w:instrText xml:space="preserve"> HYPERLINK "http://www.creditchina.gov.cn" </w:instrText>
      </w:r>
      <w:r>
        <w:fldChar w:fldCharType="separate"/>
      </w:r>
      <w:r>
        <w:rPr>
          <w:rFonts w:hint="eastAsia" w:ascii="宋体" w:hAnsi="宋体" w:cs="宋体"/>
          <w:u w:val="single"/>
        </w:rPr>
        <w:t>www.creditchina.gov.cn</w:t>
      </w:r>
      <w:r>
        <w:rPr>
          <w:rFonts w:hint="eastAsia" w:ascii="宋体" w:hAnsi="宋体" w:cs="宋体"/>
          <w:u w:val="single"/>
        </w:rPr>
        <w:fldChar w:fldCharType="end"/>
      </w:r>
      <w:r>
        <w:rPr>
          <w:rFonts w:hint="eastAsia" w:ascii="宋体" w:hAnsi="宋体" w:cs="宋体"/>
          <w:szCs w:val="21"/>
        </w:rPr>
        <w:t>)、中国政府采购网(</w:t>
      </w:r>
      <w:r>
        <w:fldChar w:fldCharType="begin"/>
      </w:r>
      <w:r>
        <w:instrText xml:space="preserve"> HYPERLINK "http://www.ccgp.gov.cn" </w:instrText>
      </w:r>
      <w:r>
        <w:fldChar w:fldCharType="separate"/>
      </w:r>
      <w:r>
        <w:rPr>
          <w:rFonts w:hint="eastAsia" w:ascii="宋体" w:hAnsi="宋体" w:cs="宋体"/>
          <w:u w:val="single"/>
        </w:rPr>
        <w:t>www.ccgp.gov.cn</w:t>
      </w:r>
      <w:r>
        <w:rPr>
          <w:rFonts w:hint="eastAsia" w:ascii="宋体" w:hAnsi="宋体" w:cs="宋体"/>
          <w:u w:val="single"/>
        </w:rPr>
        <w:fldChar w:fldCharType="end"/>
      </w:r>
      <w:r>
        <w:rPr>
          <w:rFonts w:hint="eastAsia" w:ascii="宋体" w:hAnsi="宋体" w:cs="宋体"/>
          <w:szCs w:val="21"/>
        </w:rPr>
        <w:t>)链接入口。</w:t>
      </w:r>
    </w:p>
    <w:p w14:paraId="1E7152B9">
      <w:pPr>
        <w:spacing w:line="360" w:lineRule="auto"/>
        <w:ind w:firstLine="420"/>
        <w:rPr>
          <w:rFonts w:ascii="宋体" w:hAnsi="宋体" w:cs="宋体"/>
          <w:szCs w:val="21"/>
        </w:rPr>
      </w:pPr>
      <w:r>
        <w:rPr>
          <w:rFonts w:hint="eastAsia" w:ascii="宋体" w:hAnsi="宋体" w:cs="宋体"/>
          <w:szCs w:val="21"/>
        </w:rPr>
        <w:t>（2）信用查询截止时点：资格审查结束前。</w:t>
      </w:r>
    </w:p>
    <w:p w14:paraId="5AA6393B">
      <w:pPr>
        <w:spacing w:line="360" w:lineRule="auto"/>
        <w:ind w:firstLine="420"/>
        <w:rPr>
          <w:rFonts w:ascii="宋体" w:hAnsi="宋体" w:cs="宋体"/>
          <w:szCs w:val="21"/>
        </w:rPr>
      </w:pPr>
      <w:r>
        <w:rPr>
          <w:rFonts w:hint="eastAsia" w:ascii="宋体" w:hAnsi="宋体" w:cs="宋体"/>
          <w:szCs w:val="21"/>
        </w:rPr>
        <w:t>查询记录和证据留存方式：在查询网站中直接打印查询记录，截图另存为电子文档作为评审资料保存。</w:t>
      </w:r>
    </w:p>
    <w:p w14:paraId="318553A1">
      <w:pPr>
        <w:spacing w:line="360" w:lineRule="auto"/>
        <w:ind w:firstLine="420"/>
        <w:rPr>
          <w:rFonts w:ascii="宋体" w:hAnsi="宋体" w:cs="宋体"/>
          <w:szCs w:val="21"/>
        </w:rPr>
      </w:pPr>
      <w:r>
        <w:rPr>
          <w:rFonts w:hint="eastAsia" w:ascii="宋体" w:hAnsi="宋体" w:cs="宋体"/>
          <w:szCs w:val="21"/>
        </w:rPr>
        <w:t>（3）信用信息使用规则：对在“信用中国”网站(www.creditchina.gov.cn) 、中国政府采购网(www.ccgp.gov.cn)被列入失信被执行人、</w:t>
      </w:r>
      <w:r>
        <w:rPr>
          <w:rFonts w:hint="eastAsia" w:ascii="宋体" w:hAnsi="宋体"/>
          <w:szCs w:val="21"/>
        </w:rPr>
        <w:t>重大税收违法失信主体</w:t>
      </w:r>
      <w:r>
        <w:rPr>
          <w:rFonts w:hint="eastAsia" w:ascii="宋体" w:hAnsi="宋体" w:cs="宋体"/>
          <w:szCs w:val="21"/>
        </w:rPr>
        <w:t>、政府采购严重违法失信行为记录名单及其他不符合《中华人民共和国政府采购法》第二十二条规定条件的供应商，资格审查不通过，不得参与政府采购活动。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617BC9C6">
      <w:pPr>
        <w:spacing w:line="360" w:lineRule="auto"/>
        <w:ind w:firstLine="422"/>
        <w:rPr>
          <w:rFonts w:ascii="宋体" w:hAnsi="宋体" w:cs="宋体"/>
          <w:b/>
          <w:szCs w:val="21"/>
        </w:rPr>
      </w:pPr>
      <w:r>
        <w:rPr>
          <w:rFonts w:hint="eastAsia" w:ascii="宋体" w:hAnsi="宋体" w:cs="宋体"/>
          <w:b/>
          <w:szCs w:val="21"/>
        </w:rPr>
        <w:t>2.2资格审查标准为本谈判文件中载明对供应商资格要求的条件。资格审查采用合格制，凡符合谈判文件规定的供应商资格要求的响应文件均通过资格审查。</w:t>
      </w:r>
    </w:p>
    <w:p w14:paraId="4D143CD5">
      <w:pPr>
        <w:spacing w:line="360" w:lineRule="auto"/>
        <w:ind w:firstLine="422"/>
        <w:rPr>
          <w:rFonts w:ascii="宋体" w:hAnsi="宋体" w:cs="宋体"/>
          <w:b/>
          <w:szCs w:val="21"/>
        </w:rPr>
      </w:pPr>
      <w:r>
        <w:rPr>
          <w:rFonts w:hint="eastAsia" w:ascii="宋体" w:hAnsi="宋体" w:cs="宋体"/>
          <w:b/>
          <w:szCs w:val="21"/>
        </w:rPr>
        <w:t>2.3供应商有下列情形之一的，资格审查不通过，其响应文件按无效响应处理：</w:t>
      </w:r>
    </w:p>
    <w:p w14:paraId="7819A3F5">
      <w:pPr>
        <w:spacing w:line="360" w:lineRule="auto"/>
        <w:ind w:firstLine="422"/>
        <w:rPr>
          <w:rFonts w:ascii="宋体" w:hAnsi="宋体" w:cs="宋体"/>
          <w:b/>
          <w:szCs w:val="21"/>
        </w:rPr>
      </w:pPr>
      <w:r>
        <w:rPr>
          <w:rFonts w:hint="eastAsia" w:ascii="宋体" w:hAnsi="宋体" w:cs="宋体"/>
          <w:b/>
          <w:szCs w:val="21"/>
        </w:rPr>
        <w:t>（1）不具备谈判文件中规定的资格要求的；</w:t>
      </w:r>
    </w:p>
    <w:p w14:paraId="1112C850">
      <w:pPr>
        <w:spacing w:line="360" w:lineRule="auto"/>
        <w:ind w:firstLine="422"/>
        <w:rPr>
          <w:rFonts w:ascii="宋体" w:hAnsi="宋体" w:cs="宋体"/>
          <w:b/>
          <w:szCs w:val="21"/>
        </w:rPr>
      </w:pPr>
      <w:r>
        <w:rPr>
          <w:rFonts w:hint="eastAsia" w:ascii="宋体" w:hAnsi="宋体" w:cs="宋体"/>
          <w:b/>
          <w:szCs w:val="21"/>
        </w:rPr>
        <w:t>（2）响应文件未提供任一项“供应商须知前附表”资格证明文件规定的“必须提供”的文件资料的；</w:t>
      </w:r>
    </w:p>
    <w:p w14:paraId="3F342FFC">
      <w:pPr>
        <w:spacing w:line="360" w:lineRule="auto"/>
        <w:ind w:firstLine="422"/>
        <w:rPr>
          <w:rFonts w:ascii="宋体" w:hAnsi="宋体" w:cs="宋体"/>
          <w:b/>
          <w:szCs w:val="21"/>
        </w:rPr>
      </w:pPr>
      <w:r>
        <w:rPr>
          <w:rFonts w:hint="eastAsia" w:ascii="宋体" w:hAnsi="宋体" w:cs="宋体"/>
          <w:b/>
          <w:szCs w:val="21"/>
        </w:rPr>
        <w:t>（3）响应文件提供的资格证明文件出现任一项不符合“供应商须知前附表”资格证明文件规定的“必须提供”的文件资料要求或者无效的。</w:t>
      </w:r>
    </w:p>
    <w:p w14:paraId="791451C0">
      <w:pPr>
        <w:spacing w:line="360" w:lineRule="auto"/>
        <w:ind w:firstLine="422"/>
        <w:rPr>
          <w:rFonts w:ascii="宋体" w:hAnsi="宋体" w:cs="宋体"/>
          <w:b/>
          <w:szCs w:val="21"/>
        </w:rPr>
      </w:pPr>
      <w:bookmarkStart w:id="56" w:name="_Hlk68601553"/>
      <w:r>
        <w:rPr>
          <w:rFonts w:hint="eastAsia" w:ascii="宋体" w:hAnsi="宋体" w:cs="宋体"/>
          <w:b/>
          <w:szCs w:val="21"/>
        </w:rPr>
        <w:t>（4）同一合同项下的不同供应商，单位负责人为同一人或者存在直接控股、管理关系的；为本项目提供过整体设计、规范编制或者项目管理、监理、检测等服务采购的供应商。</w:t>
      </w:r>
      <w:bookmarkEnd w:id="56"/>
    </w:p>
    <w:p w14:paraId="3E3A4EC5">
      <w:pPr>
        <w:spacing w:line="360" w:lineRule="auto"/>
        <w:ind w:firstLine="420"/>
        <w:rPr>
          <w:rFonts w:ascii="宋体" w:hAnsi="宋体" w:cs="宋体"/>
          <w:szCs w:val="21"/>
        </w:rPr>
      </w:pPr>
      <w:r>
        <w:rPr>
          <w:rFonts w:hint="eastAsia" w:ascii="宋体" w:hAnsi="宋体" w:cs="宋体"/>
          <w:szCs w:val="21"/>
        </w:rPr>
        <w:t>2.4通过资格审查的合格供应商不足3家的，不得进入符合性审查环节，</w:t>
      </w:r>
      <w:r>
        <w:rPr>
          <w:rFonts w:hint="eastAsia" w:ascii="宋体" w:hAnsi="宋体"/>
          <w:szCs w:val="21"/>
        </w:rPr>
        <w:t>采购人或者采购代理机构应当重新开展采购活动。</w:t>
      </w:r>
    </w:p>
    <w:p w14:paraId="72CBC781">
      <w:pPr>
        <w:spacing w:line="360" w:lineRule="auto"/>
        <w:ind w:firstLine="482"/>
        <w:rPr>
          <w:rFonts w:ascii="黑体" w:hAnsi="黑体" w:eastAsia="黑体" w:cs="宋体"/>
          <w:b/>
          <w:bCs/>
          <w:sz w:val="24"/>
        </w:rPr>
      </w:pPr>
      <w:r>
        <w:rPr>
          <w:rFonts w:hint="eastAsia" w:ascii="黑体" w:hAnsi="黑体" w:eastAsia="黑体" w:cs="宋体"/>
          <w:b/>
          <w:bCs/>
          <w:sz w:val="24"/>
        </w:rPr>
        <w:t>3.符合性审查</w:t>
      </w:r>
    </w:p>
    <w:p w14:paraId="1B22DBC9">
      <w:pPr>
        <w:spacing w:line="360" w:lineRule="auto"/>
        <w:ind w:firstLine="420"/>
        <w:rPr>
          <w:rFonts w:ascii="宋体" w:hAnsi="宋体" w:cs="宋体"/>
          <w:szCs w:val="21"/>
        </w:rPr>
      </w:pPr>
      <w:bookmarkStart w:id="57" w:name="_Hlk42528882"/>
      <w:r>
        <w:rPr>
          <w:rFonts w:hint="eastAsia" w:ascii="宋体" w:hAnsi="宋体" w:cs="宋体"/>
          <w:szCs w:val="21"/>
        </w:rPr>
        <w:t>3.1由谈判小组对</w:t>
      </w:r>
      <w:r>
        <w:rPr>
          <w:rFonts w:hint="eastAsia" w:ascii="宋体" w:hAnsi="宋体"/>
          <w:szCs w:val="21"/>
        </w:rPr>
        <w:t>通过资格审查的合格供应商</w:t>
      </w:r>
      <w:r>
        <w:rPr>
          <w:rFonts w:hint="eastAsia" w:ascii="宋体" w:hAnsi="宋体" w:cs="宋体"/>
          <w:szCs w:val="21"/>
        </w:rPr>
        <w:t>的响应文件的响应报价、商务、技术等实质性要求进行符合性审查，以确定其是否满足谈判文件的实质性要求。</w:t>
      </w:r>
    </w:p>
    <w:bookmarkEnd w:id="57"/>
    <w:p w14:paraId="7733F153">
      <w:pPr>
        <w:spacing w:line="360" w:lineRule="auto"/>
        <w:ind w:firstLine="420"/>
        <w:rPr>
          <w:rFonts w:ascii="宋体" w:hAnsi="宋体" w:cs="宋体"/>
          <w:szCs w:val="21"/>
        </w:rPr>
      </w:pPr>
      <w:r>
        <w:rPr>
          <w:rFonts w:hint="eastAsia" w:ascii="宋体" w:hAnsi="宋体" w:cs="宋体"/>
          <w:szCs w:val="21"/>
        </w:rPr>
        <w:t>3.2谈判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B76673A">
      <w:pPr>
        <w:spacing w:line="360" w:lineRule="auto"/>
        <w:ind w:firstLine="420"/>
        <w:rPr>
          <w:rFonts w:ascii="宋体" w:hAnsi="宋体" w:cs="宋体"/>
          <w:spacing w:val="-6"/>
          <w:szCs w:val="21"/>
        </w:rPr>
      </w:pPr>
      <w:r>
        <w:rPr>
          <w:rFonts w:hint="eastAsia" w:ascii="宋体" w:hAnsi="宋体" w:cs="宋体"/>
          <w:szCs w:val="21"/>
        </w:rPr>
        <w:t>3.3谈判小组要求供应商澄清、说明或者更正响应文件应当以电子澄清函形式作出。供应商的澄清、说明或者更正应当以电子回函形式按照谈判小组的要求作出明确的澄清、说明或者更正，未按谈判小组的要求作出明确澄清、说明或者更正的供应商的响应文件将按照有利于采购人的原则由谈判小组进行判定。供应商的澄清、说明或者更正必须加盖电子公章</w:t>
      </w:r>
      <w:r>
        <w:rPr>
          <w:rFonts w:hint="eastAsia" w:ascii="宋体" w:hAnsi="宋体" w:cs="宋体"/>
          <w:spacing w:val="-6"/>
          <w:szCs w:val="21"/>
        </w:rPr>
        <w:t>。供应商为自然人的，必须由本人签字并附身份证明。</w:t>
      </w:r>
    </w:p>
    <w:p w14:paraId="2FD6AA08">
      <w:pPr>
        <w:spacing w:line="360" w:lineRule="auto"/>
        <w:ind w:firstLine="396"/>
        <w:rPr>
          <w:rFonts w:ascii="宋体" w:hAnsi="宋体" w:cs="宋体"/>
          <w:szCs w:val="21"/>
        </w:rPr>
      </w:pPr>
      <w:r>
        <w:rPr>
          <w:rFonts w:hint="eastAsia" w:ascii="宋体" w:hAnsi="宋体" w:cs="宋体"/>
          <w:spacing w:val="-6"/>
          <w:szCs w:val="21"/>
        </w:rPr>
        <w:t>3.4</w:t>
      </w:r>
      <w:r>
        <w:rPr>
          <w:rFonts w:hint="eastAsia" w:ascii="宋体" w:hAnsi="宋体" w:cs="宋体"/>
          <w:szCs w:val="21"/>
        </w:rPr>
        <w:t>首次响应文件报价出现前后不一致的，按照下列规定修正：</w:t>
      </w:r>
    </w:p>
    <w:p w14:paraId="798C9718">
      <w:pPr>
        <w:spacing w:line="360" w:lineRule="auto"/>
        <w:ind w:firstLine="420"/>
        <w:rPr>
          <w:rFonts w:ascii="宋体" w:hAnsi="宋体" w:cs="宋体"/>
          <w:szCs w:val="21"/>
        </w:rPr>
      </w:pPr>
      <w:r>
        <w:rPr>
          <w:rFonts w:hint="eastAsia" w:ascii="宋体" w:hAnsi="宋体" w:cs="宋体"/>
          <w:szCs w:val="21"/>
        </w:rPr>
        <w:t>（1）响应文件中报价表内容与响应文件中相应内容不一致的，以报价表为准；</w:t>
      </w:r>
    </w:p>
    <w:p w14:paraId="012C2EBD">
      <w:pPr>
        <w:spacing w:line="360" w:lineRule="auto"/>
        <w:ind w:firstLine="420"/>
        <w:rPr>
          <w:rFonts w:ascii="宋体" w:hAnsi="宋体" w:cs="宋体"/>
          <w:szCs w:val="21"/>
        </w:rPr>
      </w:pPr>
      <w:r>
        <w:rPr>
          <w:rFonts w:hint="eastAsia" w:ascii="宋体" w:hAnsi="宋体" w:cs="宋体"/>
          <w:szCs w:val="21"/>
        </w:rPr>
        <w:t>（2）大写金额和小写金额不一致的，以大写金额为准；</w:t>
      </w:r>
    </w:p>
    <w:p w14:paraId="4B2CAF38">
      <w:pPr>
        <w:spacing w:line="360" w:lineRule="auto"/>
        <w:ind w:firstLine="420"/>
        <w:rPr>
          <w:rFonts w:ascii="宋体" w:hAnsi="宋体" w:cs="宋体"/>
          <w:szCs w:val="21"/>
        </w:rPr>
      </w:pPr>
      <w:r>
        <w:rPr>
          <w:rFonts w:hint="eastAsia" w:ascii="宋体" w:hAnsi="宋体" w:cs="宋体"/>
          <w:szCs w:val="21"/>
        </w:rPr>
        <w:t>（3）单价金额小数点或者百分比有明显错位的，以报价表的总价为准，并修改单价；</w:t>
      </w:r>
    </w:p>
    <w:p w14:paraId="6EF7FE08">
      <w:pPr>
        <w:spacing w:line="360" w:lineRule="auto"/>
        <w:ind w:firstLine="420"/>
        <w:rPr>
          <w:rFonts w:ascii="宋体" w:hAnsi="宋体" w:cs="宋体"/>
          <w:szCs w:val="21"/>
        </w:rPr>
      </w:pPr>
      <w:r>
        <w:rPr>
          <w:rFonts w:hint="eastAsia" w:ascii="宋体" w:hAnsi="宋体" w:cs="宋体"/>
          <w:szCs w:val="21"/>
        </w:rPr>
        <w:t>（4）总价金额与按单价汇总金额不一致的，以单价金额计算结果为准。</w:t>
      </w:r>
    </w:p>
    <w:p w14:paraId="5C9E86F2">
      <w:pPr>
        <w:spacing w:line="360" w:lineRule="auto"/>
        <w:ind w:firstLine="420"/>
        <w:rPr>
          <w:rFonts w:ascii="宋体" w:hAnsi="宋体" w:cs="宋体"/>
          <w:szCs w:val="21"/>
        </w:rPr>
      </w:pPr>
      <w:r>
        <w:rPr>
          <w:rFonts w:hint="eastAsia" w:ascii="宋体" w:hAnsi="宋体" w:cs="宋体"/>
          <w:szCs w:val="21"/>
        </w:rPr>
        <w:t>同时出现两种以上不一致的，按照以上（1）-（4）规定的顺序逐条进行修正。修正后的报价经供应商确认后产生约束力，供应商不确认的，其响应文件按无效响应处理。</w:t>
      </w:r>
    </w:p>
    <w:p w14:paraId="4FD761FF">
      <w:pPr>
        <w:spacing w:line="360" w:lineRule="auto"/>
        <w:ind w:firstLine="422"/>
        <w:rPr>
          <w:rFonts w:ascii="宋体" w:hAnsi="宋体" w:cs="宋体"/>
          <w:b/>
          <w:szCs w:val="21"/>
        </w:rPr>
      </w:pPr>
      <w:r>
        <w:rPr>
          <w:rFonts w:hint="eastAsia" w:ascii="宋体" w:hAnsi="宋体" w:cs="宋体"/>
          <w:b/>
          <w:szCs w:val="21"/>
        </w:rPr>
        <w:t>3.5商务技术、报价评审</w:t>
      </w:r>
    </w:p>
    <w:p w14:paraId="640DE89D">
      <w:pPr>
        <w:spacing w:line="360" w:lineRule="auto"/>
        <w:ind w:firstLine="422"/>
        <w:rPr>
          <w:rFonts w:ascii="宋体" w:hAnsi="宋体" w:cs="宋体"/>
          <w:b/>
          <w:szCs w:val="21"/>
        </w:rPr>
      </w:pPr>
      <w:r>
        <w:rPr>
          <w:rFonts w:hint="eastAsia" w:ascii="宋体" w:hAnsi="宋体" w:cs="宋体"/>
          <w:b/>
          <w:szCs w:val="21"/>
        </w:rPr>
        <w:t>在评审时，如发现下列情形之一的，将被视为响应文件无效处理：</w:t>
      </w:r>
    </w:p>
    <w:p w14:paraId="14E13F63">
      <w:pPr>
        <w:spacing w:line="360" w:lineRule="auto"/>
        <w:ind w:firstLine="422"/>
        <w:rPr>
          <w:rFonts w:ascii="宋体" w:hAnsi="宋体" w:cs="宋体"/>
          <w:b/>
          <w:szCs w:val="21"/>
        </w:rPr>
      </w:pPr>
      <w:r>
        <w:rPr>
          <w:rFonts w:hint="eastAsia" w:ascii="宋体" w:hAnsi="宋体" w:cs="宋体"/>
          <w:b/>
          <w:szCs w:val="21"/>
        </w:rPr>
        <w:t>（1）商务技术评审</w:t>
      </w:r>
    </w:p>
    <w:p w14:paraId="76398AB3">
      <w:pPr>
        <w:spacing w:line="360" w:lineRule="auto"/>
        <w:ind w:firstLine="422"/>
        <w:rPr>
          <w:rFonts w:ascii="宋体" w:hAnsi="宋体" w:cs="宋体"/>
          <w:b/>
          <w:szCs w:val="21"/>
        </w:rPr>
      </w:pPr>
      <w:r>
        <w:rPr>
          <w:rFonts w:hint="eastAsia" w:ascii="宋体" w:hAnsi="宋体" w:cs="宋体"/>
          <w:b/>
          <w:szCs w:val="21"/>
        </w:rPr>
        <w:t>1）响应文件未按谈判文件要求签署、盖章；</w:t>
      </w:r>
    </w:p>
    <w:p w14:paraId="04DA6957">
      <w:pPr>
        <w:spacing w:line="360" w:lineRule="auto"/>
        <w:ind w:firstLine="422"/>
        <w:rPr>
          <w:rFonts w:ascii="宋体" w:hAnsi="宋体" w:cs="宋体"/>
          <w:b/>
          <w:szCs w:val="21"/>
        </w:rPr>
      </w:pPr>
      <w:r>
        <w:rPr>
          <w:rFonts w:hint="eastAsia" w:ascii="宋体" w:hAnsi="宋体" w:cs="宋体"/>
          <w:b/>
          <w:szCs w:val="21"/>
        </w:rPr>
        <w:t>2）委托代理人未能出具有效身份证明或者出具的身份证明与授权委托书中的信息不符；</w:t>
      </w:r>
    </w:p>
    <w:p w14:paraId="06DECFBF">
      <w:pPr>
        <w:spacing w:line="360" w:lineRule="auto"/>
        <w:ind w:firstLine="422"/>
        <w:rPr>
          <w:rFonts w:ascii="宋体" w:hAnsi="宋体" w:cs="宋体"/>
          <w:b/>
          <w:szCs w:val="21"/>
        </w:rPr>
      </w:pPr>
      <w:r>
        <w:rPr>
          <w:rFonts w:hint="eastAsia" w:ascii="宋体" w:hAnsi="宋体" w:cs="宋体"/>
          <w:b/>
          <w:szCs w:val="21"/>
        </w:rPr>
        <w:t>3）响应文件未提供任一项“供应商须知前附表”商务技术文件中“必须提供”或者“委托时必须提供”的文件资料；响应文件提供的商务技术文件出现任一项不符合“供应商须知前附表”商务技术文件中“必须提供”或者“委托时必须提供”文件资料要求的规定或者提供的商务技术文件无效。</w:t>
      </w:r>
    </w:p>
    <w:p w14:paraId="7C393C2A">
      <w:pPr>
        <w:spacing w:line="360" w:lineRule="auto"/>
        <w:ind w:firstLine="422"/>
        <w:rPr>
          <w:rFonts w:ascii="宋体" w:hAnsi="宋体" w:cs="宋体"/>
          <w:b/>
          <w:szCs w:val="21"/>
        </w:rPr>
      </w:pPr>
      <w:r>
        <w:rPr>
          <w:rFonts w:hint="eastAsia" w:ascii="宋体" w:hAnsi="宋体" w:cs="宋体"/>
          <w:b/>
          <w:szCs w:val="21"/>
        </w:rPr>
        <w:t>4）商务条款中标“▲”的条款发生负偏离的或者允许负偏离的条款数超过“供应商须知前附表”规定项数的或者标明实质性的要求发生负偏离；</w:t>
      </w:r>
    </w:p>
    <w:p w14:paraId="47CF7AF4">
      <w:pPr>
        <w:spacing w:line="360" w:lineRule="auto"/>
        <w:ind w:firstLine="422"/>
        <w:rPr>
          <w:rFonts w:ascii="宋体" w:hAnsi="宋体" w:cs="宋体"/>
          <w:b/>
          <w:szCs w:val="21"/>
        </w:rPr>
      </w:pPr>
      <w:r>
        <w:rPr>
          <w:rFonts w:hint="eastAsia" w:ascii="宋体" w:hAnsi="宋体" w:cs="宋体"/>
          <w:b/>
          <w:szCs w:val="21"/>
        </w:rPr>
        <w:t>5）未对竞标有效期作出响应或者响应文件承诺的竞标有效期不满足谈判文件要求；</w:t>
      </w:r>
    </w:p>
    <w:p w14:paraId="1D5C8F4C">
      <w:pPr>
        <w:spacing w:line="360" w:lineRule="auto"/>
        <w:ind w:firstLine="422"/>
        <w:rPr>
          <w:rFonts w:ascii="宋体" w:hAnsi="宋体" w:cs="宋体"/>
          <w:b/>
          <w:szCs w:val="21"/>
        </w:rPr>
      </w:pPr>
      <w:r>
        <w:rPr>
          <w:rFonts w:hint="eastAsia" w:ascii="宋体" w:hAnsi="宋体" w:cs="宋体"/>
          <w:b/>
          <w:szCs w:val="21"/>
        </w:rPr>
        <w:t>6）响应文件的实质性内容未使用中文表述、使用计量单位不符合谈判文件要求；</w:t>
      </w:r>
    </w:p>
    <w:p w14:paraId="5F12AD73">
      <w:pPr>
        <w:spacing w:line="360" w:lineRule="auto"/>
        <w:ind w:firstLine="422"/>
        <w:rPr>
          <w:rFonts w:ascii="宋体" w:hAnsi="宋体" w:cs="宋体"/>
          <w:b/>
          <w:szCs w:val="21"/>
        </w:rPr>
      </w:pPr>
      <w:r>
        <w:rPr>
          <w:rFonts w:hint="eastAsia" w:ascii="宋体" w:hAnsi="宋体" w:cs="宋体"/>
          <w:b/>
          <w:szCs w:val="21"/>
        </w:rPr>
        <w:t>7）响应文件中的文件资料因填写不齐全或者内容虚假或者出现其他情形而导致被谈判小组认定无效；</w:t>
      </w:r>
    </w:p>
    <w:p w14:paraId="6D55A669">
      <w:pPr>
        <w:spacing w:line="360" w:lineRule="auto"/>
        <w:ind w:firstLine="422"/>
        <w:rPr>
          <w:rFonts w:ascii="宋体" w:hAnsi="宋体" w:cs="宋体"/>
          <w:b/>
          <w:szCs w:val="21"/>
        </w:rPr>
      </w:pPr>
      <w:r>
        <w:rPr>
          <w:rFonts w:hint="eastAsia" w:ascii="宋体" w:hAnsi="宋体" w:cs="宋体"/>
          <w:b/>
          <w:szCs w:val="21"/>
        </w:rPr>
        <w:t>8）响应文件含有采购人不能接受的附加条件；</w:t>
      </w:r>
    </w:p>
    <w:p w14:paraId="240E1C66">
      <w:pPr>
        <w:spacing w:line="360" w:lineRule="auto"/>
        <w:ind w:firstLine="422"/>
        <w:rPr>
          <w:rFonts w:ascii="宋体" w:hAnsi="宋体" w:cs="宋体"/>
          <w:b/>
          <w:szCs w:val="21"/>
        </w:rPr>
      </w:pPr>
      <w:r>
        <w:rPr>
          <w:rFonts w:hint="eastAsia" w:ascii="宋体" w:hAnsi="宋体" w:cs="宋体"/>
          <w:b/>
          <w:szCs w:val="21"/>
        </w:rPr>
        <w:t>9）属于“供应商须知正文”第7.5条情形；</w:t>
      </w:r>
    </w:p>
    <w:p w14:paraId="2AC5CF95">
      <w:pPr>
        <w:spacing w:line="360" w:lineRule="auto"/>
        <w:ind w:firstLine="422"/>
        <w:rPr>
          <w:rFonts w:ascii="宋体" w:hAnsi="宋体" w:cs="宋体"/>
          <w:b/>
          <w:szCs w:val="21"/>
        </w:rPr>
      </w:pPr>
      <w:r>
        <w:rPr>
          <w:rFonts w:hint="eastAsia" w:ascii="宋体" w:hAnsi="宋体" w:cs="宋体"/>
          <w:b/>
          <w:szCs w:val="21"/>
        </w:rPr>
        <w:t>10）技术需求允许负偏离的条款数超过“供应商须知前附表”规定项数；</w:t>
      </w:r>
    </w:p>
    <w:p w14:paraId="28B7191F">
      <w:pPr>
        <w:spacing w:line="360" w:lineRule="auto"/>
        <w:ind w:firstLine="422"/>
        <w:rPr>
          <w:rFonts w:ascii="宋体" w:hAnsi="宋体" w:cs="宋体"/>
          <w:b/>
          <w:szCs w:val="21"/>
        </w:rPr>
      </w:pPr>
      <w:r>
        <w:rPr>
          <w:rFonts w:hint="eastAsia" w:ascii="宋体" w:hAnsi="宋体" w:cs="宋体"/>
          <w:b/>
          <w:szCs w:val="21"/>
        </w:rPr>
        <w:t>11）虚假竞标，或者出现其他情形而导致被谈判小组认定无效；</w:t>
      </w:r>
    </w:p>
    <w:p w14:paraId="79D8C715">
      <w:pPr>
        <w:spacing w:line="360" w:lineRule="auto"/>
        <w:ind w:firstLine="422"/>
        <w:rPr>
          <w:rFonts w:ascii="宋体" w:hAnsi="宋体" w:cs="宋体"/>
          <w:b/>
          <w:szCs w:val="21"/>
        </w:rPr>
      </w:pPr>
      <w:r>
        <w:rPr>
          <w:rFonts w:hint="eastAsia" w:ascii="宋体" w:hAnsi="宋体" w:cs="宋体"/>
          <w:b/>
          <w:szCs w:val="21"/>
        </w:rPr>
        <w:t>12）竞标技术方案不明确，谈判文件未允许</w:t>
      </w:r>
      <w:r>
        <w:rPr>
          <w:rFonts w:hint="eastAsia" w:ascii="宋体" w:hAnsi="宋体"/>
          <w:b/>
          <w:szCs w:val="21"/>
        </w:rPr>
        <w:t>但响应文件中</w:t>
      </w:r>
      <w:r>
        <w:rPr>
          <w:rFonts w:hint="eastAsia" w:ascii="宋体" w:hAnsi="宋体" w:cs="宋体"/>
          <w:b/>
          <w:szCs w:val="21"/>
        </w:rPr>
        <w:t>存在一个或者一个以上备选（替代）竞标方案；</w:t>
      </w:r>
    </w:p>
    <w:p w14:paraId="7A38693D">
      <w:pPr>
        <w:spacing w:line="360" w:lineRule="auto"/>
        <w:ind w:firstLine="422"/>
        <w:rPr>
          <w:rFonts w:ascii="宋体" w:hAnsi="宋体" w:cs="宋体"/>
          <w:b/>
          <w:szCs w:val="21"/>
        </w:rPr>
      </w:pPr>
      <w:r>
        <w:rPr>
          <w:rFonts w:hint="eastAsia" w:ascii="宋体" w:hAnsi="宋体" w:cs="宋体"/>
          <w:b/>
          <w:szCs w:val="21"/>
        </w:rPr>
        <w:t>13）响应文件标注的项目名称或者项目编号与竞争性谈判文件标注的项目名称或者项目编号不一致的；</w:t>
      </w:r>
    </w:p>
    <w:p w14:paraId="2233E7A0">
      <w:pPr>
        <w:spacing w:line="360" w:lineRule="auto"/>
        <w:ind w:firstLine="422"/>
        <w:rPr>
          <w:rFonts w:ascii="宋体" w:hAnsi="宋体" w:cs="宋体"/>
          <w:b/>
          <w:szCs w:val="21"/>
        </w:rPr>
      </w:pPr>
      <w:r>
        <w:rPr>
          <w:rFonts w:hint="eastAsia" w:ascii="宋体" w:hAnsi="宋体" w:cs="宋体"/>
          <w:b/>
          <w:szCs w:val="21"/>
        </w:rPr>
        <w:t>14）未响应谈判文件实质性要求；</w:t>
      </w:r>
    </w:p>
    <w:p w14:paraId="2E7B6196">
      <w:pPr>
        <w:spacing w:line="360" w:lineRule="auto"/>
        <w:ind w:firstLine="422"/>
        <w:rPr>
          <w:rFonts w:ascii="宋体" w:hAnsi="宋体" w:cs="宋体"/>
          <w:b/>
          <w:szCs w:val="21"/>
        </w:rPr>
      </w:pPr>
      <w:r>
        <w:rPr>
          <w:rFonts w:hint="eastAsia" w:ascii="宋体" w:hAnsi="宋体" w:cs="宋体"/>
          <w:b/>
          <w:szCs w:val="21"/>
        </w:rPr>
        <w:t>15）法律、法规和谈判文件规定的其他无效情形。</w:t>
      </w:r>
    </w:p>
    <w:p w14:paraId="3147B8FC">
      <w:pPr>
        <w:spacing w:line="360" w:lineRule="auto"/>
        <w:ind w:firstLine="422"/>
        <w:rPr>
          <w:rFonts w:ascii="宋体" w:hAnsi="宋体" w:cs="宋体"/>
          <w:b/>
          <w:szCs w:val="21"/>
        </w:rPr>
      </w:pPr>
      <w:r>
        <w:rPr>
          <w:rFonts w:hint="eastAsia" w:ascii="宋体" w:hAnsi="宋体" w:cs="宋体"/>
          <w:b/>
          <w:szCs w:val="21"/>
        </w:rPr>
        <w:t>（2）报价评审</w:t>
      </w:r>
    </w:p>
    <w:p w14:paraId="20F2C236">
      <w:pPr>
        <w:spacing w:line="360" w:lineRule="auto"/>
        <w:ind w:firstLine="422"/>
        <w:rPr>
          <w:rFonts w:ascii="宋体" w:hAnsi="宋体" w:cs="宋体"/>
          <w:b/>
          <w:szCs w:val="21"/>
        </w:rPr>
      </w:pPr>
      <w:r>
        <w:rPr>
          <w:rFonts w:hint="eastAsia" w:ascii="宋体" w:hAnsi="宋体" w:cs="宋体"/>
          <w:b/>
          <w:szCs w:val="21"/>
        </w:rPr>
        <w:t>1) 响应文件未提供“供应商须知前附表”报价文件中规定的“响应报价表”；</w:t>
      </w:r>
    </w:p>
    <w:p w14:paraId="40F9A4E9">
      <w:pPr>
        <w:spacing w:line="360" w:lineRule="auto"/>
        <w:ind w:firstLine="422"/>
        <w:rPr>
          <w:rFonts w:ascii="宋体" w:hAnsi="宋体" w:cs="宋体"/>
          <w:b/>
          <w:szCs w:val="21"/>
        </w:rPr>
      </w:pPr>
      <w:r>
        <w:rPr>
          <w:rFonts w:hint="eastAsia" w:ascii="宋体" w:hAnsi="宋体" w:cs="宋体"/>
          <w:b/>
          <w:szCs w:val="21"/>
        </w:rPr>
        <w:t>2）未采用人民币报价或者未按照谈判文件标明的币种报价；</w:t>
      </w:r>
    </w:p>
    <w:p w14:paraId="656CDE80">
      <w:pPr>
        <w:spacing w:line="360" w:lineRule="auto"/>
        <w:ind w:firstLine="422"/>
        <w:rPr>
          <w:rFonts w:ascii="宋体" w:hAnsi="宋体" w:cs="宋体"/>
          <w:b/>
          <w:szCs w:val="21"/>
        </w:rPr>
      </w:pPr>
      <w:r>
        <w:rPr>
          <w:rFonts w:hint="eastAsia" w:ascii="宋体" w:hAnsi="宋体" w:cs="宋体"/>
          <w:b/>
          <w:szCs w:val="21"/>
        </w:rPr>
        <w:t>3）供应商未就所竞标分标进行报价或者存在漏项报价；供应商未就所竞标分标的单项内容作唯一报价；供应商未就所竞标分标的全部内容作唯一总价报价；供应商响应文件中存在有选择、有条件报价的（谈判文件允许有备选方案或者其他约定的除外）；</w:t>
      </w:r>
    </w:p>
    <w:p w14:paraId="1A84FF47">
      <w:pPr>
        <w:spacing w:line="360" w:lineRule="auto"/>
        <w:ind w:firstLine="422"/>
        <w:rPr>
          <w:rFonts w:ascii="宋体" w:hAnsi="宋体" w:cs="宋体"/>
          <w:b/>
          <w:szCs w:val="21"/>
        </w:rPr>
      </w:pPr>
      <w:r>
        <w:rPr>
          <w:rFonts w:hint="eastAsia" w:ascii="宋体" w:hAnsi="宋体" w:cs="宋体"/>
          <w:b/>
          <w:szCs w:val="21"/>
        </w:rPr>
        <w:t>4）响应报价（包含首次报价、最后报价）超过所竞标分标规定的采购预算金额或者最高限价的（如本项目公布了最高限价）；</w:t>
      </w:r>
      <w:bookmarkStart w:id="58" w:name="_Hlk42596405"/>
      <w:r>
        <w:rPr>
          <w:rFonts w:hint="eastAsia" w:ascii="宋体" w:hAnsi="宋体" w:cs="宋体"/>
          <w:b/>
          <w:szCs w:val="21"/>
        </w:rPr>
        <w:t>响应报价（包含首次报价、最后报价）</w:t>
      </w:r>
      <w:bookmarkEnd w:id="58"/>
      <w:bookmarkStart w:id="59" w:name="_Hlk42596276"/>
      <w:r>
        <w:rPr>
          <w:rFonts w:hint="eastAsia" w:ascii="宋体" w:hAnsi="宋体" w:cs="宋体"/>
          <w:b/>
          <w:szCs w:val="21"/>
        </w:rPr>
        <w:t>超过谈判文件分项采购预算金额或者最高限价的</w:t>
      </w:r>
      <w:bookmarkEnd w:id="59"/>
      <w:r>
        <w:rPr>
          <w:rFonts w:hint="eastAsia" w:ascii="宋体" w:hAnsi="宋体" w:cs="宋体"/>
          <w:b/>
          <w:szCs w:val="21"/>
        </w:rPr>
        <w:t>（如本项目公布了最高限价）；</w:t>
      </w:r>
    </w:p>
    <w:p w14:paraId="51EF54A9">
      <w:pPr>
        <w:spacing w:line="360" w:lineRule="auto"/>
        <w:ind w:firstLine="422"/>
        <w:rPr>
          <w:rFonts w:ascii="宋体" w:hAnsi="宋体" w:cs="宋体"/>
          <w:b/>
          <w:szCs w:val="21"/>
        </w:rPr>
      </w:pPr>
      <w:r>
        <w:rPr>
          <w:rFonts w:hint="eastAsia" w:ascii="宋体" w:hAnsi="宋体" w:cs="宋体"/>
          <w:b/>
          <w:szCs w:val="21"/>
        </w:rPr>
        <w:t>5）修正后的报价，供应商不确认的；或者经供应商确认修正后的响应报价（包含首次报价、最后报价）超过所竞标分标规定的采购预算金额或者最高限价（如本项目公布了最高限价）；或者经供应商确认修正后响应报价（包含首次报价、最后报价）超过谈判文件分项采购预算金额或者最高限价的（如本项目公布了最高限价）。</w:t>
      </w:r>
    </w:p>
    <w:p w14:paraId="3AB08CD3">
      <w:pPr>
        <w:spacing w:line="360" w:lineRule="auto"/>
        <w:ind w:firstLine="422"/>
        <w:rPr>
          <w:rFonts w:ascii="宋体" w:hAnsi="宋体" w:cs="宋体"/>
          <w:b/>
          <w:szCs w:val="21"/>
        </w:rPr>
      </w:pPr>
      <w:r>
        <w:rPr>
          <w:rFonts w:hint="eastAsia" w:ascii="宋体" w:hAnsi="宋体" w:cs="宋体"/>
          <w:b/>
          <w:szCs w:val="21"/>
        </w:rPr>
        <w:t>6）</w:t>
      </w:r>
      <w:r>
        <w:rPr>
          <w:rFonts w:hint="eastAsia" w:ascii="宋体" w:hAnsi="宋体"/>
          <w:b/>
          <w:szCs w:val="21"/>
        </w:rPr>
        <w:t>响应文件响应的标的数量及单位与竞争性谈判采购文件要求实质性不一致的。</w:t>
      </w:r>
    </w:p>
    <w:p w14:paraId="548BD4F1">
      <w:pPr>
        <w:spacing w:line="360" w:lineRule="auto"/>
        <w:ind w:firstLine="420"/>
        <w:rPr>
          <w:rFonts w:ascii="宋体" w:hAnsi="宋体" w:cs="宋体"/>
          <w:szCs w:val="21"/>
        </w:rPr>
      </w:pPr>
      <w:r>
        <w:rPr>
          <w:rFonts w:hint="eastAsia" w:ascii="宋体" w:hAnsi="宋体" w:cs="宋体"/>
          <w:szCs w:val="21"/>
        </w:rPr>
        <w:t>3.6谈判小组对响应文件进行评审，未实质性响应谈判文件的响应文件按无效处理。谈判小组应当将资格和符合性不通过的情况告知有关供应商。谈判小组从符合谈判文件规定的相应资格条件的供应商名单中确定不少于3家的供应商参加谈判。</w:t>
      </w:r>
    </w:p>
    <w:p w14:paraId="36E96F9C">
      <w:pPr>
        <w:spacing w:line="360" w:lineRule="auto"/>
        <w:ind w:firstLine="420"/>
        <w:rPr>
          <w:rFonts w:ascii="宋体" w:hAnsi="宋体" w:cs="宋体"/>
          <w:szCs w:val="21"/>
        </w:rPr>
      </w:pPr>
      <w:r>
        <w:rPr>
          <w:rFonts w:hint="eastAsia" w:ascii="宋体" w:hAnsi="宋体" w:cs="宋体"/>
          <w:szCs w:val="21"/>
        </w:rPr>
        <w:t>3.7通过符合性审查的合格供应商不足3家的，不得进入谈判环节，应当重新开展采购活动。</w:t>
      </w:r>
    </w:p>
    <w:p w14:paraId="7ED5B4A2">
      <w:pPr>
        <w:spacing w:line="360" w:lineRule="auto"/>
        <w:ind w:firstLine="482"/>
        <w:rPr>
          <w:rFonts w:ascii="黑体" w:hAnsi="黑体" w:eastAsia="黑体" w:cs="宋体"/>
          <w:b/>
          <w:bCs/>
          <w:sz w:val="24"/>
        </w:rPr>
      </w:pPr>
      <w:r>
        <w:rPr>
          <w:rFonts w:hint="eastAsia" w:ascii="黑体" w:hAnsi="黑体" w:eastAsia="黑体" w:cs="宋体"/>
          <w:b/>
          <w:bCs/>
          <w:sz w:val="24"/>
        </w:rPr>
        <w:t>4.谈判程序</w:t>
      </w:r>
    </w:p>
    <w:p w14:paraId="454B9B21">
      <w:pPr>
        <w:spacing w:line="360" w:lineRule="auto"/>
        <w:ind w:firstLine="420"/>
        <w:rPr>
          <w:rFonts w:ascii="宋体" w:hAnsi="宋体" w:cs="宋体"/>
          <w:b/>
          <w:szCs w:val="21"/>
        </w:rPr>
      </w:pPr>
      <w:r>
        <w:rPr>
          <w:rFonts w:hint="eastAsia" w:ascii="宋体" w:hAnsi="宋体" w:cs="宋体"/>
          <w:szCs w:val="21"/>
        </w:rPr>
        <w:t>4.1谈判小组按照“供应商须知前附表”确定的顺序，集中与单一供应商分别进行谈判，并给予所有参加谈判的供应商平等的谈判机会。符合谈判资格的供应商必须在接到谈判通知后规定时间内参加谈判，未在规定时间内参加谈判的视同放弃参加谈判权利，</w:t>
      </w:r>
      <w:r>
        <w:rPr>
          <w:rFonts w:hint="eastAsia" w:ascii="宋体" w:hAnsi="宋体" w:cs="宋体"/>
          <w:b/>
          <w:szCs w:val="21"/>
        </w:rPr>
        <w:t>其响应文件按无效响应处理。</w:t>
      </w:r>
    </w:p>
    <w:p w14:paraId="176C6533">
      <w:pPr>
        <w:spacing w:line="360" w:lineRule="auto"/>
        <w:ind w:firstLine="420"/>
        <w:rPr>
          <w:rFonts w:ascii="宋体" w:hAnsi="宋体" w:cs="宋体"/>
          <w:szCs w:val="21"/>
        </w:rPr>
      </w:pPr>
      <w:r>
        <w:rPr>
          <w:rFonts w:hint="eastAsia" w:ascii="宋体" w:hAnsi="宋体" w:cs="宋体"/>
          <w:szCs w:val="21"/>
        </w:rPr>
        <w:t>4.2在谈判过程中，谈判小组可以根据谈判文件和谈判情况实质性变动采购需求中的技术、货物要求以及合同草案条款，但不得变动谈判文件中的其他内容。实质性变动的内容，须经采购人代表确认。可能实质性变动的内容为采购需求中的技术、货物要求以及合同草案条款。</w:t>
      </w:r>
    </w:p>
    <w:p w14:paraId="2D5FEBBE">
      <w:pPr>
        <w:spacing w:line="360" w:lineRule="auto"/>
        <w:ind w:firstLine="420"/>
        <w:rPr>
          <w:rFonts w:ascii="宋体" w:hAnsi="宋体" w:cs="宋体"/>
          <w:szCs w:val="21"/>
        </w:rPr>
      </w:pPr>
      <w:r>
        <w:rPr>
          <w:rFonts w:hint="eastAsia" w:ascii="宋体" w:hAnsi="宋体" w:cs="宋体"/>
          <w:szCs w:val="21"/>
        </w:rPr>
        <w:t>4.3对谈判文件作出的实质性变动是谈判文件的有效组成部分，由谈判小组及时以电子澄清函形式同时通知所有参加谈判的供应商。</w:t>
      </w:r>
    </w:p>
    <w:p w14:paraId="5BC0D3EA">
      <w:pPr>
        <w:spacing w:line="360" w:lineRule="auto"/>
        <w:ind w:firstLine="420"/>
        <w:rPr>
          <w:rFonts w:ascii="宋体" w:hAnsi="宋体" w:cs="宋体"/>
          <w:szCs w:val="21"/>
        </w:rPr>
      </w:pPr>
      <w:r>
        <w:rPr>
          <w:rFonts w:hint="eastAsia" w:ascii="宋体" w:hAnsi="宋体" w:cs="宋体"/>
          <w:szCs w:val="21"/>
        </w:rPr>
        <w:t>4.4供应商必须按照谈判文件的变动情况和谈判小组的要求以回函的形式重新提交响应文件，并加盖电子公章。供应商为自然人的，必须由本人签字并附身份证明。参加谈判的供应商未在规定时间内重新提交响应文件的，视同退出谈判。</w:t>
      </w:r>
    </w:p>
    <w:p w14:paraId="4E29E190">
      <w:pPr>
        <w:spacing w:line="360" w:lineRule="auto"/>
        <w:ind w:firstLine="420"/>
        <w:rPr>
          <w:rFonts w:ascii="宋体" w:hAnsi="宋体" w:cs="宋体"/>
          <w:szCs w:val="21"/>
        </w:rPr>
      </w:pPr>
      <w:r>
        <w:rPr>
          <w:rFonts w:hint="eastAsia" w:ascii="宋体" w:hAnsi="宋体" w:cs="宋体"/>
          <w:szCs w:val="21"/>
        </w:rPr>
        <w:t>4.5谈判中，</w:t>
      </w:r>
      <w:r>
        <w:rPr>
          <w:rFonts w:hint="eastAsia" w:ascii="宋体" w:hAnsi="宋体" w:cs="宋体"/>
          <w:spacing w:val="-6"/>
          <w:szCs w:val="21"/>
        </w:rPr>
        <w:t>谈判的任何一方不得透露与谈判有关的其他供应商的技术资料、价格和其他信息。</w:t>
      </w:r>
    </w:p>
    <w:p w14:paraId="14673195">
      <w:pPr>
        <w:widowControl/>
        <w:tabs>
          <w:tab w:val="left" w:pos="540"/>
        </w:tabs>
        <w:spacing w:line="360" w:lineRule="auto"/>
        <w:ind w:firstLine="420"/>
        <w:jc w:val="left"/>
        <w:rPr>
          <w:rFonts w:ascii="宋体" w:hAnsi="宋体" w:cs="宋体"/>
          <w:szCs w:val="21"/>
        </w:rPr>
      </w:pPr>
      <w:r>
        <w:rPr>
          <w:rFonts w:hint="eastAsia" w:ascii="宋体" w:hAnsi="宋体" w:cs="宋体"/>
          <w:szCs w:val="21"/>
        </w:rPr>
        <w:t>4.6谈判小组应对谈判过程和重要谈判内容进行记录，作为评审报告一部分，谈判小组在记录上签字确认。</w:t>
      </w:r>
      <w:r>
        <w:rPr>
          <w:rFonts w:hint="eastAsia" w:ascii="仿宋" w:hAnsi="仿宋" w:eastAsia="仿宋" w:cs="仿宋_GB2312"/>
          <w:b/>
        </w:rPr>
        <w:t>主要内容包括：</w:t>
      </w:r>
    </w:p>
    <w:p w14:paraId="3BE469B3">
      <w:pPr>
        <w:spacing w:line="360" w:lineRule="auto"/>
        <w:ind w:firstLine="396"/>
        <w:rPr>
          <w:rFonts w:ascii="宋体" w:hAnsi="宋体" w:cs="宋体"/>
          <w:spacing w:val="-6"/>
          <w:szCs w:val="21"/>
        </w:rPr>
      </w:pPr>
      <w:r>
        <w:rPr>
          <w:rFonts w:hint="eastAsia" w:ascii="宋体" w:hAnsi="宋体" w:cs="宋体"/>
          <w:spacing w:val="-6"/>
          <w:szCs w:val="21"/>
        </w:rPr>
        <w:t>（1）按照相关规定进行公示的，公示情况说明；</w:t>
      </w:r>
    </w:p>
    <w:p w14:paraId="47EBCD5C">
      <w:pPr>
        <w:spacing w:line="360" w:lineRule="auto"/>
        <w:ind w:firstLine="396"/>
        <w:rPr>
          <w:rFonts w:ascii="宋体" w:hAnsi="宋体" w:cs="宋体"/>
          <w:spacing w:val="-6"/>
          <w:szCs w:val="21"/>
        </w:rPr>
      </w:pPr>
      <w:r>
        <w:rPr>
          <w:rFonts w:hint="eastAsia" w:ascii="宋体" w:hAnsi="宋体" w:cs="宋体"/>
          <w:spacing w:val="-6"/>
          <w:szCs w:val="21"/>
        </w:rPr>
        <w:t>（2）谈判日期和地点，谈判人员名单；</w:t>
      </w:r>
    </w:p>
    <w:p w14:paraId="6043BA0D">
      <w:pPr>
        <w:spacing w:line="360" w:lineRule="auto"/>
        <w:ind w:firstLine="396"/>
        <w:rPr>
          <w:rFonts w:ascii="宋体" w:hAnsi="宋体" w:cs="宋体"/>
          <w:spacing w:val="-6"/>
          <w:szCs w:val="21"/>
        </w:rPr>
      </w:pPr>
      <w:r>
        <w:rPr>
          <w:rFonts w:hint="eastAsia" w:ascii="宋体" w:hAnsi="宋体" w:cs="宋体"/>
          <w:spacing w:val="-6"/>
          <w:szCs w:val="21"/>
        </w:rPr>
        <w:t>（3）合同主要条款及价格商定情况。</w:t>
      </w:r>
    </w:p>
    <w:p w14:paraId="5630250D">
      <w:pPr>
        <w:widowControl/>
        <w:tabs>
          <w:tab w:val="left" w:pos="540"/>
        </w:tabs>
        <w:spacing w:line="360" w:lineRule="auto"/>
        <w:ind w:firstLine="420"/>
        <w:jc w:val="left"/>
        <w:rPr>
          <w:rFonts w:ascii="宋体" w:hAnsi="宋体" w:cs="宋体"/>
          <w:szCs w:val="21"/>
        </w:rPr>
      </w:pPr>
      <w:r>
        <w:rPr>
          <w:rFonts w:hint="eastAsia" w:ascii="宋体" w:hAnsi="宋体" w:cs="宋体"/>
          <w:szCs w:val="21"/>
        </w:rPr>
        <w:t>4.7谈判过程中重新提交的响应文件，供应商可以在开启前补充、修改。</w:t>
      </w:r>
    </w:p>
    <w:p w14:paraId="36764E3D">
      <w:pPr>
        <w:spacing w:line="360" w:lineRule="auto"/>
        <w:ind w:firstLine="420"/>
        <w:rPr>
          <w:rFonts w:ascii="宋体" w:hAnsi="宋体" w:cs="宋体"/>
          <w:szCs w:val="21"/>
        </w:rPr>
      </w:pPr>
      <w:r>
        <w:rPr>
          <w:rFonts w:hint="eastAsia" w:ascii="宋体" w:hAnsi="宋体" w:cs="宋体"/>
          <w:szCs w:val="21"/>
        </w:rPr>
        <w:t>4.8</w:t>
      </w:r>
      <w:r>
        <w:rPr>
          <w:rFonts w:hint="eastAsia" w:ascii="宋体" w:hAnsi="宋体"/>
          <w:szCs w:val="21"/>
        </w:rPr>
        <w:t>对谈判过程提交的响应文件进行有效性、完整性和响应程度审查，通过审查的合格供应商不足3家的，采购人或者采购代理机构应当重新开展采购活动。</w:t>
      </w:r>
    </w:p>
    <w:p w14:paraId="3BB38BF3">
      <w:pPr>
        <w:spacing w:line="360" w:lineRule="auto"/>
        <w:ind w:firstLine="482"/>
        <w:rPr>
          <w:rFonts w:ascii="宋体" w:hAnsi="宋体" w:cs="宋体"/>
          <w:szCs w:val="21"/>
        </w:rPr>
      </w:pPr>
      <w:r>
        <w:rPr>
          <w:rFonts w:hint="eastAsia" w:ascii="黑体" w:hAnsi="黑体" w:eastAsia="黑体" w:cs="宋体"/>
          <w:b/>
          <w:bCs/>
          <w:sz w:val="24"/>
        </w:rPr>
        <w:t>5. 最后报价</w:t>
      </w:r>
    </w:p>
    <w:p w14:paraId="517EB601">
      <w:pPr>
        <w:spacing w:line="360" w:lineRule="auto"/>
        <w:ind w:firstLine="420"/>
        <w:rPr>
          <w:rFonts w:ascii="宋体" w:hAnsi="宋体" w:cs="宋体"/>
          <w:szCs w:val="21"/>
        </w:rPr>
      </w:pPr>
      <w:r>
        <w:rPr>
          <w:rFonts w:hint="eastAsia" w:ascii="宋体" w:hAnsi="宋体" w:cs="宋体"/>
          <w:szCs w:val="21"/>
        </w:rPr>
        <w:t>5.1谈判文件能够详细列明采购标的的技术、货物要求的，谈判结束后，由谈判小组要求所有继续参加谈判的供应商在规定时间内密封提交最后报价，提交最后报价的供应商不得少于3家，否则必须重新采购。</w:t>
      </w:r>
    </w:p>
    <w:p w14:paraId="7CA3D685">
      <w:pPr>
        <w:spacing w:line="360" w:lineRule="auto"/>
        <w:ind w:firstLine="420"/>
        <w:rPr>
          <w:rFonts w:ascii="宋体" w:hAnsi="宋体" w:cs="宋体"/>
          <w:szCs w:val="21"/>
        </w:rPr>
      </w:pPr>
      <w:r>
        <w:rPr>
          <w:rFonts w:hint="eastAsia" w:ascii="宋体" w:hAnsi="宋体" w:cs="宋体"/>
          <w:szCs w:val="21"/>
        </w:rPr>
        <w:t>5.2谈判文件不能详细列明采购标的的技术、货物要求，需经谈判由供应商提供最后设计方案或者解决方案的，谈判结束后，由谈判小组按照少数服从多数的原则投票推荐3家以上供应商的设计方案或者解决方案，并要求其在规定时间内在广西政府采购云平台远程不见面开标大厅响应最后报价。</w:t>
      </w:r>
    </w:p>
    <w:p w14:paraId="1D5C3E31">
      <w:pPr>
        <w:spacing w:line="360" w:lineRule="auto"/>
        <w:ind w:firstLine="420"/>
        <w:rPr>
          <w:rFonts w:ascii="宋体" w:hAnsi="宋体" w:cs="宋体"/>
          <w:szCs w:val="21"/>
        </w:rPr>
      </w:pPr>
      <w:r>
        <w:rPr>
          <w:rFonts w:hint="eastAsia" w:ascii="宋体" w:hAnsi="宋体" w:cs="宋体"/>
          <w:szCs w:val="21"/>
        </w:rPr>
        <w:t>5.3 最后报价是供应商响应文件的有效组成部分。</w:t>
      </w:r>
    </w:p>
    <w:p w14:paraId="663E25C9">
      <w:pPr>
        <w:spacing w:line="360" w:lineRule="auto"/>
        <w:ind w:firstLine="422"/>
        <w:rPr>
          <w:rFonts w:ascii="宋体" w:hAnsi="宋体" w:cs="宋体"/>
          <w:b/>
          <w:szCs w:val="21"/>
        </w:rPr>
      </w:pPr>
      <w:r>
        <w:rPr>
          <w:rFonts w:hint="eastAsia" w:ascii="宋体" w:hAnsi="宋体" w:cs="宋体"/>
          <w:b/>
          <w:szCs w:val="21"/>
        </w:rPr>
        <w:t>5.4已经提交响应文件的供应商，在提交最后报价之前，可以根据谈判情况退出谈判，退出谈判的供应商的响应文件按无效响应处理。</w:t>
      </w:r>
    </w:p>
    <w:p w14:paraId="79EDB818">
      <w:pPr>
        <w:spacing w:line="360" w:lineRule="auto"/>
        <w:ind w:firstLine="442"/>
        <w:rPr>
          <w:rFonts w:ascii="宋体" w:hAnsi="宋体" w:cs="宋体"/>
          <w:b/>
          <w:sz w:val="22"/>
          <w:szCs w:val="21"/>
        </w:rPr>
      </w:pPr>
      <w:r>
        <w:rPr>
          <w:rFonts w:hint="eastAsia" w:ascii="宋体" w:hAnsi="宋体" w:cs="宋体"/>
          <w:b/>
          <w:sz w:val="22"/>
          <w:szCs w:val="21"/>
        </w:rPr>
        <w:t>5.5供应商未在规定时间内提交最后报价的，视同放弃报价权利退出谈判。</w:t>
      </w:r>
    </w:p>
    <w:p w14:paraId="6A425899">
      <w:pPr>
        <w:spacing w:line="360" w:lineRule="auto"/>
        <w:ind w:firstLine="420"/>
        <w:rPr>
          <w:rFonts w:ascii="宋体" w:hAnsi="宋体" w:cs="宋体"/>
          <w:szCs w:val="21"/>
        </w:rPr>
      </w:pPr>
      <w:r>
        <w:rPr>
          <w:rFonts w:hint="eastAsia" w:ascii="宋体" w:hAnsi="宋体" w:cs="宋体"/>
          <w:szCs w:val="21"/>
        </w:rPr>
        <w:t>5.6最终响应文件的报价出现前后不一致的，按照本章第3.4条的规定修正。</w:t>
      </w:r>
    </w:p>
    <w:p w14:paraId="3C0FA7E2">
      <w:pPr>
        <w:spacing w:line="360" w:lineRule="auto"/>
        <w:ind w:firstLine="420"/>
        <w:rPr>
          <w:rFonts w:ascii="宋体" w:hAnsi="宋体" w:cs="宋体"/>
          <w:szCs w:val="21"/>
        </w:rPr>
      </w:pPr>
      <w:r>
        <w:rPr>
          <w:rFonts w:hint="eastAsia" w:ascii="宋体" w:hAnsi="宋体" w:cs="宋体"/>
          <w:szCs w:val="21"/>
        </w:rPr>
        <w:t>5.7修正后的最终报价出现下列情形的，按无效响应处理：</w:t>
      </w:r>
    </w:p>
    <w:p w14:paraId="04E5DAF4">
      <w:pPr>
        <w:spacing w:line="360" w:lineRule="auto"/>
        <w:ind w:firstLine="420"/>
        <w:rPr>
          <w:rFonts w:ascii="宋体" w:hAnsi="宋体" w:cs="宋体"/>
          <w:szCs w:val="21"/>
        </w:rPr>
      </w:pPr>
      <w:r>
        <w:rPr>
          <w:rFonts w:hint="eastAsia" w:ascii="宋体" w:hAnsi="宋体" w:cs="宋体"/>
          <w:szCs w:val="21"/>
        </w:rPr>
        <w:t>（1）供应商不确认的（全流程电子化评标采取在线确认）；</w:t>
      </w:r>
    </w:p>
    <w:p w14:paraId="52257E59">
      <w:pPr>
        <w:spacing w:line="360" w:lineRule="auto"/>
        <w:ind w:firstLine="420"/>
        <w:rPr>
          <w:rFonts w:ascii="宋体" w:hAnsi="宋体" w:cs="宋体"/>
          <w:szCs w:val="21"/>
        </w:rPr>
      </w:pPr>
      <w:r>
        <w:rPr>
          <w:rFonts w:hint="eastAsia" w:ascii="宋体" w:hAnsi="宋体" w:cs="宋体"/>
          <w:szCs w:val="21"/>
        </w:rPr>
        <w:t>（2）经供应商确认修正后的响应报价（包含首次报价、最后报价）超过所竞标分标规定的采购预算金额或者最高限价的（如本项目公布了最高限价）（全流程电子化评标多轮报价设置了上限控制价，即预算价）；</w:t>
      </w:r>
    </w:p>
    <w:p w14:paraId="0D39D1E7">
      <w:pPr>
        <w:spacing w:line="360" w:lineRule="auto"/>
        <w:ind w:firstLine="420"/>
        <w:rPr>
          <w:rFonts w:ascii="宋体" w:hAnsi="宋体" w:cs="宋体"/>
          <w:szCs w:val="21"/>
        </w:rPr>
      </w:pPr>
      <w:r>
        <w:rPr>
          <w:rFonts w:hint="eastAsia" w:ascii="宋体" w:hAnsi="宋体" w:cs="宋体"/>
          <w:szCs w:val="21"/>
        </w:rPr>
        <w:t>（3）经供应商确认修正后的响应报价（包含首次报价、最后报价）超过分项采购预算金额或者最高限价的（如本项目公布了最高限价）。</w:t>
      </w:r>
    </w:p>
    <w:p w14:paraId="7DE17959">
      <w:pPr>
        <w:spacing w:line="360" w:lineRule="auto"/>
        <w:ind w:firstLine="420"/>
        <w:rPr>
          <w:rFonts w:ascii="宋体" w:hAnsi="宋体" w:cs="宋体"/>
          <w:szCs w:val="21"/>
        </w:rPr>
      </w:pPr>
      <w:r>
        <w:rPr>
          <w:rFonts w:hint="eastAsia" w:ascii="宋体" w:hAnsi="宋体" w:cs="宋体"/>
          <w:szCs w:val="21"/>
        </w:rPr>
        <w:t>5.8经供应商确认修正后的最后报价作为评审及签订合同的依据。</w:t>
      </w:r>
    </w:p>
    <w:p w14:paraId="7E6E542F">
      <w:pPr>
        <w:spacing w:line="360" w:lineRule="auto"/>
        <w:ind w:firstLine="420"/>
        <w:rPr>
          <w:rFonts w:ascii="宋体" w:hAnsi="宋体" w:cs="宋体"/>
          <w:szCs w:val="21"/>
        </w:rPr>
      </w:pPr>
      <w:r>
        <w:rPr>
          <w:rFonts w:hint="eastAsia" w:ascii="宋体" w:hAnsi="宋体" w:cs="宋体"/>
          <w:szCs w:val="21"/>
        </w:rPr>
        <w:t>5.9供应商出现最后报价按无效响应处理或者响应文件按无效处理时</w:t>
      </w:r>
      <w:r>
        <w:rPr>
          <w:rFonts w:hint="eastAsia" w:ascii="宋体" w:hAnsi="宋体"/>
          <w:sz w:val="22"/>
          <w:szCs w:val="22"/>
        </w:rPr>
        <w:t>，谈判小组应当告知有关供应商</w:t>
      </w:r>
      <w:r>
        <w:rPr>
          <w:rFonts w:hint="eastAsia" w:ascii="宋体" w:hAnsi="宋体" w:cs="宋体"/>
          <w:szCs w:val="21"/>
        </w:rPr>
        <w:t>。</w:t>
      </w:r>
    </w:p>
    <w:p w14:paraId="50A8D3FE">
      <w:pPr>
        <w:spacing w:line="360" w:lineRule="auto"/>
        <w:ind w:firstLine="420"/>
        <w:rPr>
          <w:rFonts w:ascii="宋体" w:hAnsi="宋体" w:cs="宋体"/>
          <w:szCs w:val="21"/>
        </w:rPr>
      </w:pPr>
      <w:r>
        <w:rPr>
          <w:rFonts w:hint="eastAsia" w:ascii="宋体" w:hAnsi="宋体" w:cs="宋体"/>
          <w:szCs w:val="21"/>
        </w:rPr>
        <w:t>5.10最后报价结束后，谈判小组不得再与供应商进行任何形式的商谈。</w:t>
      </w:r>
    </w:p>
    <w:p w14:paraId="6D827843">
      <w:pPr>
        <w:spacing w:line="360" w:lineRule="auto"/>
        <w:ind w:firstLine="482"/>
        <w:rPr>
          <w:rFonts w:ascii="黑体" w:hAnsi="黑体" w:eastAsia="黑体" w:cs="宋体"/>
          <w:b/>
          <w:bCs/>
          <w:sz w:val="24"/>
        </w:rPr>
      </w:pPr>
      <w:r>
        <w:rPr>
          <w:rFonts w:hint="eastAsia" w:ascii="黑体" w:hAnsi="黑体" w:eastAsia="黑体" w:cs="宋体"/>
          <w:b/>
          <w:bCs/>
          <w:sz w:val="24"/>
        </w:rPr>
        <w:t>6. 最后报价政府采购政策性扣除</w:t>
      </w:r>
    </w:p>
    <w:p w14:paraId="28702C9D">
      <w:pPr>
        <w:spacing w:line="360" w:lineRule="auto"/>
        <w:ind w:firstLine="420"/>
        <w:rPr>
          <w:rFonts w:ascii="宋体" w:hAnsi="宋体" w:cs="宋体"/>
          <w:szCs w:val="21"/>
        </w:rPr>
      </w:pPr>
      <w:r>
        <w:rPr>
          <w:rFonts w:hint="eastAsia" w:ascii="宋体" w:hAnsi="宋体" w:cs="宋体"/>
          <w:szCs w:val="21"/>
        </w:rPr>
        <w:t>6.1评审价为供应商的最后报价进行政策性扣除后的价格，评审价只是作为评审时使用。最终成交供应商的成交金额等于最后报价（如有修正，以确认修正后的最后报价为准）。</w:t>
      </w:r>
    </w:p>
    <w:p w14:paraId="5CC58559">
      <w:pPr>
        <w:snapToGrid w:val="0"/>
        <w:spacing w:line="360" w:lineRule="auto"/>
        <w:ind w:firstLine="424" w:firstLineChars="202"/>
        <w:jc w:val="left"/>
        <w:rPr>
          <w:rFonts w:ascii="宋体" w:hAnsi="宋体"/>
          <w:spacing w:val="-6"/>
          <w:szCs w:val="21"/>
        </w:rPr>
      </w:pPr>
      <w:r>
        <w:rPr>
          <w:rFonts w:ascii="宋体" w:hAnsi="宋体" w:cs="宋体"/>
          <w:szCs w:val="21"/>
        </w:rPr>
        <w:t>6.2</w:t>
      </w:r>
      <w:r>
        <w:rPr>
          <w:rFonts w:hint="eastAsia" w:ascii="宋体" w:hAnsi="宋体"/>
          <w:szCs w:val="21"/>
        </w:rPr>
        <w:t>异常低价响应审查</w:t>
      </w:r>
    </w:p>
    <w:p w14:paraId="004A226D">
      <w:pPr>
        <w:snapToGrid w:val="0"/>
        <w:spacing w:line="360" w:lineRule="auto"/>
        <w:ind w:firstLine="420" w:firstLineChars="200"/>
        <w:rPr>
          <w:rFonts w:ascii="宋体" w:hAnsi="宋体"/>
          <w:szCs w:val="21"/>
        </w:rPr>
      </w:pPr>
      <w:r>
        <w:rPr>
          <w:rFonts w:hint="eastAsia" w:ascii="宋体" w:hAnsi="宋体"/>
          <w:szCs w:val="21"/>
        </w:rPr>
        <w:t>（1）谈判小组在评审中发现下列情形之一的，应当启动异常低价响应审查程序：</w:t>
      </w:r>
    </w:p>
    <w:p w14:paraId="594043EB">
      <w:pPr>
        <w:snapToGrid w:val="0"/>
        <w:spacing w:line="360" w:lineRule="auto"/>
        <w:ind w:firstLine="420" w:firstLineChars="200"/>
        <w:rPr>
          <w:rFonts w:ascii="宋体" w:hAnsi="宋体"/>
          <w:szCs w:val="21"/>
        </w:rPr>
      </w:pPr>
      <w:r>
        <w:rPr>
          <w:rFonts w:hint="eastAsia" w:ascii="宋体" w:hAnsi="宋体"/>
          <w:szCs w:val="21"/>
        </w:rPr>
        <w:t>①响应报价低于全部通过符合性审查供应商响应报价平均值</w:t>
      </w:r>
      <w:r>
        <w:rPr>
          <w:rFonts w:ascii="宋体" w:hAnsi="宋体"/>
          <w:szCs w:val="21"/>
          <w:u w:val="single"/>
        </w:rPr>
        <w:t xml:space="preserve"> </w:t>
      </w:r>
      <w:r>
        <w:rPr>
          <w:rFonts w:hint="eastAsia" w:ascii="宋体" w:hAnsi="宋体"/>
          <w:szCs w:val="21"/>
          <w:u w:val="single"/>
        </w:rPr>
        <w:t>65%</w:t>
      </w:r>
      <w:r>
        <w:rPr>
          <w:rFonts w:ascii="宋体" w:hAnsi="宋体"/>
          <w:szCs w:val="21"/>
          <w:u w:val="single"/>
        </w:rPr>
        <w:t xml:space="preserve"> </w:t>
      </w:r>
      <w:r>
        <w:rPr>
          <w:rFonts w:hint="eastAsia" w:ascii="宋体" w:hAnsi="宋体"/>
          <w:szCs w:val="21"/>
        </w:rPr>
        <w:t>的，即响应报价＜全部通过符合性审查供应商响应报价平均值×</w:t>
      </w:r>
      <w:r>
        <w:rPr>
          <w:rFonts w:ascii="宋体" w:hAnsi="宋体"/>
          <w:szCs w:val="21"/>
          <w:u w:val="single"/>
        </w:rPr>
        <w:t xml:space="preserve"> </w:t>
      </w:r>
      <w:r>
        <w:rPr>
          <w:rFonts w:hint="eastAsia" w:ascii="宋体" w:hAnsi="宋体"/>
          <w:szCs w:val="21"/>
          <w:u w:val="single"/>
        </w:rPr>
        <w:t>65%</w:t>
      </w:r>
      <w:r>
        <w:rPr>
          <w:rFonts w:ascii="宋体" w:hAnsi="宋体"/>
          <w:szCs w:val="21"/>
          <w:u w:val="single"/>
        </w:rPr>
        <w:t xml:space="preserve"> </w:t>
      </w:r>
      <w:r>
        <w:rPr>
          <w:rFonts w:hint="eastAsia" w:ascii="宋体" w:hAnsi="宋体"/>
          <w:szCs w:val="21"/>
        </w:rPr>
        <w:t>；</w:t>
      </w:r>
      <w:r>
        <w:rPr>
          <w:rFonts w:ascii="宋体" w:hAnsi="宋体"/>
          <w:i/>
          <w:szCs w:val="21"/>
        </w:rPr>
        <w:t>（范围为</w:t>
      </w:r>
      <w:r>
        <w:rPr>
          <w:rFonts w:hint="eastAsia" w:ascii="宋体" w:hAnsi="宋体"/>
          <w:i/>
          <w:szCs w:val="21"/>
        </w:rPr>
        <w:t>5</w:t>
      </w:r>
      <w:r>
        <w:rPr>
          <w:rFonts w:ascii="宋体" w:hAnsi="宋体"/>
          <w:i/>
          <w:szCs w:val="21"/>
        </w:rPr>
        <w:t>0%-65%）</w:t>
      </w:r>
    </w:p>
    <w:p w14:paraId="49988DE6">
      <w:pPr>
        <w:snapToGrid w:val="0"/>
        <w:spacing w:line="360" w:lineRule="auto"/>
        <w:ind w:firstLine="420" w:firstLineChars="200"/>
        <w:rPr>
          <w:rFonts w:ascii="宋体" w:hAnsi="宋体"/>
          <w:szCs w:val="21"/>
        </w:rPr>
      </w:pPr>
      <w:r>
        <w:rPr>
          <w:rFonts w:hint="eastAsia" w:ascii="宋体" w:hAnsi="宋体"/>
          <w:szCs w:val="21"/>
        </w:rPr>
        <w:t>②响应报价低于通过符合性审查的次低报价供应商响应报价</w:t>
      </w:r>
      <w:r>
        <w:rPr>
          <w:rFonts w:ascii="宋体" w:hAnsi="宋体"/>
          <w:szCs w:val="21"/>
          <w:u w:val="single"/>
        </w:rPr>
        <w:t xml:space="preserve"> </w:t>
      </w:r>
      <w:r>
        <w:rPr>
          <w:rFonts w:hint="eastAsia" w:ascii="宋体" w:hAnsi="宋体"/>
          <w:szCs w:val="21"/>
          <w:u w:val="single"/>
        </w:rPr>
        <w:t>65%</w:t>
      </w:r>
      <w:r>
        <w:rPr>
          <w:rFonts w:ascii="宋体" w:hAnsi="宋体"/>
          <w:szCs w:val="21"/>
          <w:u w:val="single"/>
        </w:rPr>
        <w:t xml:space="preserve"> </w:t>
      </w:r>
      <w:r>
        <w:rPr>
          <w:rFonts w:hint="eastAsia" w:ascii="宋体" w:hAnsi="宋体"/>
          <w:szCs w:val="21"/>
        </w:rPr>
        <w:t>的，即响应报价＜通过符合性审查的次低报价供应商响应报价×</w:t>
      </w:r>
      <w:r>
        <w:rPr>
          <w:rFonts w:ascii="宋体" w:hAnsi="宋体"/>
          <w:szCs w:val="21"/>
          <w:u w:val="single"/>
        </w:rPr>
        <w:t xml:space="preserve"> </w:t>
      </w:r>
      <w:r>
        <w:rPr>
          <w:rFonts w:hint="eastAsia" w:ascii="宋体" w:hAnsi="宋体"/>
          <w:szCs w:val="21"/>
          <w:u w:val="single"/>
        </w:rPr>
        <w:t>65%</w:t>
      </w:r>
      <w:r>
        <w:rPr>
          <w:rFonts w:ascii="宋体" w:hAnsi="宋体"/>
          <w:szCs w:val="21"/>
          <w:u w:val="single"/>
        </w:rPr>
        <w:t xml:space="preserve">  </w:t>
      </w:r>
      <w:r>
        <w:rPr>
          <w:rFonts w:hint="eastAsia" w:ascii="宋体" w:hAnsi="宋体"/>
          <w:szCs w:val="21"/>
        </w:rPr>
        <w:t>；</w:t>
      </w:r>
      <w:r>
        <w:rPr>
          <w:rFonts w:ascii="宋体" w:hAnsi="宋体"/>
          <w:i/>
          <w:szCs w:val="21"/>
        </w:rPr>
        <w:t>（范围为</w:t>
      </w:r>
      <w:r>
        <w:rPr>
          <w:rFonts w:hint="eastAsia" w:ascii="宋体" w:hAnsi="宋体"/>
          <w:i/>
          <w:szCs w:val="21"/>
        </w:rPr>
        <w:t>5</w:t>
      </w:r>
      <w:r>
        <w:rPr>
          <w:rFonts w:ascii="宋体" w:hAnsi="宋体"/>
          <w:i/>
          <w:szCs w:val="21"/>
        </w:rPr>
        <w:t>0%-65%）</w:t>
      </w:r>
    </w:p>
    <w:p w14:paraId="7B765E12">
      <w:pPr>
        <w:snapToGrid w:val="0"/>
        <w:spacing w:line="360" w:lineRule="auto"/>
        <w:ind w:firstLine="420" w:firstLineChars="200"/>
        <w:rPr>
          <w:rFonts w:ascii="宋体" w:hAnsi="宋体"/>
          <w:szCs w:val="21"/>
        </w:rPr>
      </w:pPr>
      <w:r>
        <w:rPr>
          <w:rFonts w:hint="eastAsia" w:ascii="宋体" w:hAnsi="宋体"/>
          <w:szCs w:val="21"/>
        </w:rPr>
        <w:t>③响应报价低于采购项目最高限价</w:t>
      </w:r>
      <w:r>
        <w:rPr>
          <w:rFonts w:ascii="宋体" w:hAnsi="宋体"/>
          <w:szCs w:val="21"/>
          <w:u w:val="single"/>
        </w:rPr>
        <w:t xml:space="preserve"> </w:t>
      </w:r>
      <w:r>
        <w:rPr>
          <w:rFonts w:hint="eastAsia" w:ascii="宋体" w:hAnsi="宋体"/>
          <w:szCs w:val="21"/>
          <w:u w:val="single"/>
        </w:rPr>
        <w:t>65%</w:t>
      </w:r>
      <w:r>
        <w:rPr>
          <w:rFonts w:ascii="宋体" w:hAnsi="宋体"/>
          <w:szCs w:val="21"/>
          <w:u w:val="single"/>
        </w:rPr>
        <w:t xml:space="preserve"> </w:t>
      </w:r>
      <w:r>
        <w:rPr>
          <w:rFonts w:hint="eastAsia" w:ascii="宋体" w:hAnsi="宋体"/>
          <w:szCs w:val="21"/>
        </w:rPr>
        <w:t>的，即响应报价＜采购项目最高限价×</w:t>
      </w:r>
      <w:r>
        <w:rPr>
          <w:rFonts w:ascii="宋体" w:hAnsi="宋体"/>
          <w:szCs w:val="21"/>
          <w:u w:val="single"/>
        </w:rPr>
        <w:t xml:space="preserve"> </w:t>
      </w:r>
      <w:r>
        <w:rPr>
          <w:rFonts w:hint="eastAsia" w:ascii="宋体" w:hAnsi="宋体"/>
          <w:szCs w:val="21"/>
          <w:u w:val="single"/>
        </w:rPr>
        <w:t>65%</w:t>
      </w:r>
      <w:r>
        <w:rPr>
          <w:rFonts w:ascii="宋体" w:hAnsi="宋体"/>
          <w:szCs w:val="21"/>
          <w:u w:val="single"/>
        </w:rPr>
        <w:t xml:space="preserve"> </w:t>
      </w:r>
      <w:r>
        <w:rPr>
          <w:rFonts w:hint="eastAsia" w:ascii="宋体" w:hAnsi="宋体"/>
          <w:szCs w:val="21"/>
        </w:rPr>
        <w:t>；</w:t>
      </w:r>
      <w:r>
        <w:rPr>
          <w:rFonts w:ascii="宋体" w:hAnsi="宋体"/>
          <w:i/>
          <w:szCs w:val="21"/>
        </w:rPr>
        <w:t>（范围为45%-65%）</w:t>
      </w:r>
    </w:p>
    <w:p w14:paraId="305FF57A">
      <w:pPr>
        <w:snapToGrid w:val="0"/>
        <w:spacing w:line="360" w:lineRule="auto"/>
        <w:ind w:firstLine="420" w:firstLineChars="200"/>
        <w:rPr>
          <w:rFonts w:ascii="宋体" w:hAnsi="宋体"/>
          <w:szCs w:val="21"/>
        </w:rPr>
      </w:pPr>
      <w:r>
        <w:rPr>
          <w:rFonts w:hint="eastAsia" w:ascii="宋体" w:hAnsi="宋体"/>
          <w:szCs w:val="21"/>
        </w:rPr>
        <w:t>④谈判小组基于专业判断，认为供应商报价过低，有可能影响产品质量或者不能诚信履约的其他情形。</w:t>
      </w:r>
    </w:p>
    <w:p w14:paraId="578CB393">
      <w:pPr>
        <w:snapToGrid w:val="0"/>
        <w:spacing w:line="360" w:lineRule="auto"/>
        <w:ind w:firstLine="420" w:firstLineChars="200"/>
        <w:rPr>
          <w:rFonts w:ascii="宋体" w:hAnsi="宋体"/>
          <w:szCs w:val="21"/>
        </w:rPr>
      </w:pPr>
      <w:r>
        <w:rPr>
          <w:rFonts w:hint="eastAsia" w:ascii="宋体" w:hAnsi="宋体"/>
          <w:szCs w:val="21"/>
        </w:rPr>
        <w:t>（2）谈判小组启动异常低价响应审查后，属于前述第1项至第4项情形的，应当要求相关供应商在评审现场合理的时间内对响应价格作出解释，提供项目具体成本测算等与报价合理性相关的书面说明及必要的证明材料，包括但不限于原材料成本、人工成本、制造费用等，给予相关供应商的合理时间一般不少于30分钟。其中，属于第③项情形，供应商已随响应文件一并提交相关书面说明及必要的证明材料的，可不再重复提交。</w:t>
      </w:r>
    </w:p>
    <w:p w14:paraId="631D9F6F">
      <w:pPr>
        <w:snapToGrid w:val="0"/>
        <w:spacing w:line="360" w:lineRule="auto"/>
        <w:ind w:firstLine="420" w:firstLineChars="200"/>
        <w:rPr>
          <w:rFonts w:ascii="宋体" w:hAnsi="宋体"/>
          <w:szCs w:val="21"/>
        </w:rPr>
      </w:pPr>
      <w:r>
        <w:rPr>
          <w:rFonts w:hint="eastAsia" w:ascii="宋体" w:hAnsi="宋体"/>
          <w:szCs w:val="21"/>
        </w:rPr>
        <w:t>谈判小组依据专业经验，参考同类项目中标（成交）价格、类似产品市场价格水平、行业人工费用标准、国家有关部门指导行业协会发布的行业平均成本等情况，对报价合理性进行判断。</w:t>
      </w:r>
      <w:r>
        <w:rPr>
          <w:rFonts w:hint="eastAsia" w:ascii="宋体" w:hAnsi="宋体"/>
          <w:b/>
          <w:szCs w:val="21"/>
        </w:rPr>
        <w:t>相关供应商不能提供书面说明、证明材料，或者提供的书面说明、证明材料不能证明其报价合理性的，谈判小组应当将其作为无效响应处理。</w:t>
      </w:r>
    </w:p>
    <w:p w14:paraId="1B4B7F3B">
      <w:pPr>
        <w:snapToGrid w:val="0"/>
        <w:spacing w:line="360" w:lineRule="auto"/>
        <w:ind w:firstLine="420" w:firstLineChars="200"/>
        <w:rPr>
          <w:rFonts w:ascii="宋体" w:hAnsi="宋体"/>
          <w:szCs w:val="21"/>
        </w:rPr>
      </w:pPr>
      <w:r>
        <w:rPr>
          <w:rFonts w:hint="eastAsia" w:ascii="宋体" w:hAnsi="宋体"/>
          <w:szCs w:val="21"/>
        </w:rPr>
        <w:t>采购人、采购代理机构应当为谈判小组在评审现场及时获取同类项目中标（成交）价格、类似产品市场价格水平、行业人工费用标准、国家有关部门指导行业协会发布的行业平均成本等相关信息资料提供便利。谈判小组借助互联网等渠道查询相关信息的，应当严格遵守评审工作纪律，不得实施影响评审公正的行为。</w:t>
      </w:r>
    </w:p>
    <w:p w14:paraId="6556D6C6">
      <w:pPr>
        <w:spacing w:line="360" w:lineRule="auto"/>
        <w:ind w:firstLine="420" w:firstLineChars="200"/>
        <w:rPr>
          <w:rFonts w:ascii="宋体" w:hAnsi="宋体" w:cs="宋体"/>
          <w:szCs w:val="21"/>
        </w:rPr>
      </w:pPr>
      <w:r>
        <w:rPr>
          <w:rFonts w:hint="eastAsia" w:ascii="宋体" w:hAnsi="宋体"/>
          <w:szCs w:val="21"/>
        </w:rPr>
        <w:t>异常低价响应审查的启动原因、审查意见和审查结果应当在评审报告中记录，并随供应商提供的相关书面说明及证明材料，以及谈判小组有关互联网浏览、查询历史一并归档。</w:t>
      </w:r>
    </w:p>
    <w:p w14:paraId="09A90158">
      <w:pPr>
        <w:spacing w:line="360" w:lineRule="auto"/>
        <w:ind w:firstLine="420"/>
        <w:rPr>
          <w:rFonts w:ascii="宋体" w:hAnsi="宋体" w:cs="宋体"/>
        </w:rPr>
      </w:pPr>
      <w:r>
        <w:rPr>
          <w:rFonts w:hint="eastAsia" w:ascii="宋体" w:hAnsi="宋体" w:cs="宋体"/>
          <w:szCs w:val="21"/>
        </w:rPr>
        <w:t>6.3</w:t>
      </w:r>
      <w:r>
        <w:rPr>
          <w:rFonts w:hint="eastAsia" w:ascii="宋体" w:hAnsi="宋体" w:cs="宋体"/>
        </w:rPr>
        <w:t>政策性扣除计算方法。</w:t>
      </w:r>
    </w:p>
    <w:p w14:paraId="2EF22C3C">
      <w:pPr>
        <w:spacing w:line="360" w:lineRule="auto"/>
        <w:ind w:firstLine="420"/>
        <w:rPr>
          <w:rFonts w:hAnsi="宋体" w:cs="宋体"/>
        </w:rPr>
      </w:pPr>
      <w:r>
        <w:rPr>
          <w:rFonts w:hint="eastAsia" w:hAnsi="宋体" w:cs="宋体"/>
        </w:rPr>
        <w:t>本项目专门面向中小企业采购，不再额外享受小微企业价格扣减政策。</w:t>
      </w:r>
    </w:p>
    <w:p w14:paraId="311D31B8">
      <w:pPr>
        <w:spacing w:line="360" w:lineRule="auto"/>
        <w:ind w:firstLine="420" w:firstLineChars="200"/>
        <w:rPr>
          <w:rFonts w:ascii="宋体" w:hAnsi="宋体"/>
          <w:szCs w:val="21"/>
        </w:rPr>
      </w:pPr>
      <w:r>
        <w:rPr>
          <w:rFonts w:ascii="宋体" w:hAnsi="宋体" w:cs="宋体"/>
          <w:szCs w:val="21"/>
        </w:rPr>
        <w:t>6.</w:t>
      </w:r>
      <w:r>
        <w:rPr>
          <w:rFonts w:hint="eastAsia" w:ascii="宋体" w:hAnsi="宋体" w:cs="宋体"/>
          <w:szCs w:val="21"/>
        </w:rPr>
        <w:t>4</w:t>
      </w:r>
      <w:r>
        <w:rPr>
          <w:rFonts w:hint="eastAsia" w:ascii="宋体" w:hAnsi="宋体"/>
          <w:szCs w:val="21"/>
        </w:rPr>
        <w:t>本国产品政策性扣除计算方法。</w:t>
      </w:r>
    </w:p>
    <w:p w14:paraId="03D74F55">
      <w:pPr>
        <w:spacing w:line="360" w:lineRule="auto"/>
        <w:ind w:firstLine="420" w:firstLineChars="200"/>
        <w:rPr>
          <w:rFonts w:ascii="宋体" w:hAnsi="宋体"/>
          <w:szCs w:val="21"/>
        </w:rPr>
      </w:pPr>
      <w:r>
        <w:rPr>
          <w:rFonts w:hint="eastAsia" w:ascii="宋体" w:hAnsi="宋体"/>
          <w:szCs w:val="21"/>
        </w:rPr>
        <w:t>根据《国务院办公厅关于在政府采购中实施本国产品标准及相关政策的通知》（国办发〔2025〕34号）的规定，政府采购活动中既有本国产品又有非本国产品参与竞争的，依法对本国产品给予价格评审优惠，对本国产品的报价给予20%的价格扣除，用扣除后的价格参与评审。</w:t>
      </w:r>
    </w:p>
    <w:p w14:paraId="10A03D13">
      <w:pPr>
        <w:spacing w:line="360" w:lineRule="auto"/>
        <w:ind w:firstLine="420" w:firstLineChars="200"/>
        <w:rPr>
          <w:rFonts w:ascii="宋体" w:hAnsi="宋体"/>
          <w:szCs w:val="21"/>
        </w:rPr>
      </w:pPr>
      <w:r>
        <w:rPr>
          <w:rFonts w:hint="eastAsia" w:ascii="宋体" w:hAnsi="宋体"/>
          <w:szCs w:val="21"/>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r>
        <w:rPr>
          <w:rFonts w:hint="eastAsia" w:hAnsi="宋体"/>
        </w:rPr>
        <w:t>未达到80%，不享受价格评审优惠。</w:t>
      </w:r>
    </w:p>
    <w:p w14:paraId="39326776">
      <w:pPr>
        <w:spacing w:line="360" w:lineRule="auto"/>
        <w:ind w:firstLine="420" w:firstLineChars="200"/>
        <w:rPr>
          <w:rFonts w:ascii="宋体" w:hAnsi="宋体"/>
          <w:szCs w:val="21"/>
        </w:rPr>
      </w:pPr>
      <w:r>
        <w:rPr>
          <w:rFonts w:hint="eastAsia" w:hAnsi="宋体"/>
        </w:rPr>
        <w:t>如果所有参与竞争的供应商均可享受本国产品价格评审优惠，则统一不进行价格扣除。</w:t>
      </w:r>
    </w:p>
    <w:p w14:paraId="2298E8ED">
      <w:pPr>
        <w:spacing w:line="360" w:lineRule="auto"/>
        <w:ind w:firstLine="420" w:firstLineChars="200"/>
        <w:rPr>
          <w:rFonts w:ascii="宋体" w:hAnsi="宋体"/>
          <w:szCs w:val="21"/>
        </w:rPr>
      </w:pPr>
      <w:r>
        <w:rPr>
          <w:rFonts w:hint="eastAsia" w:ascii="宋体" w:hAnsi="宋体"/>
          <w:szCs w:val="21"/>
        </w:rPr>
        <w:t>供应商在其响应文件中提供《关于符合本国产品标准的声明函》或财政部会同有关部门规定的有关证明文件，出具符合要求的《声明函》或有关证明文件的，该产品视为本国产品。</w:t>
      </w:r>
    </w:p>
    <w:p w14:paraId="762924BE">
      <w:pPr>
        <w:spacing w:line="360" w:lineRule="auto"/>
        <w:ind w:firstLine="420" w:firstLineChars="200"/>
        <w:rPr>
          <w:rFonts w:ascii="宋体" w:hAnsi="宋体"/>
          <w:szCs w:val="21"/>
        </w:rPr>
      </w:pPr>
      <w:r>
        <w:rPr>
          <w:rFonts w:hint="eastAsia" w:ascii="宋体" w:hAnsi="宋体"/>
          <w:szCs w:val="21"/>
        </w:rPr>
        <w:t>6</w:t>
      </w:r>
      <w:r>
        <w:rPr>
          <w:rFonts w:ascii="宋体" w:hAnsi="宋体"/>
          <w:szCs w:val="21"/>
        </w:rPr>
        <w:t>.</w:t>
      </w:r>
      <w:r>
        <w:rPr>
          <w:rFonts w:hint="eastAsia" w:ascii="宋体" w:hAnsi="宋体"/>
          <w:szCs w:val="21"/>
        </w:rPr>
        <w:t>5中小企业政策性折扣与本国产品政策性折扣进行叠加计算（如有），用扣除后的价格参加评审。即评审价=竞标报价-</w:t>
      </w:r>
      <w:r>
        <w:rPr>
          <w:rFonts w:hint="eastAsia" w:hAnsi="宋体" w:cs="Courier New"/>
          <w:bCs/>
        </w:rPr>
        <w:t>中小企业政策性</w:t>
      </w:r>
      <w:r>
        <w:rPr>
          <w:rFonts w:hint="eastAsia" w:ascii="宋体" w:hAnsi="宋体"/>
          <w:szCs w:val="21"/>
        </w:rPr>
        <w:t>折扣（如有）-本国产品政策性折扣。</w:t>
      </w:r>
    </w:p>
    <w:p w14:paraId="1430FEDA">
      <w:pPr>
        <w:spacing w:line="360" w:lineRule="auto"/>
        <w:ind w:firstLine="420" w:firstLineChars="200"/>
        <w:rPr>
          <w:rFonts w:ascii="宋体" w:hAnsi="宋体"/>
          <w:szCs w:val="21"/>
        </w:rPr>
      </w:pPr>
      <w:r>
        <w:rPr>
          <w:rFonts w:hint="eastAsia" w:ascii="宋体" w:hAnsi="宋体"/>
          <w:szCs w:val="21"/>
        </w:rPr>
        <w:t>除上述情况外，评审价=竞标报价。</w:t>
      </w:r>
    </w:p>
    <w:p w14:paraId="25F1173A">
      <w:pPr>
        <w:spacing w:line="360" w:lineRule="auto"/>
        <w:ind w:firstLine="420"/>
        <w:rPr>
          <w:rFonts w:ascii="宋体" w:hAnsi="宋体" w:cs="宋体"/>
        </w:rPr>
      </w:pPr>
    </w:p>
    <w:p w14:paraId="7FE42CE8">
      <w:pPr>
        <w:spacing w:line="360" w:lineRule="auto"/>
        <w:ind w:firstLine="420"/>
        <w:rPr>
          <w:rFonts w:ascii="宋体" w:hAnsi="宋体" w:cs="宋体"/>
        </w:rPr>
      </w:pPr>
    </w:p>
    <w:p w14:paraId="4283A51C">
      <w:pPr>
        <w:spacing w:line="360" w:lineRule="auto"/>
        <w:ind w:firstLine="436"/>
        <w:rPr>
          <w:rFonts w:ascii="黑体" w:hAnsi="黑体" w:eastAsia="黑体" w:cs="宋体"/>
          <w:b/>
          <w:bCs/>
          <w:sz w:val="24"/>
        </w:rPr>
      </w:pPr>
      <w:r>
        <w:rPr>
          <w:rFonts w:hint="eastAsia" w:ascii="黑体" w:hAnsi="黑体" w:eastAsia="黑体" w:cs="宋体"/>
          <w:b/>
          <w:bCs/>
          <w:sz w:val="24"/>
        </w:rPr>
        <w:t>7.评审复核</w:t>
      </w:r>
    </w:p>
    <w:p w14:paraId="42B7C69A">
      <w:pPr>
        <w:spacing w:line="360" w:lineRule="auto"/>
        <w:ind w:firstLine="420"/>
        <w:rPr>
          <w:rFonts w:ascii="宋体" w:hAnsi="宋体"/>
          <w:szCs w:val="21"/>
        </w:rPr>
      </w:pPr>
      <w:r>
        <w:rPr>
          <w:rFonts w:hint="eastAsia" w:ascii="宋体" w:hAnsi="宋体"/>
          <w:szCs w:val="21"/>
        </w:rPr>
        <w:t>7.1评审报告签署前，谈判小组要对评审结果进行复核，复核意见要体现在评审报告中。</w:t>
      </w:r>
    </w:p>
    <w:p w14:paraId="6E3FC2CF">
      <w:pPr>
        <w:widowControl/>
        <w:spacing w:line="360" w:lineRule="auto"/>
        <w:ind w:firstLine="420"/>
        <w:jc w:val="left"/>
        <w:rPr>
          <w:rFonts w:ascii="宋体" w:hAnsi="宋体" w:cs="宋体"/>
        </w:rPr>
      </w:pPr>
      <w:r>
        <w:rPr>
          <w:rFonts w:hint="eastAsia" w:ascii="宋体" w:hAnsi="宋体" w:cs="宋体"/>
          <w:szCs w:val="21"/>
        </w:rPr>
        <w:t>7.2除资格性审查认定错误和价格计算错误外，采购人或者采购代理机构不得以任何理由组织重新评审。</w:t>
      </w:r>
    </w:p>
    <w:p w14:paraId="40C1C379">
      <w:pPr>
        <w:keepNext/>
        <w:keepLines/>
        <w:spacing w:line="360" w:lineRule="auto"/>
        <w:ind w:firstLine="640"/>
        <w:jc w:val="center"/>
        <w:outlineLvl w:val="1"/>
        <w:rPr>
          <w:rFonts w:ascii="宋体" w:hAnsi="宋体" w:cs="宋体"/>
          <w:bCs/>
          <w:sz w:val="32"/>
          <w:szCs w:val="32"/>
        </w:rPr>
      </w:pPr>
      <w:bookmarkStart w:id="60" w:name="_Toc173510401"/>
      <w:r>
        <w:rPr>
          <w:rFonts w:hint="eastAsia" w:ascii="宋体" w:hAnsi="宋体" w:cs="宋体"/>
          <w:bCs/>
          <w:sz w:val="32"/>
          <w:szCs w:val="32"/>
        </w:rPr>
        <w:t>第二节评审原则</w:t>
      </w:r>
      <w:bookmarkEnd w:id="60"/>
    </w:p>
    <w:p w14:paraId="2967D18E">
      <w:pPr>
        <w:spacing w:line="360" w:lineRule="auto"/>
        <w:ind w:firstLine="480"/>
        <w:jc w:val="left"/>
        <w:rPr>
          <w:rFonts w:ascii="黑体" w:hAnsi="黑体" w:eastAsia="黑体" w:cs="宋体"/>
          <w:sz w:val="24"/>
          <w:szCs w:val="32"/>
        </w:rPr>
      </w:pPr>
      <w:r>
        <w:rPr>
          <w:rFonts w:hint="eastAsia" w:ascii="黑体" w:hAnsi="黑体" w:eastAsia="黑体" w:cs="宋体"/>
          <w:sz w:val="24"/>
          <w:szCs w:val="32"/>
        </w:rPr>
        <w:t>1.评审原则</w:t>
      </w:r>
    </w:p>
    <w:p w14:paraId="18628D15">
      <w:pPr>
        <w:spacing w:line="360" w:lineRule="auto"/>
        <w:ind w:firstLine="420"/>
        <w:jc w:val="left"/>
        <w:rPr>
          <w:rFonts w:ascii="宋体" w:hAnsi="宋体" w:cs="宋体"/>
        </w:rPr>
      </w:pPr>
      <w:r>
        <w:rPr>
          <w:rFonts w:hint="eastAsia" w:ascii="宋体" w:hAnsi="宋体" w:cs="宋体"/>
        </w:rPr>
        <w:t>1.1谈判小组成员要依法独立评审，并对评审意见承担个人责任。谈判小组成员对需要共同认定的事项存在争议的，按照少数服从多数的原则做出结论。持不同意见的谈判小组成员应当在评审报告上签署不同意见并说明理由，否则视为同意。</w:t>
      </w:r>
    </w:p>
    <w:p w14:paraId="6870A8F3">
      <w:pPr>
        <w:spacing w:line="360" w:lineRule="auto"/>
        <w:ind w:firstLine="420"/>
        <w:jc w:val="left"/>
        <w:rPr>
          <w:rFonts w:ascii="宋体" w:hAnsi="宋体" w:cs="宋体"/>
        </w:rPr>
      </w:pPr>
      <w:r>
        <w:rPr>
          <w:rFonts w:hint="eastAsia" w:ascii="宋体" w:hAnsi="宋体" w:cs="宋体"/>
        </w:rPr>
        <w:t>1.2根据</w:t>
      </w:r>
      <w:r>
        <w:rPr>
          <w:rFonts w:hint="eastAsia"/>
        </w:rPr>
        <w:t>《政府采购非招标采购方式管理办法》（财政部令第</w:t>
      </w:r>
      <w:r>
        <w:t>74</w:t>
      </w:r>
      <w:r>
        <w:rPr>
          <w:rFonts w:hint="eastAsia"/>
        </w:rPr>
        <w:t>号）第二十一条</w:t>
      </w:r>
      <w:r>
        <w:rPr>
          <w:rFonts w:hint="eastAsia" w:ascii="宋体" w:hAnsi="宋体" w:cs="宋体"/>
        </w:rPr>
        <w:t>规定，评审结果汇总完成后，采购人、采购代理机构和谈判小组均不得修改评审结果或者要求重新评审，但资格性检查认定错误、分值汇总计算错误、分项评分超出评分标准范围、客观分评分不一致、经评审委员会一致认定评分畸高、畸低的情形除外。出现上述除外情形的，谈判小组应当现场修改评审结果，并在评审报告中明确记载。</w:t>
      </w:r>
      <w:bookmarkStart w:id="61" w:name="_Toc432106535"/>
      <w:bookmarkStart w:id="62" w:name="_Toc432194885"/>
      <w:bookmarkStart w:id="63" w:name="_Toc321836413"/>
    </w:p>
    <w:bookmarkEnd w:id="61"/>
    <w:bookmarkEnd w:id="62"/>
    <w:bookmarkEnd w:id="63"/>
    <w:p w14:paraId="0D780E2F">
      <w:pPr>
        <w:spacing w:line="360" w:lineRule="auto"/>
        <w:ind w:firstLine="420"/>
        <w:rPr>
          <w:rFonts w:ascii="宋体" w:hAnsi="宋体" w:cs="宋体"/>
        </w:rPr>
      </w:pPr>
      <w:r>
        <w:rPr>
          <w:rFonts w:hint="eastAsia" w:ascii="宋体" w:hAnsi="宋体" w:cs="宋体"/>
        </w:rPr>
        <w:t>1.3谈判小组发现竞争性谈判文件存在歧义、重大缺陷导致评审工作无法进行，或者竞争性谈判文件内容违反国家有关规定的，要停止评审工作并向采购人或采购代理机构书面说明情况，采购人或采购代理机构应当修改竞争性谈判文件后重新组织采购活动；发现供应商提供虚假材料、串通等违法违规行为的，要及时向采购人或采购代理机构报告。</w:t>
      </w:r>
    </w:p>
    <w:p w14:paraId="1B6AADDD">
      <w:pPr>
        <w:spacing w:line="360" w:lineRule="auto"/>
        <w:ind w:firstLine="480"/>
        <w:rPr>
          <w:rFonts w:ascii="黑体" w:hAnsi="黑体" w:eastAsia="黑体" w:cs="宋体"/>
          <w:sz w:val="24"/>
          <w:szCs w:val="32"/>
        </w:rPr>
      </w:pPr>
      <w:r>
        <w:rPr>
          <w:rFonts w:hint="eastAsia" w:ascii="黑体" w:hAnsi="黑体" w:eastAsia="黑体" w:cs="宋体"/>
          <w:sz w:val="24"/>
          <w:szCs w:val="32"/>
        </w:rPr>
        <w:t>2.终止竞争性谈判采购活动</w:t>
      </w:r>
    </w:p>
    <w:p w14:paraId="6227C15B">
      <w:pPr>
        <w:spacing w:line="360" w:lineRule="auto"/>
        <w:ind w:firstLine="420"/>
        <w:jc w:val="left"/>
        <w:rPr>
          <w:rFonts w:ascii="宋体" w:hAnsi="宋体" w:cs="宋体"/>
        </w:rPr>
      </w:pPr>
      <w:r>
        <w:rPr>
          <w:rFonts w:hint="eastAsia" w:ascii="宋体" w:hAnsi="宋体" w:cs="宋体"/>
        </w:rPr>
        <w:t>出现下列情形之一的，采购人或者采购代理机构应当终止竞争性谈判采购活动，发布项目终止公告并说明原因，重新开展采购活动：</w:t>
      </w:r>
    </w:p>
    <w:p w14:paraId="2C98CA4A">
      <w:pPr>
        <w:spacing w:line="360" w:lineRule="auto"/>
        <w:ind w:firstLine="420"/>
        <w:jc w:val="left"/>
        <w:rPr>
          <w:rFonts w:ascii="宋体" w:hAnsi="宋体" w:cs="宋体"/>
        </w:rPr>
      </w:pPr>
      <w:r>
        <w:rPr>
          <w:rFonts w:hint="eastAsia" w:ascii="宋体" w:hAnsi="宋体" w:cs="宋体"/>
        </w:rPr>
        <w:t>（1）因情况变化，不再符合规定的竞争性谈判采购方式适用情形的；</w:t>
      </w:r>
    </w:p>
    <w:p w14:paraId="2D2B1224">
      <w:pPr>
        <w:spacing w:line="360" w:lineRule="auto"/>
        <w:ind w:firstLine="420"/>
        <w:jc w:val="left"/>
        <w:rPr>
          <w:rFonts w:ascii="宋体" w:hAnsi="宋体" w:cs="宋体"/>
        </w:rPr>
      </w:pPr>
      <w:r>
        <w:rPr>
          <w:rFonts w:hint="eastAsia" w:ascii="宋体" w:hAnsi="宋体" w:cs="宋体"/>
        </w:rPr>
        <w:t>（2）出现影响采购公正的违法、违规行为的；</w:t>
      </w:r>
    </w:p>
    <w:p w14:paraId="0FE75129">
      <w:pPr>
        <w:spacing w:line="360" w:lineRule="auto"/>
        <w:ind w:firstLine="420"/>
        <w:jc w:val="left"/>
        <w:rPr>
          <w:rFonts w:ascii="宋体" w:hAnsi="宋体" w:cs="宋体"/>
        </w:rPr>
      </w:pPr>
      <w:r>
        <w:rPr>
          <w:rFonts w:hint="eastAsia" w:ascii="宋体" w:hAnsi="宋体" w:cs="宋体"/>
        </w:rPr>
        <w:t>（3）在采购过程中符合竞争要求的供应商或者报价未超过采购预算的供应商不足3家的，但《政府采购非招标采购方式管理办法》第二十七条第二款规定的情形除外。</w:t>
      </w:r>
    </w:p>
    <w:p w14:paraId="50125085">
      <w:pPr>
        <w:keepNext/>
        <w:keepLines/>
        <w:spacing w:line="360" w:lineRule="auto"/>
        <w:ind w:firstLine="640"/>
        <w:jc w:val="center"/>
        <w:outlineLvl w:val="1"/>
        <w:rPr>
          <w:rFonts w:ascii="宋体" w:hAnsi="宋体" w:cs="宋体"/>
          <w:bCs/>
          <w:sz w:val="32"/>
          <w:szCs w:val="32"/>
        </w:rPr>
      </w:pPr>
      <w:bookmarkStart w:id="64" w:name="_Toc173510402"/>
      <w:r>
        <w:rPr>
          <w:rFonts w:hint="eastAsia" w:ascii="宋体" w:hAnsi="宋体" w:cs="宋体"/>
          <w:bCs/>
          <w:sz w:val="32"/>
          <w:szCs w:val="32"/>
        </w:rPr>
        <w:t>第三节评标报告</w:t>
      </w:r>
      <w:bookmarkEnd w:id="64"/>
    </w:p>
    <w:p w14:paraId="38DCF78D">
      <w:pPr>
        <w:spacing w:line="360" w:lineRule="auto"/>
        <w:ind w:firstLine="480"/>
        <w:rPr>
          <w:rFonts w:ascii="黑体" w:hAnsi="黑体" w:eastAsia="黑体" w:cs="宋体"/>
          <w:sz w:val="24"/>
          <w:szCs w:val="32"/>
        </w:rPr>
      </w:pPr>
      <w:r>
        <w:rPr>
          <w:rFonts w:hint="eastAsia" w:ascii="黑体" w:hAnsi="黑体" w:eastAsia="黑体" w:cs="宋体"/>
          <w:sz w:val="24"/>
          <w:szCs w:val="32"/>
        </w:rPr>
        <w:t>1.成交标准</w:t>
      </w:r>
    </w:p>
    <w:p w14:paraId="7AF1420D">
      <w:pPr>
        <w:spacing w:line="360" w:lineRule="auto"/>
        <w:ind w:firstLine="420"/>
        <w:rPr>
          <w:rFonts w:ascii="宋体" w:hAnsi="宋体" w:cs="宋体"/>
          <w:sz w:val="24"/>
        </w:rPr>
      </w:pPr>
      <w:r>
        <w:rPr>
          <w:rFonts w:hint="eastAsia" w:ascii="宋体" w:hAnsi="宋体" w:cs="宋体"/>
        </w:rPr>
        <w:t>谈判小组应当从质量和货物均能满足谈判文件实质性响应要求的供应商中，按照评审价由低到高的顺序提出3名以上成交候选人（评审价相同时，按照最后报价由低到高顺序依次推荐；最后报价相同时，由谈判小组按“供应商须知前附表”第26.2条规定的顺序推荐），并在线编写电子评审报告。</w:t>
      </w:r>
    </w:p>
    <w:p w14:paraId="7ED41F6F">
      <w:pPr>
        <w:spacing w:line="360" w:lineRule="auto"/>
        <w:ind w:firstLine="480"/>
        <w:rPr>
          <w:rFonts w:ascii="黑体" w:hAnsi="黑体" w:eastAsia="黑体" w:cs="宋体"/>
          <w:sz w:val="24"/>
          <w:szCs w:val="32"/>
        </w:rPr>
      </w:pPr>
      <w:r>
        <w:rPr>
          <w:rFonts w:hint="eastAsia" w:ascii="黑体" w:hAnsi="黑体" w:eastAsia="黑体" w:cs="宋体"/>
          <w:sz w:val="24"/>
          <w:szCs w:val="32"/>
        </w:rPr>
        <w:t>2.评标争议事项处理</w:t>
      </w:r>
    </w:p>
    <w:p w14:paraId="37E83E3D">
      <w:pPr>
        <w:spacing w:line="360" w:lineRule="auto"/>
        <w:ind w:firstLine="420"/>
        <w:rPr>
          <w:rFonts w:ascii="宋体" w:hAnsi="宋体" w:cs="宋体"/>
        </w:rPr>
      </w:pPr>
      <w:r>
        <w:rPr>
          <w:rFonts w:hint="eastAsia" w:ascii="宋体" w:hAnsi="宋体" w:cs="宋体"/>
        </w:rPr>
        <w:t>谈判小组成员对需要共同认定的事项存在争议的，应当按照少数服从多数的原则作出结论。持不同意见的谈判小组成员应当在评标报告上签署不同意见及理由，否则视为同意评标报告。</w:t>
      </w:r>
    </w:p>
    <w:p w14:paraId="2D979B4B">
      <w:pPr>
        <w:spacing w:line="360" w:lineRule="auto"/>
        <w:ind w:firstLine="420"/>
        <w:rPr>
          <w:rFonts w:ascii="宋体" w:hAnsi="宋体" w:cs="宋体"/>
        </w:rPr>
      </w:pPr>
    </w:p>
    <w:p w14:paraId="68D5391C">
      <w:pPr>
        <w:keepNext/>
        <w:keepLines/>
        <w:spacing w:line="360" w:lineRule="auto"/>
        <w:ind w:firstLine="640"/>
        <w:jc w:val="center"/>
        <w:outlineLvl w:val="1"/>
        <w:rPr>
          <w:rFonts w:ascii="宋体" w:hAnsi="宋体" w:cs="宋体"/>
          <w:bCs/>
          <w:sz w:val="32"/>
          <w:szCs w:val="32"/>
        </w:rPr>
      </w:pPr>
      <w:bookmarkStart w:id="65" w:name="_Toc173510403"/>
      <w:r>
        <w:rPr>
          <w:rFonts w:hint="eastAsia" w:ascii="宋体" w:hAnsi="宋体" w:cs="宋体"/>
          <w:bCs/>
          <w:sz w:val="32"/>
          <w:szCs w:val="32"/>
        </w:rPr>
        <w:t>第四节评审过程的保密与录像</w:t>
      </w:r>
      <w:bookmarkEnd w:id="65"/>
    </w:p>
    <w:p w14:paraId="3B949219">
      <w:pPr>
        <w:spacing w:line="360" w:lineRule="auto"/>
        <w:ind w:firstLine="480"/>
        <w:rPr>
          <w:rFonts w:ascii="黑体" w:hAnsi="黑体" w:eastAsia="黑体" w:cs="宋体"/>
          <w:sz w:val="24"/>
          <w:szCs w:val="32"/>
        </w:rPr>
      </w:pPr>
      <w:r>
        <w:rPr>
          <w:rFonts w:hint="eastAsia" w:ascii="黑体" w:hAnsi="黑体" w:eastAsia="黑体" w:cs="宋体"/>
          <w:sz w:val="24"/>
          <w:szCs w:val="32"/>
        </w:rPr>
        <w:t>1.保密。</w:t>
      </w:r>
    </w:p>
    <w:p w14:paraId="3186E3D1">
      <w:pPr>
        <w:widowControl/>
        <w:spacing w:line="360" w:lineRule="auto"/>
        <w:ind w:firstLine="420"/>
        <w:rPr>
          <w:rFonts w:ascii="宋体" w:hAnsi="宋体" w:cs="宋体"/>
        </w:rPr>
      </w:pPr>
      <w:r>
        <w:rPr>
          <w:rFonts w:hint="eastAsia" w:ascii="宋体" w:hAnsi="宋体" w:cs="宋体"/>
        </w:rPr>
        <w:t>评审活动在严格保密的情况下进行。评审过程中凡是与采购响应文件评审和比较、成交供应商推荐等评审有关的情况，以及涉及国家秘密和商业秘密等信息，评审委员会成员、采购人和采购机构工作人员、相关监督人员等与评审有关的人员应当予以保密。</w:t>
      </w:r>
    </w:p>
    <w:p w14:paraId="71948A53">
      <w:pPr>
        <w:widowControl/>
        <w:spacing w:line="360" w:lineRule="auto"/>
        <w:ind w:firstLine="480"/>
        <w:rPr>
          <w:rFonts w:ascii="黑体" w:hAnsi="黑体" w:eastAsia="黑体" w:cs="宋体"/>
          <w:sz w:val="24"/>
          <w:szCs w:val="32"/>
        </w:rPr>
      </w:pPr>
      <w:r>
        <w:rPr>
          <w:rFonts w:hint="eastAsia" w:ascii="黑体" w:hAnsi="黑体" w:eastAsia="黑体" w:cs="宋体"/>
          <w:sz w:val="24"/>
          <w:szCs w:val="32"/>
        </w:rPr>
        <w:t>2.录音录像。</w:t>
      </w:r>
    </w:p>
    <w:p w14:paraId="71B49EEB">
      <w:pPr>
        <w:spacing w:line="360" w:lineRule="auto"/>
        <w:ind w:firstLine="420"/>
      </w:pPr>
      <w:r>
        <w:rPr>
          <w:rFonts w:hint="eastAsia" w:ascii="宋体" w:hAnsi="宋体" w:cs="宋体"/>
        </w:rPr>
        <w:t>采购代理机构对评审工作现场及操作屏幕进行全过程录音录像，录音录像资料作为采购项目文件随其他文件一并存档。</w:t>
      </w:r>
      <w:r>
        <w:rPr/>
        <w:br w:type="page" w:clear="all"/>
      </w:r>
    </w:p>
    <w:p w14:paraId="31CB112F"/>
    <w:p w14:paraId="1EC579E4"/>
    <w:p w14:paraId="4D0C5A1B"/>
    <w:p w14:paraId="496F2FFE"/>
    <w:p w14:paraId="66147EBC"/>
    <w:p w14:paraId="0A144AF5"/>
    <w:p w14:paraId="5026FFB8"/>
    <w:p w14:paraId="73AB7B23"/>
    <w:p w14:paraId="4AD730FF"/>
    <w:p w14:paraId="13BF7246"/>
    <w:p w14:paraId="0D51AE36"/>
    <w:p w14:paraId="1B9D1033"/>
    <w:p w14:paraId="168DAC91"/>
    <w:p w14:paraId="1D2F9CB7"/>
    <w:p w14:paraId="425E137D"/>
    <w:p w14:paraId="286719E1">
      <w:pPr>
        <w:keepNext/>
        <w:keepLines/>
        <w:spacing w:before="260" w:after="260" w:line="415" w:lineRule="auto"/>
        <w:jc w:val="center"/>
        <w:outlineLvl w:val="1"/>
        <w:rPr>
          <w:rFonts w:ascii="Cambria" w:hAnsi="Cambria" w:cs="宋体"/>
          <w:b/>
          <w:bCs/>
          <w:sz w:val="32"/>
          <w:szCs w:val="32"/>
        </w:rPr>
      </w:pPr>
    </w:p>
    <w:p w14:paraId="4B4101D1">
      <w:pPr>
        <w:keepNext/>
        <w:keepLines/>
        <w:spacing w:before="340" w:after="330" w:line="576" w:lineRule="auto"/>
        <w:jc w:val="center"/>
        <w:outlineLvl w:val="0"/>
        <w:rPr>
          <w:b/>
          <w:bCs/>
          <w:sz w:val="44"/>
          <w:szCs w:val="44"/>
        </w:rPr>
      </w:pPr>
      <w:bookmarkStart w:id="66" w:name="_Toc173510404"/>
      <w:r>
        <w:rPr>
          <w:rFonts w:hint="eastAsia"/>
          <w:b/>
          <w:bCs/>
          <w:sz w:val="44"/>
          <w:szCs w:val="44"/>
        </w:rPr>
        <w:t>第五章响应文件格式</w:t>
      </w:r>
      <w:bookmarkEnd w:id="66"/>
      <w:r>
        <w:rPr>
          <w:b/>
          <w:bCs/>
          <w:sz w:val="44"/>
          <w:szCs w:val="44"/>
        </w:rPr>
        <w:br w:type="page" w:clear="all"/>
      </w:r>
    </w:p>
    <w:p w14:paraId="4AB91347">
      <w:pPr>
        <w:keepNext/>
        <w:keepLines/>
        <w:spacing w:before="260" w:after="260" w:line="415" w:lineRule="auto"/>
        <w:jc w:val="center"/>
        <w:outlineLvl w:val="1"/>
        <w:rPr>
          <w:rFonts w:ascii="宋体" w:hAnsi="宋体" w:cs="宋体"/>
          <w:bCs/>
          <w:sz w:val="32"/>
          <w:szCs w:val="32"/>
        </w:rPr>
      </w:pPr>
      <w:bookmarkStart w:id="67" w:name="_Toc173510405"/>
      <w:r>
        <w:rPr>
          <w:rFonts w:hint="eastAsia" w:ascii="宋体" w:hAnsi="宋体" w:cs="宋体"/>
          <w:bCs/>
          <w:sz w:val="32"/>
          <w:szCs w:val="32"/>
        </w:rPr>
        <w:t>第一节封面格式</w:t>
      </w:r>
      <w:bookmarkEnd w:id="67"/>
    </w:p>
    <w:p w14:paraId="4753814F">
      <w:pPr>
        <w:spacing w:before="120" w:after="50"/>
        <w:rPr>
          <w:rFonts w:ascii="宋体" w:hAnsi="宋体"/>
          <w:sz w:val="24"/>
          <w:szCs w:val="20"/>
        </w:rPr>
      </w:pPr>
    </w:p>
    <w:p w14:paraId="40706CAB">
      <w:pPr>
        <w:spacing w:before="120" w:after="50"/>
        <w:jc w:val="center"/>
        <w:rPr>
          <w:rFonts w:ascii="宋体" w:hAnsi="宋体"/>
          <w:bCs/>
          <w:sz w:val="24"/>
          <w:szCs w:val="20"/>
        </w:rPr>
      </w:pPr>
    </w:p>
    <w:p w14:paraId="4D2BE60C">
      <w:pPr>
        <w:spacing w:before="120" w:after="50"/>
        <w:jc w:val="center"/>
        <w:rPr>
          <w:rFonts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响应文件</w:t>
      </w:r>
    </w:p>
    <w:p w14:paraId="2A78456C">
      <w:pPr>
        <w:spacing w:before="120" w:after="50"/>
        <w:rPr>
          <w:rFonts w:ascii="宋体" w:hAnsi="宋体"/>
          <w:bCs/>
          <w:sz w:val="24"/>
          <w:szCs w:val="20"/>
        </w:rPr>
      </w:pPr>
    </w:p>
    <w:p w14:paraId="072AA9CC">
      <w:pPr>
        <w:spacing w:before="120" w:after="50"/>
        <w:rPr>
          <w:rFonts w:ascii="宋体" w:hAnsi="宋体"/>
          <w:bCs/>
          <w:sz w:val="24"/>
          <w:szCs w:val="20"/>
        </w:rPr>
      </w:pPr>
    </w:p>
    <w:p w14:paraId="70EA7E08">
      <w:pPr>
        <w:spacing w:before="120" w:after="50"/>
        <w:rPr>
          <w:rFonts w:ascii="仿宋_GB2312" w:hAnsi="仿宋_GB2312" w:eastAsia="仿宋_GB2312" w:cs="仿宋_GB2312"/>
          <w:bCs/>
          <w:sz w:val="32"/>
          <w:szCs w:val="32"/>
        </w:rPr>
      </w:pPr>
    </w:p>
    <w:p w14:paraId="6E44786A">
      <w:pPr>
        <w:spacing w:before="120" w:after="50"/>
        <w:ind w:firstLine="640"/>
        <w:rPr>
          <w:rFonts w:ascii="宋体" w:hAnsi="宋体" w:cs="仿宋_GB2312"/>
          <w:bCs/>
          <w:sz w:val="32"/>
          <w:szCs w:val="32"/>
        </w:rPr>
      </w:pPr>
      <w:r>
        <w:rPr>
          <w:rFonts w:hint="eastAsia" w:ascii="宋体" w:hAnsi="宋体" w:cs="仿宋_GB2312"/>
          <w:bCs/>
          <w:sz w:val="32"/>
          <w:szCs w:val="32"/>
        </w:rPr>
        <w:t>项目名称：</w:t>
      </w:r>
      <w:bookmarkStart w:id="68" w:name="PO_3000001871_PM002_3"/>
      <w:r>
        <w:rPr>
          <w:rFonts w:hint="eastAsia" w:ascii="宋体" w:hAnsi="宋体" w:cs="仿宋_GB2312"/>
          <w:bCs/>
          <w:sz w:val="32"/>
          <w:szCs w:val="32"/>
        </w:rPr>
        <w:t>[项目采购-项目名称]</w:t>
      </w:r>
      <w:bookmarkEnd w:id="68"/>
    </w:p>
    <w:p w14:paraId="2C08FF94">
      <w:pPr>
        <w:spacing w:before="120" w:after="50"/>
        <w:ind w:firstLine="480"/>
        <w:rPr>
          <w:rFonts w:ascii="宋体" w:hAnsi="宋体" w:cs="仿宋_GB2312"/>
          <w:bCs/>
          <w:sz w:val="32"/>
          <w:szCs w:val="32"/>
        </w:rPr>
      </w:pPr>
    </w:p>
    <w:p w14:paraId="5FA46992">
      <w:pPr>
        <w:spacing w:before="120" w:after="50"/>
        <w:ind w:firstLine="640"/>
        <w:rPr>
          <w:rFonts w:ascii="宋体" w:hAnsi="宋体" w:cs="仿宋_GB2312"/>
          <w:bCs/>
          <w:sz w:val="32"/>
          <w:szCs w:val="32"/>
        </w:rPr>
      </w:pPr>
      <w:r>
        <w:rPr>
          <w:rFonts w:hint="eastAsia" w:ascii="宋体" w:hAnsi="宋体" w:cs="仿宋_GB2312"/>
          <w:bCs/>
          <w:sz w:val="32"/>
          <w:szCs w:val="32"/>
        </w:rPr>
        <w:t>项目编号：</w:t>
      </w:r>
      <w:bookmarkStart w:id="69" w:name="PO_3000001871_PM001_2"/>
      <w:r>
        <w:rPr>
          <w:rFonts w:hint="eastAsia" w:ascii="宋体" w:hAnsi="宋体" w:cs="仿宋_GB2312"/>
          <w:bCs/>
          <w:sz w:val="32"/>
          <w:szCs w:val="32"/>
        </w:rPr>
        <w:t>[项目采购-项目编号]</w:t>
      </w:r>
      <w:bookmarkEnd w:id="69"/>
    </w:p>
    <w:p w14:paraId="55ED50D1">
      <w:pPr>
        <w:spacing w:before="120" w:after="50"/>
        <w:ind w:firstLine="480"/>
        <w:rPr>
          <w:rFonts w:ascii="宋体" w:hAnsi="宋体" w:cs="仿宋_GB2312"/>
          <w:bCs/>
          <w:sz w:val="32"/>
          <w:szCs w:val="32"/>
        </w:rPr>
      </w:pPr>
    </w:p>
    <w:p w14:paraId="16386A9D">
      <w:pPr>
        <w:spacing w:before="120" w:after="50"/>
        <w:ind w:firstLine="640"/>
        <w:rPr>
          <w:rFonts w:ascii="宋体" w:hAnsi="宋体" w:cs="仿宋_GB2312"/>
          <w:bCs/>
          <w:sz w:val="32"/>
          <w:szCs w:val="32"/>
        </w:rPr>
      </w:pPr>
      <w:r>
        <w:rPr>
          <w:rFonts w:hint="eastAsia" w:ascii="宋体" w:hAnsi="宋体" w:cs="仿宋_GB2312"/>
          <w:bCs/>
          <w:sz w:val="32"/>
          <w:szCs w:val="32"/>
        </w:rPr>
        <w:t>所竞分标（如有则填写，无分标时填写“无”或者留空）：</w:t>
      </w:r>
    </w:p>
    <w:p w14:paraId="7EDAE3F4">
      <w:pPr>
        <w:spacing w:before="120" w:after="50"/>
        <w:rPr>
          <w:rFonts w:ascii="宋体" w:hAnsi="宋体" w:cs="仿宋_GB2312"/>
          <w:bCs/>
          <w:sz w:val="32"/>
          <w:szCs w:val="32"/>
        </w:rPr>
      </w:pPr>
    </w:p>
    <w:p w14:paraId="0296759E">
      <w:pPr>
        <w:spacing w:before="120" w:after="50"/>
        <w:ind w:firstLine="640"/>
        <w:rPr>
          <w:rFonts w:ascii="宋体" w:hAnsi="宋体" w:cs="仿宋_GB2312"/>
          <w:bCs/>
          <w:sz w:val="32"/>
          <w:szCs w:val="32"/>
        </w:rPr>
      </w:pPr>
      <w:r>
        <w:rPr>
          <w:rFonts w:hint="eastAsia" w:ascii="宋体" w:hAnsi="宋体" w:cs="仿宋_GB2312"/>
          <w:bCs/>
          <w:sz w:val="32"/>
          <w:szCs w:val="32"/>
        </w:rPr>
        <w:t>供应商名称：</w:t>
      </w:r>
    </w:p>
    <w:p w14:paraId="1D01ECF9">
      <w:pPr>
        <w:spacing w:before="120" w:after="50"/>
        <w:rPr>
          <w:rFonts w:ascii="宋体" w:hAnsi="宋体" w:cs="仿宋_GB2312"/>
          <w:bCs/>
          <w:sz w:val="32"/>
          <w:szCs w:val="32"/>
        </w:rPr>
      </w:pPr>
    </w:p>
    <w:p w14:paraId="017ABE51">
      <w:pPr>
        <w:spacing w:before="120" w:after="50"/>
        <w:ind w:firstLine="480"/>
        <w:jc w:val="center"/>
        <w:rPr>
          <w:rFonts w:ascii="宋体" w:hAnsi="宋体" w:cs="仿宋_GB2312"/>
          <w:bCs/>
          <w:sz w:val="32"/>
          <w:szCs w:val="32"/>
        </w:rPr>
      </w:pPr>
      <w:r>
        <w:rPr>
          <w:rFonts w:hint="eastAsia" w:ascii="宋体" w:hAnsi="宋体" w:cs="仿宋_GB2312"/>
          <w:bCs/>
          <w:sz w:val="32"/>
          <w:szCs w:val="32"/>
        </w:rPr>
        <w:t>首次响应文件提交截止时间前不得解密</w:t>
      </w:r>
    </w:p>
    <w:p w14:paraId="553B09E1">
      <w:pPr>
        <w:spacing w:before="120" w:after="50"/>
        <w:ind w:firstLine="5440"/>
        <w:jc w:val="center"/>
        <w:rPr>
          <w:rFonts w:ascii="宋体" w:hAnsi="宋体" w:cs="仿宋_GB2312"/>
          <w:bCs/>
          <w:sz w:val="32"/>
          <w:szCs w:val="32"/>
        </w:rPr>
      </w:pPr>
    </w:p>
    <w:p w14:paraId="78122C47">
      <w:pPr>
        <w:spacing w:before="120" w:after="50"/>
        <w:ind w:firstLine="645"/>
        <w:jc w:val="center"/>
        <w:rPr>
          <w:rFonts w:ascii="宋体" w:hAnsi="宋体" w:cs="仿宋_GB2312"/>
          <w:bCs/>
          <w:sz w:val="32"/>
          <w:szCs w:val="32"/>
        </w:rPr>
      </w:pPr>
      <w:r>
        <w:rPr>
          <w:rFonts w:hint="eastAsia" w:ascii="宋体" w:hAnsi="宋体" w:cs="仿宋_GB2312"/>
          <w:bCs/>
          <w:sz w:val="32"/>
          <w:szCs w:val="32"/>
        </w:rPr>
        <w:t>年月日</w:t>
      </w:r>
    </w:p>
    <w:p w14:paraId="6AFC097B">
      <w:pPr>
        <w:spacing w:line="240" w:lineRule="atLeast"/>
        <w:rPr>
          <w:rFonts w:ascii="宋体" w:hAnsi="宋体"/>
          <w:b/>
          <w:bCs/>
        </w:rPr>
      </w:pPr>
      <w:r>
        <w:rPr>
          <w:rFonts w:hint="eastAsia" w:ascii="宋体" w:hAnsi="宋体"/>
          <w:bCs/>
          <w:sz w:val="24"/>
        </w:rPr>
        <w:br w:type="page" w:clear="all"/>
      </w:r>
    </w:p>
    <w:p w14:paraId="34332E0E">
      <w:pPr>
        <w:spacing w:before="120" w:after="50" w:line="360" w:lineRule="auto"/>
        <w:jc w:val="center"/>
        <w:outlineLvl w:val="1"/>
        <w:rPr>
          <w:rFonts w:ascii="宋体" w:hAnsi="宋体"/>
          <w:bCs/>
          <w:sz w:val="32"/>
          <w:szCs w:val="32"/>
        </w:rPr>
      </w:pPr>
      <w:bookmarkStart w:id="70" w:name="_Toc173510406"/>
      <w:r>
        <w:rPr>
          <w:rFonts w:hint="eastAsia" w:ascii="宋体" w:hAnsi="宋体"/>
          <w:bCs/>
          <w:sz w:val="32"/>
          <w:szCs w:val="32"/>
        </w:rPr>
        <w:t>第二节资格证明文件格式</w:t>
      </w:r>
      <w:bookmarkEnd w:id="70"/>
    </w:p>
    <w:p w14:paraId="2B9F55C0">
      <w:pPr>
        <w:spacing w:before="120" w:after="50"/>
        <w:rPr>
          <w:rFonts w:ascii="宋体" w:hAnsi="宋体"/>
          <w:bCs/>
          <w:sz w:val="32"/>
          <w:szCs w:val="20"/>
        </w:rPr>
      </w:pPr>
      <w:r>
        <w:rPr>
          <w:rFonts w:hint="eastAsia" w:ascii="宋体" w:hAnsi="宋体"/>
          <w:bCs/>
        </w:rPr>
        <w:t>全流程电子文件</w:t>
      </w:r>
    </w:p>
    <w:p w14:paraId="060C4752">
      <w:pPr>
        <w:spacing w:before="120" w:after="50"/>
        <w:rPr>
          <w:rFonts w:ascii="宋体" w:hAnsi="宋体"/>
          <w:sz w:val="24"/>
          <w:szCs w:val="20"/>
        </w:rPr>
      </w:pPr>
    </w:p>
    <w:p w14:paraId="02E47FC5">
      <w:pPr>
        <w:spacing w:before="120" w:after="50"/>
        <w:rPr>
          <w:rFonts w:ascii="宋体" w:hAnsi="宋体"/>
          <w:sz w:val="24"/>
          <w:szCs w:val="20"/>
        </w:rPr>
      </w:pPr>
    </w:p>
    <w:p w14:paraId="11C07400">
      <w:pPr>
        <w:spacing w:before="120" w:after="50"/>
        <w:jc w:val="center"/>
        <w:rPr>
          <w:rFonts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资格证明文件（封面）</w:t>
      </w:r>
    </w:p>
    <w:p w14:paraId="7421E549">
      <w:pPr>
        <w:spacing w:before="120" w:after="50"/>
        <w:rPr>
          <w:rFonts w:ascii="宋体" w:hAnsi="宋体"/>
          <w:bCs/>
          <w:sz w:val="24"/>
          <w:szCs w:val="20"/>
        </w:rPr>
      </w:pPr>
    </w:p>
    <w:p w14:paraId="67A0F670">
      <w:pPr>
        <w:spacing w:before="120" w:after="50"/>
        <w:rPr>
          <w:rFonts w:ascii="宋体" w:hAnsi="宋体"/>
          <w:bCs/>
          <w:sz w:val="24"/>
          <w:szCs w:val="20"/>
        </w:rPr>
      </w:pPr>
    </w:p>
    <w:p w14:paraId="69EA6659">
      <w:pPr>
        <w:spacing w:before="120" w:after="50"/>
        <w:rPr>
          <w:rFonts w:ascii="宋体" w:hAnsi="宋体"/>
          <w:bCs/>
          <w:sz w:val="24"/>
          <w:szCs w:val="20"/>
        </w:rPr>
      </w:pPr>
    </w:p>
    <w:p w14:paraId="02001F03">
      <w:pPr>
        <w:spacing w:before="120" w:after="50"/>
        <w:rPr>
          <w:rFonts w:ascii="宋体" w:hAnsi="宋体"/>
          <w:bCs/>
          <w:sz w:val="24"/>
          <w:szCs w:val="20"/>
        </w:rPr>
      </w:pPr>
    </w:p>
    <w:p w14:paraId="30C6CFBC">
      <w:pPr>
        <w:spacing w:before="120" w:after="50"/>
        <w:rPr>
          <w:rFonts w:ascii="宋体" w:hAnsi="宋体"/>
          <w:bCs/>
          <w:sz w:val="24"/>
          <w:szCs w:val="20"/>
        </w:rPr>
      </w:pPr>
    </w:p>
    <w:p w14:paraId="3BE80065">
      <w:pPr>
        <w:spacing w:before="120" w:after="50"/>
        <w:ind w:firstLine="640"/>
        <w:rPr>
          <w:rFonts w:ascii="宋体" w:hAnsi="宋体" w:cs="仿宋_GB2312"/>
          <w:bCs/>
          <w:sz w:val="32"/>
          <w:szCs w:val="32"/>
        </w:rPr>
      </w:pPr>
      <w:r>
        <w:rPr>
          <w:rFonts w:hint="eastAsia" w:ascii="宋体" w:hAnsi="宋体" w:cs="仿宋_GB2312"/>
          <w:bCs/>
          <w:sz w:val="32"/>
          <w:szCs w:val="32"/>
        </w:rPr>
        <w:t>项目名称：</w:t>
      </w:r>
      <w:bookmarkStart w:id="71" w:name="PO_3000001871_PM002_2"/>
      <w:r>
        <w:rPr>
          <w:rFonts w:hint="eastAsia" w:ascii="宋体" w:hAnsi="宋体" w:cs="仿宋_GB2312"/>
          <w:bCs/>
          <w:sz w:val="32"/>
          <w:szCs w:val="32"/>
        </w:rPr>
        <w:t>[项目采购-项目名称]</w:t>
      </w:r>
      <w:bookmarkEnd w:id="71"/>
    </w:p>
    <w:p w14:paraId="16AADA17">
      <w:pPr>
        <w:spacing w:before="120" w:after="50"/>
        <w:ind w:firstLine="720"/>
        <w:rPr>
          <w:rFonts w:ascii="宋体" w:hAnsi="宋体" w:cs="仿宋_GB2312"/>
          <w:bCs/>
          <w:sz w:val="32"/>
          <w:szCs w:val="32"/>
        </w:rPr>
      </w:pPr>
    </w:p>
    <w:p w14:paraId="31960716">
      <w:pPr>
        <w:spacing w:before="120" w:after="50"/>
        <w:ind w:firstLine="720"/>
        <w:rPr>
          <w:rFonts w:ascii="宋体" w:hAnsi="宋体" w:cs="仿宋_GB2312"/>
          <w:bCs/>
          <w:sz w:val="32"/>
          <w:szCs w:val="32"/>
        </w:rPr>
      </w:pPr>
      <w:r>
        <w:rPr>
          <w:rFonts w:hint="eastAsia" w:ascii="宋体" w:hAnsi="宋体" w:cs="仿宋_GB2312"/>
          <w:bCs/>
          <w:sz w:val="32"/>
          <w:szCs w:val="32"/>
        </w:rPr>
        <w:t>项目编号：</w:t>
      </w:r>
      <w:bookmarkStart w:id="72" w:name="PO_3000001871_PM001_3"/>
      <w:r>
        <w:rPr>
          <w:rFonts w:hint="eastAsia" w:ascii="宋体" w:hAnsi="宋体" w:cs="仿宋_GB2312"/>
          <w:bCs/>
          <w:sz w:val="32"/>
          <w:szCs w:val="32"/>
        </w:rPr>
        <w:t>[项目采购-项目编号]</w:t>
      </w:r>
      <w:bookmarkEnd w:id="72"/>
    </w:p>
    <w:p w14:paraId="7C4D7AA7">
      <w:pPr>
        <w:spacing w:before="120" w:after="50"/>
        <w:ind w:firstLine="720"/>
        <w:rPr>
          <w:rFonts w:ascii="宋体" w:hAnsi="宋体" w:cs="仿宋_GB2312"/>
          <w:bCs/>
          <w:sz w:val="32"/>
          <w:szCs w:val="32"/>
        </w:rPr>
      </w:pPr>
    </w:p>
    <w:p w14:paraId="143182BC">
      <w:pPr>
        <w:spacing w:before="120" w:after="50"/>
        <w:ind w:firstLine="720"/>
        <w:rPr>
          <w:rFonts w:ascii="宋体" w:hAnsi="宋体" w:cs="仿宋_GB2312"/>
          <w:bCs/>
          <w:sz w:val="32"/>
          <w:szCs w:val="32"/>
        </w:rPr>
      </w:pPr>
      <w:r>
        <w:rPr>
          <w:rFonts w:hint="eastAsia" w:ascii="宋体" w:hAnsi="宋体" w:cs="仿宋_GB2312"/>
          <w:bCs/>
          <w:sz w:val="32"/>
          <w:szCs w:val="32"/>
        </w:rPr>
        <w:t>所竞分标（如有则填写，无分标时填写“无”或者留空）：</w:t>
      </w:r>
    </w:p>
    <w:p w14:paraId="0FDA4537">
      <w:pPr>
        <w:spacing w:before="120" w:after="50"/>
        <w:ind w:firstLine="720"/>
        <w:rPr>
          <w:rFonts w:ascii="宋体" w:hAnsi="宋体" w:cs="仿宋_GB2312"/>
          <w:bCs/>
          <w:sz w:val="32"/>
          <w:szCs w:val="32"/>
        </w:rPr>
      </w:pPr>
    </w:p>
    <w:p w14:paraId="10DBD9E3">
      <w:pPr>
        <w:spacing w:before="50" w:after="50"/>
        <w:ind w:firstLine="720"/>
        <w:rPr>
          <w:rFonts w:ascii="宋体" w:hAnsi="宋体" w:cs="仿宋_GB2312"/>
          <w:bCs/>
          <w:sz w:val="32"/>
          <w:szCs w:val="32"/>
        </w:rPr>
      </w:pPr>
      <w:r>
        <w:rPr>
          <w:rFonts w:hint="eastAsia" w:ascii="宋体" w:hAnsi="宋体" w:cs="仿宋_GB2312"/>
          <w:bCs/>
          <w:sz w:val="32"/>
          <w:szCs w:val="32"/>
        </w:rPr>
        <w:t>供应商名称：</w:t>
      </w:r>
    </w:p>
    <w:p w14:paraId="5FBC8A99">
      <w:pPr>
        <w:spacing w:before="50" w:after="50"/>
        <w:ind w:firstLine="720"/>
        <w:rPr>
          <w:rFonts w:ascii="宋体" w:hAnsi="宋体" w:cs="仿宋_GB2312"/>
          <w:bCs/>
          <w:sz w:val="32"/>
          <w:szCs w:val="32"/>
        </w:rPr>
      </w:pPr>
    </w:p>
    <w:p w14:paraId="3170AF3D">
      <w:pPr>
        <w:spacing w:before="50" w:after="50"/>
        <w:ind w:firstLine="720"/>
        <w:rPr>
          <w:rFonts w:ascii="宋体" w:hAnsi="宋体" w:cs="仿宋_GB2312"/>
          <w:bCs/>
          <w:sz w:val="32"/>
          <w:szCs w:val="32"/>
        </w:rPr>
      </w:pPr>
    </w:p>
    <w:p w14:paraId="0646ECF1">
      <w:pPr>
        <w:spacing w:before="50" w:after="50"/>
        <w:ind w:firstLine="720"/>
        <w:rPr>
          <w:rFonts w:ascii="宋体" w:hAnsi="宋体" w:cs="仿宋_GB2312"/>
          <w:bCs/>
          <w:sz w:val="32"/>
          <w:szCs w:val="32"/>
        </w:rPr>
      </w:pPr>
    </w:p>
    <w:p w14:paraId="453261F1">
      <w:pPr>
        <w:spacing w:before="50" w:after="50"/>
        <w:ind w:firstLine="1280"/>
        <w:rPr>
          <w:rFonts w:ascii="宋体" w:hAnsi="宋体" w:cs="仿宋_GB2312"/>
          <w:bCs/>
          <w:sz w:val="32"/>
          <w:szCs w:val="32"/>
        </w:rPr>
      </w:pPr>
    </w:p>
    <w:p w14:paraId="2406734B">
      <w:pPr>
        <w:spacing w:before="120" w:after="50"/>
        <w:jc w:val="center"/>
        <w:rPr>
          <w:rFonts w:ascii="宋体" w:hAnsi="宋体" w:cs="仿宋_GB2312"/>
          <w:sz w:val="32"/>
          <w:szCs w:val="32"/>
        </w:rPr>
      </w:pPr>
      <w:r>
        <w:rPr>
          <w:rFonts w:hint="eastAsia" w:ascii="宋体" w:hAnsi="宋体" w:cs="仿宋_GB2312"/>
          <w:sz w:val="32"/>
          <w:szCs w:val="32"/>
        </w:rPr>
        <w:t>年 月 日</w:t>
      </w:r>
    </w:p>
    <w:p w14:paraId="55EA4F82">
      <w:pPr>
        <w:spacing w:before="120" w:after="50" w:line="360" w:lineRule="auto"/>
        <w:ind w:left="142" w:firstLine="480"/>
        <w:jc w:val="left"/>
        <w:rPr>
          <w:rFonts w:ascii="宋体" w:hAnsi="宋体"/>
          <w:b/>
          <w:bCs/>
          <w:sz w:val="32"/>
          <w:szCs w:val="32"/>
        </w:rPr>
      </w:pPr>
      <w:r>
        <w:rPr>
          <w:rFonts w:hint="eastAsia" w:ascii="宋体" w:hAnsi="宋体"/>
          <w:sz w:val="24"/>
        </w:rPr>
        <w:br w:type="page" w:clear="all"/>
      </w:r>
      <w:r>
        <w:rPr>
          <w:rFonts w:hint="eastAsia" w:ascii="宋体" w:hAnsi="宋体"/>
          <w:b/>
          <w:bCs/>
          <w:sz w:val="32"/>
          <w:szCs w:val="32"/>
        </w:rPr>
        <w:t>二、资格证明文件目录</w:t>
      </w:r>
    </w:p>
    <w:p w14:paraId="36D55CD2">
      <w:pPr>
        <w:jc w:val="center"/>
        <w:rPr>
          <w:rFonts w:ascii="仿宋_GB2312" w:hAnsi="仿宋" w:eastAsia="仿宋_GB2312" w:cs="仿宋_GB2312"/>
          <w:b/>
          <w:sz w:val="36"/>
          <w:szCs w:val="36"/>
        </w:rPr>
      </w:pPr>
      <w:r>
        <w:rPr>
          <w:rFonts w:hint="eastAsia" w:ascii="仿宋_GB2312" w:hAnsi="仿宋" w:eastAsia="仿宋_GB2312" w:cs="仿宋_GB2312"/>
          <w:b/>
          <w:sz w:val="36"/>
          <w:szCs w:val="36"/>
        </w:rPr>
        <w:t>资格证明文件目录</w:t>
      </w:r>
    </w:p>
    <w:p w14:paraId="638B2839">
      <w:pPr>
        <w:spacing w:line="360" w:lineRule="auto"/>
        <w:rPr>
          <w:rFonts w:ascii="仿宋_GB2312" w:hAnsi="仿宋" w:eastAsia="仿宋_GB2312" w:cs="仿宋_GB2312"/>
          <w:sz w:val="24"/>
        </w:rPr>
      </w:pPr>
    </w:p>
    <w:p w14:paraId="051A9C21">
      <w:pPr>
        <w:spacing w:line="360" w:lineRule="auto"/>
        <w:rPr>
          <w:rFonts w:ascii="仿宋_GB2312" w:hAnsi="仿宋" w:eastAsia="仿宋_GB2312" w:cs="仿宋_GB2312"/>
          <w:sz w:val="24"/>
        </w:rPr>
      </w:pPr>
      <w:r>
        <w:rPr>
          <w:rFonts w:hint="eastAsia" w:ascii="仿宋_GB2312" w:hAnsi="仿宋" w:eastAsia="仿宋_GB2312" w:cs="仿宋_GB2312"/>
          <w:sz w:val="24"/>
        </w:rPr>
        <w:t>一、</w:t>
      </w:r>
      <w:r>
        <w:rPr>
          <w:rFonts w:hint="eastAsia" w:ascii="仿宋_GB2312" w:hAnsi="仿宋" w:eastAsia="仿宋_GB2312"/>
          <w:sz w:val="24"/>
        </w:rPr>
        <w:t>营业执照(或事业法人登记证或其他执业等登记证明材料)复印件（供应商为自然人的，须提供</w:t>
      </w:r>
      <w:r>
        <w:rPr>
          <w:rFonts w:hint="eastAsia" w:ascii="仿宋_GB2312" w:hAnsi="仿宋" w:eastAsia="仿宋_GB2312" w:cs="Helvetica"/>
          <w:sz w:val="24"/>
        </w:rPr>
        <w:t>自然人的身份证明</w:t>
      </w:r>
      <w:r>
        <w:rPr>
          <w:rFonts w:hint="eastAsia" w:ascii="仿宋_GB2312" w:hAnsi="仿宋" w:eastAsia="仿宋_GB2312"/>
          <w:sz w:val="24"/>
        </w:rPr>
        <w:t>）</w:t>
      </w:r>
      <w:r>
        <w:rPr>
          <w:rFonts w:hint="eastAsia" w:ascii="仿宋_GB2312" w:hAnsi="仿宋" w:eastAsia="仿宋_GB2312" w:cs="仿宋_GB2312"/>
          <w:sz w:val="24"/>
        </w:rPr>
        <w:t>……………………………………（页码）</w:t>
      </w:r>
    </w:p>
    <w:p w14:paraId="2877133F">
      <w:pPr>
        <w:spacing w:line="360" w:lineRule="auto"/>
        <w:rPr>
          <w:rFonts w:ascii="仿宋_GB2312" w:hAnsi="仿宋" w:eastAsia="仿宋_GB2312" w:cs="仿宋_GB2312"/>
          <w:sz w:val="24"/>
        </w:rPr>
      </w:pPr>
      <w:r>
        <w:rPr>
          <w:rFonts w:hint="eastAsia" w:ascii="仿宋_GB2312" w:hAnsi="仿宋" w:eastAsia="仿宋_GB2312" w:cs="仿宋_GB2312"/>
          <w:sz w:val="24"/>
        </w:rPr>
        <w:t>二、符合参与政府采购活动的资格条件依法缴纳税收、社会保障资金等方面的材料…………………………………………………………………………………（页码）</w:t>
      </w:r>
    </w:p>
    <w:p w14:paraId="492F996F">
      <w:pPr>
        <w:spacing w:line="360" w:lineRule="auto"/>
        <w:rPr>
          <w:rFonts w:ascii="仿宋_GB2312" w:hAnsi="仿宋" w:eastAsia="仿宋_GB2312" w:cs="仿宋_GB2312"/>
          <w:sz w:val="24"/>
        </w:rPr>
      </w:pPr>
      <w:r>
        <w:rPr>
          <w:rFonts w:hint="eastAsia" w:ascii="仿宋_GB2312" w:hAnsi="仿宋" w:eastAsia="仿宋_GB2312" w:cs="仿宋_GB2312"/>
          <w:sz w:val="24"/>
        </w:rPr>
        <w:t>三、财务状况报告方面的材料…………………………………………………（页码）</w:t>
      </w:r>
    </w:p>
    <w:p w14:paraId="1BB5BC35">
      <w:pPr>
        <w:spacing w:line="360" w:lineRule="auto"/>
        <w:rPr>
          <w:rFonts w:ascii="仿宋_GB2312" w:hAnsi="仿宋" w:eastAsia="仿宋_GB2312" w:cs="仿宋_GB2312"/>
          <w:sz w:val="24"/>
        </w:rPr>
      </w:pPr>
      <w:r>
        <w:rPr>
          <w:rFonts w:hint="eastAsia" w:ascii="仿宋_GB2312" w:hAnsi="仿宋" w:eastAsia="仿宋_GB2312" w:cs="仿宋_GB2312"/>
          <w:sz w:val="24"/>
        </w:rPr>
        <w:t>四、供应商直接控股股东信息…………………………………………………（页码）</w:t>
      </w:r>
    </w:p>
    <w:p w14:paraId="4F7BBF43">
      <w:pPr>
        <w:spacing w:line="360" w:lineRule="auto"/>
        <w:rPr>
          <w:rFonts w:ascii="仿宋_GB2312" w:hAnsi="仿宋" w:eastAsia="仿宋_GB2312" w:cs="仿宋_GB2312"/>
          <w:sz w:val="24"/>
        </w:rPr>
      </w:pPr>
      <w:r>
        <w:rPr>
          <w:rFonts w:hint="eastAsia" w:ascii="仿宋_GB2312" w:hAnsi="仿宋" w:eastAsia="仿宋_GB2312" w:cs="仿宋_GB2312"/>
          <w:sz w:val="24"/>
        </w:rPr>
        <w:t>五、供应商直接关联关系信息表………………………………………………（页码）</w:t>
      </w:r>
    </w:p>
    <w:p w14:paraId="6759C9E4">
      <w:pPr>
        <w:spacing w:line="360" w:lineRule="auto"/>
        <w:rPr>
          <w:rFonts w:ascii="仿宋_GB2312" w:hAnsi="仿宋" w:eastAsia="仿宋_GB2312" w:cs="仿宋_GB2312"/>
          <w:sz w:val="24"/>
        </w:rPr>
      </w:pPr>
      <w:r>
        <w:rPr>
          <w:rFonts w:hint="eastAsia" w:ascii="仿宋_GB2312" w:hAnsi="仿宋" w:eastAsia="仿宋_GB2312" w:cs="仿宋_GB2312"/>
          <w:sz w:val="24"/>
        </w:rPr>
        <w:t>六、资格声明函……………………………………………………………（页码）</w:t>
      </w:r>
    </w:p>
    <w:p w14:paraId="199EFA59">
      <w:pPr>
        <w:spacing w:line="360" w:lineRule="auto"/>
        <w:rPr>
          <w:rFonts w:ascii="仿宋_GB2312" w:hAnsi="仿宋" w:eastAsia="仿宋_GB2312" w:cs="仿宋_GB2312"/>
          <w:sz w:val="24"/>
        </w:rPr>
      </w:pPr>
      <w:r>
        <w:rPr>
          <w:rFonts w:hint="eastAsia" w:ascii="仿宋_GB2312" w:hAnsi="仿宋" w:eastAsia="仿宋_GB2312" w:cs="仿宋_GB2312"/>
          <w:sz w:val="24"/>
        </w:rPr>
        <w:t>七、联合体协议书（以联合体形式响应的，提供联合体协议；本项目不接受联合体响应或者供应商不以联合体形式响应的，则不需要提供）…………………（页码）</w:t>
      </w:r>
    </w:p>
    <w:p w14:paraId="40E4098C">
      <w:pPr>
        <w:spacing w:line="360" w:lineRule="auto"/>
        <w:rPr>
          <w:rFonts w:ascii="仿宋_GB2312" w:hAnsi="仿宋" w:eastAsia="仿宋_GB2312" w:cs="仿宋_GB2312"/>
          <w:sz w:val="24"/>
        </w:rPr>
      </w:pPr>
      <w:r>
        <w:rPr>
          <w:rFonts w:hint="eastAsia" w:ascii="仿宋_GB2312" w:hAnsi="仿宋" w:eastAsia="仿宋_GB2312" w:cs="仿宋_GB2312"/>
          <w:sz w:val="24"/>
        </w:rPr>
        <w:t>八、中小企业声明函或《残疾人福利性单位声明函》或由省级或以上监狱管理局、戒毒管理局（含新疆生产建设兵团）出具的属于监狱企业的证明文件………………………………………………………………（页码）</w:t>
      </w:r>
    </w:p>
    <w:p w14:paraId="38175AA1">
      <w:pPr>
        <w:spacing w:line="360" w:lineRule="auto"/>
        <w:rPr>
          <w:rFonts w:ascii="仿宋_GB2312" w:hAnsi="仿宋" w:eastAsia="仿宋_GB2312" w:cs="仿宋_GB2312"/>
          <w:sz w:val="24"/>
        </w:rPr>
      </w:pPr>
      <w:r>
        <w:rPr>
          <w:rFonts w:hint="eastAsia" w:ascii="仿宋_GB2312" w:hAnsi="仿宋" w:eastAsia="仿宋_GB2312" w:cs="仿宋_GB2312"/>
          <w:sz w:val="24"/>
        </w:rPr>
        <w:t>九、符合特定资格条件（如有）的有关证明材料（复印件）………………（页码）</w:t>
      </w:r>
    </w:p>
    <w:p w14:paraId="0C07A652">
      <w:pPr>
        <w:spacing w:line="360" w:lineRule="auto"/>
        <w:rPr>
          <w:rFonts w:ascii="仿宋_GB2312" w:hAnsi="仿宋_GB2312" w:eastAsia="仿宋_GB2312" w:cs="仿宋_GB2312"/>
          <w:b/>
          <w:bCs/>
          <w:sz w:val="24"/>
        </w:rPr>
      </w:pPr>
    </w:p>
    <w:p w14:paraId="46E3A923">
      <w:pPr>
        <w:spacing w:line="360" w:lineRule="auto"/>
        <w:rPr>
          <w:rFonts w:ascii="仿宋_GB2312" w:hAnsi="仿宋_GB2312" w:eastAsia="仿宋_GB2312" w:cs="仿宋_GB2312"/>
          <w:b/>
          <w:bCs/>
          <w:sz w:val="24"/>
        </w:rPr>
      </w:pPr>
      <w:r>
        <w:rPr>
          <w:rFonts w:hint="eastAsia" w:ascii="仿宋_GB2312" w:hAnsi="仿宋_GB2312" w:eastAsia="仿宋_GB2312" w:cs="仿宋_GB2312"/>
          <w:b/>
          <w:bCs/>
          <w:sz w:val="24"/>
        </w:rPr>
        <w:t>注：以上目录是编制供应商响应文件的基本格式要求，各供应商可根据自身情况进一步细化。</w:t>
      </w:r>
    </w:p>
    <w:p w14:paraId="2C26472E">
      <w:pPr>
        <w:widowControl/>
        <w:jc w:val="left"/>
        <w:rPr>
          <w:rFonts w:ascii="宋体" w:hAnsi="宋体"/>
          <w:sz w:val="24"/>
          <w:szCs w:val="20"/>
        </w:rPr>
        <w:sectPr>
          <w:pgSz w:w="11910" w:h="16840"/>
          <w:pgMar w:top="1340" w:right="1500" w:bottom="280" w:left="1680" w:header="720" w:footer="720" w:gutter="0"/>
          <w:cols w:space="1701" w:num="1"/>
        </w:sectPr>
      </w:pPr>
    </w:p>
    <w:p w14:paraId="08D853BF">
      <w:pPr>
        <w:spacing w:line="360" w:lineRule="auto"/>
        <w:ind w:firstLine="602"/>
        <w:rPr>
          <w:rFonts w:ascii="仿宋" w:hAnsi="仿宋" w:eastAsia="仿宋" w:cs="仿宋_GB2312"/>
          <w:b/>
          <w:sz w:val="30"/>
          <w:szCs w:val="30"/>
        </w:rPr>
      </w:pPr>
      <w:r>
        <w:rPr>
          <w:rFonts w:hint="eastAsia" w:ascii="仿宋" w:hAnsi="仿宋" w:eastAsia="仿宋" w:cs="仿宋_GB2312"/>
          <w:b/>
          <w:sz w:val="30"/>
          <w:szCs w:val="30"/>
        </w:rPr>
        <w:t>一、营业执照(或事业法人登记证或其他执业等登记证明材料)复印件（供应商为自然人的，提供自然人的身份证明）</w:t>
      </w:r>
    </w:p>
    <w:p w14:paraId="0F7BC572">
      <w:pPr>
        <w:spacing w:line="360" w:lineRule="auto"/>
        <w:ind w:firstLine="602"/>
        <w:rPr>
          <w:rFonts w:ascii="仿宋" w:hAnsi="仿宋" w:eastAsia="仿宋" w:cs="仿宋_GB2312"/>
          <w:b/>
          <w:sz w:val="30"/>
          <w:szCs w:val="30"/>
        </w:rPr>
      </w:pPr>
    </w:p>
    <w:p w14:paraId="52A5DA0F">
      <w:pPr>
        <w:spacing w:line="360" w:lineRule="auto"/>
        <w:ind w:left="4365" w:hanging="480"/>
        <w:rPr>
          <w:rFonts w:ascii="仿宋_GB2312" w:hAnsi="仿宋" w:eastAsia="仿宋_GB2312" w:cs="仿宋_GB2312"/>
          <w:sz w:val="24"/>
        </w:rPr>
      </w:pPr>
      <w:r>
        <w:rPr>
          <w:rFonts w:hint="eastAsia" w:ascii="仿宋_GB2312" w:hAnsi="仿宋" w:eastAsia="仿宋_GB2312" w:cs="仿宋_GB2312"/>
          <w:sz w:val="24"/>
        </w:rPr>
        <w:t>供应商名称（电子签章）：</w:t>
      </w:r>
    </w:p>
    <w:p w14:paraId="51394FD2">
      <w:pPr>
        <w:spacing w:line="360" w:lineRule="auto"/>
        <w:ind w:firstLine="6120"/>
        <w:rPr>
          <w:rFonts w:ascii="仿宋_GB2312" w:hAnsi="仿宋" w:eastAsia="仿宋_GB2312" w:cs="仿宋_GB2312"/>
          <w:b/>
          <w:bCs/>
          <w:sz w:val="24"/>
        </w:rPr>
      </w:pPr>
      <w:r>
        <w:rPr>
          <w:rFonts w:hint="eastAsia" w:ascii="仿宋_GB2312" w:hAnsi="仿宋" w:eastAsia="仿宋_GB2312" w:cs="仿宋_GB2312"/>
          <w:sz w:val="24"/>
          <w:lang w:val="zh-CN"/>
        </w:rPr>
        <w:t>日期：年月日</w:t>
      </w:r>
    </w:p>
    <w:p w14:paraId="59CD996F">
      <w:pPr>
        <w:spacing w:before="120" w:after="50"/>
        <w:rPr>
          <w:rFonts w:ascii="宋体" w:hAnsi="宋体"/>
          <w:sz w:val="24"/>
          <w:szCs w:val="20"/>
        </w:rPr>
      </w:pPr>
    </w:p>
    <w:p w14:paraId="193001FC">
      <w:pPr>
        <w:spacing w:line="360" w:lineRule="auto"/>
        <w:ind w:firstLine="602"/>
        <w:rPr>
          <w:rFonts w:ascii="仿宋" w:hAnsi="仿宋" w:eastAsia="仿宋" w:cs="仿宋_GB2312"/>
          <w:b/>
          <w:sz w:val="30"/>
          <w:szCs w:val="30"/>
        </w:rPr>
      </w:pPr>
      <w:r>
        <w:rPr>
          <w:rFonts w:hint="eastAsia" w:ascii="仿宋" w:hAnsi="仿宋" w:eastAsia="仿宋" w:cs="仿宋_GB2312"/>
          <w:b/>
          <w:sz w:val="30"/>
          <w:szCs w:val="30"/>
        </w:rPr>
        <w:t>二、符合参与政府采购活动的资格条件依法缴纳税收、社会保障资金等方面的材料</w:t>
      </w:r>
    </w:p>
    <w:p w14:paraId="6F056813">
      <w:pPr>
        <w:spacing w:line="300" w:lineRule="auto"/>
        <w:rPr>
          <w:rFonts w:ascii="宋体" w:hAnsi="宋体"/>
          <w:szCs w:val="21"/>
        </w:rPr>
      </w:pPr>
    </w:p>
    <w:p w14:paraId="58FDFAE0">
      <w:pPr>
        <w:spacing w:line="360" w:lineRule="auto"/>
        <w:ind w:left="4365" w:hanging="480"/>
        <w:rPr>
          <w:rFonts w:ascii="仿宋_GB2312" w:hAnsi="仿宋" w:eastAsia="仿宋_GB2312" w:cs="仿宋_GB2312"/>
          <w:sz w:val="24"/>
        </w:rPr>
      </w:pPr>
      <w:r>
        <w:rPr>
          <w:rFonts w:hint="eastAsia" w:ascii="仿宋_GB2312" w:hAnsi="仿宋" w:eastAsia="仿宋_GB2312" w:cs="仿宋_GB2312"/>
          <w:sz w:val="24"/>
        </w:rPr>
        <w:t>供应商名称（电子签章）：</w:t>
      </w:r>
    </w:p>
    <w:p w14:paraId="66FC415E">
      <w:pPr>
        <w:spacing w:line="360" w:lineRule="auto"/>
        <w:ind w:firstLine="6120"/>
        <w:rPr>
          <w:rFonts w:ascii="仿宋_GB2312" w:hAnsi="仿宋" w:eastAsia="仿宋_GB2312" w:cs="仿宋_GB2312"/>
          <w:b/>
          <w:bCs/>
          <w:sz w:val="24"/>
        </w:rPr>
      </w:pPr>
      <w:r>
        <w:rPr>
          <w:rFonts w:hint="eastAsia" w:ascii="仿宋_GB2312" w:hAnsi="仿宋" w:eastAsia="仿宋_GB2312" w:cs="仿宋_GB2312"/>
          <w:sz w:val="24"/>
          <w:lang w:val="zh-CN"/>
        </w:rPr>
        <w:t>日期：年月日</w:t>
      </w:r>
    </w:p>
    <w:p w14:paraId="651576DA">
      <w:pPr>
        <w:spacing w:line="300" w:lineRule="auto"/>
        <w:rPr>
          <w:rFonts w:ascii="宋体" w:hAnsi="宋体"/>
          <w:szCs w:val="21"/>
        </w:rPr>
      </w:pPr>
    </w:p>
    <w:p w14:paraId="2506A305">
      <w:pPr>
        <w:spacing w:line="300" w:lineRule="auto"/>
        <w:ind w:firstLine="596"/>
        <w:rPr>
          <w:rFonts w:ascii="仿宋" w:hAnsi="仿宋" w:eastAsia="仿宋" w:cs="仿宋_GB2312"/>
          <w:b/>
          <w:sz w:val="30"/>
          <w:szCs w:val="30"/>
        </w:rPr>
      </w:pPr>
      <w:r>
        <w:rPr>
          <w:rFonts w:hint="eastAsia" w:ascii="仿宋" w:hAnsi="仿宋" w:eastAsia="仿宋" w:cs="仿宋_GB2312"/>
          <w:b/>
          <w:sz w:val="30"/>
          <w:szCs w:val="30"/>
        </w:rPr>
        <w:t>三、财务状况报告方面的材料</w:t>
      </w:r>
    </w:p>
    <w:p w14:paraId="6DF04DAA">
      <w:pPr>
        <w:spacing w:line="300" w:lineRule="auto"/>
        <w:rPr>
          <w:rFonts w:ascii="宋体" w:hAnsi="宋体"/>
          <w:szCs w:val="21"/>
        </w:rPr>
      </w:pPr>
    </w:p>
    <w:p w14:paraId="2EE96F6D">
      <w:pPr>
        <w:spacing w:line="360" w:lineRule="auto"/>
        <w:ind w:left="4365" w:hanging="480"/>
        <w:rPr>
          <w:rFonts w:ascii="仿宋_GB2312" w:hAnsi="仿宋" w:eastAsia="仿宋_GB2312" w:cs="仿宋_GB2312"/>
          <w:sz w:val="24"/>
        </w:rPr>
      </w:pPr>
      <w:r>
        <w:rPr>
          <w:rFonts w:hint="eastAsia" w:ascii="仿宋_GB2312" w:hAnsi="仿宋" w:eastAsia="仿宋_GB2312" w:cs="仿宋_GB2312"/>
          <w:sz w:val="24"/>
        </w:rPr>
        <w:t>供应商名称（电子签章）：</w:t>
      </w:r>
    </w:p>
    <w:p w14:paraId="519C051C">
      <w:pPr>
        <w:spacing w:line="360" w:lineRule="auto"/>
        <w:ind w:firstLine="6120"/>
        <w:rPr>
          <w:rFonts w:ascii="仿宋_GB2312" w:hAnsi="仿宋" w:eastAsia="仿宋_GB2312" w:cs="仿宋_GB2312"/>
          <w:b/>
          <w:bCs/>
          <w:sz w:val="24"/>
        </w:rPr>
      </w:pPr>
      <w:r>
        <w:rPr>
          <w:rFonts w:hint="eastAsia" w:ascii="仿宋_GB2312" w:hAnsi="仿宋" w:eastAsia="仿宋_GB2312" w:cs="仿宋_GB2312"/>
          <w:sz w:val="24"/>
          <w:lang w:val="zh-CN"/>
        </w:rPr>
        <w:t>日期：年月日</w:t>
      </w:r>
    </w:p>
    <w:p w14:paraId="5D9B8B3E">
      <w:pPr>
        <w:spacing w:line="320" w:lineRule="exact"/>
        <w:jc w:val="left"/>
        <w:rPr>
          <w:rFonts w:ascii="宋体" w:hAnsi="宋体"/>
          <w:szCs w:val="21"/>
        </w:rPr>
      </w:pPr>
    </w:p>
    <w:p w14:paraId="22A48506">
      <w:pPr>
        <w:spacing w:before="120" w:after="50" w:line="360" w:lineRule="auto"/>
        <w:jc w:val="center"/>
        <w:rPr>
          <w:rFonts w:ascii="宋体" w:hAnsi="宋体"/>
          <w:b/>
          <w:sz w:val="24"/>
        </w:rPr>
      </w:pPr>
    </w:p>
    <w:p w14:paraId="2E0785A3">
      <w:pPr>
        <w:spacing w:line="360" w:lineRule="auto"/>
        <w:ind w:firstLine="596"/>
        <w:rPr>
          <w:rFonts w:ascii="仿宋" w:hAnsi="仿宋" w:eastAsia="仿宋" w:cs="仿宋_GB2312"/>
          <w:b/>
          <w:sz w:val="30"/>
          <w:szCs w:val="30"/>
        </w:rPr>
      </w:pPr>
      <w:r>
        <w:rPr>
          <w:rFonts w:hint="eastAsia" w:ascii="仿宋" w:hAnsi="仿宋" w:eastAsia="仿宋" w:cs="仿宋_GB2312"/>
          <w:b/>
          <w:sz w:val="30"/>
          <w:szCs w:val="30"/>
        </w:rPr>
        <w:t>四、供应商直接控股股东信息</w:t>
      </w:r>
    </w:p>
    <w:p w14:paraId="692BF131">
      <w:pPr>
        <w:spacing w:line="360" w:lineRule="auto"/>
        <w:jc w:val="center"/>
        <w:rPr>
          <w:rFonts w:ascii="宋体" w:hAnsi="宋体"/>
          <w:b/>
          <w:sz w:val="24"/>
        </w:rPr>
      </w:pPr>
    </w:p>
    <w:tbl>
      <w:tblPr>
        <w:tblStyle w:val="32"/>
        <w:tblW w:w="0" w:type="auto"/>
        <w:jc w:val="center"/>
        <w:shd w:val="clear" w:color="auto" w:fill="FBFBFB"/>
        <w:tblLayout w:type="fixed"/>
        <w:tblCellMar>
          <w:top w:w="120" w:type="dxa"/>
          <w:left w:w="120" w:type="dxa"/>
          <w:bottom w:w="120" w:type="dxa"/>
          <w:right w:w="120" w:type="dxa"/>
        </w:tblCellMar>
      </w:tblPr>
      <w:tblGrid>
        <w:gridCol w:w="880"/>
        <w:gridCol w:w="2655"/>
        <w:gridCol w:w="1455"/>
        <w:gridCol w:w="4287"/>
        <w:gridCol w:w="870"/>
      </w:tblGrid>
      <w:tr w14:paraId="08EAC9AB">
        <w:tblPrEx>
          <w:shd w:val="clear" w:color="auto" w:fill="FBFBFB"/>
          <w:tblCellMar>
            <w:top w:w="120" w:type="dxa"/>
            <w:left w:w="120" w:type="dxa"/>
            <w:bottom w:w="120" w:type="dxa"/>
            <w:right w:w="120" w:type="dxa"/>
          </w:tblCellMar>
        </w:tblPrEx>
        <w:trPr>
          <w:tblHeade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noWrap/>
            <w:tcMar>
              <w:top w:w="120" w:type="dxa"/>
              <w:left w:w="120" w:type="dxa"/>
              <w:bottom w:w="120" w:type="dxa"/>
              <w:right w:w="120" w:type="dxa"/>
            </w:tcMar>
            <w:vAlign w:val="center"/>
          </w:tcPr>
          <w:p w14:paraId="2DF67B48">
            <w:pPr>
              <w:widowControl/>
              <w:spacing w:line="360" w:lineRule="auto"/>
              <w:jc w:val="center"/>
              <w:rPr>
                <w:rFonts w:ascii="宋体" w:hAnsi="宋体" w:cs="宋体"/>
                <w:b/>
                <w:bCs/>
                <w:sz w:val="24"/>
              </w:rPr>
            </w:pPr>
            <w:r>
              <w:rPr>
                <w:rFonts w:hint="eastAsia" w:ascii="宋体" w:hAnsi="宋体" w:cs="宋体"/>
                <w:b/>
                <w:bCs/>
                <w:sz w:val="24"/>
              </w:rPr>
              <w:t>序号</w:t>
            </w:r>
          </w:p>
        </w:tc>
        <w:tc>
          <w:tcPr>
            <w:tcW w:w="2655" w:type="dxa"/>
            <w:tcBorders>
              <w:top w:val="single" w:color="auto" w:sz="4" w:space="0"/>
              <w:left w:val="single" w:color="auto" w:sz="4" w:space="0"/>
              <w:bottom w:val="single" w:color="auto" w:sz="4" w:space="0"/>
              <w:right w:val="single" w:color="auto" w:sz="4" w:space="0"/>
            </w:tcBorders>
            <w:shd w:val="clear" w:color="auto" w:fill="FBFBFB"/>
            <w:noWrap/>
            <w:tcMar>
              <w:top w:w="120" w:type="dxa"/>
              <w:left w:w="120" w:type="dxa"/>
              <w:bottom w:w="120" w:type="dxa"/>
              <w:right w:w="120" w:type="dxa"/>
            </w:tcMar>
            <w:vAlign w:val="center"/>
          </w:tcPr>
          <w:p w14:paraId="585D3D9C">
            <w:pPr>
              <w:widowControl/>
              <w:spacing w:line="360" w:lineRule="auto"/>
              <w:jc w:val="center"/>
              <w:rPr>
                <w:rFonts w:ascii="宋体" w:hAnsi="宋体" w:cs="宋体"/>
                <w:b/>
                <w:bCs/>
                <w:sz w:val="24"/>
              </w:rPr>
            </w:pPr>
            <w:r>
              <w:rPr>
                <w:rFonts w:hint="eastAsia" w:ascii="宋体" w:hAnsi="宋体" w:cs="宋体"/>
                <w:b/>
                <w:bCs/>
                <w:sz w:val="24"/>
              </w:rPr>
              <w:t>直接控股股东名称</w:t>
            </w:r>
          </w:p>
        </w:tc>
        <w:tc>
          <w:tcPr>
            <w:tcW w:w="1455" w:type="dxa"/>
            <w:tcBorders>
              <w:top w:val="single" w:color="auto" w:sz="4" w:space="0"/>
              <w:left w:val="single" w:color="auto" w:sz="4" w:space="0"/>
              <w:bottom w:val="single" w:color="auto" w:sz="4" w:space="0"/>
              <w:right w:val="single" w:color="auto" w:sz="4" w:space="0"/>
            </w:tcBorders>
            <w:shd w:val="clear" w:color="auto" w:fill="FBFBFB"/>
            <w:noWrap/>
            <w:tcMar>
              <w:top w:w="120" w:type="dxa"/>
              <w:left w:w="120" w:type="dxa"/>
              <w:bottom w:w="120" w:type="dxa"/>
              <w:right w:w="120" w:type="dxa"/>
            </w:tcMar>
            <w:vAlign w:val="center"/>
          </w:tcPr>
          <w:p w14:paraId="673EA2DD">
            <w:pPr>
              <w:widowControl/>
              <w:spacing w:line="360" w:lineRule="auto"/>
              <w:jc w:val="center"/>
              <w:rPr>
                <w:rFonts w:ascii="宋体" w:hAnsi="宋体" w:cs="宋体"/>
                <w:b/>
                <w:bCs/>
                <w:sz w:val="24"/>
              </w:rPr>
            </w:pPr>
            <w:r>
              <w:rPr>
                <w:rFonts w:hint="eastAsia" w:ascii="宋体" w:hAnsi="宋体" w:cs="宋体"/>
                <w:b/>
                <w:bCs/>
                <w:sz w:val="24"/>
              </w:rPr>
              <w:t>出资比例</w:t>
            </w:r>
          </w:p>
        </w:tc>
        <w:tc>
          <w:tcPr>
            <w:tcW w:w="4287" w:type="dxa"/>
            <w:tcBorders>
              <w:top w:val="single" w:color="auto" w:sz="4" w:space="0"/>
              <w:left w:val="single" w:color="auto" w:sz="4" w:space="0"/>
              <w:bottom w:val="single" w:color="auto" w:sz="4" w:space="0"/>
              <w:right w:val="single" w:color="auto" w:sz="4" w:space="0"/>
            </w:tcBorders>
            <w:shd w:val="clear" w:color="auto" w:fill="FBFBFB"/>
            <w:noWrap/>
            <w:tcMar>
              <w:top w:w="120" w:type="dxa"/>
              <w:left w:w="120" w:type="dxa"/>
              <w:bottom w:w="120" w:type="dxa"/>
              <w:right w:w="120" w:type="dxa"/>
            </w:tcMar>
            <w:vAlign w:val="center"/>
          </w:tcPr>
          <w:p w14:paraId="16FB7032">
            <w:pPr>
              <w:widowControl/>
              <w:spacing w:line="360" w:lineRule="auto"/>
              <w:jc w:val="center"/>
              <w:rPr>
                <w:rFonts w:ascii="宋体" w:hAnsi="宋体" w:cs="宋体"/>
                <w:b/>
                <w:bCs/>
                <w:sz w:val="24"/>
              </w:rPr>
            </w:pPr>
            <w:r>
              <w:rPr>
                <w:rFonts w:hint="eastAsia" w:ascii="宋体" w:hAnsi="宋体" w:cs="宋体"/>
                <w:b/>
                <w:bCs/>
                <w:sz w:val="24"/>
              </w:rPr>
              <w:t>身份证号码或者统一社会信用代码</w:t>
            </w:r>
          </w:p>
        </w:tc>
        <w:tc>
          <w:tcPr>
            <w:tcW w:w="870" w:type="dxa"/>
            <w:tcBorders>
              <w:top w:val="single" w:color="auto" w:sz="4" w:space="0"/>
              <w:left w:val="single" w:color="auto" w:sz="4" w:space="0"/>
              <w:bottom w:val="single" w:color="auto" w:sz="4" w:space="0"/>
              <w:right w:val="single" w:color="auto" w:sz="4" w:space="0"/>
            </w:tcBorders>
            <w:shd w:val="clear" w:color="auto" w:fill="FBFBFB"/>
            <w:noWrap/>
            <w:tcMar>
              <w:top w:w="120" w:type="dxa"/>
              <w:left w:w="120" w:type="dxa"/>
              <w:bottom w:w="120" w:type="dxa"/>
              <w:right w:w="120" w:type="dxa"/>
            </w:tcMar>
            <w:vAlign w:val="center"/>
          </w:tcPr>
          <w:p w14:paraId="06301006">
            <w:pPr>
              <w:widowControl/>
              <w:spacing w:line="360" w:lineRule="auto"/>
              <w:jc w:val="center"/>
              <w:rPr>
                <w:rFonts w:ascii="宋体" w:hAnsi="宋体" w:cs="宋体"/>
                <w:b/>
                <w:bCs/>
                <w:sz w:val="24"/>
              </w:rPr>
            </w:pPr>
            <w:r>
              <w:rPr>
                <w:rFonts w:hint="eastAsia" w:ascii="宋体" w:hAnsi="宋体" w:cs="宋体"/>
                <w:b/>
                <w:bCs/>
                <w:sz w:val="24"/>
              </w:rPr>
              <w:t>备注</w:t>
            </w:r>
          </w:p>
        </w:tc>
      </w:tr>
      <w:tr w14:paraId="6DA9C5E6">
        <w:tblPrEx>
          <w:shd w:val="clear" w:color="auto" w:fill="FBFBFB"/>
          <w:tblCellMar>
            <w:top w:w="120" w:type="dxa"/>
            <w:left w:w="120" w:type="dxa"/>
            <w:bottom w:w="120" w:type="dxa"/>
            <w:right w:w="12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noWrap/>
            <w:tcMar>
              <w:top w:w="120" w:type="dxa"/>
              <w:left w:w="120" w:type="dxa"/>
              <w:bottom w:w="120" w:type="dxa"/>
              <w:right w:w="120" w:type="dxa"/>
            </w:tcMar>
            <w:vAlign w:val="center"/>
          </w:tcPr>
          <w:p w14:paraId="6029B74D">
            <w:pPr>
              <w:widowControl/>
              <w:spacing w:line="360" w:lineRule="auto"/>
              <w:jc w:val="center"/>
              <w:rPr>
                <w:rFonts w:ascii="宋体" w:hAnsi="宋体" w:cs="宋体"/>
                <w:sz w:val="24"/>
              </w:rPr>
            </w:pPr>
            <w:r>
              <w:rPr>
                <w:rFonts w:hint="eastAsia" w:ascii="宋体" w:hAnsi="宋体" w:cs="宋体"/>
                <w:sz w:val="24"/>
              </w:rPr>
              <w:t>1</w:t>
            </w:r>
          </w:p>
        </w:tc>
        <w:tc>
          <w:tcPr>
            <w:tcW w:w="2655" w:type="dxa"/>
            <w:tcBorders>
              <w:top w:val="single" w:color="auto" w:sz="4" w:space="0"/>
              <w:left w:val="single" w:color="auto" w:sz="4" w:space="0"/>
              <w:bottom w:val="single" w:color="auto" w:sz="4" w:space="0"/>
              <w:right w:val="single" w:color="auto" w:sz="4" w:space="0"/>
            </w:tcBorders>
            <w:shd w:val="clear" w:color="auto" w:fill="FBFBFB"/>
            <w:noWrap/>
            <w:tcMar>
              <w:top w:w="120" w:type="dxa"/>
              <w:left w:w="120" w:type="dxa"/>
              <w:bottom w:w="120" w:type="dxa"/>
              <w:right w:w="120" w:type="dxa"/>
            </w:tcMar>
            <w:vAlign w:val="center"/>
          </w:tcPr>
          <w:p w14:paraId="26531B86">
            <w:pPr>
              <w:widowControl/>
              <w:spacing w:line="360" w:lineRule="auto"/>
              <w:jc w:val="center"/>
              <w:rPr>
                <w:rFonts w:ascii="宋体" w:hAnsi="宋体" w:cs="宋体"/>
                <w:sz w:val="24"/>
              </w:rPr>
            </w:pPr>
          </w:p>
        </w:tc>
        <w:tc>
          <w:tcPr>
            <w:tcW w:w="1455" w:type="dxa"/>
            <w:tcBorders>
              <w:top w:val="single" w:color="auto" w:sz="4" w:space="0"/>
              <w:left w:val="single" w:color="auto" w:sz="4" w:space="0"/>
              <w:bottom w:val="single" w:color="auto" w:sz="4" w:space="0"/>
              <w:right w:val="single" w:color="auto" w:sz="4" w:space="0"/>
            </w:tcBorders>
            <w:shd w:val="clear" w:color="auto" w:fill="FBFBFB"/>
            <w:noWrap/>
            <w:tcMar>
              <w:top w:w="120" w:type="dxa"/>
              <w:left w:w="120" w:type="dxa"/>
              <w:bottom w:w="120" w:type="dxa"/>
              <w:right w:w="120" w:type="dxa"/>
            </w:tcMar>
            <w:vAlign w:val="center"/>
          </w:tcPr>
          <w:p w14:paraId="1E8BDA68">
            <w:pPr>
              <w:widowControl/>
              <w:spacing w:line="360" w:lineRule="auto"/>
              <w:jc w:val="center"/>
              <w:rPr>
                <w:rFonts w:ascii="宋体" w:hAnsi="宋体" w:cs="宋体"/>
                <w:sz w:val="24"/>
              </w:rPr>
            </w:pPr>
          </w:p>
        </w:tc>
        <w:tc>
          <w:tcPr>
            <w:tcW w:w="4287" w:type="dxa"/>
            <w:tcBorders>
              <w:top w:val="single" w:color="auto" w:sz="4" w:space="0"/>
              <w:left w:val="single" w:color="auto" w:sz="4" w:space="0"/>
              <w:bottom w:val="single" w:color="auto" w:sz="4" w:space="0"/>
              <w:right w:val="single" w:color="auto" w:sz="4" w:space="0"/>
            </w:tcBorders>
            <w:shd w:val="clear" w:color="auto" w:fill="FBFBFB"/>
            <w:noWrap/>
            <w:tcMar>
              <w:top w:w="120" w:type="dxa"/>
              <w:left w:w="120" w:type="dxa"/>
              <w:bottom w:w="120" w:type="dxa"/>
              <w:right w:w="120" w:type="dxa"/>
            </w:tcMar>
            <w:vAlign w:val="center"/>
          </w:tcPr>
          <w:p w14:paraId="11ED8072">
            <w:pPr>
              <w:widowControl/>
              <w:spacing w:line="360" w:lineRule="auto"/>
              <w:jc w:val="center"/>
              <w:rPr>
                <w:rFonts w:ascii="宋体" w:hAnsi="宋体" w:cs="宋体"/>
                <w:sz w:val="24"/>
              </w:rPr>
            </w:pPr>
          </w:p>
        </w:tc>
        <w:tc>
          <w:tcPr>
            <w:tcW w:w="870" w:type="dxa"/>
            <w:tcBorders>
              <w:top w:val="single" w:color="auto" w:sz="4" w:space="0"/>
              <w:left w:val="single" w:color="auto" w:sz="4" w:space="0"/>
              <w:bottom w:val="single" w:color="auto" w:sz="4" w:space="0"/>
              <w:right w:val="single" w:color="auto" w:sz="4" w:space="0"/>
            </w:tcBorders>
            <w:shd w:val="clear" w:color="auto" w:fill="FBFBFB"/>
            <w:noWrap/>
            <w:tcMar>
              <w:top w:w="120" w:type="dxa"/>
              <w:left w:w="120" w:type="dxa"/>
              <w:bottom w:w="120" w:type="dxa"/>
              <w:right w:w="120" w:type="dxa"/>
            </w:tcMar>
            <w:vAlign w:val="center"/>
          </w:tcPr>
          <w:p w14:paraId="6A7C4697">
            <w:pPr>
              <w:widowControl/>
              <w:spacing w:line="360" w:lineRule="auto"/>
              <w:jc w:val="center"/>
              <w:rPr>
                <w:rFonts w:ascii="宋体" w:hAnsi="宋体" w:cs="宋体"/>
                <w:sz w:val="24"/>
              </w:rPr>
            </w:pPr>
          </w:p>
        </w:tc>
      </w:tr>
      <w:tr w14:paraId="7DC8060F">
        <w:tblPrEx>
          <w:shd w:val="clear" w:color="auto" w:fill="FBFBFB"/>
          <w:tblCellMar>
            <w:top w:w="120" w:type="dxa"/>
            <w:left w:w="120" w:type="dxa"/>
            <w:bottom w:w="120" w:type="dxa"/>
            <w:right w:w="12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noWrap/>
            <w:tcMar>
              <w:top w:w="120" w:type="dxa"/>
              <w:left w:w="120" w:type="dxa"/>
              <w:bottom w:w="120" w:type="dxa"/>
              <w:right w:w="120" w:type="dxa"/>
            </w:tcMar>
            <w:vAlign w:val="center"/>
          </w:tcPr>
          <w:p w14:paraId="77DBE2A0">
            <w:pPr>
              <w:widowControl/>
              <w:spacing w:line="360" w:lineRule="auto"/>
              <w:jc w:val="center"/>
              <w:rPr>
                <w:rFonts w:ascii="宋体" w:hAnsi="宋体" w:cs="宋体"/>
                <w:sz w:val="24"/>
              </w:rPr>
            </w:pPr>
            <w:r>
              <w:rPr>
                <w:rFonts w:hint="eastAsia" w:ascii="宋体" w:hAnsi="宋体" w:cs="宋体"/>
                <w:sz w:val="24"/>
              </w:rPr>
              <w:t>2</w:t>
            </w:r>
          </w:p>
        </w:tc>
        <w:tc>
          <w:tcPr>
            <w:tcW w:w="2655" w:type="dxa"/>
            <w:tcBorders>
              <w:top w:val="single" w:color="auto" w:sz="4" w:space="0"/>
              <w:left w:val="single" w:color="auto" w:sz="4" w:space="0"/>
              <w:bottom w:val="single" w:color="auto" w:sz="4" w:space="0"/>
              <w:right w:val="single" w:color="auto" w:sz="4" w:space="0"/>
            </w:tcBorders>
            <w:shd w:val="clear" w:color="auto" w:fill="FBFBFB"/>
            <w:noWrap/>
            <w:tcMar>
              <w:top w:w="120" w:type="dxa"/>
              <w:left w:w="120" w:type="dxa"/>
              <w:bottom w:w="120" w:type="dxa"/>
              <w:right w:w="120" w:type="dxa"/>
            </w:tcMar>
            <w:vAlign w:val="center"/>
          </w:tcPr>
          <w:p w14:paraId="359B657B">
            <w:pPr>
              <w:widowControl/>
              <w:spacing w:line="360" w:lineRule="auto"/>
              <w:jc w:val="center"/>
              <w:rPr>
                <w:rFonts w:ascii="宋体" w:hAnsi="宋体" w:cs="宋体"/>
                <w:sz w:val="24"/>
              </w:rPr>
            </w:pPr>
          </w:p>
        </w:tc>
        <w:tc>
          <w:tcPr>
            <w:tcW w:w="1455" w:type="dxa"/>
            <w:tcBorders>
              <w:top w:val="single" w:color="auto" w:sz="4" w:space="0"/>
              <w:left w:val="single" w:color="auto" w:sz="4" w:space="0"/>
              <w:bottom w:val="single" w:color="auto" w:sz="4" w:space="0"/>
              <w:right w:val="single" w:color="auto" w:sz="4" w:space="0"/>
            </w:tcBorders>
            <w:shd w:val="clear" w:color="auto" w:fill="FBFBFB"/>
            <w:noWrap/>
            <w:tcMar>
              <w:top w:w="120" w:type="dxa"/>
              <w:left w:w="120" w:type="dxa"/>
              <w:bottom w:w="120" w:type="dxa"/>
              <w:right w:w="120" w:type="dxa"/>
            </w:tcMar>
            <w:vAlign w:val="center"/>
          </w:tcPr>
          <w:p w14:paraId="3308CAED">
            <w:pPr>
              <w:widowControl/>
              <w:spacing w:line="360" w:lineRule="auto"/>
              <w:jc w:val="center"/>
              <w:rPr>
                <w:rFonts w:ascii="宋体" w:hAnsi="宋体" w:cs="宋体"/>
                <w:sz w:val="24"/>
              </w:rPr>
            </w:pPr>
          </w:p>
        </w:tc>
        <w:tc>
          <w:tcPr>
            <w:tcW w:w="4287" w:type="dxa"/>
            <w:tcBorders>
              <w:top w:val="single" w:color="auto" w:sz="4" w:space="0"/>
              <w:left w:val="single" w:color="auto" w:sz="4" w:space="0"/>
              <w:bottom w:val="single" w:color="auto" w:sz="4" w:space="0"/>
              <w:right w:val="single" w:color="auto" w:sz="4" w:space="0"/>
            </w:tcBorders>
            <w:shd w:val="clear" w:color="auto" w:fill="FBFBFB"/>
            <w:noWrap/>
            <w:tcMar>
              <w:top w:w="120" w:type="dxa"/>
              <w:left w:w="120" w:type="dxa"/>
              <w:bottom w:w="120" w:type="dxa"/>
              <w:right w:w="120" w:type="dxa"/>
            </w:tcMar>
            <w:vAlign w:val="center"/>
          </w:tcPr>
          <w:p w14:paraId="2423A399">
            <w:pPr>
              <w:widowControl/>
              <w:spacing w:line="360" w:lineRule="auto"/>
              <w:jc w:val="center"/>
              <w:rPr>
                <w:rFonts w:ascii="宋体" w:hAnsi="宋体" w:cs="宋体"/>
                <w:sz w:val="24"/>
              </w:rPr>
            </w:pPr>
          </w:p>
        </w:tc>
        <w:tc>
          <w:tcPr>
            <w:tcW w:w="870" w:type="dxa"/>
            <w:tcBorders>
              <w:top w:val="single" w:color="auto" w:sz="4" w:space="0"/>
              <w:left w:val="single" w:color="auto" w:sz="4" w:space="0"/>
              <w:bottom w:val="single" w:color="auto" w:sz="4" w:space="0"/>
              <w:right w:val="single" w:color="auto" w:sz="4" w:space="0"/>
            </w:tcBorders>
            <w:shd w:val="clear" w:color="auto" w:fill="FBFBFB"/>
            <w:noWrap/>
            <w:tcMar>
              <w:top w:w="120" w:type="dxa"/>
              <w:left w:w="120" w:type="dxa"/>
              <w:bottom w:w="120" w:type="dxa"/>
              <w:right w:w="120" w:type="dxa"/>
            </w:tcMar>
            <w:vAlign w:val="center"/>
          </w:tcPr>
          <w:p w14:paraId="6B1E95A9">
            <w:pPr>
              <w:widowControl/>
              <w:spacing w:line="360" w:lineRule="auto"/>
              <w:jc w:val="center"/>
              <w:rPr>
                <w:rFonts w:ascii="宋体" w:hAnsi="宋体" w:cs="宋体"/>
                <w:sz w:val="24"/>
              </w:rPr>
            </w:pPr>
          </w:p>
        </w:tc>
      </w:tr>
      <w:tr w14:paraId="0C1CEED6">
        <w:tblPrEx>
          <w:shd w:val="clear" w:color="auto" w:fill="FBFBFB"/>
          <w:tblCellMar>
            <w:top w:w="120" w:type="dxa"/>
            <w:left w:w="120" w:type="dxa"/>
            <w:bottom w:w="120" w:type="dxa"/>
            <w:right w:w="12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noWrap/>
            <w:tcMar>
              <w:top w:w="120" w:type="dxa"/>
              <w:left w:w="120" w:type="dxa"/>
              <w:bottom w:w="120" w:type="dxa"/>
              <w:right w:w="120" w:type="dxa"/>
            </w:tcMar>
            <w:vAlign w:val="center"/>
          </w:tcPr>
          <w:p w14:paraId="202B6DFA">
            <w:pPr>
              <w:widowControl/>
              <w:spacing w:line="360" w:lineRule="auto"/>
              <w:jc w:val="center"/>
              <w:rPr>
                <w:rFonts w:ascii="宋体" w:hAnsi="宋体" w:cs="宋体"/>
                <w:sz w:val="24"/>
              </w:rPr>
            </w:pPr>
            <w:r>
              <w:rPr>
                <w:rFonts w:hint="eastAsia" w:ascii="宋体" w:hAnsi="宋体" w:cs="宋体"/>
                <w:sz w:val="24"/>
              </w:rPr>
              <w:t>3</w:t>
            </w:r>
          </w:p>
        </w:tc>
        <w:tc>
          <w:tcPr>
            <w:tcW w:w="2655" w:type="dxa"/>
            <w:tcBorders>
              <w:top w:val="single" w:color="auto" w:sz="4" w:space="0"/>
              <w:left w:val="single" w:color="auto" w:sz="4" w:space="0"/>
              <w:bottom w:val="single" w:color="auto" w:sz="4" w:space="0"/>
              <w:right w:val="single" w:color="auto" w:sz="4" w:space="0"/>
            </w:tcBorders>
            <w:shd w:val="clear" w:color="auto" w:fill="FBFBFB"/>
            <w:noWrap/>
            <w:tcMar>
              <w:top w:w="120" w:type="dxa"/>
              <w:left w:w="120" w:type="dxa"/>
              <w:bottom w:w="120" w:type="dxa"/>
              <w:right w:w="120" w:type="dxa"/>
            </w:tcMar>
            <w:vAlign w:val="center"/>
          </w:tcPr>
          <w:p w14:paraId="5B965F60">
            <w:pPr>
              <w:widowControl/>
              <w:spacing w:line="360" w:lineRule="auto"/>
              <w:jc w:val="center"/>
              <w:rPr>
                <w:rFonts w:ascii="宋体" w:hAnsi="宋体" w:cs="宋体"/>
                <w:sz w:val="24"/>
              </w:rPr>
            </w:pPr>
          </w:p>
        </w:tc>
        <w:tc>
          <w:tcPr>
            <w:tcW w:w="1455" w:type="dxa"/>
            <w:tcBorders>
              <w:top w:val="single" w:color="auto" w:sz="4" w:space="0"/>
              <w:left w:val="single" w:color="auto" w:sz="4" w:space="0"/>
              <w:bottom w:val="single" w:color="auto" w:sz="4" w:space="0"/>
              <w:right w:val="single" w:color="auto" w:sz="4" w:space="0"/>
            </w:tcBorders>
            <w:shd w:val="clear" w:color="auto" w:fill="FBFBFB"/>
            <w:noWrap/>
            <w:tcMar>
              <w:top w:w="120" w:type="dxa"/>
              <w:left w:w="120" w:type="dxa"/>
              <w:bottom w:w="120" w:type="dxa"/>
              <w:right w:w="120" w:type="dxa"/>
            </w:tcMar>
            <w:vAlign w:val="center"/>
          </w:tcPr>
          <w:p w14:paraId="17D4E0DE">
            <w:pPr>
              <w:widowControl/>
              <w:spacing w:line="360" w:lineRule="auto"/>
              <w:jc w:val="center"/>
              <w:rPr>
                <w:rFonts w:ascii="宋体" w:hAnsi="宋体" w:cs="宋体"/>
                <w:sz w:val="24"/>
              </w:rPr>
            </w:pPr>
          </w:p>
        </w:tc>
        <w:tc>
          <w:tcPr>
            <w:tcW w:w="4287" w:type="dxa"/>
            <w:tcBorders>
              <w:top w:val="single" w:color="auto" w:sz="4" w:space="0"/>
              <w:left w:val="single" w:color="auto" w:sz="4" w:space="0"/>
              <w:bottom w:val="single" w:color="auto" w:sz="4" w:space="0"/>
              <w:right w:val="single" w:color="auto" w:sz="4" w:space="0"/>
            </w:tcBorders>
            <w:shd w:val="clear" w:color="auto" w:fill="FBFBFB"/>
            <w:noWrap/>
            <w:tcMar>
              <w:top w:w="120" w:type="dxa"/>
              <w:left w:w="120" w:type="dxa"/>
              <w:bottom w:w="120" w:type="dxa"/>
              <w:right w:w="120" w:type="dxa"/>
            </w:tcMar>
            <w:vAlign w:val="center"/>
          </w:tcPr>
          <w:p w14:paraId="18F75592">
            <w:pPr>
              <w:widowControl/>
              <w:spacing w:line="360" w:lineRule="auto"/>
              <w:jc w:val="center"/>
              <w:rPr>
                <w:rFonts w:ascii="宋体" w:hAnsi="宋体" w:cs="宋体"/>
                <w:sz w:val="24"/>
              </w:rPr>
            </w:pPr>
          </w:p>
        </w:tc>
        <w:tc>
          <w:tcPr>
            <w:tcW w:w="870" w:type="dxa"/>
            <w:tcBorders>
              <w:top w:val="single" w:color="auto" w:sz="4" w:space="0"/>
              <w:left w:val="single" w:color="auto" w:sz="4" w:space="0"/>
              <w:bottom w:val="single" w:color="auto" w:sz="4" w:space="0"/>
              <w:right w:val="single" w:color="auto" w:sz="4" w:space="0"/>
            </w:tcBorders>
            <w:shd w:val="clear" w:color="auto" w:fill="FBFBFB"/>
            <w:noWrap/>
            <w:tcMar>
              <w:top w:w="120" w:type="dxa"/>
              <w:left w:w="120" w:type="dxa"/>
              <w:bottom w:w="120" w:type="dxa"/>
              <w:right w:w="120" w:type="dxa"/>
            </w:tcMar>
            <w:vAlign w:val="center"/>
          </w:tcPr>
          <w:p w14:paraId="0815F160">
            <w:pPr>
              <w:widowControl/>
              <w:spacing w:line="360" w:lineRule="auto"/>
              <w:jc w:val="center"/>
              <w:rPr>
                <w:rFonts w:ascii="宋体" w:hAnsi="宋体" w:cs="宋体"/>
                <w:sz w:val="24"/>
              </w:rPr>
            </w:pPr>
          </w:p>
        </w:tc>
      </w:tr>
      <w:tr w14:paraId="5970F5ED">
        <w:tblPrEx>
          <w:shd w:val="clear" w:color="auto" w:fill="FBFBFB"/>
          <w:tblCellMar>
            <w:top w:w="120" w:type="dxa"/>
            <w:left w:w="120" w:type="dxa"/>
            <w:bottom w:w="120" w:type="dxa"/>
            <w:right w:w="12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noWrap/>
            <w:tcMar>
              <w:top w:w="120" w:type="dxa"/>
              <w:left w:w="120" w:type="dxa"/>
              <w:bottom w:w="120" w:type="dxa"/>
              <w:right w:w="120" w:type="dxa"/>
            </w:tcMar>
            <w:vAlign w:val="center"/>
          </w:tcPr>
          <w:p w14:paraId="6F0742B9">
            <w:pPr>
              <w:widowControl/>
              <w:spacing w:line="360" w:lineRule="auto"/>
              <w:jc w:val="center"/>
              <w:rPr>
                <w:rFonts w:ascii="宋体" w:hAnsi="宋体" w:cs="宋体"/>
                <w:sz w:val="24"/>
              </w:rPr>
            </w:pPr>
            <w:r>
              <w:rPr>
                <w:rFonts w:hint="eastAsia" w:ascii="宋体" w:hAnsi="宋体" w:cs="宋体"/>
                <w:sz w:val="24"/>
              </w:rPr>
              <w:t>……</w:t>
            </w:r>
          </w:p>
        </w:tc>
        <w:tc>
          <w:tcPr>
            <w:tcW w:w="2655" w:type="dxa"/>
            <w:tcBorders>
              <w:top w:val="single" w:color="auto" w:sz="4" w:space="0"/>
              <w:left w:val="single" w:color="auto" w:sz="4" w:space="0"/>
              <w:bottom w:val="single" w:color="auto" w:sz="4" w:space="0"/>
              <w:right w:val="single" w:color="auto" w:sz="4" w:space="0"/>
            </w:tcBorders>
            <w:shd w:val="clear" w:color="auto" w:fill="FBFBFB"/>
            <w:noWrap/>
            <w:tcMar>
              <w:top w:w="120" w:type="dxa"/>
              <w:left w:w="120" w:type="dxa"/>
              <w:bottom w:w="120" w:type="dxa"/>
              <w:right w:w="120" w:type="dxa"/>
            </w:tcMar>
            <w:vAlign w:val="center"/>
          </w:tcPr>
          <w:p w14:paraId="25B67483">
            <w:pPr>
              <w:widowControl/>
              <w:spacing w:line="360" w:lineRule="auto"/>
              <w:jc w:val="center"/>
              <w:rPr>
                <w:rFonts w:ascii="宋体" w:hAnsi="宋体" w:cs="宋体"/>
                <w:sz w:val="24"/>
              </w:rPr>
            </w:pPr>
          </w:p>
        </w:tc>
        <w:tc>
          <w:tcPr>
            <w:tcW w:w="1455" w:type="dxa"/>
            <w:tcBorders>
              <w:top w:val="single" w:color="auto" w:sz="4" w:space="0"/>
              <w:left w:val="single" w:color="auto" w:sz="4" w:space="0"/>
              <w:bottom w:val="single" w:color="auto" w:sz="4" w:space="0"/>
              <w:right w:val="single" w:color="auto" w:sz="4" w:space="0"/>
            </w:tcBorders>
            <w:shd w:val="clear" w:color="auto" w:fill="FBFBFB"/>
            <w:noWrap/>
            <w:tcMar>
              <w:top w:w="120" w:type="dxa"/>
              <w:left w:w="120" w:type="dxa"/>
              <w:bottom w:w="120" w:type="dxa"/>
              <w:right w:w="120" w:type="dxa"/>
            </w:tcMar>
            <w:vAlign w:val="center"/>
          </w:tcPr>
          <w:p w14:paraId="1052AD0F">
            <w:pPr>
              <w:widowControl/>
              <w:spacing w:line="360" w:lineRule="auto"/>
              <w:jc w:val="center"/>
              <w:rPr>
                <w:rFonts w:ascii="宋体" w:hAnsi="宋体" w:cs="宋体"/>
                <w:sz w:val="24"/>
              </w:rPr>
            </w:pPr>
          </w:p>
        </w:tc>
        <w:tc>
          <w:tcPr>
            <w:tcW w:w="4287" w:type="dxa"/>
            <w:tcBorders>
              <w:top w:val="single" w:color="auto" w:sz="4" w:space="0"/>
              <w:left w:val="single" w:color="auto" w:sz="4" w:space="0"/>
              <w:bottom w:val="single" w:color="auto" w:sz="4" w:space="0"/>
              <w:right w:val="single" w:color="auto" w:sz="4" w:space="0"/>
            </w:tcBorders>
            <w:shd w:val="clear" w:color="auto" w:fill="FBFBFB"/>
            <w:noWrap/>
            <w:tcMar>
              <w:top w:w="120" w:type="dxa"/>
              <w:left w:w="120" w:type="dxa"/>
              <w:bottom w:w="120" w:type="dxa"/>
              <w:right w:w="120" w:type="dxa"/>
            </w:tcMar>
            <w:vAlign w:val="center"/>
          </w:tcPr>
          <w:p w14:paraId="64288BBD">
            <w:pPr>
              <w:widowControl/>
              <w:spacing w:line="360" w:lineRule="auto"/>
              <w:jc w:val="center"/>
              <w:rPr>
                <w:rFonts w:ascii="宋体" w:hAnsi="宋体" w:cs="宋体"/>
                <w:sz w:val="24"/>
              </w:rPr>
            </w:pPr>
          </w:p>
        </w:tc>
        <w:tc>
          <w:tcPr>
            <w:tcW w:w="870" w:type="dxa"/>
            <w:tcBorders>
              <w:top w:val="single" w:color="auto" w:sz="4" w:space="0"/>
              <w:left w:val="single" w:color="auto" w:sz="4" w:space="0"/>
              <w:bottom w:val="single" w:color="auto" w:sz="4" w:space="0"/>
              <w:right w:val="single" w:color="auto" w:sz="4" w:space="0"/>
            </w:tcBorders>
            <w:shd w:val="clear" w:color="auto" w:fill="FBFBFB"/>
            <w:noWrap/>
            <w:tcMar>
              <w:top w:w="120" w:type="dxa"/>
              <w:left w:w="120" w:type="dxa"/>
              <w:bottom w:w="120" w:type="dxa"/>
              <w:right w:w="120" w:type="dxa"/>
            </w:tcMar>
            <w:vAlign w:val="center"/>
          </w:tcPr>
          <w:p w14:paraId="5A6AF388">
            <w:pPr>
              <w:widowControl/>
              <w:spacing w:line="360" w:lineRule="auto"/>
              <w:jc w:val="center"/>
              <w:rPr>
                <w:rFonts w:ascii="宋体" w:hAnsi="宋体" w:cs="宋体"/>
                <w:sz w:val="24"/>
              </w:rPr>
            </w:pPr>
          </w:p>
        </w:tc>
      </w:tr>
    </w:tbl>
    <w:p w14:paraId="69A17EED">
      <w:pPr>
        <w:spacing w:line="360" w:lineRule="auto"/>
        <w:jc w:val="left"/>
        <w:rPr>
          <w:rFonts w:ascii="仿宋_GB2312" w:hAnsi="仿宋" w:eastAsia="仿宋_GB2312" w:cs="仿宋_GB2312"/>
          <w:sz w:val="24"/>
        </w:rPr>
      </w:pPr>
      <w:r>
        <w:rPr>
          <w:rFonts w:hint="eastAsia" w:ascii="仿宋_GB2312" w:hAnsi="仿宋" w:eastAsia="仿宋_GB2312" w:cs="仿宋_GB2312"/>
          <w:sz w:val="24"/>
        </w:rPr>
        <w:t>注：</w:t>
      </w:r>
    </w:p>
    <w:p w14:paraId="18A1649A">
      <w:pPr>
        <w:spacing w:line="360" w:lineRule="auto"/>
        <w:ind w:firstLine="480"/>
        <w:jc w:val="left"/>
        <w:rPr>
          <w:rFonts w:ascii="仿宋_GB2312" w:hAnsi="仿宋" w:eastAsia="仿宋_GB2312" w:cs="仿宋_GB2312"/>
          <w:sz w:val="24"/>
        </w:rPr>
      </w:pPr>
      <w:r>
        <w:rPr>
          <w:rFonts w:hint="eastAsia" w:ascii="仿宋_GB2312" w:hAnsi="仿宋" w:eastAsia="仿宋_GB2312" w:cs="仿宋_GB2312"/>
          <w:sz w:val="24"/>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2270EB56">
      <w:pPr>
        <w:spacing w:line="360" w:lineRule="auto"/>
        <w:ind w:firstLine="480"/>
        <w:jc w:val="left"/>
        <w:rPr>
          <w:rFonts w:ascii="仿宋_GB2312" w:hAnsi="仿宋" w:eastAsia="仿宋_GB2312" w:cs="仿宋_GB2312"/>
          <w:sz w:val="24"/>
        </w:rPr>
      </w:pPr>
      <w:r>
        <w:rPr>
          <w:rFonts w:hint="eastAsia" w:ascii="仿宋_GB2312" w:hAnsi="仿宋" w:eastAsia="仿宋_GB2312" w:cs="仿宋_GB2312"/>
          <w:sz w:val="24"/>
        </w:rPr>
        <w:t>2.本表所指的控股关系仅限于直接控股关系，不包括间接的控股关系。公司实际控制人与公司之间的关系不属于本表所指的直接控股关系。</w:t>
      </w:r>
    </w:p>
    <w:p w14:paraId="7B8DA61B">
      <w:pPr>
        <w:spacing w:line="360" w:lineRule="auto"/>
        <w:ind w:firstLine="480"/>
        <w:jc w:val="left"/>
        <w:rPr>
          <w:rFonts w:ascii="仿宋_GB2312" w:hAnsi="仿宋" w:eastAsia="仿宋_GB2312" w:cs="仿宋_GB2312"/>
          <w:sz w:val="24"/>
        </w:rPr>
      </w:pPr>
      <w:r>
        <w:rPr>
          <w:rFonts w:hint="eastAsia" w:ascii="仿宋_GB2312" w:hAnsi="仿宋" w:eastAsia="仿宋_GB2312" w:cs="仿宋_GB2312"/>
          <w:sz w:val="24"/>
        </w:rPr>
        <w:t>3.供应商不存在直接控股股东的，则填“无”。</w:t>
      </w:r>
    </w:p>
    <w:p w14:paraId="72F36B8C">
      <w:pPr>
        <w:spacing w:line="360" w:lineRule="auto"/>
        <w:jc w:val="left"/>
        <w:rPr>
          <w:rFonts w:ascii="宋体" w:hAnsi="宋体" w:cs="宋体"/>
          <w:sz w:val="24"/>
        </w:rPr>
      </w:pPr>
    </w:p>
    <w:p w14:paraId="168707AB">
      <w:pPr>
        <w:spacing w:line="360" w:lineRule="auto"/>
        <w:jc w:val="left"/>
        <w:rPr>
          <w:rFonts w:ascii="宋体" w:hAnsi="宋体" w:cs="宋体"/>
          <w:sz w:val="24"/>
        </w:rPr>
      </w:pPr>
    </w:p>
    <w:p w14:paraId="0DF0E9B5">
      <w:pPr>
        <w:spacing w:line="360" w:lineRule="auto"/>
        <w:jc w:val="left"/>
        <w:rPr>
          <w:rFonts w:ascii="宋体" w:hAnsi="宋体" w:cs="宋体"/>
          <w:sz w:val="24"/>
        </w:rPr>
      </w:pPr>
    </w:p>
    <w:p w14:paraId="559AE819">
      <w:pPr>
        <w:spacing w:line="360" w:lineRule="auto"/>
        <w:ind w:left="4365" w:hanging="480"/>
        <w:rPr>
          <w:rFonts w:ascii="仿宋_GB2312" w:hAnsi="仿宋" w:eastAsia="仿宋_GB2312" w:cs="仿宋_GB2312"/>
          <w:sz w:val="24"/>
        </w:rPr>
      </w:pPr>
      <w:r>
        <w:rPr>
          <w:rFonts w:hint="eastAsia" w:ascii="仿宋_GB2312" w:hAnsi="仿宋" w:eastAsia="仿宋_GB2312" w:cs="仿宋_GB2312"/>
          <w:sz w:val="24"/>
        </w:rPr>
        <w:t>供应商名称（电子签章）：</w:t>
      </w:r>
    </w:p>
    <w:p w14:paraId="2BB52818">
      <w:pPr>
        <w:spacing w:line="360" w:lineRule="auto"/>
        <w:ind w:firstLine="6120"/>
        <w:rPr>
          <w:rFonts w:ascii="仿宋_GB2312" w:hAnsi="仿宋" w:eastAsia="仿宋_GB2312" w:cs="仿宋_GB2312"/>
          <w:b/>
          <w:bCs/>
          <w:sz w:val="24"/>
        </w:rPr>
      </w:pPr>
      <w:r>
        <w:rPr>
          <w:rFonts w:hint="eastAsia" w:ascii="仿宋_GB2312" w:hAnsi="仿宋" w:eastAsia="仿宋_GB2312" w:cs="仿宋_GB2312"/>
          <w:sz w:val="24"/>
          <w:lang w:val="zh-CN"/>
        </w:rPr>
        <w:t>日期：年月日</w:t>
      </w:r>
    </w:p>
    <w:p w14:paraId="16D4B064">
      <w:pPr>
        <w:rPr>
          <w:rFonts w:ascii="仿宋" w:hAnsi="仿宋" w:eastAsia="仿宋" w:cs="仿宋_GB2312"/>
          <w:b/>
          <w:sz w:val="30"/>
          <w:szCs w:val="30"/>
        </w:rPr>
      </w:pPr>
    </w:p>
    <w:p w14:paraId="6FD86E09">
      <w:pPr>
        <w:ind w:firstLine="596"/>
        <w:rPr>
          <w:rFonts w:ascii="仿宋" w:hAnsi="仿宋" w:eastAsia="仿宋" w:cs="仿宋_GB2312"/>
          <w:b/>
          <w:sz w:val="30"/>
          <w:szCs w:val="30"/>
        </w:rPr>
      </w:pPr>
      <w:r>
        <w:rPr>
          <w:rFonts w:hint="eastAsia" w:ascii="仿宋" w:hAnsi="仿宋" w:eastAsia="仿宋" w:cs="仿宋_GB2312"/>
          <w:b/>
          <w:sz w:val="30"/>
          <w:szCs w:val="30"/>
        </w:rPr>
        <w:t>五、供应商直接管理关系信息表</w:t>
      </w:r>
    </w:p>
    <w:p w14:paraId="576045B7">
      <w:pPr>
        <w:spacing w:line="360" w:lineRule="auto"/>
        <w:jc w:val="center"/>
        <w:rPr>
          <w:rFonts w:ascii="宋体" w:hAnsi="宋体"/>
          <w:b/>
          <w:sz w:val="24"/>
        </w:rPr>
      </w:pPr>
    </w:p>
    <w:tbl>
      <w:tblPr>
        <w:tblStyle w:val="32"/>
        <w:tblW w:w="0" w:type="auto"/>
        <w:jc w:val="center"/>
        <w:shd w:val="clear" w:color="auto" w:fill="FBFBFB"/>
        <w:tblLayout w:type="fixed"/>
        <w:tblCellMar>
          <w:top w:w="120" w:type="dxa"/>
          <w:left w:w="120" w:type="dxa"/>
          <w:bottom w:w="120" w:type="dxa"/>
          <w:right w:w="120" w:type="dxa"/>
        </w:tblCellMar>
      </w:tblPr>
      <w:tblGrid>
        <w:gridCol w:w="808"/>
        <w:gridCol w:w="3600"/>
        <w:gridCol w:w="3555"/>
        <w:gridCol w:w="1689"/>
      </w:tblGrid>
      <w:tr w14:paraId="0306FF58">
        <w:tblPrEx>
          <w:shd w:val="clear" w:color="auto" w:fill="FBFBFB"/>
        </w:tblPrEx>
        <w:trPr>
          <w:tblHeade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noWrap/>
            <w:tcMar>
              <w:top w:w="120" w:type="dxa"/>
              <w:left w:w="120" w:type="dxa"/>
              <w:bottom w:w="120" w:type="dxa"/>
              <w:right w:w="120" w:type="dxa"/>
            </w:tcMar>
            <w:vAlign w:val="center"/>
          </w:tcPr>
          <w:p w14:paraId="70A0E5A0">
            <w:pPr>
              <w:widowControl/>
              <w:spacing w:line="360" w:lineRule="auto"/>
              <w:jc w:val="center"/>
              <w:rPr>
                <w:rFonts w:ascii="宋体" w:hAnsi="宋体" w:cs="宋体"/>
                <w:b/>
                <w:bCs/>
                <w:sz w:val="24"/>
              </w:rPr>
            </w:pPr>
            <w:r>
              <w:rPr>
                <w:rFonts w:hint="eastAsia" w:ascii="宋体" w:hAnsi="宋体" w:cs="宋体"/>
                <w:b/>
                <w:bCs/>
                <w:sz w:val="24"/>
              </w:rPr>
              <w:t>序号</w:t>
            </w:r>
          </w:p>
        </w:tc>
        <w:tc>
          <w:tcPr>
            <w:tcW w:w="3600" w:type="dxa"/>
            <w:tcBorders>
              <w:top w:val="single" w:color="auto" w:sz="4" w:space="0"/>
              <w:left w:val="single" w:color="auto" w:sz="4" w:space="0"/>
              <w:bottom w:val="single" w:color="auto" w:sz="4" w:space="0"/>
              <w:right w:val="single" w:color="auto" w:sz="4" w:space="0"/>
            </w:tcBorders>
            <w:shd w:val="clear" w:color="auto" w:fill="FBFBFB"/>
            <w:noWrap/>
            <w:tcMar>
              <w:top w:w="120" w:type="dxa"/>
              <w:left w:w="120" w:type="dxa"/>
              <w:bottom w:w="120" w:type="dxa"/>
              <w:right w:w="120" w:type="dxa"/>
            </w:tcMar>
            <w:vAlign w:val="center"/>
          </w:tcPr>
          <w:p w14:paraId="6BB6728D">
            <w:pPr>
              <w:widowControl/>
              <w:spacing w:line="360" w:lineRule="auto"/>
              <w:jc w:val="center"/>
              <w:rPr>
                <w:rFonts w:ascii="宋体" w:hAnsi="宋体" w:cs="宋体"/>
                <w:b/>
                <w:bCs/>
                <w:sz w:val="24"/>
              </w:rPr>
            </w:pPr>
            <w:r>
              <w:rPr>
                <w:rFonts w:hint="eastAsia" w:ascii="宋体" w:hAnsi="宋体" w:cs="宋体"/>
                <w:b/>
                <w:bCs/>
                <w:sz w:val="24"/>
              </w:rPr>
              <w:t>直接管理关系单位名称</w:t>
            </w:r>
          </w:p>
        </w:tc>
        <w:tc>
          <w:tcPr>
            <w:tcW w:w="3555" w:type="dxa"/>
            <w:tcBorders>
              <w:top w:val="single" w:color="auto" w:sz="4" w:space="0"/>
              <w:left w:val="single" w:color="auto" w:sz="4" w:space="0"/>
              <w:bottom w:val="single" w:color="auto" w:sz="4" w:space="0"/>
              <w:right w:val="single" w:color="auto" w:sz="4" w:space="0"/>
            </w:tcBorders>
            <w:shd w:val="clear" w:color="auto" w:fill="FBFBFB"/>
            <w:noWrap/>
            <w:tcMar>
              <w:top w:w="120" w:type="dxa"/>
              <w:left w:w="120" w:type="dxa"/>
              <w:bottom w:w="120" w:type="dxa"/>
              <w:right w:w="120" w:type="dxa"/>
            </w:tcMar>
            <w:vAlign w:val="center"/>
          </w:tcPr>
          <w:p w14:paraId="63B5130A">
            <w:pPr>
              <w:widowControl/>
              <w:spacing w:line="360" w:lineRule="auto"/>
              <w:jc w:val="center"/>
              <w:rPr>
                <w:rFonts w:ascii="宋体" w:hAnsi="宋体" w:cs="宋体"/>
                <w:b/>
                <w:bCs/>
                <w:sz w:val="24"/>
              </w:rPr>
            </w:pPr>
            <w:r>
              <w:rPr>
                <w:rFonts w:hint="eastAsia" w:ascii="宋体" w:hAnsi="宋体" w:cs="宋体"/>
                <w:b/>
                <w:bCs/>
                <w:sz w:val="24"/>
              </w:rPr>
              <w:t>统一社会信用代码</w:t>
            </w:r>
          </w:p>
        </w:tc>
        <w:tc>
          <w:tcPr>
            <w:tcW w:w="1689" w:type="dxa"/>
            <w:tcBorders>
              <w:top w:val="single" w:color="auto" w:sz="4" w:space="0"/>
              <w:left w:val="single" w:color="auto" w:sz="4" w:space="0"/>
              <w:bottom w:val="single" w:color="auto" w:sz="4" w:space="0"/>
              <w:right w:val="single" w:color="auto" w:sz="4" w:space="0"/>
            </w:tcBorders>
            <w:shd w:val="clear" w:color="auto" w:fill="FBFBFB"/>
            <w:noWrap/>
            <w:tcMar>
              <w:top w:w="120" w:type="dxa"/>
              <w:left w:w="120" w:type="dxa"/>
              <w:bottom w:w="120" w:type="dxa"/>
              <w:right w:w="120" w:type="dxa"/>
            </w:tcMar>
            <w:vAlign w:val="center"/>
          </w:tcPr>
          <w:p w14:paraId="4B605B1E">
            <w:pPr>
              <w:widowControl/>
              <w:spacing w:line="360" w:lineRule="auto"/>
              <w:jc w:val="center"/>
              <w:rPr>
                <w:rFonts w:ascii="宋体" w:hAnsi="宋体" w:cs="宋体"/>
                <w:b/>
                <w:bCs/>
                <w:sz w:val="24"/>
              </w:rPr>
            </w:pPr>
            <w:r>
              <w:rPr>
                <w:rFonts w:hint="eastAsia" w:ascii="宋体" w:hAnsi="宋体" w:cs="宋体"/>
                <w:b/>
                <w:bCs/>
                <w:sz w:val="24"/>
              </w:rPr>
              <w:t>备注</w:t>
            </w:r>
          </w:p>
        </w:tc>
      </w:tr>
      <w:tr w14:paraId="4E7F3DBA">
        <w:tblPrEx>
          <w:shd w:val="clear" w:color="auto" w:fill="FBFBFB"/>
          <w:tblCellMar>
            <w:top w:w="120" w:type="dxa"/>
            <w:left w:w="120" w:type="dxa"/>
            <w:bottom w:w="120" w:type="dxa"/>
            <w:right w:w="12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noWrap/>
            <w:tcMar>
              <w:top w:w="120" w:type="dxa"/>
              <w:left w:w="120" w:type="dxa"/>
              <w:bottom w:w="120" w:type="dxa"/>
              <w:right w:w="120" w:type="dxa"/>
            </w:tcMar>
            <w:vAlign w:val="center"/>
          </w:tcPr>
          <w:p w14:paraId="3C1B4C26">
            <w:pPr>
              <w:widowControl/>
              <w:spacing w:line="360" w:lineRule="auto"/>
              <w:jc w:val="center"/>
              <w:rPr>
                <w:rFonts w:ascii="宋体" w:hAnsi="宋体" w:cs="宋体"/>
                <w:sz w:val="24"/>
              </w:rPr>
            </w:pPr>
            <w:r>
              <w:rPr>
                <w:rFonts w:hint="eastAsia" w:ascii="宋体" w:hAnsi="宋体" w:cs="宋体"/>
                <w:sz w:val="24"/>
              </w:rPr>
              <w:t>1</w:t>
            </w:r>
          </w:p>
        </w:tc>
        <w:tc>
          <w:tcPr>
            <w:tcW w:w="3600" w:type="dxa"/>
            <w:tcBorders>
              <w:top w:val="single" w:color="auto" w:sz="4" w:space="0"/>
              <w:left w:val="single" w:color="auto" w:sz="4" w:space="0"/>
              <w:bottom w:val="single" w:color="auto" w:sz="4" w:space="0"/>
              <w:right w:val="single" w:color="auto" w:sz="4" w:space="0"/>
            </w:tcBorders>
            <w:shd w:val="clear" w:color="auto" w:fill="FBFBFB"/>
            <w:noWrap/>
            <w:tcMar>
              <w:top w:w="120" w:type="dxa"/>
              <w:left w:w="120" w:type="dxa"/>
              <w:bottom w:w="120" w:type="dxa"/>
              <w:right w:w="120" w:type="dxa"/>
            </w:tcMar>
            <w:vAlign w:val="center"/>
          </w:tcPr>
          <w:p w14:paraId="62C3B178">
            <w:pPr>
              <w:widowControl/>
              <w:spacing w:line="360" w:lineRule="auto"/>
              <w:jc w:val="center"/>
              <w:rPr>
                <w:rFonts w:ascii="宋体" w:hAnsi="宋体" w:cs="宋体"/>
                <w:sz w:val="24"/>
              </w:rPr>
            </w:pPr>
          </w:p>
        </w:tc>
        <w:tc>
          <w:tcPr>
            <w:tcW w:w="3555" w:type="dxa"/>
            <w:tcBorders>
              <w:top w:val="single" w:color="auto" w:sz="4" w:space="0"/>
              <w:left w:val="single" w:color="auto" w:sz="4" w:space="0"/>
              <w:bottom w:val="single" w:color="auto" w:sz="4" w:space="0"/>
              <w:right w:val="single" w:color="auto" w:sz="4" w:space="0"/>
            </w:tcBorders>
            <w:shd w:val="clear" w:color="auto" w:fill="FBFBFB"/>
            <w:noWrap/>
            <w:tcMar>
              <w:top w:w="120" w:type="dxa"/>
              <w:left w:w="120" w:type="dxa"/>
              <w:bottom w:w="120" w:type="dxa"/>
              <w:right w:w="120" w:type="dxa"/>
            </w:tcMar>
            <w:vAlign w:val="center"/>
          </w:tcPr>
          <w:p w14:paraId="70935F37">
            <w:pPr>
              <w:widowControl/>
              <w:spacing w:line="360" w:lineRule="auto"/>
              <w:jc w:val="center"/>
              <w:rPr>
                <w:rFonts w:ascii="宋体" w:hAnsi="宋体" w:cs="宋体"/>
                <w:sz w:val="24"/>
              </w:rPr>
            </w:pPr>
          </w:p>
        </w:tc>
        <w:tc>
          <w:tcPr>
            <w:tcW w:w="1689" w:type="dxa"/>
            <w:tcBorders>
              <w:top w:val="single" w:color="auto" w:sz="4" w:space="0"/>
              <w:left w:val="single" w:color="auto" w:sz="4" w:space="0"/>
              <w:bottom w:val="single" w:color="auto" w:sz="4" w:space="0"/>
              <w:right w:val="single" w:color="auto" w:sz="4" w:space="0"/>
            </w:tcBorders>
            <w:shd w:val="clear" w:color="auto" w:fill="FBFBFB"/>
            <w:noWrap/>
            <w:tcMar>
              <w:top w:w="120" w:type="dxa"/>
              <w:left w:w="120" w:type="dxa"/>
              <w:bottom w:w="120" w:type="dxa"/>
              <w:right w:w="120" w:type="dxa"/>
            </w:tcMar>
            <w:vAlign w:val="center"/>
          </w:tcPr>
          <w:p w14:paraId="409C0C01">
            <w:pPr>
              <w:widowControl/>
              <w:spacing w:line="360" w:lineRule="auto"/>
              <w:jc w:val="center"/>
              <w:rPr>
                <w:rFonts w:ascii="宋体" w:hAnsi="宋体" w:cs="宋体"/>
                <w:sz w:val="24"/>
              </w:rPr>
            </w:pPr>
          </w:p>
        </w:tc>
      </w:tr>
      <w:tr w14:paraId="3EC98653">
        <w:tblPrEx>
          <w:shd w:val="clear" w:color="auto" w:fill="FBFBFB"/>
          <w:tblCellMar>
            <w:top w:w="120" w:type="dxa"/>
            <w:left w:w="120" w:type="dxa"/>
            <w:bottom w:w="120" w:type="dxa"/>
            <w:right w:w="12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noWrap/>
            <w:tcMar>
              <w:top w:w="120" w:type="dxa"/>
              <w:left w:w="120" w:type="dxa"/>
              <w:bottom w:w="120" w:type="dxa"/>
              <w:right w:w="120" w:type="dxa"/>
            </w:tcMar>
            <w:vAlign w:val="center"/>
          </w:tcPr>
          <w:p w14:paraId="3696DEE9">
            <w:pPr>
              <w:widowControl/>
              <w:spacing w:line="360" w:lineRule="auto"/>
              <w:jc w:val="center"/>
              <w:rPr>
                <w:rFonts w:ascii="宋体" w:hAnsi="宋体" w:cs="宋体"/>
                <w:sz w:val="24"/>
              </w:rPr>
            </w:pPr>
            <w:r>
              <w:rPr>
                <w:rFonts w:hint="eastAsia" w:ascii="宋体" w:hAnsi="宋体" w:cs="宋体"/>
                <w:sz w:val="24"/>
              </w:rPr>
              <w:t>2</w:t>
            </w:r>
          </w:p>
        </w:tc>
        <w:tc>
          <w:tcPr>
            <w:tcW w:w="3600" w:type="dxa"/>
            <w:tcBorders>
              <w:top w:val="single" w:color="auto" w:sz="4" w:space="0"/>
              <w:left w:val="single" w:color="auto" w:sz="4" w:space="0"/>
              <w:bottom w:val="single" w:color="auto" w:sz="4" w:space="0"/>
              <w:right w:val="single" w:color="auto" w:sz="4" w:space="0"/>
            </w:tcBorders>
            <w:shd w:val="clear" w:color="auto" w:fill="FBFBFB"/>
            <w:noWrap/>
            <w:tcMar>
              <w:top w:w="120" w:type="dxa"/>
              <w:left w:w="120" w:type="dxa"/>
              <w:bottom w:w="120" w:type="dxa"/>
              <w:right w:w="120" w:type="dxa"/>
            </w:tcMar>
            <w:vAlign w:val="center"/>
          </w:tcPr>
          <w:p w14:paraId="5EF5F9FE">
            <w:pPr>
              <w:widowControl/>
              <w:spacing w:line="360" w:lineRule="auto"/>
              <w:jc w:val="center"/>
              <w:rPr>
                <w:rFonts w:ascii="宋体" w:hAnsi="宋体" w:cs="宋体"/>
                <w:sz w:val="24"/>
              </w:rPr>
            </w:pPr>
          </w:p>
        </w:tc>
        <w:tc>
          <w:tcPr>
            <w:tcW w:w="3555" w:type="dxa"/>
            <w:tcBorders>
              <w:top w:val="single" w:color="auto" w:sz="4" w:space="0"/>
              <w:left w:val="single" w:color="auto" w:sz="4" w:space="0"/>
              <w:bottom w:val="single" w:color="auto" w:sz="4" w:space="0"/>
              <w:right w:val="single" w:color="auto" w:sz="4" w:space="0"/>
            </w:tcBorders>
            <w:shd w:val="clear" w:color="auto" w:fill="FBFBFB"/>
            <w:noWrap/>
            <w:tcMar>
              <w:top w:w="120" w:type="dxa"/>
              <w:left w:w="120" w:type="dxa"/>
              <w:bottom w:w="120" w:type="dxa"/>
              <w:right w:w="120" w:type="dxa"/>
            </w:tcMar>
            <w:vAlign w:val="center"/>
          </w:tcPr>
          <w:p w14:paraId="0C3940F2">
            <w:pPr>
              <w:widowControl/>
              <w:spacing w:line="360" w:lineRule="auto"/>
              <w:jc w:val="center"/>
              <w:rPr>
                <w:rFonts w:ascii="宋体" w:hAnsi="宋体" w:cs="宋体"/>
                <w:sz w:val="24"/>
              </w:rPr>
            </w:pPr>
          </w:p>
        </w:tc>
        <w:tc>
          <w:tcPr>
            <w:tcW w:w="1689" w:type="dxa"/>
            <w:tcBorders>
              <w:top w:val="single" w:color="auto" w:sz="4" w:space="0"/>
              <w:left w:val="single" w:color="auto" w:sz="4" w:space="0"/>
              <w:bottom w:val="single" w:color="auto" w:sz="4" w:space="0"/>
              <w:right w:val="single" w:color="auto" w:sz="4" w:space="0"/>
            </w:tcBorders>
            <w:shd w:val="clear" w:color="auto" w:fill="FBFBFB"/>
            <w:noWrap/>
            <w:tcMar>
              <w:top w:w="120" w:type="dxa"/>
              <w:left w:w="120" w:type="dxa"/>
              <w:bottom w:w="120" w:type="dxa"/>
              <w:right w:w="120" w:type="dxa"/>
            </w:tcMar>
            <w:vAlign w:val="center"/>
          </w:tcPr>
          <w:p w14:paraId="2687FBE7">
            <w:pPr>
              <w:widowControl/>
              <w:spacing w:line="360" w:lineRule="auto"/>
              <w:jc w:val="center"/>
              <w:rPr>
                <w:rFonts w:ascii="宋体" w:hAnsi="宋体" w:cs="宋体"/>
                <w:sz w:val="24"/>
              </w:rPr>
            </w:pPr>
          </w:p>
        </w:tc>
      </w:tr>
      <w:tr w14:paraId="78B46003">
        <w:tblPrEx>
          <w:shd w:val="clear" w:color="auto" w:fill="FBFBFB"/>
          <w:tblCellMar>
            <w:top w:w="120" w:type="dxa"/>
            <w:left w:w="120" w:type="dxa"/>
            <w:bottom w:w="120" w:type="dxa"/>
            <w:right w:w="12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noWrap/>
            <w:tcMar>
              <w:top w:w="120" w:type="dxa"/>
              <w:left w:w="120" w:type="dxa"/>
              <w:bottom w:w="120" w:type="dxa"/>
              <w:right w:w="120" w:type="dxa"/>
            </w:tcMar>
            <w:vAlign w:val="center"/>
          </w:tcPr>
          <w:p w14:paraId="1FF758ED">
            <w:pPr>
              <w:widowControl/>
              <w:spacing w:line="360" w:lineRule="auto"/>
              <w:jc w:val="center"/>
              <w:rPr>
                <w:rFonts w:ascii="宋体" w:hAnsi="宋体" w:cs="宋体"/>
                <w:sz w:val="24"/>
              </w:rPr>
            </w:pPr>
            <w:r>
              <w:rPr>
                <w:rFonts w:hint="eastAsia" w:ascii="宋体" w:hAnsi="宋体" w:cs="宋体"/>
                <w:sz w:val="24"/>
              </w:rPr>
              <w:t>3</w:t>
            </w:r>
          </w:p>
        </w:tc>
        <w:tc>
          <w:tcPr>
            <w:tcW w:w="3600" w:type="dxa"/>
            <w:tcBorders>
              <w:top w:val="single" w:color="auto" w:sz="4" w:space="0"/>
              <w:left w:val="single" w:color="auto" w:sz="4" w:space="0"/>
              <w:bottom w:val="single" w:color="auto" w:sz="4" w:space="0"/>
              <w:right w:val="single" w:color="auto" w:sz="4" w:space="0"/>
            </w:tcBorders>
            <w:shd w:val="clear" w:color="auto" w:fill="FBFBFB"/>
            <w:noWrap/>
            <w:tcMar>
              <w:top w:w="120" w:type="dxa"/>
              <w:left w:w="120" w:type="dxa"/>
              <w:bottom w:w="120" w:type="dxa"/>
              <w:right w:w="120" w:type="dxa"/>
            </w:tcMar>
            <w:vAlign w:val="center"/>
          </w:tcPr>
          <w:p w14:paraId="685F605F">
            <w:pPr>
              <w:widowControl/>
              <w:spacing w:line="360" w:lineRule="auto"/>
              <w:jc w:val="center"/>
              <w:rPr>
                <w:rFonts w:ascii="宋体" w:hAnsi="宋体" w:cs="宋体"/>
                <w:sz w:val="24"/>
              </w:rPr>
            </w:pPr>
          </w:p>
        </w:tc>
        <w:tc>
          <w:tcPr>
            <w:tcW w:w="3555" w:type="dxa"/>
            <w:tcBorders>
              <w:top w:val="single" w:color="auto" w:sz="4" w:space="0"/>
              <w:left w:val="single" w:color="auto" w:sz="4" w:space="0"/>
              <w:bottom w:val="single" w:color="auto" w:sz="4" w:space="0"/>
              <w:right w:val="single" w:color="auto" w:sz="4" w:space="0"/>
            </w:tcBorders>
            <w:shd w:val="clear" w:color="auto" w:fill="FBFBFB"/>
            <w:noWrap/>
            <w:tcMar>
              <w:top w:w="120" w:type="dxa"/>
              <w:left w:w="120" w:type="dxa"/>
              <w:bottom w:w="120" w:type="dxa"/>
              <w:right w:w="120" w:type="dxa"/>
            </w:tcMar>
            <w:vAlign w:val="center"/>
          </w:tcPr>
          <w:p w14:paraId="1431A049">
            <w:pPr>
              <w:widowControl/>
              <w:spacing w:line="360" w:lineRule="auto"/>
              <w:jc w:val="center"/>
              <w:rPr>
                <w:rFonts w:ascii="宋体" w:hAnsi="宋体" w:cs="宋体"/>
                <w:sz w:val="24"/>
              </w:rPr>
            </w:pPr>
          </w:p>
        </w:tc>
        <w:tc>
          <w:tcPr>
            <w:tcW w:w="1689" w:type="dxa"/>
            <w:tcBorders>
              <w:top w:val="single" w:color="auto" w:sz="4" w:space="0"/>
              <w:left w:val="single" w:color="auto" w:sz="4" w:space="0"/>
              <w:bottom w:val="single" w:color="auto" w:sz="4" w:space="0"/>
              <w:right w:val="single" w:color="auto" w:sz="4" w:space="0"/>
            </w:tcBorders>
            <w:shd w:val="clear" w:color="auto" w:fill="FBFBFB"/>
            <w:noWrap/>
            <w:tcMar>
              <w:top w:w="120" w:type="dxa"/>
              <w:left w:w="120" w:type="dxa"/>
              <w:bottom w:w="120" w:type="dxa"/>
              <w:right w:w="120" w:type="dxa"/>
            </w:tcMar>
            <w:vAlign w:val="center"/>
          </w:tcPr>
          <w:p w14:paraId="6D13A8A9">
            <w:pPr>
              <w:widowControl/>
              <w:spacing w:line="360" w:lineRule="auto"/>
              <w:jc w:val="center"/>
              <w:rPr>
                <w:rFonts w:ascii="宋体" w:hAnsi="宋体" w:cs="宋体"/>
                <w:sz w:val="24"/>
              </w:rPr>
            </w:pPr>
          </w:p>
        </w:tc>
      </w:tr>
      <w:tr w14:paraId="39B0E7C6">
        <w:tblPrEx>
          <w:shd w:val="clear" w:color="auto" w:fill="FBFBFB"/>
          <w:tblCellMar>
            <w:top w:w="120" w:type="dxa"/>
            <w:left w:w="120" w:type="dxa"/>
            <w:bottom w:w="120" w:type="dxa"/>
            <w:right w:w="12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noWrap/>
            <w:tcMar>
              <w:top w:w="120" w:type="dxa"/>
              <w:left w:w="120" w:type="dxa"/>
              <w:bottom w:w="120" w:type="dxa"/>
              <w:right w:w="120" w:type="dxa"/>
            </w:tcMar>
            <w:vAlign w:val="center"/>
          </w:tcPr>
          <w:p w14:paraId="585A3DE4">
            <w:pPr>
              <w:widowControl/>
              <w:spacing w:line="360" w:lineRule="auto"/>
              <w:jc w:val="center"/>
              <w:rPr>
                <w:rFonts w:ascii="宋体" w:hAnsi="宋体" w:cs="宋体"/>
                <w:sz w:val="24"/>
              </w:rPr>
            </w:pPr>
            <w:r>
              <w:rPr>
                <w:rFonts w:hint="eastAsia" w:ascii="宋体" w:hAnsi="宋体" w:cs="宋体"/>
                <w:sz w:val="24"/>
              </w:rPr>
              <w:t>……</w:t>
            </w:r>
          </w:p>
        </w:tc>
        <w:tc>
          <w:tcPr>
            <w:tcW w:w="3600" w:type="dxa"/>
            <w:tcBorders>
              <w:top w:val="single" w:color="auto" w:sz="4" w:space="0"/>
              <w:left w:val="single" w:color="auto" w:sz="4" w:space="0"/>
              <w:bottom w:val="single" w:color="auto" w:sz="4" w:space="0"/>
              <w:right w:val="single" w:color="auto" w:sz="4" w:space="0"/>
            </w:tcBorders>
            <w:shd w:val="clear" w:color="auto" w:fill="FBFBFB"/>
            <w:noWrap/>
            <w:tcMar>
              <w:top w:w="120" w:type="dxa"/>
              <w:left w:w="120" w:type="dxa"/>
              <w:bottom w:w="120" w:type="dxa"/>
              <w:right w:w="120" w:type="dxa"/>
            </w:tcMar>
            <w:vAlign w:val="center"/>
          </w:tcPr>
          <w:p w14:paraId="73C89BBB">
            <w:pPr>
              <w:widowControl/>
              <w:spacing w:line="360" w:lineRule="auto"/>
              <w:jc w:val="center"/>
              <w:rPr>
                <w:rFonts w:ascii="宋体" w:hAnsi="宋体" w:cs="宋体"/>
                <w:sz w:val="24"/>
              </w:rPr>
            </w:pPr>
          </w:p>
        </w:tc>
        <w:tc>
          <w:tcPr>
            <w:tcW w:w="3555" w:type="dxa"/>
            <w:tcBorders>
              <w:top w:val="single" w:color="auto" w:sz="4" w:space="0"/>
              <w:left w:val="single" w:color="auto" w:sz="4" w:space="0"/>
              <w:bottom w:val="single" w:color="auto" w:sz="4" w:space="0"/>
              <w:right w:val="single" w:color="auto" w:sz="4" w:space="0"/>
            </w:tcBorders>
            <w:shd w:val="clear" w:color="auto" w:fill="FBFBFB"/>
            <w:noWrap/>
            <w:tcMar>
              <w:top w:w="120" w:type="dxa"/>
              <w:left w:w="120" w:type="dxa"/>
              <w:bottom w:w="120" w:type="dxa"/>
              <w:right w:w="120" w:type="dxa"/>
            </w:tcMar>
            <w:vAlign w:val="center"/>
          </w:tcPr>
          <w:p w14:paraId="5572C170">
            <w:pPr>
              <w:widowControl/>
              <w:spacing w:line="360" w:lineRule="auto"/>
              <w:jc w:val="center"/>
              <w:rPr>
                <w:rFonts w:ascii="宋体" w:hAnsi="宋体" w:cs="宋体"/>
                <w:sz w:val="24"/>
              </w:rPr>
            </w:pPr>
          </w:p>
        </w:tc>
        <w:tc>
          <w:tcPr>
            <w:tcW w:w="1689" w:type="dxa"/>
            <w:tcBorders>
              <w:top w:val="single" w:color="auto" w:sz="4" w:space="0"/>
              <w:left w:val="single" w:color="auto" w:sz="4" w:space="0"/>
              <w:bottom w:val="single" w:color="auto" w:sz="4" w:space="0"/>
              <w:right w:val="single" w:color="auto" w:sz="4" w:space="0"/>
            </w:tcBorders>
            <w:shd w:val="clear" w:color="auto" w:fill="FBFBFB"/>
            <w:noWrap/>
            <w:tcMar>
              <w:top w:w="120" w:type="dxa"/>
              <w:left w:w="120" w:type="dxa"/>
              <w:bottom w:w="120" w:type="dxa"/>
              <w:right w:w="120" w:type="dxa"/>
            </w:tcMar>
            <w:vAlign w:val="center"/>
          </w:tcPr>
          <w:p w14:paraId="0D379DD6">
            <w:pPr>
              <w:widowControl/>
              <w:spacing w:line="360" w:lineRule="auto"/>
              <w:jc w:val="center"/>
              <w:rPr>
                <w:rFonts w:ascii="宋体" w:hAnsi="宋体" w:cs="宋体"/>
                <w:sz w:val="24"/>
              </w:rPr>
            </w:pPr>
          </w:p>
        </w:tc>
      </w:tr>
    </w:tbl>
    <w:p w14:paraId="4810D2BB">
      <w:pPr>
        <w:spacing w:line="360" w:lineRule="auto"/>
        <w:ind w:firstLine="480"/>
        <w:jc w:val="left"/>
        <w:rPr>
          <w:rFonts w:ascii="仿宋_GB2312" w:hAnsi="仿宋" w:eastAsia="仿宋_GB2312" w:cs="仿宋_GB2312"/>
          <w:sz w:val="24"/>
        </w:rPr>
      </w:pPr>
      <w:r>
        <w:rPr>
          <w:rFonts w:hint="eastAsia" w:ascii="仿宋_GB2312" w:hAnsi="仿宋" w:eastAsia="仿宋_GB2312" w:cs="仿宋_GB2312"/>
          <w:sz w:val="24"/>
        </w:rPr>
        <w:t>注：</w:t>
      </w:r>
    </w:p>
    <w:p w14:paraId="0483EE7F">
      <w:pPr>
        <w:spacing w:line="360" w:lineRule="auto"/>
        <w:ind w:firstLine="480"/>
        <w:jc w:val="left"/>
        <w:rPr>
          <w:rFonts w:ascii="仿宋_GB2312" w:hAnsi="仿宋" w:eastAsia="仿宋_GB2312" w:cs="仿宋_GB2312"/>
          <w:sz w:val="24"/>
        </w:rPr>
      </w:pPr>
      <w:r>
        <w:rPr>
          <w:rFonts w:hint="eastAsia" w:ascii="仿宋_GB2312" w:hAnsi="仿宋" w:eastAsia="仿宋_GB2312" w:cs="仿宋_GB2312"/>
          <w:sz w:val="24"/>
        </w:rPr>
        <w:t>1.管理关系：是指不具有出资持股关系的其他单位之间存在的管理与被管理关系，如一些上下级关系的事业单位和团体组织。</w:t>
      </w:r>
    </w:p>
    <w:p w14:paraId="25410412">
      <w:pPr>
        <w:spacing w:line="360" w:lineRule="auto"/>
        <w:ind w:firstLine="480"/>
        <w:jc w:val="left"/>
        <w:rPr>
          <w:rFonts w:ascii="仿宋_GB2312" w:hAnsi="仿宋" w:eastAsia="仿宋_GB2312" w:cs="仿宋_GB2312"/>
          <w:sz w:val="24"/>
        </w:rPr>
      </w:pPr>
      <w:r>
        <w:rPr>
          <w:rFonts w:hint="eastAsia" w:ascii="仿宋_GB2312" w:hAnsi="仿宋" w:eastAsia="仿宋_GB2312" w:cs="仿宋_GB2312"/>
          <w:sz w:val="24"/>
        </w:rPr>
        <w:t>2.本表所指的管理关系仅限于直接管理关系，不包括间接的管理关系。</w:t>
      </w:r>
    </w:p>
    <w:p w14:paraId="4069B4B0">
      <w:pPr>
        <w:spacing w:line="360" w:lineRule="auto"/>
        <w:ind w:firstLine="480"/>
        <w:jc w:val="left"/>
        <w:rPr>
          <w:rFonts w:ascii="仿宋_GB2312" w:hAnsi="仿宋" w:eastAsia="仿宋_GB2312" w:cs="仿宋_GB2312"/>
          <w:sz w:val="24"/>
        </w:rPr>
      </w:pPr>
      <w:r>
        <w:rPr>
          <w:rFonts w:hint="eastAsia" w:ascii="仿宋_GB2312" w:hAnsi="仿宋" w:eastAsia="仿宋_GB2312" w:cs="仿宋_GB2312"/>
          <w:sz w:val="24"/>
        </w:rPr>
        <w:t>3.供应商不存在直接管理关系的，则填“无”。</w:t>
      </w:r>
    </w:p>
    <w:p w14:paraId="007DF24B">
      <w:pPr>
        <w:spacing w:line="360" w:lineRule="auto"/>
        <w:jc w:val="left"/>
        <w:rPr>
          <w:sz w:val="24"/>
        </w:rPr>
      </w:pPr>
    </w:p>
    <w:p w14:paraId="699FBB10">
      <w:pPr>
        <w:spacing w:line="360" w:lineRule="auto"/>
        <w:ind w:left="4365" w:hanging="480"/>
        <w:rPr>
          <w:rFonts w:ascii="仿宋_GB2312" w:hAnsi="仿宋" w:eastAsia="仿宋_GB2312" w:cs="仿宋_GB2312"/>
          <w:sz w:val="24"/>
        </w:rPr>
      </w:pPr>
      <w:r>
        <w:rPr>
          <w:rFonts w:hint="eastAsia" w:ascii="仿宋_GB2312" w:hAnsi="仿宋" w:eastAsia="仿宋_GB2312" w:cs="仿宋_GB2312"/>
          <w:sz w:val="24"/>
        </w:rPr>
        <w:t>供应商名称（电子签章）：</w:t>
      </w:r>
    </w:p>
    <w:p w14:paraId="1A30E08A">
      <w:pPr>
        <w:spacing w:line="360" w:lineRule="auto"/>
        <w:ind w:firstLine="6120"/>
        <w:rPr>
          <w:rFonts w:ascii="仿宋_GB2312" w:hAnsi="仿宋" w:eastAsia="仿宋_GB2312" w:cs="仿宋_GB2312"/>
          <w:b/>
          <w:bCs/>
          <w:sz w:val="24"/>
        </w:rPr>
      </w:pPr>
      <w:r>
        <w:rPr>
          <w:rFonts w:hint="eastAsia" w:ascii="仿宋_GB2312" w:hAnsi="仿宋" w:eastAsia="仿宋_GB2312" w:cs="仿宋_GB2312"/>
          <w:sz w:val="24"/>
          <w:lang w:val="zh-CN"/>
        </w:rPr>
        <w:t>日期：年月日</w:t>
      </w:r>
    </w:p>
    <w:p w14:paraId="223C292A">
      <w:pPr>
        <w:spacing w:line="360" w:lineRule="auto"/>
        <w:ind w:right="480" w:firstLine="280"/>
        <w:contextualSpacing/>
        <w:jc w:val="center"/>
        <w:rPr>
          <w:rFonts w:ascii="宋体" w:hAnsi="宋体"/>
          <w:sz w:val="28"/>
          <w:szCs w:val="28"/>
        </w:rPr>
      </w:pPr>
    </w:p>
    <w:p w14:paraId="2438C24F">
      <w:pPr>
        <w:spacing w:line="320" w:lineRule="exact"/>
        <w:ind w:firstLine="560"/>
        <w:jc w:val="left"/>
        <w:rPr>
          <w:rFonts w:ascii="宋体" w:hAnsi="宋体"/>
          <w:sz w:val="28"/>
          <w:szCs w:val="28"/>
        </w:rPr>
      </w:pPr>
      <w:r>
        <w:rPr>
          <w:rFonts w:hint="eastAsia" w:ascii="宋体" w:hAnsi="宋体"/>
          <w:sz w:val="28"/>
          <w:szCs w:val="28"/>
        </w:rPr>
        <w:br w:type="page" w:clear="all"/>
      </w:r>
      <w:r>
        <w:rPr>
          <w:rFonts w:hint="eastAsia" w:ascii="仿宋" w:hAnsi="仿宋" w:eastAsia="仿宋" w:cs="仿宋_GB2312"/>
          <w:b/>
          <w:sz w:val="30"/>
          <w:szCs w:val="30"/>
        </w:rPr>
        <w:t>六、资格声明函</w:t>
      </w:r>
    </w:p>
    <w:p w14:paraId="3F1377C0">
      <w:pPr>
        <w:spacing w:line="320" w:lineRule="exact"/>
        <w:jc w:val="center"/>
        <w:rPr>
          <w:rFonts w:ascii="宋体" w:hAnsi="宋体"/>
          <w:b/>
          <w:sz w:val="32"/>
          <w:szCs w:val="32"/>
        </w:rPr>
      </w:pPr>
    </w:p>
    <w:p w14:paraId="05C8934F">
      <w:pPr>
        <w:spacing w:line="320" w:lineRule="exact"/>
        <w:jc w:val="center"/>
        <w:rPr>
          <w:rFonts w:ascii="宋体" w:hAnsi="宋体"/>
          <w:b/>
          <w:sz w:val="32"/>
          <w:szCs w:val="32"/>
        </w:rPr>
      </w:pPr>
      <w:r>
        <w:rPr>
          <w:rFonts w:hint="eastAsia" w:ascii="宋体" w:hAnsi="宋体"/>
          <w:b/>
          <w:sz w:val="32"/>
          <w:szCs w:val="32"/>
        </w:rPr>
        <w:t>资格声明函</w:t>
      </w:r>
    </w:p>
    <w:p w14:paraId="6A818E84">
      <w:pPr>
        <w:spacing w:line="320" w:lineRule="exact"/>
        <w:jc w:val="center"/>
        <w:rPr>
          <w:rFonts w:ascii="宋体" w:hAnsi="宋体"/>
          <w:sz w:val="24"/>
          <w:szCs w:val="20"/>
        </w:rPr>
      </w:pPr>
    </w:p>
    <w:p w14:paraId="0CE34EF5">
      <w:pPr>
        <w:spacing w:line="360" w:lineRule="auto"/>
        <w:rPr>
          <w:rFonts w:ascii="仿宋_GB2312" w:hAnsi="宋体" w:eastAsia="仿宋_GB2312" w:cs="宋体"/>
          <w:sz w:val="24"/>
        </w:rPr>
      </w:pPr>
      <w:r>
        <w:rPr>
          <w:rFonts w:hint="eastAsia" w:ascii="仿宋_GB2312" w:hAnsi="宋体" w:eastAsia="仿宋_GB2312" w:cs="宋体"/>
          <w:sz w:val="24"/>
        </w:rPr>
        <w:t>致：</w:t>
      </w:r>
      <w:bookmarkStart w:id="73" w:name="PO_3000001871_PM031"/>
      <w:r>
        <w:rPr>
          <w:rFonts w:hint="eastAsia" w:ascii="仿宋_GB2312" w:hAnsi="宋体" w:eastAsia="仿宋_GB2312" w:cs="宋体"/>
          <w:sz w:val="24"/>
          <w:u w:val="single"/>
        </w:rPr>
        <w:t>[项目采购-采购组织机构]</w:t>
      </w:r>
      <w:bookmarkEnd w:id="73"/>
      <w:r>
        <w:rPr>
          <w:rFonts w:hint="eastAsia" w:ascii="仿宋_GB2312" w:hAnsi="宋体" w:eastAsia="仿宋_GB2312" w:cs="宋体"/>
          <w:sz w:val="24"/>
        </w:rPr>
        <w:t>：</w:t>
      </w:r>
    </w:p>
    <w:p w14:paraId="3B1D4241">
      <w:pPr>
        <w:spacing w:line="360" w:lineRule="auto"/>
        <w:ind w:firstLine="480"/>
        <w:rPr>
          <w:rFonts w:ascii="仿宋_GB2312" w:hAnsi="宋体" w:eastAsia="仿宋_GB2312" w:cs="宋体"/>
          <w:sz w:val="24"/>
        </w:rPr>
      </w:pPr>
      <w:r>
        <w:rPr>
          <w:rFonts w:hint="eastAsia" w:ascii="仿宋_GB2312" w:hAnsi="宋体" w:eastAsia="仿宋_GB2312" w:cs="宋体"/>
          <w:sz w:val="24"/>
          <w:u w:val="single"/>
        </w:rPr>
        <w:t xml:space="preserve">（供应商名称） </w:t>
      </w:r>
      <w:r>
        <w:rPr>
          <w:rFonts w:ascii="仿宋_GB2312" w:hAnsi="宋体" w:eastAsia="仿宋_GB2312" w:cs="宋体"/>
          <w:sz w:val="24"/>
          <w:u w:val="single"/>
        </w:rPr>
        <w:t xml:space="preserve">    </w:t>
      </w:r>
      <w:r>
        <w:rPr>
          <w:rFonts w:hint="eastAsia" w:ascii="仿宋_GB2312" w:hAnsi="宋体" w:eastAsia="仿宋_GB2312" w:cs="宋体"/>
          <w:sz w:val="24"/>
        </w:rPr>
        <w:t>系中华人民共和国合法供应商，经营地址</w:t>
      </w:r>
      <w:r>
        <w:rPr>
          <w:rFonts w:hint="eastAsia" w:ascii="仿宋_GB2312" w:hAnsi="宋体" w:eastAsia="仿宋_GB2312" w:cs="宋体"/>
          <w:sz w:val="24"/>
          <w:u w:val="single"/>
        </w:rPr>
        <w:t xml:space="preserve">        </w:t>
      </w:r>
      <w:r>
        <w:rPr>
          <w:rFonts w:hint="eastAsia" w:ascii="仿宋_GB2312" w:hAnsi="宋体" w:eastAsia="仿宋_GB2312" w:cs="宋体"/>
          <w:sz w:val="24"/>
        </w:rPr>
        <w:t>。</w:t>
      </w:r>
    </w:p>
    <w:p w14:paraId="7B31B13B">
      <w:pPr>
        <w:spacing w:line="360" w:lineRule="auto"/>
        <w:ind w:firstLine="480"/>
        <w:rPr>
          <w:rFonts w:ascii="仿宋_GB2312" w:hAnsi="宋体" w:eastAsia="仿宋_GB2312" w:cs="宋体"/>
          <w:sz w:val="24"/>
        </w:rPr>
      </w:pPr>
      <w:r>
        <w:rPr>
          <w:rFonts w:hint="eastAsia" w:ascii="仿宋_GB2312" w:hAnsi="宋体" w:eastAsia="仿宋_GB2312" w:cs="宋体"/>
          <w:sz w:val="24"/>
        </w:rPr>
        <w:t>我方愿意参加贵方组织的</w:t>
      </w:r>
      <w:bookmarkStart w:id="74" w:name="PO_3000001871_PM002_4"/>
      <w:r>
        <w:rPr>
          <w:rFonts w:hint="eastAsia" w:ascii="仿宋_GB2312" w:hAnsi="宋体" w:eastAsia="仿宋_GB2312" w:cs="宋体"/>
          <w:sz w:val="24"/>
          <w:u w:val="single"/>
        </w:rPr>
        <w:t>[项目采购-项目名称</w:t>
      </w:r>
      <w:r>
        <w:rPr>
          <w:rFonts w:ascii="仿宋_GB2312" w:hAnsi="宋体" w:eastAsia="仿宋_GB2312" w:cs="宋体"/>
          <w:sz w:val="24"/>
          <w:u w:val="single"/>
        </w:rPr>
        <w:t xml:space="preserve"> </w:t>
      </w:r>
      <w:r>
        <w:rPr>
          <w:rFonts w:hint="eastAsia" w:ascii="仿宋_GB2312" w:hAnsi="宋体" w:eastAsia="仿宋_GB2312" w:cs="宋体"/>
          <w:sz w:val="24"/>
          <w:u w:val="single"/>
        </w:rPr>
        <w:t>]</w:t>
      </w:r>
      <w:bookmarkEnd w:id="74"/>
      <w:r>
        <w:rPr>
          <w:rFonts w:ascii="仿宋_GB2312" w:hAnsi="宋体" w:eastAsia="仿宋_GB2312" w:cs="宋体"/>
          <w:sz w:val="24"/>
          <w:u w:val="single"/>
        </w:rPr>
        <w:t xml:space="preserve">    </w:t>
      </w:r>
      <w:r>
        <w:rPr>
          <w:rFonts w:hint="eastAsia" w:ascii="仿宋_GB2312" w:hAnsi="宋体" w:eastAsia="仿宋_GB2312" w:cs="宋体"/>
          <w:sz w:val="24"/>
        </w:rPr>
        <w:t>项目的竞标，为便于贵方公正、择优地确定成交供应商及其竞标产品和货物，我方就本次竞标有关事项郑重声明如下：</w:t>
      </w:r>
    </w:p>
    <w:p w14:paraId="14A28EF6">
      <w:pPr>
        <w:spacing w:line="360" w:lineRule="auto"/>
        <w:ind w:firstLine="480"/>
        <w:rPr>
          <w:rFonts w:ascii="仿宋_GB2312" w:hAnsi="宋体" w:eastAsia="仿宋_GB2312" w:cs="宋体"/>
          <w:sz w:val="24"/>
        </w:rPr>
      </w:pPr>
      <w:r>
        <w:rPr>
          <w:rFonts w:hint="eastAsia" w:ascii="仿宋_GB2312" w:hAnsi="宋体" w:eastAsia="仿宋_GB2312" w:cs="宋体"/>
          <w:sz w:val="24"/>
        </w:rPr>
        <w:t>1.我方向贵方提交的所有响应文件、资料都是准确的和真实的。</w:t>
      </w:r>
    </w:p>
    <w:p w14:paraId="53A834FA">
      <w:pPr>
        <w:spacing w:line="360" w:lineRule="auto"/>
        <w:ind w:firstLine="480"/>
        <w:rPr>
          <w:rFonts w:ascii="仿宋_GB2312" w:hAnsi="宋体" w:eastAsia="仿宋_GB2312" w:cs="宋体"/>
          <w:sz w:val="24"/>
        </w:rPr>
      </w:pPr>
      <w:r>
        <w:rPr>
          <w:rFonts w:hint="eastAsia" w:ascii="仿宋_GB2312" w:hAnsi="宋体" w:eastAsia="仿宋_GB2312" w:cs="宋体"/>
          <w:sz w:val="24"/>
        </w:rPr>
        <w:t>2.我方不是采购人的附属机构；不是为本次采购项目提供整体设计、规范编制或者项目管理、监理、检测等服务的供应商；在获知本项目采购信息后，与采购人聘请的为此项目提供咨询货物的公司及其附属机构没有任何联系。</w:t>
      </w:r>
    </w:p>
    <w:p w14:paraId="0955036C">
      <w:pPr>
        <w:spacing w:line="360" w:lineRule="auto"/>
        <w:ind w:firstLine="480"/>
        <w:rPr>
          <w:rFonts w:ascii="仿宋_GB2312" w:hAnsi="宋体" w:eastAsia="仿宋_GB2312" w:cs="宋体"/>
          <w:sz w:val="24"/>
        </w:rPr>
      </w:pPr>
      <w:r>
        <w:rPr>
          <w:rFonts w:hint="eastAsia" w:ascii="仿宋_GB2312" w:hAnsi="宋体" w:eastAsia="仿宋_GB2312" w:cs="宋体"/>
          <w:sz w:val="24"/>
        </w:rPr>
        <w:t>3.在此，我方宣布同意如下：</w:t>
      </w:r>
    </w:p>
    <w:p w14:paraId="42ABAD72">
      <w:pPr>
        <w:spacing w:line="360" w:lineRule="auto"/>
        <w:ind w:firstLine="480"/>
        <w:rPr>
          <w:rFonts w:ascii="仿宋_GB2312" w:hAnsi="宋体" w:eastAsia="仿宋_GB2312" w:cs="宋体"/>
          <w:sz w:val="24"/>
        </w:rPr>
      </w:pPr>
      <w:r>
        <w:rPr>
          <w:rFonts w:hint="eastAsia" w:ascii="仿宋_GB2312" w:hAnsi="宋体" w:eastAsia="仿宋_GB2312" w:cs="宋体"/>
          <w:sz w:val="24"/>
        </w:rPr>
        <w:t>（1）将按谈判文件的约定履行合同责任和义务；</w:t>
      </w:r>
    </w:p>
    <w:p w14:paraId="7ABA584A">
      <w:pPr>
        <w:spacing w:line="360" w:lineRule="auto"/>
        <w:ind w:firstLine="480"/>
        <w:rPr>
          <w:rFonts w:ascii="仿宋_GB2312" w:hAnsi="宋体" w:eastAsia="仿宋_GB2312" w:cs="宋体"/>
          <w:sz w:val="24"/>
        </w:rPr>
      </w:pPr>
      <w:r>
        <w:rPr>
          <w:rFonts w:hint="eastAsia" w:ascii="仿宋_GB2312" w:hAnsi="宋体" w:eastAsia="仿宋_GB2312" w:cs="宋体"/>
          <w:sz w:val="24"/>
        </w:rPr>
        <w:t>（2）已详细审查全部谈判文件，包括澄清或者更正公告（如有）；</w:t>
      </w:r>
    </w:p>
    <w:p w14:paraId="61CD782E">
      <w:pPr>
        <w:spacing w:line="360" w:lineRule="auto"/>
        <w:ind w:firstLine="480"/>
        <w:rPr>
          <w:rFonts w:ascii="仿宋_GB2312" w:hAnsi="宋体" w:eastAsia="仿宋_GB2312" w:cs="宋体"/>
          <w:sz w:val="24"/>
        </w:rPr>
      </w:pPr>
      <w:r>
        <w:rPr>
          <w:rFonts w:hint="eastAsia" w:ascii="仿宋_GB2312" w:hAnsi="宋体" w:eastAsia="仿宋_GB2312" w:cs="宋体"/>
          <w:sz w:val="24"/>
        </w:rPr>
        <w:t>（3）同意提供按照贵方可能要求的与谈判有关的一切数据或者资料；</w:t>
      </w:r>
    </w:p>
    <w:p w14:paraId="31DD95CC">
      <w:pPr>
        <w:spacing w:line="360" w:lineRule="auto"/>
        <w:ind w:firstLine="480"/>
        <w:rPr>
          <w:rFonts w:ascii="仿宋_GB2312" w:hAnsi="宋体" w:eastAsia="仿宋_GB2312" w:cs="宋体"/>
          <w:sz w:val="24"/>
        </w:rPr>
      </w:pPr>
      <w:r>
        <w:rPr>
          <w:rFonts w:hint="eastAsia" w:ascii="仿宋_GB2312" w:hAnsi="宋体" w:eastAsia="仿宋_GB2312" w:cs="宋体"/>
          <w:sz w:val="24"/>
        </w:rPr>
        <w:t>（4）响应谈判文件规定的竞标有效期。</w:t>
      </w:r>
    </w:p>
    <w:p w14:paraId="5443C721">
      <w:pPr>
        <w:spacing w:line="360" w:lineRule="auto"/>
        <w:ind w:firstLine="480"/>
        <w:rPr>
          <w:rFonts w:ascii="仿宋_GB2312" w:hAnsi="宋体" w:eastAsia="仿宋_GB2312" w:cs="宋体"/>
          <w:sz w:val="24"/>
        </w:rPr>
      </w:pPr>
      <w:r>
        <w:rPr>
          <w:rFonts w:hint="eastAsia" w:ascii="仿宋_GB2312" w:hAnsi="宋体" w:eastAsia="仿宋_GB2312" w:cs="宋体"/>
          <w:sz w:val="24"/>
        </w:rPr>
        <w:t>4. 我方承诺已经具备《中华人民共和国政府采购法》第二十二条中规定的参加政府采购活动的供应商应当具备的条件并按本项目响应文件“第三章”“第二节供应商须知前附表”中“资格证明文件组成”完整提供证明材料。</w:t>
      </w:r>
    </w:p>
    <w:p w14:paraId="17B98FF7">
      <w:pPr>
        <w:spacing w:line="360" w:lineRule="auto"/>
        <w:ind w:firstLine="480"/>
        <w:rPr>
          <w:rFonts w:ascii="仿宋_GB2312" w:hAnsi="宋体" w:eastAsia="仿宋_GB2312" w:cs="宋体"/>
          <w:sz w:val="24"/>
        </w:rPr>
      </w:pPr>
      <w:r>
        <w:rPr>
          <w:rFonts w:hint="eastAsia" w:ascii="仿宋_GB2312" w:hAnsi="宋体" w:eastAsia="仿宋_GB2312" w:cs="宋体"/>
          <w:sz w:val="24"/>
        </w:rPr>
        <w:t>5.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失信主体、政府采购严重违法失信行为记录名单，完全符合《中华人民共和国政府采购法》第二十二条规定的供应商资格条件，我方对此声明负全部法律责任。</w:t>
      </w:r>
    </w:p>
    <w:p w14:paraId="2F4DC006">
      <w:pPr>
        <w:spacing w:line="360" w:lineRule="auto"/>
        <w:ind w:firstLine="480"/>
        <w:rPr>
          <w:rFonts w:ascii="仿宋_GB2312" w:hAnsi="宋体" w:eastAsia="仿宋_GB2312" w:cs="宋体"/>
          <w:sz w:val="24"/>
        </w:rPr>
      </w:pPr>
      <w:r>
        <w:rPr>
          <w:rFonts w:hint="eastAsia" w:ascii="仿宋_GB2312" w:hAnsi="宋体" w:eastAsia="仿宋_GB2312" w:cs="宋体"/>
          <w:sz w:val="24"/>
        </w:rPr>
        <w:t>6.根据《中华人民共和国政府采购法实施条例》第五十条要求对政府采购合同进行公告，但政府采购合同中涉及国家秘密、商业秘密的内容除外。我方就对本次响应文件进行注明如下：（两项内容中必须选择一项）</w:t>
      </w:r>
    </w:p>
    <w:p w14:paraId="2F5F4945">
      <w:pPr>
        <w:spacing w:line="360" w:lineRule="auto"/>
        <w:ind w:firstLine="480"/>
        <w:rPr>
          <w:rFonts w:ascii="仿宋_GB2312" w:hAnsi="宋体" w:eastAsia="仿宋_GB2312" w:cs="宋体"/>
          <w:sz w:val="24"/>
        </w:rPr>
      </w:pPr>
      <w:r>
        <w:rPr>
          <w:rFonts w:hint="eastAsia" w:ascii="仿宋_GB2312" w:hAnsi="宋体" w:eastAsia="仿宋_GB2312" w:cs="宋体"/>
          <w:sz w:val="24"/>
        </w:rPr>
        <w:t>□我方本次响应文件内容中未涉及商业秘密；</w:t>
      </w:r>
    </w:p>
    <w:p w14:paraId="07ACCE3C">
      <w:pPr>
        <w:spacing w:line="360" w:lineRule="auto"/>
        <w:ind w:firstLine="480"/>
        <w:rPr>
          <w:rFonts w:ascii="仿宋_GB2312" w:hAnsi="宋体" w:eastAsia="仿宋_GB2312" w:cs="宋体"/>
          <w:sz w:val="24"/>
        </w:rPr>
      </w:pPr>
      <w:r>
        <w:rPr>
          <w:rFonts w:hint="eastAsia" w:ascii="仿宋_GB2312" w:hAnsi="宋体" w:eastAsia="仿宋_GB2312" w:cs="宋体"/>
          <w:sz w:val="24"/>
        </w:rPr>
        <w:t>□我方本次响应文件涉及商业秘密的内容有：；</w:t>
      </w:r>
    </w:p>
    <w:p w14:paraId="0DF5F532">
      <w:pPr>
        <w:spacing w:line="360" w:lineRule="auto"/>
        <w:ind w:firstLine="480"/>
        <w:rPr>
          <w:rFonts w:ascii="仿宋_GB2312" w:hAnsi="宋体" w:eastAsia="仿宋_GB2312" w:cs="宋体"/>
          <w:sz w:val="24"/>
          <w:u w:val="single"/>
        </w:rPr>
      </w:pPr>
      <w:r>
        <w:rPr>
          <w:rFonts w:hint="eastAsia" w:ascii="仿宋_GB2312" w:hAnsi="宋体" w:eastAsia="仿宋_GB2312" w:cs="宋体"/>
          <w:sz w:val="24"/>
        </w:rPr>
        <w:t xml:space="preserve">7.与本谈判有关的一切正式往来信函请寄： </w:t>
      </w:r>
      <w:r>
        <w:rPr>
          <w:rFonts w:ascii="仿宋_GB2312" w:hAnsi="宋体" w:eastAsia="仿宋_GB2312" w:cs="宋体"/>
          <w:sz w:val="24"/>
        </w:rPr>
        <w:t xml:space="preserve">      </w:t>
      </w:r>
      <w:r>
        <w:rPr>
          <w:rFonts w:hint="eastAsia" w:ascii="仿宋_GB2312" w:hAnsi="宋体" w:eastAsia="仿宋_GB2312" w:cs="宋体"/>
          <w:sz w:val="24"/>
        </w:rPr>
        <w:t>邮政编号：</w:t>
      </w:r>
    </w:p>
    <w:p w14:paraId="6D273587">
      <w:pPr>
        <w:spacing w:line="360" w:lineRule="auto"/>
        <w:ind w:firstLine="480"/>
        <w:rPr>
          <w:rFonts w:ascii="仿宋_GB2312" w:hAnsi="宋体" w:eastAsia="仿宋_GB2312" w:cs="宋体"/>
          <w:sz w:val="24"/>
        </w:rPr>
      </w:pPr>
      <w:r>
        <w:rPr>
          <w:rFonts w:hint="eastAsia" w:ascii="仿宋_GB2312" w:hAnsi="宋体" w:eastAsia="仿宋_GB2312" w:cs="宋体"/>
          <w:sz w:val="24"/>
        </w:rPr>
        <w:t xml:space="preserve">电话/传真： </w:t>
      </w:r>
      <w:r>
        <w:rPr>
          <w:rFonts w:ascii="仿宋_GB2312" w:hAnsi="宋体" w:eastAsia="仿宋_GB2312" w:cs="宋体"/>
          <w:sz w:val="24"/>
        </w:rPr>
        <w:t xml:space="preserve">            </w:t>
      </w:r>
      <w:r>
        <w:rPr>
          <w:rFonts w:hint="eastAsia" w:ascii="仿宋_GB2312" w:hAnsi="宋体" w:eastAsia="仿宋_GB2312" w:cs="宋体"/>
          <w:sz w:val="24"/>
        </w:rPr>
        <w:t>电子函件：</w:t>
      </w:r>
    </w:p>
    <w:p w14:paraId="15C91A97">
      <w:pPr>
        <w:tabs>
          <w:tab w:val="left" w:pos="939"/>
        </w:tabs>
        <w:spacing w:line="360" w:lineRule="auto"/>
        <w:ind w:left="141" w:firstLine="360"/>
        <w:contextualSpacing/>
        <w:rPr>
          <w:rFonts w:ascii="仿宋_GB2312" w:hAnsi="宋体" w:eastAsia="仿宋_GB2312" w:cs="宋体"/>
          <w:sz w:val="24"/>
        </w:rPr>
      </w:pPr>
      <w:r>
        <w:rPr>
          <w:rFonts w:hint="eastAsia" w:ascii="仿宋_GB2312" w:hAnsi="宋体" w:eastAsia="仿宋_GB2312" w:cs="宋体"/>
          <w:sz w:val="24"/>
        </w:rPr>
        <w:t xml:space="preserve">开户银行： </w:t>
      </w:r>
      <w:r>
        <w:rPr>
          <w:rFonts w:ascii="仿宋_GB2312" w:hAnsi="宋体" w:eastAsia="仿宋_GB2312" w:cs="宋体"/>
          <w:sz w:val="24"/>
        </w:rPr>
        <w:t xml:space="preserve">          </w:t>
      </w:r>
      <w:r>
        <w:rPr>
          <w:rFonts w:hint="eastAsia" w:ascii="仿宋_GB2312" w:hAnsi="宋体" w:eastAsia="仿宋_GB2312" w:cs="宋体"/>
          <w:sz w:val="24"/>
        </w:rPr>
        <w:t>账号：</w:t>
      </w:r>
    </w:p>
    <w:p w14:paraId="323132A2">
      <w:pPr>
        <w:tabs>
          <w:tab w:val="left" w:pos="939"/>
        </w:tabs>
        <w:spacing w:line="360" w:lineRule="auto"/>
        <w:ind w:firstLine="480"/>
        <w:contextualSpacing/>
        <w:rPr>
          <w:rFonts w:ascii="仿宋_GB2312" w:hAnsi="宋体" w:eastAsia="仿宋_GB2312" w:cs="宋体"/>
          <w:sz w:val="24"/>
        </w:rPr>
      </w:pPr>
      <w:r>
        <w:rPr>
          <w:rFonts w:hint="eastAsia" w:ascii="仿宋_GB2312" w:hAnsi="宋体" w:eastAsia="仿宋_GB2312" w:cs="宋体"/>
          <w:sz w:val="24"/>
        </w:rPr>
        <w:t>8.以上事项如有虚假或者隐瞒，我方愿意承担一切后果，并不再寻求任何旨在减轻或者免除法律责任的辩解。</w:t>
      </w:r>
    </w:p>
    <w:p w14:paraId="780B7874">
      <w:pPr>
        <w:tabs>
          <w:tab w:val="left" w:pos="939"/>
        </w:tabs>
        <w:spacing w:line="360" w:lineRule="auto"/>
        <w:ind w:left="141" w:firstLine="360"/>
        <w:contextualSpacing/>
        <w:rPr>
          <w:rFonts w:ascii="仿宋_GB2312" w:hAnsi="宋体" w:eastAsia="仿宋_GB2312" w:cs="宋体"/>
          <w:sz w:val="24"/>
        </w:rPr>
      </w:pPr>
      <w:r>
        <w:rPr>
          <w:rFonts w:hint="eastAsia" w:ascii="仿宋_GB2312" w:hAnsi="宋体" w:eastAsia="仿宋_GB2312" w:cs="宋体"/>
          <w:sz w:val="24"/>
        </w:rPr>
        <w:t>特此承诺。</w:t>
      </w:r>
    </w:p>
    <w:p w14:paraId="559A8388">
      <w:pPr>
        <w:tabs>
          <w:tab w:val="left" w:pos="939"/>
        </w:tabs>
        <w:spacing w:line="360" w:lineRule="auto"/>
        <w:ind w:firstLine="480"/>
        <w:contextualSpacing/>
        <w:rPr>
          <w:rFonts w:ascii="宋体" w:hAnsi="宋体" w:cs="宋体"/>
          <w:sz w:val="24"/>
        </w:rPr>
      </w:pPr>
      <w:r>
        <w:rPr>
          <w:rFonts w:hint="eastAsia" w:ascii="仿宋_GB2312" w:hAnsi="宋体" w:eastAsia="仿宋_GB2312" w:cs="宋体"/>
          <w:sz w:val="24"/>
        </w:rPr>
        <w:t>注：如为联合体竞标，盖章处须加盖联合体各方公章并由联合体各方法定代表人签署，否则其响应文件按无效响应处理。</w:t>
      </w:r>
    </w:p>
    <w:p w14:paraId="1F8CE4EE">
      <w:pPr>
        <w:tabs>
          <w:tab w:val="left" w:pos="939"/>
        </w:tabs>
        <w:spacing w:line="360" w:lineRule="auto"/>
        <w:ind w:firstLine="480"/>
        <w:contextualSpacing/>
        <w:rPr>
          <w:rFonts w:ascii="宋体" w:hAnsi="宋体" w:cs="宋体"/>
          <w:sz w:val="24"/>
        </w:rPr>
      </w:pPr>
    </w:p>
    <w:p w14:paraId="721C896A">
      <w:pPr>
        <w:spacing w:line="360" w:lineRule="auto"/>
        <w:ind w:left="4365" w:hanging="480"/>
        <w:rPr>
          <w:rFonts w:ascii="仿宋_GB2312" w:hAnsi="仿宋" w:eastAsia="仿宋_GB2312" w:cs="仿宋_GB2312"/>
          <w:sz w:val="24"/>
        </w:rPr>
      </w:pPr>
      <w:r>
        <w:rPr>
          <w:rFonts w:hint="eastAsia" w:ascii="仿宋_GB2312" w:hAnsi="仿宋" w:eastAsia="仿宋_GB2312" w:cs="仿宋_GB2312"/>
          <w:sz w:val="24"/>
        </w:rPr>
        <w:t>供应商名称（电子签章）：</w:t>
      </w:r>
    </w:p>
    <w:p w14:paraId="3886868A">
      <w:pPr>
        <w:spacing w:line="360" w:lineRule="auto"/>
        <w:ind w:firstLine="6120"/>
        <w:rPr>
          <w:rFonts w:ascii="仿宋_GB2312" w:hAnsi="仿宋" w:eastAsia="仿宋_GB2312" w:cs="仿宋_GB2312"/>
          <w:sz w:val="24"/>
          <w:lang w:val="zh-CN"/>
        </w:rPr>
      </w:pPr>
      <w:r>
        <w:rPr>
          <w:rFonts w:hint="eastAsia" w:ascii="仿宋_GB2312" w:hAnsi="仿宋" w:eastAsia="仿宋_GB2312" w:cs="仿宋_GB2312"/>
          <w:sz w:val="24"/>
          <w:lang w:val="zh-CN"/>
        </w:rPr>
        <w:t>日期：年月日</w:t>
      </w:r>
    </w:p>
    <w:p w14:paraId="77A6E689">
      <w:pPr>
        <w:widowControl/>
        <w:spacing w:line="360" w:lineRule="auto"/>
        <w:jc w:val="left"/>
        <w:rPr>
          <w:rFonts w:ascii="仿宋_GB2312" w:hAnsi="仿宋" w:eastAsia="仿宋_GB2312" w:cs="仿宋_GB2312"/>
          <w:sz w:val="24"/>
          <w:lang w:val="zh-CN"/>
        </w:rPr>
        <w:sectPr>
          <w:pgSz w:w="11910" w:h="16840"/>
          <w:pgMar w:top="1340" w:right="1500" w:bottom="280" w:left="1680" w:header="720" w:footer="720" w:gutter="0"/>
          <w:cols w:space="1701" w:num="1"/>
        </w:sectPr>
      </w:pPr>
    </w:p>
    <w:p w14:paraId="3045F86D">
      <w:pPr>
        <w:spacing w:line="520" w:lineRule="exact"/>
        <w:rPr>
          <w:rFonts w:ascii="宋体" w:hAnsi="宋体"/>
          <w:b/>
          <w:bCs/>
          <w:sz w:val="32"/>
          <w:szCs w:val="32"/>
        </w:rPr>
      </w:pPr>
      <w:r>
        <w:rPr>
          <w:rFonts w:hint="eastAsia" w:ascii="仿宋" w:hAnsi="仿宋" w:eastAsia="仿宋" w:cs="仿宋_GB2312"/>
          <w:b/>
          <w:sz w:val="30"/>
          <w:szCs w:val="30"/>
        </w:rPr>
        <w:t>七、联合体协议书（如有）</w:t>
      </w:r>
    </w:p>
    <w:p w14:paraId="3D2716D6">
      <w:pPr>
        <w:spacing w:line="600" w:lineRule="exact"/>
        <w:ind w:firstLine="880"/>
        <w:jc w:val="center"/>
        <w:rPr>
          <w:rFonts w:ascii="方正小标宋简体" w:hAnsi="方正小标宋简体" w:eastAsia="方正小标宋简体" w:cs="方正小标宋简体"/>
          <w:sz w:val="44"/>
          <w:szCs w:val="44"/>
        </w:rPr>
      </w:pPr>
    </w:p>
    <w:p w14:paraId="7A3FCAF1">
      <w:pPr>
        <w:spacing w:line="600" w:lineRule="exact"/>
        <w:ind w:firstLine="880"/>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联合体竞标协议书（格式）</w:t>
      </w:r>
    </w:p>
    <w:p w14:paraId="118D9232">
      <w:pPr>
        <w:spacing w:line="360" w:lineRule="auto"/>
        <w:jc w:val="left"/>
        <w:rPr>
          <w:rFonts w:ascii="宋体" w:cs="宋体"/>
          <w:szCs w:val="21"/>
          <w:u w:val="single"/>
        </w:rPr>
      </w:pPr>
    </w:p>
    <w:p w14:paraId="3F552E00">
      <w:pPr>
        <w:spacing w:line="360" w:lineRule="auto"/>
        <w:jc w:val="left"/>
        <w:rPr>
          <w:rFonts w:ascii="仿宋_GB2312" w:hAnsi="仿宋_GB2312" w:eastAsia="仿宋_GB2312" w:cs="宋体"/>
          <w:sz w:val="24"/>
        </w:rPr>
      </w:pPr>
      <w:r>
        <w:rPr>
          <w:rFonts w:hint="eastAsia" w:ascii="仿宋_GB2312" w:hAnsi="仿宋_GB2312" w:eastAsia="仿宋_GB2312" w:cs="宋体"/>
          <w:sz w:val="24"/>
        </w:rPr>
        <w:t>（所有成员单位名称）自愿组成联合体，共同参加</w:t>
      </w:r>
      <w:bookmarkStart w:id="75" w:name="PO_3000001871_PM031_4"/>
      <w:r>
        <w:rPr>
          <w:rFonts w:hint="eastAsia" w:ascii="仿宋_GB2312" w:hAnsi="仿宋_GB2312" w:eastAsia="仿宋_GB2312" w:cs="宋体"/>
          <w:sz w:val="24"/>
          <w:u w:val="single"/>
        </w:rPr>
        <w:t>[项目采购-采购组织机构_]</w:t>
      </w:r>
      <w:bookmarkEnd w:id="75"/>
      <w:r>
        <w:rPr>
          <w:rFonts w:hint="eastAsia" w:ascii="仿宋_GB2312" w:hAnsi="仿宋_GB2312" w:eastAsia="仿宋_GB2312" w:cs="宋体"/>
          <w:sz w:val="24"/>
        </w:rPr>
        <w:t>组织的</w:t>
      </w:r>
      <w:bookmarkStart w:id="76" w:name="PO_3000001871_PM002_5"/>
      <w:r>
        <w:rPr>
          <w:rFonts w:hint="eastAsia" w:ascii="仿宋_GB2312" w:hAnsi="仿宋_GB2312" w:eastAsia="仿宋_GB2312" w:cs="宋体"/>
          <w:sz w:val="24"/>
          <w:u w:val="single"/>
        </w:rPr>
        <w:t>[项目采购-项目名称_]</w:t>
      </w:r>
      <w:bookmarkEnd w:id="76"/>
      <w:r>
        <w:rPr>
          <w:rFonts w:hint="eastAsia" w:ascii="仿宋_GB2312" w:hAnsi="仿宋_GB2312" w:eastAsia="仿宋_GB2312" w:cs="宋体"/>
          <w:sz w:val="24"/>
        </w:rPr>
        <w:t>（项目编号：</w:t>
      </w:r>
      <w:bookmarkStart w:id="77" w:name="PO_3000001871_PM001_4"/>
      <w:r>
        <w:rPr>
          <w:rFonts w:hint="eastAsia" w:ascii="仿宋_GB2312" w:hAnsi="仿宋_GB2312" w:eastAsia="仿宋_GB2312" w:cs="宋体"/>
          <w:sz w:val="24"/>
          <w:u w:val="single"/>
        </w:rPr>
        <w:t>[项目采购-项目编号_]</w:t>
      </w:r>
      <w:bookmarkEnd w:id="77"/>
      <w:r>
        <w:rPr>
          <w:rFonts w:hint="eastAsia" w:ascii="仿宋_GB2312" w:hAnsi="仿宋_GB2312" w:eastAsia="仿宋_GB2312" w:cs="宋体"/>
          <w:sz w:val="24"/>
        </w:rPr>
        <w:t>）竞争性谈判采购。现就联合体竞标事宜订立如下协议：</w:t>
      </w:r>
    </w:p>
    <w:p w14:paraId="19FCF345">
      <w:pPr>
        <w:spacing w:line="360" w:lineRule="auto"/>
        <w:ind w:firstLine="420"/>
        <w:jc w:val="left"/>
        <w:rPr>
          <w:rFonts w:ascii="仿宋_GB2312" w:hAnsi="宋体" w:eastAsia="仿宋_GB2312" w:cs="宋体"/>
          <w:sz w:val="24"/>
        </w:rPr>
      </w:pPr>
      <w:r>
        <w:rPr>
          <w:rFonts w:hint="eastAsia" w:ascii="仿宋_GB2312" w:hAnsi="宋体" w:eastAsia="仿宋_GB2312" w:cs="TimesNewRomanPSMT"/>
          <w:sz w:val="24"/>
        </w:rPr>
        <w:t>1</w:t>
      </w:r>
      <w:r>
        <w:rPr>
          <w:rFonts w:hint="eastAsia" w:ascii="仿宋_GB2312" w:hAnsi="宋体" w:eastAsia="仿宋_GB2312" w:cs="宋体"/>
          <w:sz w:val="24"/>
        </w:rPr>
        <w:t>、</w:t>
      </w:r>
      <w:r>
        <w:rPr>
          <w:rFonts w:hint="eastAsia" w:ascii="仿宋_GB2312" w:hAnsi="仿宋_GB2312" w:eastAsia="仿宋_GB2312"/>
          <w:sz w:val="24"/>
        </w:rPr>
        <w:t>________________________</w:t>
      </w:r>
      <w:r>
        <w:rPr>
          <w:rFonts w:hint="eastAsia" w:ascii="仿宋_GB2312" w:hAnsi="宋体" w:eastAsia="仿宋_GB2312" w:cs="宋体"/>
          <w:sz w:val="24"/>
        </w:rPr>
        <w:t>（某成员单位名称）为联合体名称牵头人。</w:t>
      </w:r>
    </w:p>
    <w:p w14:paraId="6F527C4D">
      <w:pPr>
        <w:spacing w:line="360" w:lineRule="auto"/>
        <w:ind w:firstLine="420"/>
        <w:jc w:val="left"/>
        <w:rPr>
          <w:rFonts w:ascii="仿宋_GB2312" w:hAnsi="宋体" w:eastAsia="仿宋_GB2312" w:cs="宋体"/>
          <w:sz w:val="24"/>
        </w:rPr>
      </w:pPr>
      <w:r>
        <w:rPr>
          <w:rFonts w:hint="eastAsia" w:ascii="仿宋_GB2312" w:hAnsi="宋体" w:eastAsia="仿宋_GB2312" w:cs="TimesNewRomanPSMT"/>
          <w:sz w:val="24"/>
        </w:rPr>
        <w:t>2</w:t>
      </w:r>
      <w:r>
        <w:rPr>
          <w:rFonts w:hint="eastAsia" w:ascii="仿宋_GB2312" w:hAnsi="宋体" w:eastAsia="仿宋_GB2312" w:cs="宋体"/>
          <w:sz w:val="24"/>
        </w:rPr>
        <w:t>、联合体牵头人合法代表联合体各成员负责本谈判项目响应文件编制和合同谈判活动，并代表联合体提交和接收相关的资料、信息及指示，并处理与之有关的一切事务，负责合同实施阶段的主办、组织和协调工作。</w:t>
      </w:r>
    </w:p>
    <w:p w14:paraId="2B29F129">
      <w:pPr>
        <w:spacing w:line="360" w:lineRule="auto"/>
        <w:ind w:firstLine="420"/>
        <w:jc w:val="left"/>
        <w:rPr>
          <w:rFonts w:ascii="仿宋_GB2312" w:hAnsi="宋体" w:eastAsia="仿宋_GB2312" w:cs="宋体"/>
          <w:sz w:val="24"/>
        </w:rPr>
      </w:pPr>
      <w:r>
        <w:rPr>
          <w:rFonts w:hint="eastAsia" w:ascii="仿宋_GB2312" w:hAnsi="宋体" w:eastAsia="仿宋_GB2312" w:cs="宋体"/>
          <w:sz w:val="24"/>
        </w:rPr>
        <w:t>3、联合体牵头人在本项目中签署和盖章的一切文件和处理的一切事宜，联合体各成员均予以承认。联合体各成员将严格按照谈判文件、响应文件和合同的要求全面履行义务，并向采购人承担连带责任。</w:t>
      </w:r>
    </w:p>
    <w:p w14:paraId="60A46254">
      <w:pPr>
        <w:spacing w:line="360" w:lineRule="auto"/>
        <w:ind w:firstLine="420"/>
        <w:jc w:val="left"/>
        <w:rPr>
          <w:rFonts w:ascii="仿宋_GB2312" w:hAnsi="宋体" w:eastAsia="仿宋_GB2312" w:cs="宋体"/>
          <w:sz w:val="24"/>
        </w:rPr>
      </w:pPr>
      <w:r>
        <w:rPr>
          <w:rFonts w:hint="eastAsia" w:ascii="仿宋_GB2312" w:hAnsi="宋体" w:eastAsia="仿宋_GB2312" w:cs="TimesNewRomanPSMT"/>
          <w:sz w:val="24"/>
        </w:rPr>
        <w:t>4</w:t>
      </w:r>
      <w:r>
        <w:rPr>
          <w:rFonts w:hint="eastAsia" w:ascii="仿宋_GB2312" w:hAnsi="宋体" w:eastAsia="仿宋_GB2312" w:cs="宋体"/>
          <w:sz w:val="24"/>
        </w:rPr>
        <w:t>、联合体各成员单位内部的职责分工如下</w:t>
      </w:r>
      <w:r>
        <w:rPr>
          <w:rFonts w:hint="eastAsia" w:ascii="仿宋_GB2312" w:hAnsi="宋体" w:eastAsia="仿宋_GB2312" w:cs="宋体"/>
          <w:sz w:val="24"/>
          <w:u w:val="single"/>
        </w:rPr>
        <w:t>：</w:t>
      </w:r>
      <w:r>
        <w:rPr>
          <w:rFonts w:hint="eastAsia" w:ascii="仿宋_GB2312" w:hAnsi="仿宋_GB2312" w:eastAsia="仿宋_GB2312"/>
          <w:sz w:val="24"/>
          <w:u w:val="single"/>
        </w:rPr>
        <w:t>________________________________________________</w:t>
      </w:r>
      <w:r>
        <w:rPr>
          <w:rFonts w:hint="eastAsia" w:ascii="仿宋_GB2312" w:hAnsi="宋体" w:eastAsia="仿宋_GB2312" w:cs="宋体"/>
          <w:sz w:val="24"/>
        </w:rPr>
        <w:t>。</w:t>
      </w:r>
    </w:p>
    <w:p w14:paraId="56B753CC">
      <w:pPr>
        <w:spacing w:line="360" w:lineRule="auto"/>
        <w:ind w:firstLine="480"/>
        <w:rPr>
          <w:rFonts w:ascii="仿宋_GB2312" w:eastAsia="仿宋_GB2312"/>
          <w:sz w:val="24"/>
        </w:rPr>
      </w:pPr>
      <w:r>
        <w:rPr>
          <w:rFonts w:hint="eastAsia" w:ascii="仿宋_GB2312" w:hAnsi="宋体" w:eastAsia="仿宋_GB2312" w:cs="宋体"/>
          <w:sz w:val="24"/>
        </w:rPr>
        <w:t>5、本联合体中</w:t>
      </w:r>
      <w:r>
        <w:rPr>
          <w:rFonts w:hint="eastAsia" w:ascii="仿宋_GB2312" w:hAnsi="宋体" w:eastAsia="仿宋_GB2312" w:cs="宋体"/>
          <w:sz w:val="24"/>
          <w:u w:val="single"/>
        </w:rPr>
        <w:t>，</w:t>
      </w:r>
      <w:r>
        <w:rPr>
          <w:rFonts w:hint="eastAsia" w:ascii="仿宋_GB2312" w:hAnsi="仿宋_GB2312" w:eastAsia="仿宋_GB2312"/>
          <w:sz w:val="24"/>
          <w:u w:val="single"/>
        </w:rPr>
        <w:t>________________________</w:t>
      </w:r>
      <w:r>
        <w:rPr>
          <w:rFonts w:hint="eastAsia" w:ascii="仿宋_GB2312" w:hAnsi="宋体" w:eastAsia="仿宋_GB2312" w:cs="宋体"/>
          <w:sz w:val="24"/>
          <w:u w:val="single"/>
        </w:rPr>
        <w:t>（某成员单位名称）为</w:t>
      </w:r>
      <w:r>
        <w:rPr>
          <w:rFonts w:hint="eastAsia" w:ascii="仿宋_GB2312" w:hAnsi="仿宋_GB2312" w:eastAsia="仿宋_GB2312"/>
          <w:sz w:val="24"/>
          <w:u w:val="single"/>
        </w:rPr>
        <w:t>______</w:t>
      </w:r>
      <w:r>
        <w:rPr>
          <w:rFonts w:hint="eastAsia" w:ascii="仿宋_GB2312" w:hAnsi="仿宋_GB2312" w:eastAsia="仿宋_GB2312"/>
          <w:sz w:val="24"/>
        </w:rPr>
        <w:t>（请填写：中型、小型、微型）企业，其协议合同金额占联合体协议合同总金额的</w:t>
      </w:r>
      <w:r>
        <w:rPr>
          <w:rFonts w:hint="eastAsia" w:ascii="仿宋_GB2312" w:hAnsi="仿宋_GB2312" w:eastAsia="仿宋_GB2312"/>
          <w:sz w:val="24"/>
          <w:u w:val="single"/>
        </w:rPr>
        <w:t>______</w:t>
      </w:r>
      <w:r>
        <w:rPr>
          <w:rFonts w:hint="eastAsia" w:ascii="仿宋_GB2312" w:hAnsi="仿宋_GB2312" w:eastAsia="仿宋_GB2312"/>
          <w:sz w:val="24"/>
        </w:rPr>
        <w:t>%。【如联合体成员中有小型、微型企业的，请填写此条，否则无需填写；如联合体成员中有多个小型、微型企业的，请逐一列出。】</w:t>
      </w:r>
    </w:p>
    <w:p w14:paraId="5AD89B6E">
      <w:pPr>
        <w:spacing w:line="360" w:lineRule="auto"/>
        <w:ind w:firstLine="420"/>
        <w:jc w:val="left"/>
        <w:rPr>
          <w:rFonts w:ascii="仿宋_GB2312" w:hAnsi="宋体" w:eastAsia="仿宋_GB2312" w:cs="宋体"/>
          <w:sz w:val="24"/>
        </w:rPr>
      </w:pPr>
      <w:r>
        <w:rPr>
          <w:rFonts w:hint="eastAsia" w:ascii="仿宋_GB2312" w:hAnsi="宋体" w:eastAsia="仿宋_GB2312" w:cs="TimesNewRomanPSMT"/>
          <w:sz w:val="24"/>
        </w:rPr>
        <w:t>6</w:t>
      </w:r>
      <w:r>
        <w:rPr>
          <w:rFonts w:hint="eastAsia" w:ascii="仿宋_GB2312" w:hAnsi="宋体" w:eastAsia="仿宋_GB2312" w:cs="宋体"/>
          <w:sz w:val="24"/>
        </w:rPr>
        <w:t>、本协议书自签署之日起生效，合同履行完毕后自动失效。</w:t>
      </w:r>
    </w:p>
    <w:p w14:paraId="7E3CEE97">
      <w:pPr>
        <w:spacing w:line="360" w:lineRule="auto"/>
        <w:ind w:firstLine="420"/>
        <w:jc w:val="left"/>
        <w:rPr>
          <w:rFonts w:ascii="仿宋_GB2312" w:hAnsi="宋体" w:eastAsia="仿宋_GB2312" w:cs="宋体"/>
          <w:sz w:val="24"/>
        </w:rPr>
      </w:pPr>
      <w:r>
        <w:rPr>
          <w:rFonts w:hint="eastAsia" w:ascii="仿宋_GB2312" w:hAnsi="宋体" w:eastAsia="仿宋_GB2312" w:cs="TimesNewRomanPSMT"/>
          <w:sz w:val="24"/>
        </w:rPr>
        <w:t>7</w:t>
      </w:r>
      <w:r>
        <w:rPr>
          <w:rFonts w:hint="eastAsia" w:ascii="仿宋_GB2312" w:hAnsi="宋体" w:eastAsia="仿宋_GB2312" w:cs="宋体"/>
          <w:sz w:val="24"/>
        </w:rPr>
        <w:t>、本协议书一式份，联合体成员和采购代理机构各执一份。</w:t>
      </w:r>
    </w:p>
    <w:p w14:paraId="77457F27">
      <w:pPr>
        <w:spacing w:line="360" w:lineRule="auto"/>
        <w:ind w:firstLine="420"/>
        <w:jc w:val="left"/>
        <w:rPr>
          <w:rFonts w:ascii="仿宋_GB2312" w:hAnsi="仿宋_GB2312" w:eastAsia="仿宋_GB2312" w:cs="宋体"/>
          <w:sz w:val="24"/>
        </w:rPr>
      </w:pPr>
      <w:r>
        <w:rPr>
          <w:rFonts w:hint="eastAsia" w:ascii="仿宋_GB2312" w:hAnsi="仿宋_GB2312" w:eastAsia="仿宋_GB2312" w:cs="宋体"/>
          <w:sz w:val="24"/>
        </w:rPr>
        <w:t>注：本协议书由法定代表人签字的，应附法定代表人身份证明；本协议书由委托代理人签字的，应附法定代表人授权委托书。</w:t>
      </w:r>
    </w:p>
    <w:p w14:paraId="13227283">
      <w:pPr>
        <w:spacing w:line="360" w:lineRule="auto"/>
        <w:jc w:val="left"/>
        <w:rPr>
          <w:rFonts w:ascii="仿宋_GB2312" w:hAnsi="仿宋_GB2312" w:eastAsia="仿宋_GB2312" w:cs="宋体"/>
          <w:sz w:val="24"/>
        </w:rPr>
      </w:pPr>
      <w:r>
        <w:rPr>
          <w:rFonts w:hint="eastAsia" w:ascii="仿宋_GB2312" w:hAnsi="仿宋_GB2312" w:eastAsia="仿宋_GB2312" w:cs="宋体"/>
          <w:sz w:val="24"/>
        </w:rPr>
        <w:t>牵头人名称：（盖单位公章）</w:t>
      </w:r>
    </w:p>
    <w:p w14:paraId="28BC1B78">
      <w:pPr>
        <w:spacing w:line="360" w:lineRule="auto"/>
        <w:jc w:val="left"/>
        <w:rPr>
          <w:rFonts w:ascii="仿宋_GB2312" w:hAnsi="仿宋_GB2312" w:eastAsia="仿宋_GB2312" w:cs="宋体"/>
          <w:sz w:val="24"/>
        </w:rPr>
      </w:pPr>
      <w:r>
        <w:rPr>
          <w:rFonts w:hint="eastAsia" w:ascii="仿宋_GB2312" w:hAnsi="仿宋_GB2312" w:eastAsia="仿宋_GB2312" w:cs="宋体"/>
          <w:sz w:val="24"/>
        </w:rPr>
        <w:t>法定代表人或其委托代理人：（签字或盖章）</w:t>
      </w:r>
    </w:p>
    <w:p w14:paraId="0D7823EB">
      <w:pPr>
        <w:spacing w:line="360" w:lineRule="auto"/>
        <w:jc w:val="left"/>
        <w:rPr>
          <w:rFonts w:ascii="仿宋_GB2312" w:hAnsi="仿宋_GB2312" w:eastAsia="仿宋_GB2312" w:cs="宋体"/>
          <w:sz w:val="24"/>
        </w:rPr>
      </w:pPr>
    </w:p>
    <w:p w14:paraId="0C083039">
      <w:pPr>
        <w:spacing w:line="360" w:lineRule="auto"/>
        <w:jc w:val="left"/>
        <w:rPr>
          <w:rFonts w:ascii="仿宋_GB2312" w:hAnsi="仿宋_GB2312" w:eastAsia="仿宋_GB2312" w:cs="宋体"/>
          <w:sz w:val="24"/>
        </w:rPr>
      </w:pPr>
      <w:r>
        <w:rPr>
          <w:rFonts w:hint="eastAsia" w:ascii="仿宋_GB2312" w:hAnsi="仿宋_GB2312" w:eastAsia="仿宋_GB2312" w:cs="宋体"/>
          <w:sz w:val="24"/>
        </w:rPr>
        <w:t>成员一名称：（盖单位公章）</w:t>
      </w:r>
    </w:p>
    <w:p w14:paraId="4B90D888">
      <w:pPr>
        <w:spacing w:line="360" w:lineRule="auto"/>
        <w:jc w:val="left"/>
        <w:rPr>
          <w:rFonts w:ascii="仿宋_GB2312" w:hAnsi="仿宋_GB2312" w:eastAsia="仿宋_GB2312" w:cs="宋体"/>
          <w:sz w:val="24"/>
        </w:rPr>
      </w:pPr>
      <w:r>
        <w:rPr>
          <w:rFonts w:hint="eastAsia" w:ascii="仿宋_GB2312" w:hAnsi="仿宋_GB2312" w:eastAsia="仿宋_GB2312" w:cs="宋体"/>
          <w:sz w:val="24"/>
        </w:rPr>
        <w:t>法定代表人或其委托代理人：（签字或盖章）</w:t>
      </w:r>
    </w:p>
    <w:p w14:paraId="3CFD384C">
      <w:pPr>
        <w:spacing w:line="360" w:lineRule="auto"/>
        <w:jc w:val="left"/>
        <w:rPr>
          <w:rFonts w:ascii="宋体" w:cs="宋体"/>
          <w:szCs w:val="21"/>
        </w:rPr>
      </w:pPr>
    </w:p>
    <w:p w14:paraId="67E67654">
      <w:pPr>
        <w:spacing w:line="360" w:lineRule="auto"/>
        <w:jc w:val="left"/>
        <w:rPr>
          <w:rFonts w:ascii="仿宋_GB2312" w:hAnsi="仿宋_GB2312" w:eastAsia="仿宋_GB2312" w:cs="宋体"/>
          <w:sz w:val="24"/>
        </w:rPr>
      </w:pPr>
      <w:r>
        <w:rPr>
          <w:rFonts w:hint="eastAsia" w:ascii="仿宋_GB2312" w:hAnsi="仿宋_GB2312" w:eastAsia="仿宋_GB2312" w:cs="宋体"/>
          <w:sz w:val="24"/>
        </w:rPr>
        <w:t>成员二名称：（盖单位公章）</w:t>
      </w:r>
    </w:p>
    <w:p w14:paraId="6338AC0F">
      <w:pPr>
        <w:spacing w:line="360" w:lineRule="auto"/>
        <w:jc w:val="left"/>
        <w:rPr>
          <w:rFonts w:ascii="仿宋_GB2312" w:hAnsi="仿宋_GB2312" w:eastAsia="仿宋_GB2312" w:cs="宋体"/>
          <w:sz w:val="24"/>
        </w:rPr>
      </w:pPr>
      <w:r>
        <w:rPr>
          <w:rFonts w:hint="eastAsia" w:ascii="仿宋_GB2312" w:hAnsi="仿宋_GB2312" w:eastAsia="仿宋_GB2312" w:cs="宋体"/>
          <w:sz w:val="24"/>
        </w:rPr>
        <w:t>法定代表人或其委托代理人：（签字或盖章）</w:t>
      </w:r>
    </w:p>
    <w:p w14:paraId="406649AE">
      <w:pPr>
        <w:spacing w:line="360" w:lineRule="auto"/>
        <w:jc w:val="left"/>
        <w:rPr>
          <w:rFonts w:ascii="仿宋_GB2312" w:hAnsi="仿宋_GB2312" w:eastAsia="仿宋_GB2312" w:cs="宋体"/>
          <w:sz w:val="24"/>
        </w:rPr>
      </w:pPr>
    </w:p>
    <w:p w14:paraId="13F7CB28">
      <w:pPr>
        <w:spacing w:line="360" w:lineRule="auto"/>
        <w:jc w:val="left"/>
        <w:rPr>
          <w:rFonts w:ascii="仿宋_GB2312" w:hAnsi="仿宋_GB2312" w:eastAsia="仿宋_GB2312" w:cs="宋体"/>
          <w:sz w:val="24"/>
        </w:rPr>
      </w:pPr>
    </w:p>
    <w:p w14:paraId="0EA3D501">
      <w:pPr>
        <w:spacing w:line="360" w:lineRule="auto"/>
        <w:ind w:left="4365" w:hanging="480"/>
        <w:rPr>
          <w:rFonts w:ascii="仿宋_GB2312" w:hAnsi="仿宋" w:eastAsia="仿宋_GB2312" w:cs="仿宋_GB2312"/>
          <w:sz w:val="24"/>
        </w:rPr>
      </w:pPr>
      <w:r>
        <w:rPr>
          <w:rFonts w:hint="eastAsia" w:ascii="仿宋_GB2312" w:hAnsi="仿宋" w:eastAsia="仿宋_GB2312" w:cs="仿宋_GB2312"/>
          <w:sz w:val="24"/>
        </w:rPr>
        <w:t>供应商名称（电子签章）：</w:t>
      </w:r>
    </w:p>
    <w:p w14:paraId="15BF4143">
      <w:pPr>
        <w:spacing w:line="360" w:lineRule="auto"/>
        <w:ind w:firstLine="6120"/>
        <w:rPr>
          <w:rFonts w:ascii="仿宋_GB2312" w:hAnsi="仿宋" w:eastAsia="仿宋_GB2312" w:cs="仿宋_GB2312"/>
          <w:sz w:val="24"/>
          <w:lang w:val="zh-CN"/>
        </w:rPr>
      </w:pPr>
      <w:r>
        <w:rPr>
          <w:rFonts w:hint="eastAsia" w:ascii="仿宋_GB2312" w:hAnsi="仿宋" w:eastAsia="仿宋_GB2312" w:cs="仿宋_GB2312"/>
          <w:sz w:val="24"/>
          <w:lang w:val="zh-CN"/>
        </w:rPr>
        <w:t>日期：年月日</w:t>
      </w:r>
    </w:p>
    <w:p w14:paraId="7C562FAD">
      <w:pPr>
        <w:spacing w:line="360" w:lineRule="auto"/>
        <w:ind w:firstLine="6120"/>
        <w:rPr>
          <w:rFonts w:ascii="仿宋_GB2312" w:hAnsi="仿宋" w:eastAsia="仿宋_GB2312" w:cs="仿宋_GB2312"/>
          <w:sz w:val="24"/>
          <w:lang w:val="zh-CN"/>
        </w:rPr>
      </w:pPr>
    </w:p>
    <w:p w14:paraId="1A44B990">
      <w:pPr>
        <w:spacing w:line="360" w:lineRule="auto"/>
        <w:ind w:firstLine="6120"/>
        <w:rPr>
          <w:rFonts w:ascii="仿宋_GB2312" w:hAnsi="仿宋" w:eastAsia="仿宋_GB2312" w:cs="仿宋_GB2312"/>
          <w:sz w:val="24"/>
          <w:lang w:val="zh-CN"/>
        </w:rPr>
      </w:pPr>
    </w:p>
    <w:p w14:paraId="6BA5991B">
      <w:pPr>
        <w:spacing w:line="360" w:lineRule="auto"/>
        <w:ind w:firstLine="6120"/>
        <w:rPr>
          <w:rFonts w:ascii="仿宋_GB2312" w:hAnsi="仿宋" w:eastAsia="仿宋_GB2312" w:cs="仿宋_GB2312"/>
          <w:sz w:val="24"/>
          <w:lang w:val="zh-CN"/>
        </w:rPr>
      </w:pPr>
    </w:p>
    <w:p w14:paraId="7E8E0CFA">
      <w:pPr>
        <w:spacing w:line="360" w:lineRule="auto"/>
        <w:ind w:firstLine="602"/>
        <w:rPr>
          <w:rFonts w:ascii="仿宋" w:hAnsi="仿宋" w:eastAsia="仿宋" w:cs="仿宋_GB2312"/>
          <w:b/>
          <w:sz w:val="30"/>
          <w:szCs w:val="30"/>
        </w:rPr>
      </w:pPr>
      <w:r>
        <w:rPr>
          <w:rFonts w:hint="eastAsia" w:ascii="仿宋" w:hAnsi="仿宋" w:eastAsia="仿宋" w:cs="仿宋_GB2312"/>
          <w:b/>
          <w:sz w:val="30"/>
          <w:szCs w:val="30"/>
        </w:rPr>
        <w:t>八、符合特定资格条件（如果项目要求）的有关证明材料（复印件）</w:t>
      </w:r>
    </w:p>
    <w:p w14:paraId="752FDE1E">
      <w:pPr>
        <w:spacing w:line="360" w:lineRule="auto"/>
        <w:ind w:firstLine="602"/>
        <w:rPr>
          <w:rFonts w:ascii="仿宋" w:hAnsi="仿宋" w:eastAsia="仿宋" w:cs="仿宋_GB2312"/>
          <w:b/>
          <w:sz w:val="30"/>
          <w:szCs w:val="30"/>
        </w:rPr>
      </w:pPr>
    </w:p>
    <w:p w14:paraId="3657A2D7">
      <w:pPr>
        <w:spacing w:line="360" w:lineRule="auto"/>
        <w:ind w:left="4335" w:hanging="240"/>
        <w:rPr>
          <w:rFonts w:ascii="仿宋_GB2312" w:hAnsi="仿宋" w:eastAsia="仿宋_GB2312" w:cs="仿宋_GB2312"/>
          <w:sz w:val="24"/>
        </w:rPr>
      </w:pPr>
      <w:r>
        <w:rPr>
          <w:rFonts w:hint="eastAsia" w:ascii="仿宋_GB2312" w:hAnsi="仿宋" w:eastAsia="仿宋_GB2312" w:cs="仿宋_GB2312"/>
          <w:sz w:val="24"/>
        </w:rPr>
        <w:t>供应商名称（电子签章）：</w:t>
      </w:r>
    </w:p>
    <w:p w14:paraId="2D07563A">
      <w:pPr>
        <w:spacing w:line="360" w:lineRule="auto"/>
        <w:ind w:firstLine="4320" w:firstLineChars="1800"/>
        <w:rPr>
          <w:rFonts w:ascii="仿宋_GB2312" w:hAnsi="仿宋" w:eastAsia="仿宋_GB2312" w:cs="仿宋_GB2312"/>
          <w:b/>
          <w:bCs/>
          <w:sz w:val="24"/>
        </w:rPr>
      </w:pPr>
      <w:r>
        <w:rPr>
          <w:rFonts w:hint="eastAsia" w:ascii="仿宋_GB2312" w:hAnsi="仿宋" w:eastAsia="仿宋_GB2312" w:cs="仿宋_GB2312"/>
          <w:sz w:val="24"/>
          <w:lang w:val="zh-CN"/>
        </w:rPr>
        <w:t>日期：年月日</w:t>
      </w:r>
    </w:p>
    <w:p w14:paraId="60230A20">
      <w:pPr>
        <w:widowControl/>
        <w:jc w:val="left"/>
        <w:rPr>
          <w:rFonts w:ascii="宋体" w:hAnsi="宋体"/>
        </w:rPr>
      </w:pPr>
      <w:r>
        <w:rPr>
          <w:rFonts w:hint="eastAsia" w:ascii="宋体" w:hAnsi="宋体"/>
        </w:rPr>
        <w:br w:type="page" w:clear="all"/>
      </w:r>
    </w:p>
    <w:p w14:paraId="5ED82DE6">
      <w:pPr>
        <w:spacing w:line="500" w:lineRule="exact"/>
        <w:ind w:firstLine="602"/>
        <w:rPr>
          <w:rFonts w:ascii="仿宋" w:hAnsi="仿宋" w:eastAsia="仿宋" w:cs="仿宋_GB2312"/>
          <w:b/>
          <w:sz w:val="30"/>
          <w:szCs w:val="30"/>
        </w:rPr>
      </w:pPr>
      <w:r>
        <w:rPr>
          <w:rFonts w:hint="eastAsia" w:ascii="仿宋" w:hAnsi="仿宋" w:eastAsia="仿宋" w:cs="仿宋_GB2312"/>
          <w:b/>
          <w:sz w:val="30"/>
          <w:szCs w:val="30"/>
        </w:rPr>
        <w:t>中小企业声明函</w:t>
      </w:r>
    </w:p>
    <w:p w14:paraId="24932C60">
      <w:pPr>
        <w:spacing w:line="300" w:lineRule="auto"/>
        <w:ind w:firstLine="2200"/>
        <w:rPr>
          <w:rFonts w:ascii="方正小标宋简体" w:hAnsi="方正小标宋简体" w:eastAsia="方正小标宋简体" w:cs="方正小标宋简体"/>
          <w:sz w:val="44"/>
          <w:szCs w:val="44"/>
        </w:rPr>
      </w:pPr>
    </w:p>
    <w:p w14:paraId="03649933">
      <w:pPr>
        <w:spacing w:line="300" w:lineRule="auto"/>
        <w:ind w:firstLine="2200"/>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中小企业声明函（货物）</w:t>
      </w:r>
    </w:p>
    <w:p w14:paraId="2DF5C85B">
      <w:pPr>
        <w:spacing w:line="360" w:lineRule="auto"/>
        <w:ind w:left="-426" w:right="142" w:firstLine="640"/>
        <w:contextualSpacing/>
        <w:rPr>
          <w:rFonts w:ascii="宋体" w:hAnsi="宋体"/>
          <w:sz w:val="24"/>
        </w:rPr>
      </w:pPr>
      <w:r>
        <w:rPr>
          <w:rFonts w:hint="eastAsia" w:ascii="宋体" w:hAnsi="宋体"/>
          <w:sz w:val="24"/>
        </w:rPr>
        <w:t>本公司（联合体）郑重声明，根据《政府采购促进中小企业发展管理办法》（财库﹝2020﹞46号）的规定，本公司（联合体）参加</w:t>
      </w:r>
      <w:r>
        <w:rPr>
          <w:rFonts w:hint="eastAsia" w:ascii="宋体" w:hAnsi="宋体"/>
          <w:sz w:val="24"/>
          <w:u w:val="single"/>
        </w:rPr>
        <w:t>[项目采购-采购人_]</w:t>
      </w:r>
      <w:r>
        <w:rPr>
          <w:rFonts w:ascii="宋体" w:hAnsi="宋体"/>
          <w:sz w:val="24"/>
          <w:u w:val="single"/>
        </w:rPr>
        <w:t xml:space="preserve">   </w:t>
      </w:r>
      <w:r>
        <w:rPr>
          <w:rFonts w:hint="eastAsia" w:ascii="宋体" w:hAnsi="宋体"/>
          <w:sz w:val="24"/>
        </w:rPr>
        <w:t>的</w:t>
      </w:r>
      <w:r>
        <w:rPr>
          <w:rFonts w:hint="eastAsia" w:ascii="宋体" w:hAnsi="宋体"/>
          <w:sz w:val="24"/>
          <w:u w:val="single"/>
        </w:rPr>
        <w:t>[项目采购-项目名称_]</w:t>
      </w:r>
      <w:r>
        <w:rPr>
          <w:rFonts w:ascii="宋体" w:hAnsi="宋体"/>
          <w:sz w:val="24"/>
          <w:u w:val="single"/>
        </w:rPr>
        <w:t xml:space="preserve">   </w:t>
      </w:r>
      <w:r>
        <w:rPr>
          <w:rFonts w:hint="eastAsia" w:ascii="宋体" w:hAnsi="宋体"/>
          <w:sz w:val="24"/>
        </w:rPr>
        <w:t>采购活动，提供的货物全部由符合政策要求的中小企业制造。相关企业（含联合体中的中小企业、签订分包意向协议的中小企业）的具体情况如下：</w:t>
      </w:r>
    </w:p>
    <w:p w14:paraId="41778E5D">
      <w:pPr>
        <w:tabs>
          <w:tab w:val="left" w:pos="1384"/>
          <w:tab w:val="left" w:pos="4562"/>
          <w:tab w:val="left" w:pos="6803"/>
        </w:tabs>
        <w:spacing w:line="360" w:lineRule="auto"/>
        <w:ind w:left="-426" w:right="-58" w:firstLine="655"/>
        <w:contextualSpacing/>
        <w:rPr>
          <w:rFonts w:ascii="宋体" w:hAnsi="宋体"/>
          <w:sz w:val="24"/>
        </w:rPr>
      </w:pPr>
      <w:r>
        <w:rPr>
          <w:rFonts w:hint="eastAsia" w:ascii="宋体" w:hAnsi="宋体"/>
          <w:sz w:val="24"/>
        </w:rPr>
        <w:t>1.</w:t>
      </w:r>
      <w:r>
        <w:rPr>
          <w:rFonts w:hint="eastAsia" w:ascii="宋体" w:hAnsi="宋体"/>
          <w:sz w:val="24"/>
          <w:u w:val="single"/>
        </w:rPr>
        <w:t xml:space="preserve">（标的名称） </w:t>
      </w:r>
      <w:r>
        <w:rPr>
          <w:rFonts w:ascii="宋体" w:hAnsi="宋体"/>
          <w:sz w:val="24"/>
          <w:u w:val="single"/>
        </w:rPr>
        <w:t xml:space="preserve">  </w:t>
      </w:r>
      <w:r>
        <w:rPr>
          <w:rFonts w:hint="eastAsia" w:ascii="宋体" w:hAnsi="宋体"/>
          <w:sz w:val="24"/>
        </w:rPr>
        <w:t>，属于</w:t>
      </w:r>
      <w:r>
        <w:rPr>
          <w:rFonts w:hint="eastAsia" w:ascii="宋体" w:hAnsi="宋体"/>
          <w:sz w:val="24"/>
          <w:u w:val="single"/>
        </w:rPr>
        <w:t xml:space="preserve">（采购文件中明确的所属行业） </w:t>
      </w:r>
      <w:r>
        <w:rPr>
          <w:rFonts w:ascii="宋体" w:hAnsi="宋体"/>
          <w:sz w:val="24"/>
          <w:u w:val="single"/>
        </w:rPr>
        <w:t xml:space="preserve"> </w:t>
      </w:r>
      <w:r>
        <w:rPr>
          <w:rFonts w:hint="eastAsia" w:ascii="宋体" w:hAnsi="宋体"/>
          <w:sz w:val="24"/>
        </w:rPr>
        <w:t>行业；制造商为</w:t>
      </w:r>
      <w:r>
        <w:rPr>
          <w:rFonts w:hint="eastAsia" w:ascii="宋体" w:hAnsi="宋体"/>
          <w:sz w:val="24"/>
          <w:u w:val="single"/>
        </w:rPr>
        <w:t xml:space="preserve">（企业名称） </w:t>
      </w:r>
      <w:r>
        <w:rPr>
          <w:rFonts w:ascii="宋体" w:hAnsi="宋体"/>
          <w:sz w:val="24"/>
          <w:u w:val="single"/>
        </w:rPr>
        <w:t xml:space="preserve"> </w:t>
      </w:r>
      <w:r>
        <w:rPr>
          <w:rFonts w:hint="eastAsia" w:ascii="宋体" w:hAnsi="宋体"/>
          <w:sz w:val="24"/>
        </w:rPr>
        <w:t>，从业人员</w:t>
      </w:r>
      <w:r>
        <w:rPr>
          <w:rFonts w:hint="eastAsia" w:ascii="宋体" w:hAnsi="宋体"/>
          <w:sz w:val="24"/>
          <w:u w:val="single"/>
        </w:rPr>
        <w:t xml:space="preserve"> </w:t>
      </w:r>
      <w:r>
        <w:rPr>
          <w:rFonts w:ascii="宋体" w:hAnsi="宋体"/>
          <w:sz w:val="24"/>
          <w:u w:val="single"/>
        </w:rPr>
        <w:t xml:space="preserve">      </w:t>
      </w:r>
      <w:r>
        <w:rPr>
          <w:rFonts w:hint="eastAsia" w:ascii="宋体" w:hAnsi="宋体"/>
          <w:sz w:val="24"/>
        </w:rPr>
        <w:t>人，营业收入为</w:t>
      </w:r>
      <w:r>
        <w:rPr>
          <w:rFonts w:hint="eastAsia" w:ascii="宋体" w:hAnsi="宋体"/>
          <w:sz w:val="24"/>
          <w:u w:val="single"/>
        </w:rPr>
        <w:t xml:space="preserve"> </w:t>
      </w:r>
      <w:r>
        <w:rPr>
          <w:rFonts w:ascii="宋体" w:hAnsi="宋体"/>
          <w:sz w:val="24"/>
          <w:u w:val="single"/>
        </w:rPr>
        <w:t xml:space="preserve">      </w:t>
      </w:r>
      <w:r>
        <w:rPr>
          <w:rFonts w:hint="eastAsia" w:ascii="宋体" w:hAnsi="宋体"/>
          <w:sz w:val="24"/>
        </w:rPr>
        <w:t>万元，资产总额为</w:t>
      </w:r>
      <w:r>
        <w:rPr>
          <w:rFonts w:hint="eastAsia" w:ascii="宋体" w:hAnsi="宋体"/>
          <w:sz w:val="24"/>
          <w:u w:val="single"/>
        </w:rPr>
        <w:t xml:space="preserve"> </w:t>
      </w:r>
      <w:r>
        <w:rPr>
          <w:rFonts w:ascii="宋体" w:hAnsi="宋体"/>
          <w:sz w:val="24"/>
          <w:u w:val="single"/>
        </w:rPr>
        <w:t xml:space="preserve">      </w:t>
      </w:r>
      <w:r>
        <w:rPr>
          <w:rFonts w:hint="eastAsia" w:ascii="宋体" w:hAnsi="宋体"/>
          <w:sz w:val="24"/>
        </w:rPr>
        <w:t>万元，属于</w:t>
      </w:r>
      <w:r>
        <w:rPr>
          <w:rFonts w:hint="eastAsia" w:ascii="宋体" w:hAnsi="宋体"/>
          <w:sz w:val="24"/>
          <w:u w:val="single"/>
        </w:rPr>
        <w:t>（中型企业、小型企业、微型企业）</w:t>
      </w:r>
      <w:r>
        <w:rPr>
          <w:rFonts w:hint="eastAsia" w:ascii="宋体" w:hAnsi="宋体"/>
          <w:sz w:val="24"/>
        </w:rPr>
        <w:t>；</w:t>
      </w:r>
    </w:p>
    <w:p w14:paraId="15383773">
      <w:pPr>
        <w:tabs>
          <w:tab w:val="left" w:pos="1065"/>
          <w:tab w:val="left" w:pos="6477"/>
        </w:tabs>
        <w:spacing w:line="360" w:lineRule="auto"/>
        <w:ind w:left="-426" w:right="-58" w:firstLine="655"/>
        <w:contextualSpacing/>
        <w:rPr>
          <w:rFonts w:ascii="宋体" w:hAnsi="宋体"/>
          <w:sz w:val="24"/>
        </w:rPr>
      </w:pPr>
      <w:r>
        <w:rPr>
          <w:rFonts w:hint="eastAsia" w:ascii="宋体" w:hAnsi="宋体"/>
          <w:sz w:val="24"/>
        </w:rPr>
        <w:t>2.</w:t>
      </w:r>
      <w:r>
        <w:rPr>
          <w:rFonts w:hint="eastAsia" w:ascii="宋体" w:hAnsi="宋体"/>
          <w:sz w:val="24"/>
          <w:u w:val="single"/>
        </w:rPr>
        <w:t>（标的名称）</w:t>
      </w:r>
      <w:r>
        <w:rPr>
          <w:rFonts w:hint="eastAsia" w:ascii="宋体" w:hAnsi="宋体"/>
          <w:sz w:val="24"/>
        </w:rPr>
        <w:t>，属于</w:t>
      </w:r>
      <w:r>
        <w:rPr>
          <w:rFonts w:hint="eastAsia" w:ascii="宋体" w:hAnsi="宋体"/>
          <w:sz w:val="24"/>
          <w:u w:val="single"/>
        </w:rPr>
        <w:t>（采购文件中明确的所属行业）</w:t>
      </w:r>
      <w:r>
        <w:rPr>
          <w:rFonts w:hint="eastAsia" w:ascii="宋体" w:hAnsi="宋体"/>
          <w:sz w:val="24"/>
        </w:rPr>
        <w:t>行业；制造商为</w:t>
      </w:r>
      <w:r>
        <w:rPr>
          <w:rFonts w:hint="eastAsia" w:ascii="宋体" w:hAnsi="宋体"/>
          <w:sz w:val="24"/>
          <w:u w:val="single"/>
        </w:rPr>
        <w:t>（企业名称）</w:t>
      </w:r>
      <w:r>
        <w:rPr>
          <w:rFonts w:hint="eastAsia" w:ascii="宋体" w:hAnsi="宋体"/>
          <w:sz w:val="24"/>
        </w:rPr>
        <w:t>，从业人员</w:t>
      </w:r>
      <w:r>
        <w:rPr>
          <w:rFonts w:hint="eastAsia" w:ascii="宋体" w:hAnsi="宋体"/>
          <w:sz w:val="24"/>
          <w:u w:val="single"/>
        </w:rPr>
        <w:t xml:space="preserve"> </w:t>
      </w:r>
      <w:r>
        <w:rPr>
          <w:rFonts w:ascii="宋体" w:hAnsi="宋体"/>
          <w:sz w:val="24"/>
          <w:u w:val="single"/>
        </w:rPr>
        <w:t xml:space="preserve">      </w:t>
      </w:r>
      <w:r>
        <w:rPr>
          <w:rFonts w:hint="eastAsia" w:ascii="宋体" w:hAnsi="宋体"/>
          <w:sz w:val="24"/>
        </w:rPr>
        <w:t>人，营业收入为</w:t>
      </w:r>
      <w:r>
        <w:rPr>
          <w:rFonts w:hint="eastAsia" w:ascii="宋体" w:hAnsi="宋体"/>
          <w:sz w:val="24"/>
          <w:u w:val="single"/>
        </w:rPr>
        <w:t xml:space="preserve"> </w:t>
      </w:r>
      <w:r>
        <w:rPr>
          <w:rFonts w:ascii="宋体" w:hAnsi="宋体"/>
          <w:sz w:val="24"/>
          <w:u w:val="single"/>
        </w:rPr>
        <w:t xml:space="preserve">      </w:t>
      </w:r>
      <w:r>
        <w:rPr>
          <w:rFonts w:hint="eastAsia" w:ascii="宋体" w:hAnsi="宋体"/>
          <w:sz w:val="24"/>
        </w:rPr>
        <w:t>万元，资产总额为</w:t>
      </w:r>
      <w:r>
        <w:rPr>
          <w:rFonts w:hint="eastAsia" w:ascii="宋体" w:hAnsi="宋体"/>
          <w:sz w:val="24"/>
          <w:u w:val="single"/>
        </w:rPr>
        <w:t xml:space="preserve"> </w:t>
      </w:r>
      <w:r>
        <w:rPr>
          <w:rFonts w:ascii="宋体" w:hAnsi="宋体"/>
          <w:sz w:val="24"/>
          <w:u w:val="single"/>
        </w:rPr>
        <w:t xml:space="preserve">      </w:t>
      </w:r>
      <w:r>
        <w:rPr>
          <w:rFonts w:hint="eastAsia" w:ascii="宋体" w:hAnsi="宋体"/>
          <w:sz w:val="24"/>
        </w:rPr>
        <w:t>万元，属于</w:t>
      </w:r>
      <w:r>
        <w:rPr>
          <w:rFonts w:hint="eastAsia" w:ascii="宋体" w:hAnsi="宋体"/>
          <w:sz w:val="24"/>
          <w:u w:val="single"/>
        </w:rPr>
        <w:t>（中型企业、小型企业、微型企业）</w:t>
      </w:r>
      <w:r>
        <w:rPr>
          <w:rFonts w:hint="eastAsia" w:ascii="宋体" w:hAnsi="宋体"/>
          <w:sz w:val="24"/>
        </w:rPr>
        <w:t>；</w:t>
      </w:r>
    </w:p>
    <w:p w14:paraId="58D3560F">
      <w:pPr>
        <w:spacing w:line="360" w:lineRule="auto"/>
        <w:ind w:left="142" w:right="142"/>
        <w:contextualSpacing/>
        <w:rPr>
          <w:rFonts w:ascii="宋体" w:hAnsi="宋体"/>
          <w:sz w:val="24"/>
        </w:rPr>
      </w:pPr>
      <w:r>
        <w:rPr>
          <w:rFonts w:hint="eastAsia" w:ascii="宋体" w:hAnsi="宋体"/>
          <w:sz w:val="24"/>
        </w:rPr>
        <w:t>……</w:t>
      </w:r>
    </w:p>
    <w:p w14:paraId="0B358501">
      <w:pPr>
        <w:spacing w:line="360" w:lineRule="auto"/>
        <w:ind w:left="-405" w:right="142" w:firstLine="455"/>
        <w:contextualSpacing/>
        <w:rPr>
          <w:rFonts w:ascii="宋体" w:hAnsi="宋体"/>
          <w:b/>
          <w:sz w:val="24"/>
        </w:rPr>
      </w:pPr>
      <w:r>
        <w:rPr>
          <w:rFonts w:hint="eastAsia" w:ascii="宋体" w:hAnsi="宋体"/>
          <w:b/>
          <w:sz w:val="24"/>
        </w:rPr>
        <w:t>以上企业，不属于大企业的分支机构，不存在控股股东为大企业的情形，也不存在与大企业的负责人为同一人的情形。</w:t>
      </w:r>
    </w:p>
    <w:p w14:paraId="4455C177">
      <w:pPr>
        <w:spacing w:line="360" w:lineRule="auto"/>
        <w:ind w:left="-426" w:right="142" w:firstLine="567"/>
        <w:contextualSpacing/>
        <w:rPr>
          <w:rFonts w:ascii="宋体" w:hAnsi="宋体"/>
          <w:b/>
          <w:sz w:val="24"/>
        </w:rPr>
      </w:pPr>
      <w:r>
        <w:rPr>
          <w:rFonts w:hint="eastAsia" w:ascii="宋体" w:hAnsi="宋体"/>
          <w:b/>
          <w:sz w:val="24"/>
        </w:rPr>
        <w:t>本企业对上述声明内容的真实性负责。如有虚假，将依法承担相应责任。</w:t>
      </w:r>
    </w:p>
    <w:p w14:paraId="09D8B985">
      <w:pPr>
        <w:spacing w:line="360" w:lineRule="auto"/>
        <w:ind w:left="3960" w:right="1808"/>
        <w:contextualSpacing/>
        <w:rPr>
          <w:rFonts w:ascii="宋体" w:hAnsi="宋体"/>
          <w:sz w:val="24"/>
        </w:rPr>
      </w:pPr>
    </w:p>
    <w:p w14:paraId="7E65743F">
      <w:pPr>
        <w:spacing w:line="360" w:lineRule="auto"/>
        <w:ind w:left="4335" w:hanging="240"/>
        <w:rPr>
          <w:rFonts w:ascii="仿宋_GB2312" w:hAnsi="仿宋" w:eastAsia="仿宋_GB2312" w:cs="仿宋_GB2312"/>
          <w:sz w:val="24"/>
        </w:rPr>
      </w:pPr>
      <w:r>
        <w:rPr>
          <w:rFonts w:hint="eastAsia" w:ascii="仿宋_GB2312" w:hAnsi="仿宋" w:eastAsia="仿宋_GB2312" w:cs="仿宋_GB2312"/>
          <w:sz w:val="24"/>
        </w:rPr>
        <w:t>供应商名称（电子签章）：</w:t>
      </w:r>
    </w:p>
    <w:p w14:paraId="24650B7E">
      <w:pPr>
        <w:spacing w:line="360" w:lineRule="auto"/>
        <w:ind w:firstLine="6480"/>
        <w:rPr>
          <w:rFonts w:ascii="仿宋_GB2312" w:hAnsi="仿宋" w:eastAsia="仿宋_GB2312" w:cs="仿宋_GB2312"/>
          <w:sz w:val="24"/>
          <w:lang w:val="zh-CN"/>
        </w:rPr>
      </w:pPr>
      <w:r>
        <w:rPr>
          <w:rFonts w:hint="eastAsia" w:ascii="仿宋_GB2312" w:hAnsi="仿宋" w:eastAsia="仿宋_GB2312" w:cs="仿宋_GB2312"/>
          <w:sz w:val="24"/>
          <w:lang w:val="zh-CN"/>
        </w:rPr>
        <w:t xml:space="preserve">日期：年 月 </w:t>
      </w:r>
      <w:r>
        <w:rPr>
          <w:rFonts w:ascii="仿宋_GB2312" w:hAnsi="仿宋" w:eastAsia="仿宋_GB2312" w:cs="仿宋_GB2312"/>
          <w:sz w:val="24"/>
          <w:lang w:val="zh-CN"/>
        </w:rPr>
        <w:t xml:space="preserve"> </w:t>
      </w:r>
      <w:r>
        <w:rPr>
          <w:rFonts w:hint="eastAsia" w:ascii="仿宋_GB2312" w:hAnsi="仿宋" w:eastAsia="仿宋_GB2312" w:cs="仿宋_GB2312"/>
          <w:sz w:val="24"/>
          <w:lang w:val="zh-CN"/>
        </w:rPr>
        <w:t>日</w:t>
      </w:r>
    </w:p>
    <w:p w14:paraId="6E53E959">
      <w:pPr>
        <w:spacing w:line="360" w:lineRule="auto"/>
        <w:ind w:left="3960" w:right="1808"/>
        <w:contextualSpacing/>
      </w:pPr>
    </w:p>
    <w:p w14:paraId="179BCA4D">
      <w:pPr>
        <w:spacing w:line="360" w:lineRule="auto"/>
        <w:jc w:val="left"/>
        <w:rPr>
          <w:rFonts w:ascii="宋体" w:hAnsi="宋体" w:cs="仿宋_GB2312"/>
          <w:sz w:val="24"/>
        </w:rPr>
      </w:pPr>
      <w:r>
        <w:rPr>
          <w:rFonts w:hint="eastAsia" w:ascii="宋体" w:hAnsi="宋体" w:cs="仿宋_GB2312"/>
          <w:sz w:val="24"/>
        </w:rPr>
        <w:t>注：享受《政府采购促进中小企业发展管理办法》（财库〔2020〕46号）规定的中小企业扶持政策的，采购人、采购代理机构应当随成交结果公开成交供应商的《中小企业声明函》。从业人员、营业收入、资产总额填报上一年度数据，无上一年度数据的新成立企业可不填报。</w:t>
      </w:r>
    </w:p>
    <w:p w14:paraId="1F0E9C06">
      <w:pPr>
        <w:spacing w:before="50" w:after="50" w:line="360" w:lineRule="auto"/>
        <w:ind w:right="-817"/>
        <w:rPr>
          <w:rFonts w:ascii="仿宋_GB2312" w:hAnsi="仿宋_GB2312" w:eastAsia="仿宋_GB2312" w:cs="仿宋_GB2312"/>
          <w:b/>
          <w:sz w:val="32"/>
          <w:szCs w:val="32"/>
        </w:rPr>
      </w:pPr>
      <w:r>
        <w:rPr>
          <w:rFonts w:hint="eastAsia" w:ascii="仿宋_GB2312" w:hAnsi="仿宋_GB2312" w:eastAsia="仿宋_GB2312" w:cs="仿宋_GB2312"/>
          <w:b/>
          <w:sz w:val="32"/>
          <w:szCs w:val="32"/>
        </w:rPr>
        <w:t>(温馨提醒：以上“标的名称”一栏中，填写具体货物名称（详见第二章采购需求），逐条明确每个货物对应的声明内容</w:t>
      </w:r>
      <w:r>
        <w:rPr>
          <w:rFonts w:ascii="仿宋_GB2312" w:hAnsi="仿宋_GB2312" w:eastAsia="仿宋_GB2312" w:cs="仿宋_GB2312"/>
          <w:b/>
          <w:sz w:val="32"/>
          <w:szCs w:val="32"/>
        </w:rPr>
        <w:t>)</w:t>
      </w:r>
    </w:p>
    <w:p w14:paraId="45E63FE7">
      <w:pPr>
        <w:widowControl/>
        <w:spacing w:line="360" w:lineRule="auto"/>
        <w:jc w:val="left"/>
        <w:rPr>
          <w:rFonts w:ascii="宋体" w:hAnsi="宋体"/>
        </w:rPr>
        <w:sectPr>
          <w:pgSz w:w="11910" w:h="16840"/>
          <w:pgMar w:top="1340" w:right="1500" w:bottom="280" w:left="1680" w:header="720" w:footer="720" w:gutter="0"/>
          <w:cols w:space="1701" w:num="1"/>
        </w:sectPr>
      </w:pPr>
    </w:p>
    <w:p w14:paraId="31C4DEDD">
      <w:pPr>
        <w:keepNext/>
        <w:keepLines/>
        <w:spacing w:before="260" w:after="260" w:line="415" w:lineRule="auto"/>
        <w:jc w:val="center"/>
        <w:outlineLvl w:val="1"/>
        <w:rPr>
          <w:rFonts w:ascii="宋体" w:hAnsi="宋体" w:cs="宋体"/>
          <w:bCs/>
          <w:sz w:val="32"/>
          <w:szCs w:val="32"/>
        </w:rPr>
      </w:pPr>
      <w:bookmarkStart w:id="78" w:name="_Toc173510407"/>
      <w:r>
        <w:rPr>
          <w:rFonts w:hint="eastAsia" w:ascii="宋体" w:hAnsi="宋体" w:cs="宋体"/>
          <w:sz w:val="32"/>
          <w:szCs w:val="32"/>
        </w:rPr>
        <w:t>第三节</w:t>
      </w:r>
      <w:r>
        <w:rPr>
          <w:rFonts w:hint="eastAsia" w:ascii="宋体" w:hAnsi="宋体" w:cs="宋体"/>
          <w:bCs/>
          <w:sz w:val="32"/>
          <w:szCs w:val="32"/>
        </w:rPr>
        <w:t>商务技术文件格式</w:t>
      </w:r>
      <w:bookmarkEnd w:id="78"/>
    </w:p>
    <w:p w14:paraId="7D01626B">
      <w:pPr>
        <w:spacing w:before="120" w:after="50"/>
        <w:rPr>
          <w:rFonts w:ascii="宋体" w:hAnsi="宋体"/>
          <w:bCs/>
          <w:sz w:val="32"/>
          <w:szCs w:val="20"/>
        </w:rPr>
      </w:pPr>
      <w:r>
        <w:rPr>
          <w:rFonts w:hint="eastAsia" w:ascii="宋体" w:hAnsi="宋体"/>
          <w:bCs/>
        </w:rPr>
        <w:t>全流程电子文件</w:t>
      </w:r>
    </w:p>
    <w:p w14:paraId="3D932420">
      <w:pPr>
        <w:spacing w:before="120" w:after="50"/>
        <w:rPr>
          <w:rFonts w:ascii="宋体" w:hAnsi="宋体"/>
          <w:sz w:val="24"/>
          <w:szCs w:val="20"/>
        </w:rPr>
      </w:pPr>
    </w:p>
    <w:p w14:paraId="34A76BE6">
      <w:pPr>
        <w:spacing w:before="120" w:after="50"/>
        <w:rPr>
          <w:rFonts w:ascii="宋体" w:hAnsi="宋体"/>
          <w:sz w:val="24"/>
          <w:szCs w:val="20"/>
        </w:rPr>
      </w:pPr>
    </w:p>
    <w:p w14:paraId="24E51EDA">
      <w:pPr>
        <w:spacing w:before="120" w:after="50"/>
        <w:rPr>
          <w:rFonts w:ascii="宋体" w:hAnsi="宋体"/>
          <w:sz w:val="24"/>
          <w:szCs w:val="20"/>
        </w:rPr>
      </w:pPr>
    </w:p>
    <w:p w14:paraId="2C4DB08A">
      <w:pPr>
        <w:spacing w:before="120" w:after="50"/>
        <w:jc w:val="center"/>
        <w:rPr>
          <w:rFonts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商务技术文件（封面）</w:t>
      </w:r>
    </w:p>
    <w:p w14:paraId="22B8B8F7">
      <w:pPr>
        <w:spacing w:before="120" w:after="50"/>
        <w:rPr>
          <w:rFonts w:ascii="宋体" w:hAnsi="宋体"/>
          <w:bCs/>
          <w:sz w:val="24"/>
          <w:szCs w:val="20"/>
        </w:rPr>
      </w:pPr>
    </w:p>
    <w:p w14:paraId="2B5C7E42">
      <w:pPr>
        <w:spacing w:before="120" w:after="50"/>
        <w:rPr>
          <w:rFonts w:ascii="宋体" w:hAnsi="宋体"/>
          <w:bCs/>
          <w:sz w:val="24"/>
          <w:szCs w:val="20"/>
        </w:rPr>
      </w:pPr>
    </w:p>
    <w:p w14:paraId="6CA86335">
      <w:pPr>
        <w:spacing w:before="120" w:after="50"/>
        <w:rPr>
          <w:rFonts w:ascii="宋体" w:hAnsi="宋体"/>
          <w:bCs/>
          <w:sz w:val="24"/>
          <w:szCs w:val="20"/>
        </w:rPr>
      </w:pPr>
    </w:p>
    <w:p w14:paraId="41456CBB">
      <w:pPr>
        <w:spacing w:before="120" w:after="50"/>
        <w:rPr>
          <w:rFonts w:ascii="宋体" w:hAnsi="宋体"/>
          <w:bCs/>
          <w:sz w:val="24"/>
          <w:szCs w:val="20"/>
        </w:rPr>
      </w:pPr>
    </w:p>
    <w:p w14:paraId="554C8A42">
      <w:pPr>
        <w:spacing w:before="120" w:after="50"/>
        <w:rPr>
          <w:rFonts w:ascii="宋体" w:hAnsi="宋体"/>
          <w:bCs/>
          <w:sz w:val="24"/>
          <w:szCs w:val="20"/>
        </w:rPr>
      </w:pPr>
    </w:p>
    <w:p w14:paraId="2A0AF38A">
      <w:pPr>
        <w:spacing w:before="120" w:after="50"/>
        <w:ind w:firstLine="640"/>
        <w:rPr>
          <w:rFonts w:ascii="宋体" w:hAnsi="宋体" w:cs="仿宋_GB2312"/>
          <w:bCs/>
          <w:sz w:val="32"/>
          <w:szCs w:val="32"/>
        </w:rPr>
      </w:pPr>
      <w:r>
        <w:rPr>
          <w:rFonts w:hint="eastAsia" w:ascii="宋体" w:hAnsi="宋体" w:cs="仿宋_GB2312"/>
          <w:bCs/>
          <w:sz w:val="32"/>
          <w:szCs w:val="32"/>
        </w:rPr>
        <w:t>项目名称：</w:t>
      </w:r>
      <w:bookmarkStart w:id="79" w:name="PO_3000001871_PM002_6"/>
      <w:r>
        <w:rPr>
          <w:rFonts w:hint="eastAsia" w:ascii="宋体" w:hAnsi="宋体" w:cs="仿宋_GB2312"/>
          <w:bCs/>
          <w:sz w:val="32"/>
          <w:szCs w:val="32"/>
        </w:rPr>
        <w:t>[项目采购-项目名称]</w:t>
      </w:r>
      <w:bookmarkEnd w:id="79"/>
    </w:p>
    <w:p w14:paraId="4161044D">
      <w:pPr>
        <w:spacing w:before="120" w:after="50"/>
        <w:ind w:firstLine="720"/>
        <w:rPr>
          <w:rFonts w:ascii="宋体" w:hAnsi="宋体" w:cs="仿宋_GB2312"/>
          <w:bCs/>
          <w:sz w:val="32"/>
          <w:szCs w:val="32"/>
        </w:rPr>
      </w:pPr>
    </w:p>
    <w:p w14:paraId="21B658E0">
      <w:pPr>
        <w:spacing w:before="120" w:after="50"/>
        <w:ind w:firstLine="640"/>
        <w:rPr>
          <w:rFonts w:ascii="宋体" w:hAnsi="宋体" w:cs="仿宋_GB2312"/>
          <w:bCs/>
          <w:sz w:val="32"/>
          <w:szCs w:val="32"/>
        </w:rPr>
      </w:pPr>
      <w:r>
        <w:rPr>
          <w:rFonts w:hint="eastAsia" w:ascii="宋体" w:hAnsi="宋体" w:cs="仿宋_GB2312"/>
          <w:bCs/>
          <w:sz w:val="32"/>
          <w:szCs w:val="32"/>
        </w:rPr>
        <w:t>项目编号：</w:t>
      </w:r>
      <w:bookmarkStart w:id="80" w:name="PO_3000001871_PM001_5"/>
      <w:r>
        <w:rPr>
          <w:rFonts w:hint="eastAsia" w:ascii="宋体" w:hAnsi="宋体" w:cs="仿宋_GB2312"/>
          <w:bCs/>
          <w:sz w:val="32"/>
          <w:szCs w:val="32"/>
        </w:rPr>
        <w:t>[项目采购-项目编号]</w:t>
      </w:r>
      <w:bookmarkEnd w:id="80"/>
    </w:p>
    <w:p w14:paraId="67DE7D21">
      <w:pPr>
        <w:spacing w:before="120" w:after="50"/>
        <w:ind w:firstLine="720"/>
        <w:rPr>
          <w:rFonts w:ascii="宋体" w:hAnsi="宋体" w:cs="仿宋_GB2312"/>
          <w:bCs/>
          <w:sz w:val="32"/>
          <w:szCs w:val="32"/>
        </w:rPr>
      </w:pPr>
    </w:p>
    <w:p w14:paraId="03780D8B">
      <w:pPr>
        <w:spacing w:before="120" w:after="50"/>
        <w:ind w:firstLine="640"/>
        <w:rPr>
          <w:rFonts w:ascii="宋体" w:hAnsi="宋体" w:cs="仿宋_GB2312"/>
          <w:bCs/>
          <w:sz w:val="32"/>
          <w:szCs w:val="32"/>
        </w:rPr>
      </w:pPr>
      <w:r>
        <w:rPr>
          <w:rFonts w:hint="eastAsia" w:ascii="宋体" w:hAnsi="宋体" w:cs="仿宋_GB2312"/>
          <w:bCs/>
          <w:sz w:val="32"/>
          <w:szCs w:val="32"/>
        </w:rPr>
        <w:t>所竞分标（如有则填写，无分标时填写“无”或者留空）：</w:t>
      </w:r>
    </w:p>
    <w:p w14:paraId="28AB792A">
      <w:pPr>
        <w:spacing w:before="120" w:after="50"/>
        <w:ind w:firstLine="720"/>
        <w:rPr>
          <w:rFonts w:ascii="宋体" w:hAnsi="宋体" w:cs="仿宋_GB2312"/>
          <w:bCs/>
          <w:sz w:val="32"/>
          <w:szCs w:val="32"/>
        </w:rPr>
      </w:pPr>
    </w:p>
    <w:p w14:paraId="79EE5A27">
      <w:pPr>
        <w:spacing w:before="50" w:after="50"/>
        <w:ind w:firstLine="640"/>
        <w:rPr>
          <w:rFonts w:ascii="宋体" w:hAnsi="宋体" w:cs="仿宋_GB2312"/>
          <w:bCs/>
          <w:sz w:val="32"/>
          <w:szCs w:val="32"/>
        </w:rPr>
      </w:pPr>
      <w:r>
        <w:rPr>
          <w:rFonts w:hint="eastAsia" w:ascii="宋体" w:hAnsi="宋体" w:cs="仿宋_GB2312"/>
          <w:bCs/>
          <w:sz w:val="32"/>
          <w:szCs w:val="32"/>
        </w:rPr>
        <w:t>供应商名称：</w:t>
      </w:r>
    </w:p>
    <w:p w14:paraId="391423B9">
      <w:pPr>
        <w:spacing w:before="50" w:after="50"/>
        <w:ind w:firstLine="720"/>
        <w:rPr>
          <w:rFonts w:ascii="宋体" w:hAnsi="宋体" w:cs="仿宋_GB2312"/>
          <w:bCs/>
          <w:sz w:val="32"/>
          <w:szCs w:val="32"/>
        </w:rPr>
      </w:pPr>
    </w:p>
    <w:p w14:paraId="6CE7E342">
      <w:pPr>
        <w:spacing w:before="50" w:after="50"/>
        <w:ind w:firstLine="720"/>
        <w:rPr>
          <w:rFonts w:ascii="宋体" w:hAnsi="宋体" w:cs="仿宋_GB2312"/>
          <w:bCs/>
          <w:sz w:val="32"/>
          <w:szCs w:val="32"/>
        </w:rPr>
      </w:pPr>
    </w:p>
    <w:p w14:paraId="75DB7B04">
      <w:pPr>
        <w:spacing w:before="50" w:after="50"/>
        <w:ind w:firstLine="1280"/>
        <w:rPr>
          <w:rFonts w:ascii="宋体" w:hAnsi="宋体" w:cs="仿宋_GB2312"/>
          <w:bCs/>
          <w:sz w:val="32"/>
          <w:szCs w:val="32"/>
        </w:rPr>
      </w:pPr>
    </w:p>
    <w:p w14:paraId="777D203C">
      <w:pPr>
        <w:spacing w:before="120" w:after="50"/>
        <w:jc w:val="center"/>
        <w:rPr>
          <w:rFonts w:ascii="宋体" w:hAnsi="宋体" w:cs="仿宋_GB2312"/>
          <w:sz w:val="32"/>
          <w:szCs w:val="32"/>
        </w:rPr>
      </w:pPr>
      <w:r>
        <w:rPr>
          <w:rFonts w:hint="eastAsia" w:ascii="宋体" w:hAnsi="宋体" w:cs="仿宋_GB2312"/>
          <w:sz w:val="32"/>
          <w:szCs w:val="32"/>
        </w:rPr>
        <w:t xml:space="preserve">年 月 </w:t>
      </w:r>
      <w:r>
        <w:rPr>
          <w:rFonts w:ascii="宋体" w:hAnsi="宋体" w:cs="仿宋_GB2312"/>
          <w:sz w:val="32"/>
          <w:szCs w:val="32"/>
        </w:rPr>
        <w:t xml:space="preserve"> </w:t>
      </w:r>
      <w:r>
        <w:rPr>
          <w:rFonts w:hint="eastAsia" w:ascii="宋体" w:hAnsi="宋体" w:cs="仿宋_GB2312"/>
          <w:sz w:val="32"/>
          <w:szCs w:val="32"/>
        </w:rPr>
        <w:t>日</w:t>
      </w:r>
    </w:p>
    <w:p w14:paraId="795DA26D">
      <w:pPr>
        <w:jc w:val="center"/>
        <w:rPr>
          <w:rFonts w:ascii="仿宋_GB2312" w:hAnsi="仿宋" w:eastAsia="仿宋_GB2312" w:cs="仿宋_GB2312"/>
          <w:b/>
          <w:sz w:val="28"/>
          <w:szCs w:val="28"/>
        </w:rPr>
      </w:pPr>
      <w:r>
        <w:rPr>
          <w:rFonts w:hint="eastAsia" w:ascii="宋体" w:hAnsi="宋体"/>
          <w:sz w:val="24"/>
        </w:rPr>
        <w:br w:type="page" w:clear="all"/>
      </w:r>
      <w:r>
        <w:rPr>
          <w:rFonts w:hint="eastAsia" w:ascii="仿宋_GB2312" w:hAnsi="仿宋" w:eastAsia="仿宋_GB2312" w:cs="仿宋_GB2312"/>
          <w:b/>
          <w:sz w:val="28"/>
          <w:szCs w:val="28"/>
        </w:rPr>
        <w:t>商务技术文件目录</w:t>
      </w:r>
    </w:p>
    <w:p w14:paraId="58878BC9">
      <w:pPr>
        <w:spacing w:line="360" w:lineRule="auto"/>
        <w:ind w:left="2" w:firstLine="480"/>
        <w:rPr>
          <w:rFonts w:ascii="仿宋_GB2312" w:hAnsi="仿宋" w:eastAsia="仿宋_GB2312" w:cs="仿宋_GB2312"/>
          <w:sz w:val="24"/>
        </w:rPr>
      </w:pPr>
      <w:r>
        <w:rPr>
          <w:rFonts w:hint="eastAsia" w:ascii="仿宋_GB2312" w:hAnsi="仿宋" w:eastAsia="仿宋_GB2312" w:cs="仿宋_GB2312"/>
          <w:sz w:val="24"/>
        </w:rPr>
        <w:t>一、无串标行为承诺函…………………………………………（页码）</w:t>
      </w:r>
    </w:p>
    <w:p w14:paraId="14090EC1">
      <w:pPr>
        <w:spacing w:line="360" w:lineRule="auto"/>
        <w:ind w:left="2" w:firstLine="480"/>
        <w:rPr>
          <w:rFonts w:ascii="仿宋_GB2312" w:hAnsi="仿宋" w:eastAsia="仿宋_GB2312" w:cs="仿宋_GB2312"/>
          <w:sz w:val="24"/>
        </w:rPr>
      </w:pPr>
      <w:r>
        <w:rPr>
          <w:rFonts w:hint="eastAsia" w:ascii="仿宋_GB2312" w:hAnsi="仿宋" w:eastAsia="仿宋_GB2312" w:cs="仿宋_GB2312"/>
          <w:sz w:val="24"/>
        </w:rPr>
        <w:t>二、法定代表人身份证明及法定代表人有效身份证正反面复印件…（页码）</w:t>
      </w:r>
    </w:p>
    <w:p w14:paraId="316681F6">
      <w:pPr>
        <w:spacing w:line="360" w:lineRule="auto"/>
        <w:ind w:left="2" w:firstLine="480"/>
        <w:rPr>
          <w:rFonts w:ascii="仿宋_GB2312" w:hAnsi="仿宋" w:eastAsia="仿宋_GB2312" w:cs="仿宋_GB2312"/>
          <w:sz w:val="24"/>
        </w:rPr>
      </w:pPr>
      <w:r>
        <w:rPr>
          <w:rFonts w:hint="eastAsia" w:ascii="仿宋_GB2312" w:hAnsi="仿宋" w:eastAsia="仿宋_GB2312" w:cs="仿宋_GB2312"/>
          <w:sz w:val="24"/>
        </w:rPr>
        <w:t>三、法定代表人授权委托书（如有委托时）……………………（页码）</w:t>
      </w:r>
    </w:p>
    <w:p w14:paraId="0F5CC6A9">
      <w:pPr>
        <w:spacing w:line="360" w:lineRule="auto"/>
        <w:ind w:left="2" w:firstLine="480"/>
        <w:rPr>
          <w:rFonts w:ascii="仿宋_GB2312" w:hAnsi="仿宋" w:eastAsia="仿宋_GB2312" w:cs="仿宋_GB2312"/>
          <w:sz w:val="24"/>
        </w:rPr>
      </w:pPr>
      <w:r>
        <w:rPr>
          <w:rFonts w:hint="eastAsia" w:ascii="仿宋_GB2312" w:hAnsi="仿宋" w:eastAsia="仿宋_GB2312" w:cs="仿宋_GB2312"/>
          <w:sz w:val="24"/>
        </w:rPr>
        <w:t>四、</w:t>
      </w:r>
      <w:r>
        <w:rPr>
          <w:rFonts w:hint="eastAsia" w:ascii="仿宋_GB2312" w:hAnsi="仿宋" w:eastAsia="仿宋_GB2312" w:cs="仿宋_GB2312"/>
          <w:sz w:val="24"/>
          <w:lang w:val="zh-CN"/>
        </w:rPr>
        <w:t>商务条款偏离表………………</w:t>
      </w:r>
      <w:r>
        <w:rPr>
          <w:rFonts w:hint="eastAsia" w:ascii="仿宋_GB2312" w:hAnsi="仿宋" w:eastAsia="仿宋_GB2312" w:cs="仿宋_GB2312"/>
          <w:sz w:val="24"/>
        </w:rPr>
        <w:t>…………………………（页码）</w:t>
      </w:r>
    </w:p>
    <w:p w14:paraId="05B4FA4F">
      <w:pPr>
        <w:spacing w:line="360" w:lineRule="auto"/>
        <w:ind w:left="2" w:firstLine="480"/>
        <w:rPr>
          <w:rFonts w:ascii="仿宋_GB2312" w:hAnsi="仿宋" w:eastAsia="仿宋_GB2312" w:cs="仿宋_GB2312"/>
          <w:sz w:val="24"/>
        </w:rPr>
      </w:pPr>
      <w:bookmarkStart w:id="81" w:name="OLE_LINK7"/>
      <w:bookmarkStart w:id="82" w:name="OLE_LINK6"/>
      <w:bookmarkStart w:id="83" w:name="OLE_LINK5"/>
      <w:r>
        <w:rPr>
          <w:rFonts w:hint="eastAsia" w:ascii="仿宋_GB2312" w:hAnsi="仿宋" w:eastAsia="仿宋_GB2312" w:cs="仿宋_GB2312"/>
          <w:sz w:val="24"/>
        </w:rPr>
        <w:t>五、竞标人情况介绍</w:t>
      </w:r>
      <w:r>
        <w:rPr>
          <w:rFonts w:hint="eastAsia" w:ascii="仿宋_GB2312" w:hAnsi="仿宋" w:eastAsia="仿宋_GB2312" w:cs="仿宋_GB2312"/>
          <w:sz w:val="24"/>
          <w:lang w:val="zh-CN"/>
        </w:rPr>
        <w:t>…………………</w:t>
      </w:r>
      <w:r>
        <w:rPr>
          <w:rFonts w:hint="eastAsia" w:ascii="仿宋_GB2312" w:hAnsi="仿宋" w:eastAsia="仿宋_GB2312" w:cs="仿宋_GB2312"/>
          <w:sz w:val="24"/>
        </w:rPr>
        <w:t>…………………………（页码）</w:t>
      </w:r>
    </w:p>
    <w:p w14:paraId="576785E4">
      <w:pPr>
        <w:spacing w:line="360" w:lineRule="auto"/>
        <w:ind w:left="2" w:firstLine="480"/>
        <w:rPr>
          <w:rFonts w:ascii="仿宋_GB2312" w:hAnsi="仿宋" w:eastAsia="仿宋_GB2312" w:cs="仿宋_GB2312"/>
          <w:sz w:val="24"/>
        </w:rPr>
      </w:pPr>
      <w:r>
        <w:rPr>
          <w:rFonts w:hint="eastAsia" w:ascii="仿宋_GB2312" w:hAnsi="仿宋" w:eastAsia="仿宋_GB2312" w:cs="仿宋_GB2312"/>
          <w:sz w:val="24"/>
        </w:rPr>
        <w:t>六、供应商类似业绩的证明文件（如有要求）</w:t>
      </w:r>
      <w:r>
        <w:rPr>
          <w:rFonts w:hint="eastAsia" w:ascii="仿宋_GB2312" w:hAnsi="仿宋" w:eastAsia="仿宋_GB2312" w:cs="仿宋_GB2312"/>
          <w:sz w:val="24"/>
          <w:lang w:val="zh-CN"/>
        </w:rPr>
        <w:t>……………………</w:t>
      </w:r>
      <w:r>
        <w:rPr>
          <w:rFonts w:hint="eastAsia" w:ascii="仿宋_GB2312" w:hAnsi="仿宋" w:eastAsia="仿宋_GB2312" w:cs="仿宋_GB2312"/>
          <w:sz w:val="24"/>
        </w:rPr>
        <w:t>（页码）</w:t>
      </w:r>
      <w:bookmarkEnd w:id="81"/>
      <w:bookmarkEnd w:id="82"/>
    </w:p>
    <w:bookmarkEnd w:id="83"/>
    <w:p w14:paraId="247E99BC">
      <w:pPr>
        <w:spacing w:line="360" w:lineRule="auto"/>
        <w:ind w:left="2" w:firstLine="480"/>
        <w:rPr>
          <w:rFonts w:ascii="仿宋_GB2312" w:hAnsi="仿宋" w:eastAsia="仿宋_GB2312" w:cs="仿宋_GB2312"/>
          <w:sz w:val="24"/>
        </w:rPr>
      </w:pPr>
      <w:r>
        <w:rPr>
          <w:rFonts w:hint="eastAsia" w:ascii="仿宋_GB2312" w:hAnsi="仿宋" w:eastAsia="仿宋_GB2312" w:cs="仿宋_GB2312"/>
          <w:sz w:val="24"/>
        </w:rPr>
        <w:t>七、货物需求偏离表………………………………………………（页码）</w:t>
      </w:r>
    </w:p>
    <w:p w14:paraId="6DB430F5">
      <w:pPr>
        <w:spacing w:line="360" w:lineRule="auto"/>
        <w:ind w:left="2" w:firstLine="480"/>
        <w:rPr>
          <w:rFonts w:ascii="仿宋_GB2312" w:hAnsi="仿宋" w:eastAsia="仿宋_GB2312" w:cs="仿宋_GB2312"/>
          <w:sz w:val="24"/>
        </w:rPr>
      </w:pPr>
      <w:r>
        <w:rPr>
          <w:rFonts w:hint="eastAsia" w:ascii="仿宋_GB2312" w:hAnsi="仿宋" w:eastAsia="仿宋_GB2312" w:cs="仿宋_GB2312"/>
          <w:sz w:val="24"/>
        </w:rPr>
        <w:t>八、配置清单……………………………………………………（页码）</w:t>
      </w:r>
    </w:p>
    <w:p w14:paraId="2FA08DF0">
      <w:pPr>
        <w:spacing w:line="360" w:lineRule="auto"/>
        <w:ind w:left="2" w:firstLine="480"/>
        <w:rPr>
          <w:rFonts w:ascii="仿宋_GB2312" w:hAnsi="仿宋" w:eastAsia="仿宋_GB2312" w:cs="仿宋_GB2312"/>
          <w:sz w:val="24"/>
        </w:rPr>
      </w:pPr>
      <w:r>
        <w:rPr>
          <w:rFonts w:hint="eastAsia" w:ascii="仿宋_GB2312" w:hAnsi="仿宋" w:eastAsia="仿宋_GB2312" w:cs="仿宋_GB2312"/>
          <w:sz w:val="24"/>
        </w:rPr>
        <w:t>九、售后服务承诺………………</w:t>
      </w:r>
      <w:r>
        <w:rPr>
          <w:rFonts w:hint="eastAsia" w:ascii="仿宋_GB2312" w:hAnsi="仿宋" w:eastAsia="仿宋_GB2312" w:cs="仿宋_GB2312"/>
          <w:sz w:val="24"/>
          <w:lang w:val="zh-CN"/>
        </w:rPr>
        <w:t>………</w:t>
      </w:r>
      <w:r>
        <w:rPr>
          <w:rFonts w:hint="eastAsia" w:ascii="仿宋_GB2312" w:hAnsi="仿宋" w:eastAsia="仿宋_GB2312" w:cs="仿宋_GB2312"/>
          <w:sz w:val="24"/>
        </w:rPr>
        <w:t>……………………（页码）</w:t>
      </w:r>
    </w:p>
    <w:p w14:paraId="4E8868BA">
      <w:pPr>
        <w:spacing w:line="360" w:lineRule="auto"/>
        <w:ind w:left="2" w:firstLine="480"/>
        <w:rPr>
          <w:rFonts w:ascii="仿宋_GB2312" w:hAnsi="仿宋" w:eastAsia="仿宋_GB2312" w:cs="仿宋_GB2312"/>
          <w:sz w:val="24"/>
        </w:rPr>
      </w:pPr>
      <w:r>
        <w:rPr>
          <w:rFonts w:hint="eastAsia" w:ascii="仿宋_GB2312" w:hAnsi="仿宋" w:eastAsia="仿宋_GB2312" w:cs="仿宋_GB2312"/>
          <w:sz w:val="24"/>
        </w:rPr>
        <w:t>十、</w:t>
      </w:r>
      <w:r>
        <w:rPr>
          <w:rFonts w:hint="eastAsia" w:ascii="仿宋_GB2312" w:hAnsi="仿宋" w:eastAsia="仿宋_GB2312" w:cs="仿宋_GB2312"/>
          <w:sz w:val="24"/>
          <w:lang w:val="zh-CN"/>
        </w:rPr>
        <w:t>项目实施人员一览表（如有要求）………………</w:t>
      </w:r>
      <w:r>
        <w:rPr>
          <w:rFonts w:hint="eastAsia" w:ascii="仿宋_GB2312" w:hAnsi="仿宋" w:eastAsia="仿宋_GB2312" w:cs="仿宋_GB2312"/>
          <w:sz w:val="24"/>
        </w:rPr>
        <w:t>…………（页码）</w:t>
      </w:r>
    </w:p>
    <w:p w14:paraId="3CC69587">
      <w:pPr>
        <w:spacing w:line="360" w:lineRule="auto"/>
        <w:ind w:left="2" w:firstLine="480"/>
        <w:rPr>
          <w:rFonts w:ascii="仿宋_GB2312" w:hAnsi="仿宋" w:eastAsia="仿宋_GB2312" w:cs="仿宋_GB2312"/>
          <w:sz w:val="24"/>
        </w:rPr>
      </w:pPr>
      <w:r>
        <w:rPr>
          <w:rFonts w:hint="eastAsia" w:ascii="仿宋_GB2312" w:hAnsi="仿宋" w:eastAsia="仿宋_GB2312" w:cs="仿宋_GB2312"/>
          <w:sz w:val="24"/>
        </w:rPr>
        <w:t>十一、货物需求、商务条款要求提供的其他材料</w:t>
      </w:r>
      <w:r>
        <w:rPr>
          <w:rFonts w:hint="eastAsia" w:ascii="仿宋_GB2312" w:hAnsi="仿宋" w:eastAsia="仿宋_GB2312" w:cs="仿宋_GB2312"/>
          <w:sz w:val="24"/>
          <w:lang w:val="zh-CN"/>
        </w:rPr>
        <w:t>……………</w:t>
      </w:r>
      <w:r>
        <w:rPr>
          <w:rFonts w:hint="eastAsia" w:ascii="仿宋_GB2312" w:hAnsi="仿宋" w:eastAsia="仿宋_GB2312" w:cs="仿宋_GB2312"/>
          <w:sz w:val="24"/>
        </w:rPr>
        <w:t>………（页码）</w:t>
      </w:r>
    </w:p>
    <w:p w14:paraId="477FFE5C">
      <w:pPr>
        <w:spacing w:line="360" w:lineRule="auto"/>
        <w:rPr>
          <w:rFonts w:ascii="仿宋_GB2312" w:hAnsi="仿宋" w:eastAsia="仿宋_GB2312" w:cs="仿宋_GB2312"/>
          <w:b/>
          <w:bCs/>
          <w:sz w:val="24"/>
        </w:rPr>
      </w:pPr>
      <w:r>
        <w:rPr>
          <w:rFonts w:hint="eastAsia" w:ascii="仿宋_GB2312" w:hAnsi="仿宋" w:eastAsia="仿宋_GB2312" w:cs="仿宋_GB2312"/>
          <w:b/>
          <w:bCs/>
          <w:sz w:val="24"/>
        </w:rPr>
        <w:t>注：以上目录是基本格式要求，各供应商可根据自身情况进一步向下增加内容或细化。</w:t>
      </w:r>
    </w:p>
    <w:p w14:paraId="498DDA6A">
      <w:pPr>
        <w:spacing w:before="120" w:after="50" w:line="360" w:lineRule="auto"/>
        <w:ind w:left="142" w:firstLine="640"/>
        <w:jc w:val="left"/>
        <w:rPr>
          <w:rFonts w:ascii="仿宋_GB2312" w:hAnsi="仿宋_GB2312" w:eastAsia="仿宋_GB2312" w:cs="仿宋_GB2312"/>
          <w:sz w:val="32"/>
          <w:szCs w:val="32"/>
        </w:rPr>
      </w:pPr>
    </w:p>
    <w:p w14:paraId="1623EFD5">
      <w:pPr>
        <w:spacing w:line="520" w:lineRule="exact"/>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br w:type="page" w:clear="all"/>
      </w:r>
      <w:r>
        <w:rPr>
          <w:rFonts w:hint="eastAsia" w:ascii="仿宋" w:hAnsi="仿宋" w:eastAsia="仿宋" w:cs="仿宋_GB2312"/>
          <w:b/>
          <w:sz w:val="30"/>
          <w:szCs w:val="30"/>
        </w:rPr>
        <w:t>一、无串标行为承诺函</w:t>
      </w:r>
    </w:p>
    <w:p w14:paraId="46B7C44C">
      <w:pPr>
        <w:spacing w:line="520" w:lineRule="exact"/>
        <w:jc w:val="center"/>
        <w:rPr>
          <w:rFonts w:ascii="方正小标宋简体" w:hAnsi="方正小标宋简体" w:eastAsia="方正小标宋简体" w:cs="方正小标宋简体"/>
          <w:sz w:val="44"/>
          <w:szCs w:val="44"/>
        </w:rPr>
      </w:pPr>
    </w:p>
    <w:p w14:paraId="1131095E">
      <w:pPr>
        <w:spacing w:line="52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无串通竞标行为的承诺函</w:t>
      </w:r>
    </w:p>
    <w:p w14:paraId="65D1399D">
      <w:pPr>
        <w:spacing w:line="520" w:lineRule="exact"/>
        <w:jc w:val="center"/>
        <w:rPr>
          <w:rFonts w:ascii="仿宋_GB2312" w:hAnsi="仿宋_GB2312" w:eastAsia="仿宋_GB2312" w:cs="仿宋_GB2312"/>
          <w:sz w:val="32"/>
          <w:szCs w:val="32"/>
        </w:rPr>
      </w:pPr>
    </w:p>
    <w:p w14:paraId="51F848E6">
      <w:pPr>
        <w:spacing w:line="360" w:lineRule="auto"/>
        <w:ind w:firstLine="482"/>
        <w:rPr>
          <w:rFonts w:ascii="宋体" w:hAnsi="宋体" w:cs="仿宋_GB2312"/>
          <w:b/>
          <w:bCs/>
          <w:sz w:val="24"/>
        </w:rPr>
      </w:pPr>
      <w:r>
        <w:rPr>
          <w:rFonts w:hint="eastAsia" w:ascii="宋体" w:hAnsi="宋体" w:cs="仿宋_GB2312"/>
          <w:b/>
          <w:bCs/>
          <w:sz w:val="24"/>
        </w:rPr>
        <w:t>一、我方承诺无下列相互串通竞标的情形：</w:t>
      </w:r>
    </w:p>
    <w:p w14:paraId="660335D9">
      <w:pPr>
        <w:spacing w:line="360" w:lineRule="auto"/>
        <w:ind w:firstLine="480"/>
        <w:rPr>
          <w:rFonts w:ascii="宋体" w:hAnsi="宋体" w:cs="仿宋_GB2312"/>
          <w:sz w:val="24"/>
        </w:rPr>
      </w:pPr>
      <w:r>
        <w:rPr>
          <w:rFonts w:hint="eastAsia" w:ascii="宋体" w:hAnsi="宋体" w:cs="仿宋_GB2312"/>
          <w:sz w:val="24"/>
        </w:rPr>
        <w:t>1.不同供应商的响应文件由同一单位或者个人编制；</w:t>
      </w:r>
      <w:r>
        <w:rPr>
          <w:rFonts w:hint="eastAsia" w:ascii="宋体" w:hAnsi="宋体"/>
          <w:sz w:val="24"/>
        </w:rPr>
        <w:t>或者不同供应商报名的IP地址一致的；或者编制响应文件硬件设备CPU编号、硬盘编号、网卡地址一致的情况。</w:t>
      </w:r>
    </w:p>
    <w:p w14:paraId="2911528C">
      <w:pPr>
        <w:spacing w:line="360" w:lineRule="auto"/>
        <w:ind w:firstLine="480"/>
        <w:rPr>
          <w:rFonts w:ascii="宋体" w:hAnsi="宋体" w:cs="仿宋_GB2312"/>
          <w:sz w:val="24"/>
        </w:rPr>
      </w:pPr>
      <w:r>
        <w:rPr>
          <w:rFonts w:hint="eastAsia" w:ascii="宋体" w:hAnsi="宋体" w:cs="仿宋_GB2312"/>
          <w:sz w:val="24"/>
        </w:rPr>
        <w:t>2.不同供应商委托同一单位或者个人办理竞标事宜；</w:t>
      </w:r>
    </w:p>
    <w:p w14:paraId="2992F1A9">
      <w:pPr>
        <w:spacing w:line="360" w:lineRule="auto"/>
        <w:ind w:firstLine="480"/>
        <w:rPr>
          <w:rFonts w:ascii="宋体" w:hAnsi="宋体" w:cs="仿宋_GB2312"/>
          <w:sz w:val="24"/>
        </w:rPr>
      </w:pPr>
      <w:r>
        <w:rPr>
          <w:rFonts w:hint="eastAsia" w:ascii="宋体" w:hAnsi="宋体" w:cs="仿宋_GB2312"/>
          <w:sz w:val="24"/>
        </w:rPr>
        <w:t>3.不同的供应商的响应文件载明的项目管理员为同一个人；</w:t>
      </w:r>
    </w:p>
    <w:p w14:paraId="0C65EC64">
      <w:pPr>
        <w:spacing w:line="360" w:lineRule="auto"/>
        <w:ind w:firstLine="480"/>
        <w:rPr>
          <w:rFonts w:ascii="宋体" w:hAnsi="宋体" w:cs="仿宋_GB2312"/>
          <w:sz w:val="24"/>
        </w:rPr>
      </w:pPr>
      <w:r>
        <w:rPr>
          <w:rFonts w:hint="eastAsia" w:ascii="宋体" w:hAnsi="宋体" w:cs="仿宋_GB2312"/>
          <w:sz w:val="24"/>
        </w:rPr>
        <w:t>4.不</w:t>
      </w:r>
      <w:r>
        <w:rPr>
          <w:rFonts w:hint="eastAsia" w:ascii="宋体" w:hAnsi="宋体" w:cs="仿宋_GB2312"/>
          <w:spacing w:val="-6"/>
          <w:sz w:val="24"/>
        </w:rPr>
        <w:t>同供应商的响应文件异常一致或者竞标报价呈规律性差异；</w:t>
      </w:r>
    </w:p>
    <w:p w14:paraId="1505ADD9">
      <w:pPr>
        <w:spacing w:line="360" w:lineRule="auto"/>
        <w:ind w:firstLine="480"/>
        <w:rPr>
          <w:rFonts w:ascii="宋体" w:hAnsi="宋体" w:cs="仿宋_GB2312"/>
          <w:sz w:val="24"/>
        </w:rPr>
      </w:pPr>
      <w:r>
        <w:rPr>
          <w:rFonts w:hint="eastAsia" w:ascii="宋体" w:hAnsi="宋体" w:cs="仿宋_GB2312"/>
          <w:sz w:val="24"/>
        </w:rPr>
        <w:t>5.不同供应商的响应文件相互混装；</w:t>
      </w:r>
    </w:p>
    <w:p w14:paraId="22BB75FF">
      <w:pPr>
        <w:spacing w:line="360" w:lineRule="auto"/>
        <w:ind w:firstLine="480"/>
        <w:rPr>
          <w:rFonts w:ascii="宋体" w:hAnsi="宋体" w:cs="仿宋_GB2312"/>
          <w:sz w:val="24"/>
        </w:rPr>
      </w:pPr>
      <w:r>
        <w:rPr>
          <w:rFonts w:hint="eastAsia" w:ascii="宋体" w:hAnsi="宋体" w:cs="仿宋_GB2312"/>
          <w:sz w:val="24"/>
        </w:rPr>
        <w:t>6.不同供应商的竞标保证金从同一单位或者个人账户转出。</w:t>
      </w:r>
    </w:p>
    <w:p w14:paraId="4082A761">
      <w:pPr>
        <w:spacing w:line="360" w:lineRule="auto"/>
        <w:ind w:firstLine="482"/>
        <w:rPr>
          <w:rFonts w:ascii="宋体" w:hAnsi="宋体" w:cs="仿宋_GB2312"/>
          <w:b/>
          <w:bCs/>
          <w:sz w:val="24"/>
        </w:rPr>
      </w:pPr>
      <w:r>
        <w:rPr>
          <w:rFonts w:hint="eastAsia" w:ascii="宋体" w:hAnsi="宋体" w:cs="仿宋_GB2312"/>
          <w:b/>
          <w:bCs/>
          <w:sz w:val="24"/>
        </w:rPr>
        <w:t>二、我方承诺无下列恶意串通的情形：</w:t>
      </w:r>
    </w:p>
    <w:p w14:paraId="64807543">
      <w:pPr>
        <w:spacing w:line="360" w:lineRule="auto"/>
        <w:ind w:firstLine="480"/>
        <w:rPr>
          <w:rFonts w:ascii="宋体" w:hAnsi="宋体" w:cs="仿宋_GB2312"/>
          <w:sz w:val="24"/>
        </w:rPr>
      </w:pPr>
      <w:r>
        <w:rPr>
          <w:rFonts w:hint="eastAsia" w:ascii="宋体" w:hAnsi="宋体" w:cs="仿宋_GB2312"/>
          <w:sz w:val="24"/>
        </w:rPr>
        <w:t>1.供应商直接或者间接从采购人或者采购代理机构处获得其他供应商的相关信息并修改其响应文件；</w:t>
      </w:r>
    </w:p>
    <w:p w14:paraId="16BF1481">
      <w:pPr>
        <w:spacing w:line="360" w:lineRule="auto"/>
        <w:ind w:firstLine="480"/>
        <w:rPr>
          <w:rFonts w:ascii="宋体" w:hAnsi="宋体" w:cs="仿宋_GB2312"/>
          <w:sz w:val="24"/>
        </w:rPr>
      </w:pPr>
      <w:r>
        <w:rPr>
          <w:rFonts w:hint="eastAsia" w:ascii="宋体" w:hAnsi="宋体" w:cs="仿宋_GB2312"/>
          <w:sz w:val="24"/>
        </w:rPr>
        <w:t>2.供应商按照采购人或者采购代理机构的授意撤换、修改响应文件；</w:t>
      </w:r>
    </w:p>
    <w:p w14:paraId="2731C081">
      <w:pPr>
        <w:spacing w:line="360" w:lineRule="auto"/>
        <w:ind w:firstLine="480"/>
        <w:rPr>
          <w:rFonts w:ascii="宋体" w:hAnsi="宋体" w:cs="仿宋_GB2312"/>
          <w:sz w:val="24"/>
        </w:rPr>
      </w:pPr>
      <w:r>
        <w:rPr>
          <w:rFonts w:hint="eastAsia" w:ascii="宋体" w:hAnsi="宋体" w:cs="仿宋_GB2312"/>
          <w:sz w:val="24"/>
        </w:rPr>
        <w:t>3.供</w:t>
      </w:r>
      <w:r>
        <w:rPr>
          <w:rFonts w:hint="eastAsia" w:ascii="宋体" w:hAnsi="宋体" w:cs="仿宋_GB2312"/>
          <w:spacing w:val="-6"/>
          <w:sz w:val="24"/>
        </w:rPr>
        <w:t>应商之间协商报价、技术方案等响应文件的实质性内容；</w:t>
      </w:r>
    </w:p>
    <w:p w14:paraId="4CDD70F7">
      <w:pPr>
        <w:spacing w:line="360" w:lineRule="auto"/>
        <w:ind w:firstLine="480"/>
        <w:rPr>
          <w:rFonts w:ascii="宋体" w:hAnsi="宋体" w:cs="仿宋_GB2312"/>
          <w:sz w:val="24"/>
        </w:rPr>
      </w:pPr>
      <w:r>
        <w:rPr>
          <w:rFonts w:hint="eastAsia" w:ascii="宋体" w:hAnsi="宋体" w:cs="仿宋_GB2312"/>
          <w:sz w:val="24"/>
        </w:rPr>
        <w:t>4.属于同一集团、协会、商会等组织成员的供应商按照该组织要求协同参加政府采购活动；</w:t>
      </w:r>
    </w:p>
    <w:p w14:paraId="2E89A716">
      <w:pPr>
        <w:spacing w:line="360" w:lineRule="auto"/>
        <w:ind w:firstLine="480"/>
        <w:rPr>
          <w:rFonts w:ascii="宋体" w:hAnsi="宋体" w:cs="仿宋_GB2312"/>
          <w:sz w:val="24"/>
        </w:rPr>
      </w:pPr>
      <w:r>
        <w:rPr>
          <w:rFonts w:hint="eastAsia" w:ascii="宋体" w:hAnsi="宋体" w:cs="仿宋_GB2312"/>
          <w:sz w:val="24"/>
        </w:rPr>
        <w:t>5.供应商之间事先约定一致抬高或者压低竞标报价,或者在竞争性谈判项目中事先约定轮流以高价位或者低价位成交,或者事先约定由某一特定供应商成交,然后再参加竞标；</w:t>
      </w:r>
    </w:p>
    <w:p w14:paraId="1F52E499">
      <w:pPr>
        <w:spacing w:line="360" w:lineRule="auto"/>
        <w:ind w:firstLine="480"/>
        <w:rPr>
          <w:rFonts w:ascii="宋体" w:hAnsi="宋体" w:cs="仿宋_GB2312"/>
          <w:sz w:val="24"/>
        </w:rPr>
      </w:pPr>
      <w:r>
        <w:rPr>
          <w:rFonts w:hint="eastAsia" w:ascii="宋体" w:hAnsi="宋体" w:cs="仿宋_GB2312"/>
          <w:sz w:val="24"/>
        </w:rPr>
        <w:t>6.供应商之间商定部分供应商放弃参加政府采购活动或者放弃成交；</w:t>
      </w:r>
    </w:p>
    <w:p w14:paraId="09AF8F08">
      <w:pPr>
        <w:spacing w:line="360" w:lineRule="auto"/>
        <w:ind w:firstLine="480"/>
        <w:rPr>
          <w:rFonts w:ascii="宋体" w:hAnsi="宋体" w:cs="仿宋_GB2312"/>
          <w:sz w:val="24"/>
        </w:rPr>
      </w:pPr>
      <w:r>
        <w:rPr>
          <w:rFonts w:hint="eastAsia" w:ascii="宋体" w:hAnsi="宋体" w:cs="仿宋_GB2312"/>
          <w:sz w:val="24"/>
        </w:rPr>
        <w:t>7.供应商与采购人或者采购代理机构之间、供应商相互之间，为</w:t>
      </w:r>
      <w:r>
        <w:rPr>
          <w:rFonts w:hint="eastAsia" w:ascii="宋体" w:hAnsi="宋体" w:cs="仿宋_GB2312"/>
          <w:spacing w:val="-6"/>
          <w:sz w:val="24"/>
        </w:rPr>
        <w:t>谋求特定供应商成交或者排斥其他供应商的其他串通行为。</w:t>
      </w:r>
    </w:p>
    <w:p w14:paraId="26DA40E3">
      <w:pPr>
        <w:spacing w:line="360" w:lineRule="auto"/>
        <w:ind w:firstLine="482"/>
        <w:rPr>
          <w:rFonts w:ascii="宋体" w:hAnsi="宋体" w:cs="仿宋_GB2312"/>
          <w:b/>
          <w:bCs/>
          <w:sz w:val="24"/>
        </w:rPr>
      </w:pPr>
      <w:r>
        <w:rPr>
          <w:rFonts w:hint="eastAsia" w:ascii="宋体" w:hAnsi="宋体" w:cs="仿宋_GB2312"/>
          <w:b/>
          <w:bCs/>
          <w:sz w:val="24"/>
        </w:rPr>
        <w:t>以上情形一经核查属实，接受政府采购监管部门对我方认定存在围标串标行为，我方愿意承担一切后果，并不再寻求任何旨在减轻或者免除法律责任的辩解。</w:t>
      </w:r>
    </w:p>
    <w:p w14:paraId="19DF1027">
      <w:pPr>
        <w:spacing w:line="360" w:lineRule="auto"/>
        <w:ind w:left="4335" w:hanging="240"/>
        <w:rPr>
          <w:rFonts w:ascii="仿宋_GB2312" w:hAnsi="仿宋" w:eastAsia="仿宋_GB2312" w:cs="仿宋_GB2312"/>
          <w:sz w:val="24"/>
        </w:rPr>
      </w:pPr>
      <w:r>
        <w:rPr>
          <w:rFonts w:hint="eastAsia" w:ascii="仿宋_GB2312" w:hAnsi="仿宋" w:eastAsia="仿宋_GB2312" w:cs="仿宋_GB2312"/>
          <w:sz w:val="24"/>
        </w:rPr>
        <w:t>供应商名称（电子签章）：</w:t>
      </w:r>
    </w:p>
    <w:p w14:paraId="775E6FAB">
      <w:pPr>
        <w:spacing w:line="520" w:lineRule="exact"/>
        <w:ind w:firstLine="6360"/>
        <w:jc w:val="left"/>
        <w:rPr>
          <w:rFonts w:ascii="方正小标宋简体" w:hAnsi="方正小标宋简体" w:eastAsia="方正小标宋简体" w:cs="方正小标宋简体"/>
          <w:bCs/>
          <w:sz w:val="44"/>
          <w:szCs w:val="44"/>
        </w:rPr>
      </w:pPr>
      <w:r>
        <w:rPr>
          <w:rFonts w:hint="eastAsia" w:ascii="仿宋_GB2312" w:hAnsi="仿宋" w:eastAsia="仿宋_GB2312" w:cs="仿宋_GB2312"/>
          <w:sz w:val="24"/>
          <w:lang w:val="zh-CN"/>
        </w:rPr>
        <w:t>日期：年 月 日</w:t>
      </w:r>
      <w:r>
        <w:rPr>
          <w:rFonts w:hint="eastAsia" w:ascii="宋体" w:hAnsi="宋体"/>
          <w:b/>
          <w:bCs/>
          <w:sz w:val="32"/>
          <w:szCs w:val="32"/>
        </w:rPr>
        <w:br w:type="page" w:clear="all"/>
      </w:r>
      <w:r>
        <w:rPr>
          <w:rFonts w:hint="eastAsia" w:ascii="仿宋" w:hAnsi="仿宋" w:eastAsia="仿宋" w:cs="仿宋_GB2312"/>
          <w:b/>
          <w:sz w:val="30"/>
          <w:szCs w:val="30"/>
        </w:rPr>
        <w:t>二、法定代表人身份证明及法定代表人有效身份证正反面复印件</w:t>
      </w:r>
    </w:p>
    <w:p w14:paraId="75A8DE4E">
      <w:pPr>
        <w:spacing w:line="520" w:lineRule="exact"/>
        <w:jc w:val="center"/>
        <w:rPr>
          <w:rFonts w:ascii="方正小标宋简体" w:hAnsi="方正小标宋简体" w:eastAsia="方正小标宋简体" w:cs="方正小标宋简体"/>
          <w:bCs/>
          <w:sz w:val="44"/>
          <w:szCs w:val="44"/>
        </w:rPr>
      </w:pPr>
    </w:p>
    <w:p w14:paraId="46F67013">
      <w:pPr>
        <w:spacing w:line="520" w:lineRule="exact"/>
        <w:jc w:val="center"/>
        <w:rPr>
          <w:rFonts w:ascii="仿宋_GB2312" w:hAnsi="仿宋_GB2312" w:eastAsia="仿宋_GB2312" w:cs="仿宋_GB2312"/>
          <w:sz w:val="32"/>
          <w:szCs w:val="32"/>
        </w:rPr>
      </w:pPr>
      <w:r>
        <w:rPr>
          <w:rFonts w:hint="eastAsia" w:ascii="方正小标宋简体" w:hAnsi="方正小标宋简体" w:eastAsia="方正小标宋简体" w:cs="方正小标宋简体"/>
          <w:bCs/>
          <w:sz w:val="44"/>
          <w:szCs w:val="44"/>
        </w:rPr>
        <w:t>法定代表人证明书</w:t>
      </w:r>
    </w:p>
    <w:p w14:paraId="447F00AD">
      <w:pPr>
        <w:spacing w:line="360" w:lineRule="auto"/>
        <w:ind w:left="540"/>
        <w:contextualSpacing/>
        <w:rPr>
          <w:rFonts w:ascii="仿宋_GB2312" w:hAnsi="仿宋_GB2312" w:eastAsia="仿宋_GB2312" w:cs="仿宋_GB2312"/>
          <w:sz w:val="32"/>
          <w:szCs w:val="32"/>
        </w:rPr>
      </w:pPr>
    </w:p>
    <w:p w14:paraId="0F7087F9">
      <w:pPr>
        <w:spacing w:line="360" w:lineRule="auto"/>
        <w:ind w:left="540"/>
        <w:contextualSpacing/>
        <w:rPr>
          <w:rFonts w:ascii="宋体" w:hAnsi="宋体" w:cs="仿宋_GB2312"/>
          <w:sz w:val="24"/>
        </w:rPr>
      </w:pPr>
      <w:r>
        <w:rPr>
          <w:rFonts w:hint="eastAsia" w:ascii="宋体" w:hAnsi="宋体" w:cs="仿宋_GB2312"/>
          <w:sz w:val="24"/>
        </w:rPr>
        <w:t>供应商名称：</w:t>
      </w:r>
    </w:p>
    <w:p w14:paraId="03E21141">
      <w:pPr>
        <w:spacing w:line="360" w:lineRule="auto"/>
        <w:ind w:left="540"/>
        <w:contextualSpacing/>
        <w:rPr>
          <w:rFonts w:ascii="宋体" w:hAnsi="宋体" w:cs="仿宋_GB2312"/>
          <w:sz w:val="24"/>
        </w:rPr>
      </w:pPr>
      <w:r>
        <w:rPr>
          <w:rFonts w:hint="eastAsia" w:ascii="宋体" w:hAnsi="宋体" w:cs="仿宋_GB2312"/>
          <w:sz w:val="24"/>
        </w:rPr>
        <w:t>地址：</w:t>
      </w:r>
    </w:p>
    <w:p w14:paraId="0A6E5018">
      <w:pPr>
        <w:spacing w:line="360" w:lineRule="auto"/>
        <w:ind w:left="540"/>
        <w:contextualSpacing/>
        <w:rPr>
          <w:rFonts w:ascii="宋体" w:hAnsi="宋体" w:cs="仿宋_GB2312"/>
          <w:sz w:val="24"/>
        </w:rPr>
      </w:pPr>
      <w:r>
        <w:rPr>
          <w:rFonts w:hint="eastAsia" w:ascii="宋体" w:hAnsi="宋体" w:cs="仿宋_GB2312"/>
          <w:sz w:val="24"/>
        </w:rPr>
        <w:t xml:space="preserve">姓名： </w:t>
      </w:r>
      <w:r>
        <w:rPr>
          <w:rFonts w:ascii="宋体" w:hAnsi="宋体" w:cs="仿宋_GB2312"/>
          <w:sz w:val="24"/>
        </w:rPr>
        <w:t xml:space="preserve">      </w:t>
      </w:r>
      <w:r>
        <w:rPr>
          <w:rFonts w:hint="eastAsia" w:ascii="宋体" w:hAnsi="宋体" w:cs="仿宋_GB2312"/>
          <w:sz w:val="24"/>
        </w:rPr>
        <w:t>性别：</w:t>
      </w:r>
    </w:p>
    <w:p w14:paraId="7DAD1516">
      <w:pPr>
        <w:spacing w:line="360" w:lineRule="auto"/>
        <w:ind w:left="540"/>
        <w:contextualSpacing/>
        <w:rPr>
          <w:rFonts w:ascii="宋体" w:hAnsi="宋体" w:cs="仿宋_GB2312"/>
          <w:sz w:val="24"/>
          <w:u w:val="single"/>
        </w:rPr>
      </w:pPr>
      <w:r>
        <w:rPr>
          <w:rFonts w:hint="eastAsia" w:ascii="宋体" w:hAnsi="宋体" w:cs="仿宋_GB2312"/>
          <w:sz w:val="24"/>
        </w:rPr>
        <w:t xml:space="preserve">年龄： </w:t>
      </w:r>
      <w:r>
        <w:rPr>
          <w:rFonts w:ascii="宋体" w:hAnsi="宋体" w:cs="仿宋_GB2312"/>
          <w:sz w:val="24"/>
        </w:rPr>
        <w:t xml:space="preserve">         </w:t>
      </w:r>
      <w:r>
        <w:rPr>
          <w:rFonts w:hint="eastAsia" w:ascii="宋体" w:hAnsi="宋体" w:cs="仿宋_GB2312"/>
          <w:sz w:val="24"/>
        </w:rPr>
        <w:t>职务：</w:t>
      </w:r>
    </w:p>
    <w:p w14:paraId="2625F307">
      <w:pPr>
        <w:spacing w:line="360" w:lineRule="auto"/>
        <w:ind w:left="540"/>
        <w:contextualSpacing/>
        <w:rPr>
          <w:rFonts w:ascii="宋体" w:hAnsi="宋体" w:cs="仿宋_GB2312"/>
          <w:sz w:val="24"/>
        </w:rPr>
      </w:pPr>
      <w:r>
        <w:rPr>
          <w:rFonts w:hint="eastAsia" w:ascii="宋体" w:hAnsi="宋体" w:cs="仿宋_GB2312"/>
          <w:sz w:val="24"/>
        </w:rPr>
        <w:t>身份证号码：</w:t>
      </w:r>
    </w:p>
    <w:p w14:paraId="1782FD29">
      <w:pPr>
        <w:spacing w:line="360" w:lineRule="auto"/>
        <w:ind w:firstLine="480"/>
        <w:rPr>
          <w:rFonts w:ascii="宋体" w:hAnsi="宋体" w:cs="仿宋_GB2312"/>
          <w:sz w:val="24"/>
        </w:rPr>
      </w:pPr>
      <w:r>
        <w:rPr>
          <w:rFonts w:hint="eastAsia" w:ascii="宋体" w:hAnsi="宋体" w:cs="仿宋_GB2312"/>
          <w:sz w:val="24"/>
        </w:rPr>
        <w:t>系</w:t>
      </w:r>
      <w:r>
        <w:rPr>
          <w:rFonts w:hint="eastAsia" w:ascii="宋体" w:hAnsi="宋体" w:cs="仿宋_GB2312"/>
          <w:sz w:val="24"/>
          <w:u w:val="single"/>
        </w:rPr>
        <w:t xml:space="preserve">（供应商名称） </w:t>
      </w:r>
      <w:r>
        <w:rPr>
          <w:rFonts w:ascii="宋体" w:hAnsi="宋体" w:cs="仿宋_GB2312"/>
          <w:sz w:val="24"/>
          <w:u w:val="single"/>
        </w:rPr>
        <w:t xml:space="preserve">      </w:t>
      </w:r>
      <w:r>
        <w:rPr>
          <w:rFonts w:hint="eastAsia" w:ascii="宋体" w:hAnsi="宋体" w:cs="仿宋_GB2312"/>
          <w:sz w:val="24"/>
        </w:rPr>
        <w:t>的法定代表人。</w:t>
      </w:r>
    </w:p>
    <w:p w14:paraId="59C712D7">
      <w:pPr>
        <w:spacing w:line="360" w:lineRule="auto"/>
        <w:ind w:left="540"/>
        <w:contextualSpacing/>
        <w:rPr>
          <w:rFonts w:ascii="宋体" w:hAnsi="宋体" w:cs="仿宋_GB2312"/>
          <w:sz w:val="24"/>
        </w:rPr>
      </w:pPr>
      <w:r>
        <w:rPr>
          <w:rFonts w:hint="eastAsia" w:ascii="宋体" w:hAnsi="宋体" w:cs="仿宋_GB2312"/>
          <w:sz w:val="24"/>
        </w:rPr>
        <w:t>特此证明。</w:t>
      </w:r>
    </w:p>
    <w:p w14:paraId="40E721AE">
      <w:pPr>
        <w:spacing w:line="360" w:lineRule="auto"/>
        <w:ind w:left="540"/>
        <w:contextualSpacing/>
        <w:rPr>
          <w:rFonts w:ascii="宋体" w:hAnsi="宋体" w:cs="仿宋_GB2312"/>
          <w:sz w:val="24"/>
        </w:rPr>
      </w:pPr>
    </w:p>
    <w:p w14:paraId="198D562B">
      <w:pPr>
        <w:spacing w:line="360" w:lineRule="auto"/>
        <w:ind w:left="540"/>
        <w:contextualSpacing/>
        <w:rPr>
          <w:rFonts w:ascii="宋体" w:hAnsi="宋体" w:cs="仿宋_GB2312"/>
          <w:sz w:val="24"/>
        </w:rPr>
      </w:pPr>
    </w:p>
    <w:p w14:paraId="08E32CD7">
      <w:pPr>
        <w:spacing w:line="360" w:lineRule="auto"/>
        <w:ind w:left="540"/>
        <w:contextualSpacing/>
        <w:rPr>
          <w:rFonts w:ascii="宋体" w:hAnsi="宋体" w:cs="仿宋_GB2312"/>
          <w:sz w:val="24"/>
        </w:rPr>
      </w:pPr>
    </w:p>
    <w:p w14:paraId="29E1204B">
      <w:pPr>
        <w:spacing w:line="360" w:lineRule="auto"/>
        <w:ind w:left="540"/>
        <w:contextualSpacing/>
        <w:rPr>
          <w:rFonts w:ascii="宋体" w:hAnsi="宋体" w:cs="仿宋_GB2312"/>
          <w:sz w:val="24"/>
        </w:rPr>
      </w:pPr>
      <w:r>
        <w:rPr>
          <w:rFonts w:hint="eastAsia" w:ascii="宋体" w:hAnsi="宋体" w:cs="仿宋_GB2312"/>
          <w:sz w:val="24"/>
        </w:rPr>
        <w:t>附件：法定代表人有效身份证正反面复印件</w:t>
      </w:r>
    </w:p>
    <w:p w14:paraId="52643792">
      <w:pPr>
        <w:spacing w:line="360" w:lineRule="auto"/>
        <w:ind w:left="540"/>
        <w:contextualSpacing/>
        <w:rPr>
          <w:rFonts w:ascii="宋体" w:hAnsi="宋体" w:cs="仿宋_GB2312"/>
          <w:sz w:val="24"/>
        </w:rPr>
      </w:pPr>
    </w:p>
    <w:p w14:paraId="2E93C4B9">
      <w:pPr>
        <w:spacing w:line="360" w:lineRule="auto"/>
        <w:ind w:left="4335" w:hanging="240"/>
        <w:rPr>
          <w:rFonts w:ascii="仿宋_GB2312" w:hAnsi="仿宋" w:eastAsia="仿宋_GB2312" w:cs="仿宋_GB2312"/>
          <w:sz w:val="24"/>
        </w:rPr>
      </w:pPr>
      <w:r>
        <w:rPr>
          <w:rFonts w:hint="eastAsia" w:ascii="仿宋_GB2312" w:hAnsi="仿宋" w:eastAsia="仿宋_GB2312" w:cs="仿宋_GB2312"/>
          <w:sz w:val="24"/>
        </w:rPr>
        <w:t>供应商名称（电子签章）：</w:t>
      </w:r>
    </w:p>
    <w:p w14:paraId="2FECA3A5">
      <w:pPr>
        <w:spacing w:line="360" w:lineRule="auto"/>
        <w:jc w:val="center"/>
        <w:rPr>
          <w:rFonts w:ascii="宋体" w:hAnsi="宋体" w:cs="仿宋_GB2312"/>
          <w:b/>
          <w:sz w:val="24"/>
        </w:rPr>
      </w:pPr>
      <w:r>
        <w:rPr>
          <w:rFonts w:hint="eastAsia" w:ascii="仿宋_GB2312" w:hAnsi="仿宋" w:eastAsia="仿宋_GB2312" w:cs="仿宋_GB2312"/>
          <w:sz w:val="24"/>
          <w:lang w:val="zh-CN"/>
        </w:rPr>
        <w:t xml:space="preserve"> </w:t>
      </w:r>
      <w:r>
        <w:rPr>
          <w:rFonts w:ascii="仿宋_GB2312" w:hAnsi="仿宋" w:eastAsia="仿宋_GB2312" w:cs="仿宋_GB2312"/>
          <w:sz w:val="24"/>
          <w:lang w:val="zh-CN"/>
        </w:rPr>
        <w:t xml:space="preserve">        </w:t>
      </w:r>
      <w:r>
        <w:rPr>
          <w:rFonts w:hint="eastAsia" w:ascii="仿宋_GB2312" w:hAnsi="仿宋" w:eastAsia="仿宋_GB2312" w:cs="仿宋_GB2312"/>
          <w:sz w:val="24"/>
          <w:lang w:val="zh-CN"/>
        </w:rPr>
        <w:t>日期：年月日</w:t>
      </w:r>
    </w:p>
    <w:p w14:paraId="38646D35">
      <w:pPr>
        <w:spacing w:line="360" w:lineRule="auto"/>
        <w:jc w:val="left"/>
        <w:rPr>
          <w:rFonts w:ascii="宋体" w:hAnsi="宋体" w:cs="仿宋_GB2312"/>
          <w:sz w:val="24"/>
        </w:rPr>
      </w:pPr>
    </w:p>
    <w:p w14:paraId="739B78E8">
      <w:pPr>
        <w:spacing w:line="360" w:lineRule="auto"/>
        <w:jc w:val="left"/>
        <w:rPr>
          <w:rFonts w:ascii="宋体" w:hAnsi="宋体" w:cs="仿宋_GB2312"/>
          <w:sz w:val="24"/>
        </w:rPr>
      </w:pPr>
      <w:r>
        <w:rPr>
          <w:rFonts w:hint="eastAsia" w:ascii="宋体" w:hAnsi="宋体" w:cs="仿宋_GB2312"/>
          <w:sz w:val="24"/>
        </w:rPr>
        <w:t>注：1.自然人竞标的无需提供，联合体竞标的只需牵头人出具。</w:t>
      </w:r>
    </w:p>
    <w:p w14:paraId="4D0E9F33">
      <w:pPr>
        <w:spacing w:line="360" w:lineRule="auto"/>
        <w:ind w:firstLine="480"/>
        <w:jc w:val="left"/>
        <w:rPr>
          <w:rFonts w:ascii="宋体" w:hAnsi="宋体" w:cs="仿宋_GB2312"/>
          <w:sz w:val="24"/>
        </w:rPr>
      </w:pPr>
      <w:r>
        <w:rPr>
          <w:rFonts w:hint="eastAsia" w:ascii="宋体" w:hAnsi="宋体" w:cs="仿宋_GB2312"/>
          <w:sz w:val="24"/>
        </w:rPr>
        <w:t>2.供应商为其他组织或者自然人时，本谈判文件规定的法定代表人指负责人或者自然人。本谈判文件所称负责人是指参加竞标的其他组织营业执照上的负责人，本谈判文件所称自然人指参与竞标的自然人本人。</w:t>
      </w:r>
    </w:p>
    <w:p w14:paraId="685C857F">
      <w:pPr>
        <w:widowControl/>
        <w:spacing w:line="360" w:lineRule="auto"/>
        <w:jc w:val="left"/>
        <w:rPr>
          <w:rFonts w:ascii="宋体" w:hAnsi="宋体" w:cs="仿宋_GB2312"/>
          <w:sz w:val="24"/>
        </w:rPr>
        <w:sectPr>
          <w:pgSz w:w="11910" w:h="16840"/>
          <w:pgMar w:top="1340" w:right="1500" w:bottom="280" w:left="1680" w:header="720" w:footer="720" w:gutter="0"/>
          <w:cols w:space="1701" w:num="1"/>
        </w:sectPr>
      </w:pPr>
    </w:p>
    <w:tbl>
      <w:tblPr>
        <w:tblStyle w:val="32"/>
        <w:tblpPr w:leftFromText="180" w:rightFromText="180" w:vertAnchor="text" w:horzAnchor="margin" w:tblpY="1169"/>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0"/>
      </w:tblGrid>
      <w:tr w14:paraId="0A6FA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5" w:hRule="atLeast"/>
        </w:trPr>
        <w:tc>
          <w:tcPr>
            <w:tcW w:w="8461" w:type="dxa"/>
            <w:tcBorders>
              <w:top w:val="single" w:color="auto" w:sz="4" w:space="0"/>
              <w:left w:val="single" w:color="auto" w:sz="4" w:space="0"/>
              <w:bottom w:val="single" w:color="auto" w:sz="4" w:space="0"/>
              <w:right w:val="single" w:color="auto" w:sz="4" w:space="0"/>
            </w:tcBorders>
            <w:noWrap/>
          </w:tcPr>
          <w:p w14:paraId="40842BBF">
            <w:pPr>
              <w:spacing w:line="360" w:lineRule="auto"/>
              <w:rPr>
                <w:rFonts w:ascii="宋体"/>
                <w:b/>
                <w:sz w:val="24"/>
              </w:rPr>
            </w:pPr>
          </w:p>
          <w:p w14:paraId="694F2A1E">
            <w:pPr>
              <w:spacing w:line="360" w:lineRule="auto"/>
              <w:rPr>
                <w:rFonts w:ascii="宋体"/>
                <w:b/>
                <w:sz w:val="24"/>
              </w:rPr>
            </w:pPr>
            <w:r>
              <w:rPr>
                <w:rFonts w:hint="eastAsia" w:ascii="宋体"/>
                <w:b/>
                <w:sz w:val="24"/>
              </w:rPr>
              <w:t>法定代表身份证复印件粘帖处（正、反面）</w:t>
            </w:r>
          </w:p>
        </w:tc>
      </w:tr>
    </w:tbl>
    <w:p w14:paraId="322ACE1E">
      <w:pPr>
        <w:spacing w:line="360" w:lineRule="auto"/>
        <w:ind w:firstLine="482"/>
        <w:jc w:val="left"/>
        <w:rPr>
          <w:rFonts w:ascii="仿宋_GB2312" w:hAnsi="仿宋_GB2312" w:eastAsia="仿宋_GB2312" w:cs="仿宋_GB2312"/>
          <w:b/>
          <w:sz w:val="32"/>
          <w:szCs w:val="32"/>
        </w:rPr>
      </w:pPr>
      <w:r>
        <w:rPr>
          <w:rFonts w:hint="eastAsia" w:hAnsi="宋体"/>
          <w:b/>
          <w:sz w:val="24"/>
        </w:rPr>
        <w:t>附件：</w:t>
      </w:r>
    </w:p>
    <w:p w14:paraId="4C5353BE">
      <w:pPr>
        <w:spacing w:line="300" w:lineRule="auto"/>
        <w:jc w:val="left"/>
        <w:rPr>
          <w:rFonts w:ascii="宋体" w:hAnsi="宋体"/>
          <w:b/>
          <w:szCs w:val="21"/>
        </w:rPr>
      </w:pPr>
    </w:p>
    <w:p w14:paraId="4ECC038B">
      <w:pPr>
        <w:spacing w:line="360" w:lineRule="auto"/>
        <w:ind w:firstLine="880"/>
        <w:rPr>
          <w:rFonts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sz w:val="44"/>
          <w:szCs w:val="44"/>
        </w:rPr>
        <w:br w:type="page" w:clear="all"/>
      </w:r>
      <w:r>
        <w:rPr>
          <w:rFonts w:hint="eastAsia" w:ascii="仿宋" w:hAnsi="仿宋" w:eastAsia="仿宋" w:cs="仿宋_GB2312"/>
          <w:b/>
          <w:sz w:val="30"/>
          <w:szCs w:val="30"/>
        </w:rPr>
        <w:t>三、法定代表人授权委托书</w:t>
      </w:r>
    </w:p>
    <w:p w14:paraId="4906BF70">
      <w:pPr>
        <w:spacing w:line="500" w:lineRule="exact"/>
        <w:jc w:val="center"/>
        <w:rPr>
          <w:rFonts w:ascii="方正小标宋简体" w:hAnsi="方正小标宋简体" w:eastAsia="方正小标宋简体" w:cs="方正小标宋简体"/>
          <w:sz w:val="44"/>
          <w:szCs w:val="44"/>
        </w:rPr>
      </w:pPr>
    </w:p>
    <w:p w14:paraId="5465E199">
      <w:pPr>
        <w:spacing w:line="52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授权委托书（非联合体竞标格式）</w:t>
      </w:r>
    </w:p>
    <w:p w14:paraId="27502299">
      <w:pPr>
        <w:spacing w:line="52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（如有委托时）</w:t>
      </w:r>
    </w:p>
    <w:p w14:paraId="624A061D">
      <w:pPr>
        <w:spacing w:line="520" w:lineRule="exact"/>
        <w:rPr>
          <w:rFonts w:ascii="仿宋_GB2312" w:hAnsi="仿宋_GB2312" w:eastAsia="仿宋_GB2312" w:cs="仿宋_GB2312"/>
          <w:sz w:val="32"/>
          <w:szCs w:val="32"/>
        </w:rPr>
      </w:pPr>
    </w:p>
    <w:p w14:paraId="4C9E9C53">
      <w:pPr>
        <w:spacing w:line="360" w:lineRule="auto"/>
        <w:rPr>
          <w:rFonts w:ascii="宋体" w:hAnsi="宋体" w:cs="仿宋_GB2312"/>
          <w:sz w:val="24"/>
        </w:rPr>
      </w:pPr>
      <w:r>
        <w:rPr>
          <w:rFonts w:hint="eastAsia" w:ascii="宋体" w:hAnsi="宋体" w:cs="仿宋_GB2312"/>
          <w:sz w:val="24"/>
        </w:rPr>
        <w:t>致：</w:t>
      </w:r>
      <w:bookmarkStart w:id="84" w:name="PO_3000001871_PM031_7"/>
      <w:r>
        <w:rPr>
          <w:rFonts w:hint="eastAsia" w:ascii="宋体" w:hAnsi="宋体" w:cs="仿宋_GB2312"/>
          <w:sz w:val="24"/>
          <w:u w:val="single"/>
        </w:rPr>
        <w:t>[项目采购-采购组织机构_]</w:t>
      </w:r>
      <w:bookmarkEnd w:id="84"/>
      <w:r>
        <w:rPr>
          <w:rFonts w:ascii="宋体" w:hAnsi="宋体" w:cs="仿宋_GB2312"/>
          <w:sz w:val="24"/>
          <w:u w:val="single"/>
        </w:rPr>
        <w:t xml:space="preserve">  </w:t>
      </w:r>
      <w:r>
        <w:rPr>
          <w:rFonts w:hint="eastAsia" w:ascii="宋体" w:hAnsi="宋体" w:cs="仿宋_GB2312"/>
          <w:sz w:val="24"/>
        </w:rPr>
        <w:t>：</w:t>
      </w:r>
    </w:p>
    <w:p w14:paraId="03A15479">
      <w:pPr>
        <w:spacing w:line="360" w:lineRule="auto"/>
        <w:ind w:firstLine="480"/>
        <w:rPr>
          <w:rFonts w:ascii="宋体" w:hAnsi="宋体" w:cs="仿宋_GB2312"/>
          <w:sz w:val="24"/>
        </w:rPr>
      </w:pPr>
      <w:r>
        <w:rPr>
          <w:rFonts w:hint="eastAsia" w:ascii="宋体" w:hAnsi="宋体" w:cs="仿宋_GB2312"/>
          <w:sz w:val="24"/>
        </w:rPr>
        <w:t>我</w:t>
      </w:r>
      <w:r>
        <w:rPr>
          <w:rFonts w:hint="eastAsia" w:ascii="宋体" w:hAnsi="宋体" w:cs="仿宋_GB2312"/>
          <w:sz w:val="24"/>
          <w:u w:val="single"/>
        </w:rPr>
        <w:t>（姓名）</w:t>
      </w:r>
      <w:r>
        <w:rPr>
          <w:rFonts w:hint="eastAsia" w:ascii="宋体" w:hAnsi="宋体" w:cs="仿宋_GB2312"/>
          <w:sz w:val="24"/>
        </w:rPr>
        <w:t>系</w:t>
      </w:r>
      <w:r>
        <w:rPr>
          <w:rFonts w:hint="eastAsia" w:ascii="宋体" w:hAnsi="宋体" w:cs="仿宋_GB2312"/>
          <w:sz w:val="24"/>
          <w:u w:val="single"/>
        </w:rPr>
        <w:t>（供应商名称）</w:t>
      </w:r>
      <w:r>
        <w:rPr>
          <w:rFonts w:hint="eastAsia" w:ascii="宋体" w:hAnsi="宋体" w:cs="仿宋_GB2312"/>
          <w:sz w:val="24"/>
        </w:rPr>
        <w:t>的（</w:t>
      </w:r>
      <w:r>
        <w:rPr>
          <w:rFonts w:hint="eastAsia" w:ascii="宋体" w:hAnsi="宋体" w:cs="仿宋_GB2312"/>
          <w:sz w:val="24"/>
          <w:u w:val="single"/>
        </w:rPr>
        <w:t>□法定代表人/□负责人/□自然人本人</w:t>
      </w:r>
      <w:r>
        <w:rPr>
          <w:rFonts w:hint="eastAsia" w:ascii="宋体" w:hAnsi="宋体" w:cs="仿宋_GB2312"/>
          <w:sz w:val="24"/>
        </w:rPr>
        <w:t>），现授权</w:t>
      </w:r>
      <w:r>
        <w:rPr>
          <w:rFonts w:hint="eastAsia" w:ascii="宋体" w:hAnsi="宋体" w:cs="仿宋_GB2312"/>
          <w:sz w:val="24"/>
          <w:u w:val="single"/>
        </w:rPr>
        <w:t>（姓名）</w:t>
      </w:r>
      <w:r>
        <w:rPr>
          <w:rFonts w:hint="eastAsia" w:ascii="宋体" w:hAnsi="宋体" w:cs="仿宋_GB2312"/>
          <w:sz w:val="24"/>
        </w:rPr>
        <w:t>以我方的名义参加</w:t>
      </w:r>
      <w:bookmarkStart w:id="85" w:name="PO_3000001871_PM002_7"/>
      <w:r>
        <w:rPr>
          <w:rFonts w:hint="eastAsia" w:ascii="宋体" w:hAnsi="宋体" w:cs="仿宋_GB2312"/>
          <w:sz w:val="24"/>
          <w:u w:val="single"/>
        </w:rPr>
        <w:t>[项目采购-项目名称]</w:t>
      </w:r>
      <w:bookmarkEnd w:id="85"/>
      <w:r>
        <w:rPr>
          <w:rFonts w:ascii="宋体" w:hAnsi="宋体" w:cs="仿宋_GB2312"/>
          <w:sz w:val="24"/>
          <w:u w:val="single"/>
        </w:rPr>
        <w:t xml:space="preserve">      </w:t>
      </w:r>
      <w:r>
        <w:rPr>
          <w:rFonts w:hint="eastAsia" w:ascii="宋体" w:hAnsi="宋体" w:cs="仿宋_GB2312"/>
          <w:sz w:val="24"/>
        </w:rPr>
        <w:t>项目的竞标活动，并代表我方全权办理针对上述项目的所有采购程序和环节的具体事务和签署相关文件。</w:t>
      </w:r>
    </w:p>
    <w:p w14:paraId="5D19DC94">
      <w:pPr>
        <w:spacing w:line="360" w:lineRule="auto"/>
        <w:rPr>
          <w:rFonts w:ascii="宋体" w:hAnsi="宋体" w:cs="仿宋_GB2312"/>
          <w:sz w:val="24"/>
        </w:rPr>
      </w:pPr>
      <w:r>
        <w:rPr>
          <w:rFonts w:hint="eastAsia" w:ascii="宋体" w:hAnsi="宋体" w:cs="仿宋_GB2312"/>
          <w:sz w:val="24"/>
        </w:rPr>
        <w:t>我方对委托代理人的签字事项负全部责任。</w:t>
      </w:r>
    </w:p>
    <w:p w14:paraId="3E37C20F">
      <w:pPr>
        <w:spacing w:line="360" w:lineRule="auto"/>
        <w:ind w:firstLine="480"/>
        <w:rPr>
          <w:rFonts w:ascii="宋体" w:hAnsi="宋体" w:cs="仿宋_GB2312"/>
          <w:sz w:val="24"/>
        </w:rPr>
      </w:pPr>
      <w:r>
        <w:rPr>
          <w:rFonts w:hint="eastAsia" w:ascii="宋体" w:hAnsi="宋体" w:cs="仿宋_GB2312"/>
          <w:sz w:val="24"/>
        </w:rPr>
        <w:t>本授权书自签署之日起生效，在撤销授权的书面通知以前，本授权书一直有效。委托代理人在授权书有效期内签署的所有文件不因授权的撤销而失效。</w:t>
      </w:r>
    </w:p>
    <w:p w14:paraId="1F20955C">
      <w:pPr>
        <w:spacing w:line="360" w:lineRule="auto"/>
        <w:ind w:firstLine="480"/>
        <w:rPr>
          <w:rFonts w:ascii="宋体" w:hAnsi="宋体" w:cs="仿宋_GB2312"/>
          <w:sz w:val="24"/>
        </w:rPr>
      </w:pPr>
      <w:r>
        <w:rPr>
          <w:rFonts w:hint="eastAsia" w:ascii="宋体" w:hAnsi="宋体" w:cs="仿宋_GB2312"/>
          <w:sz w:val="24"/>
        </w:rPr>
        <w:t>委托代理人无转委托权，特此委托。</w:t>
      </w:r>
    </w:p>
    <w:p w14:paraId="024B7A00">
      <w:pPr>
        <w:spacing w:line="360" w:lineRule="auto"/>
        <w:ind w:firstLine="480"/>
        <w:rPr>
          <w:rFonts w:ascii="宋体" w:hAnsi="宋体" w:cs="仿宋_GB2312"/>
          <w:sz w:val="24"/>
        </w:rPr>
      </w:pPr>
      <w:r>
        <w:rPr>
          <w:rFonts w:hint="eastAsia" w:ascii="宋体" w:hAnsi="宋体" w:cs="仿宋_GB2312"/>
          <w:sz w:val="24"/>
        </w:rPr>
        <w:t>附：法定代表人身份证明书及委托代理人有效身份证正反面复印件</w:t>
      </w:r>
    </w:p>
    <w:p w14:paraId="75611D48">
      <w:pPr>
        <w:spacing w:line="360" w:lineRule="auto"/>
        <w:rPr>
          <w:rFonts w:ascii="宋体" w:hAnsi="宋体" w:cs="仿宋_GB2312"/>
          <w:sz w:val="24"/>
        </w:rPr>
      </w:pPr>
    </w:p>
    <w:p w14:paraId="1E0D570F">
      <w:pPr>
        <w:spacing w:line="360" w:lineRule="auto"/>
        <w:rPr>
          <w:rFonts w:ascii="宋体" w:hAnsi="宋体" w:cs="仿宋_GB2312"/>
          <w:sz w:val="24"/>
        </w:rPr>
      </w:pPr>
      <w:r>
        <w:rPr>
          <w:rFonts w:hint="eastAsia" w:ascii="宋体" w:hAnsi="宋体" w:cs="仿宋_GB2312"/>
          <w:sz w:val="24"/>
        </w:rPr>
        <w:t xml:space="preserve">委托代理人（签字）： </w:t>
      </w:r>
      <w:r>
        <w:rPr>
          <w:rFonts w:ascii="宋体" w:hAnsi="宋体" w:cs="仿宋_GB2312"/>
          <w:sz w:val="24"/>
        </w:rPr>
        <w:t xml:space="preserve">              </w:t>
      </w:r>
      <w:r>
        <w:rPr>
          <w:rFonts w:hint="eastAsia" w:ascii="宋体" w:hAnsi="宋体" w:cs="仿宋_GB2312"/>
          <w:sz w:val="24"/>
        </w:rPr>
        <w:t>法定代表人（签字或盖章）：</w:t>
      </w:r>
    </w:p>
    <w:p w14:paraId="6509CDFB">
      <w:pPr>
        <w:spacing w:line="360" w:lineRule="auto"/>
        <w:rPr>
          <w:rFonts w:ascii="宋体" w:hAnsi="宋体" w:cs="仿宋_GB2312"/>
          <w:sz w:val="24"/>
        </w:rPr>
      </w:pPr>
      <w:r>
        <w:rPr>
          <w:rFonts w:hint="eastAsia" w:ascii="宋体" w:hAnsi="宋体" w:cs="仿宋_GB2312"/>
          <w:sz w:val="24"/>
        </w:rPr>
        <w:t>委托代理人身份证号码：</w:t>
      </w:r>
    </w:p>
    <w:p w14:paraId="0EA2315E">
      <w:pPr>
        <w:spacing w:line="360" w:lineRule="auto"/>
        <w:rPr>
          <w:rFonts w:ascii="宋体" w:hAnsi="宋体" w:cs="仿宋_GB2312"/>
          <w:sz w:val="24"/>
        </w:rPr>
      </w:pPr>
    </w:p>
    <w:p w14:paraId="256EC785">
      <w:pPr>
        <w:spacing w:line="360" w:lineRule="auto"/>
        <w:ind w:firstLine="3840"/>
        <w:rPr>
          <w:rFonts w:ascii="宋体" w:hAnsi="宋体" w:cs="仿宋_GB2312"/>
          <w:sz w:val="24"/>
        </w:rPr>
      </w:pPr>
      <w:r>
        <w:rPr>
          <w:rFonts w:hint="eastAsia" w:ascii="仿宋_GB2312" w:hAnsi="仿宋" w:eastAsia="仿宋_GB2312" w:cs="仿宋_GB2312"/>
          <w:sz w:val="24"/>
        </w:rPr>
        <w:t>供应商名称（电子签章）：</w:t>
      </w:r>
    </w:p>
    <w:p w14:paraId="0CDCA968">
      <w:pPr>
        <w:spacing w:line="360" w:lineRule="auto"/>
        <w:jc w:val="center"/>
        <w:rPr>
          <w:rFonts w:ascii="宋体" w:hAnsi="宋体" w:cs="仿宋_GB2312"/>
          <w:b/>
          <w:sz w:val="24"/>
        </w:rPr>
      </w:pPr>
      <w:r>
        <w:rPr>
          <w:rFonts w:hint="eastAsia" w:ascii="仿宋_GB2312" w:hAnsi="仿宋" w:eastAsia="仿宋_GB2312" w:cs="仿宋_GB2312"/>
          <w:sz w:val="24"/>
          <w:lang w:val="zh-CN"/>
        </w:rPr>
        <w:t xml:space="preserve"> </w:t>
      </w:r>
      <w:r>
        <w:rPr>
          <w:rFonts w:ascii="仿宋_GB2312" w:hAnsi="仿宋" w:eastAsia="仿宋_GB2312" w:cs="仿宋_GB2312"/>
          <w:sz w:val="24"/>
          <w:lang w:val="zh-CN"/>
        </w:rPr>
        <w:t xml:space="preserve">  </w:t>
      </w:r>
      <w:r>
        <w:rPr>
          <w:rFonts w:hint="eastAsia" w:ascii="仿宋_GB2312" w:hAnsi="仿宋" w:eastAsia="仿宋_GB2312" w:cs="仿宋_GB2312"/>
          <w:sz w:val="24"/>
          <w:lang w:val="zh-CN"/>
        </w:rPr>
        <w:t>日期：年 月 日</w:t>
      </w:r>
    </w:p>
    <w:p w14:paraId="278EE6F2">
      <w:pPr>
        <w:spacing w:line="360" w:lineRule="auto"/>
        <w:rPr>
          <w:rFonts w:ascii="宋体" w:hAnsi="宋体" w:cs="仿宋_GB2312"/>
          <w:sz w:val="24"/>
        </w:rPr>
      </w:pPr>
    </w:p>
    <w:p w14:paraId="2077A724">
      <w:pPr>
        <w:spacing w:line="360" w:lineRule="auto"/>
        <w:rPr>
          <w:rFonts w:ascii="宋体" w:hAnsi="宋体" w:cs="仿宋_GB2312"/>
          <w:sz w:val="24"/>
        </w:rPr>
      </w:pPr>
      <w:r>
        <w:rPr>
          <w:rFonts w:hint="eastAsia" w:ascii="宋体" w:hAnsi="宋体" w:cs="仿宋_GB2312"/>
          <w:sz w:val="24"/>
        </w:rPr>
        <w:t>注：1. 法定代表人必须在授权委托书上亲笔签字或盖章，委托代理人必须在授权委托书上亲笔签字，</w:t>
      </w:r>
      <w:r>
        <w:rPr>
          <w:rFonts w:hint="eastAsia" w:ascii="宋体" w:hAnsi="宋体" w:cs="仿宋_GB2312"/>
          <w:b/>
          <w:sz w:val="24"/>
        </w:rPr>
        <w:t>否则其响应文件按无效响应处理。</w:t>
      </w:r>
    </w:p>
    <w:p w14:paraId="267C2D6B">
      <w:pPr>
        <w:spacing w:line="360" w:lineRule="auto"/>
        <w:ind w:firstLine="480"/>
        <w:jc w:val="left"/>
        <w:rPr>
          <w:rFonts w:ascii="宋体" w:hAnsi="宋体" w:cs="仿宋_GB2312"/>
          <w:sz w:val="24"/>
        </w:rPr>
      </w:pPr>
      <w:r>
        <w:rPr>
          <w:rFonts w:hint="eastAsia" w:ascii="宋体" w:hAnsi="宋体" w:cs="仿宋_GB2312"/>
          <w:sz w:val="24"/>
        </w:rPr>
        <w:t>2.供应商为其他组织或者自然人时，本谈判文件规定的法定代表人指负责人或者自然人。本谈判文件所称负责人是指参加竞标的其他组织营业执照上的负责人，本谈判文件所称自然人指参与竞标的自然人本人。</w:t>
      </w:r>
    </w:p>
    <w:p w14:paraId="4098DA7B">
      <w:pPr>
        <w:spacing w:line="360" w:lineRule="auto"/>
        <w:ind w:firstLine="480"/>
        <w:jc w:val="left"/>
        <w:rPr>
          <w:rFonts w:ascii="宋体" w:hAnsi="宋体" w:cs="仿宋_GB2312"/>
          <w:sz w:val="24"/>
        </w:rPr>
      </w:pPr>
      <w:r>
        <w:rPr>
          <w:rFonts w:hint="eastAsia" w:ascii="宋体" w:hAnsi="宋体" w:cs="仿宋_GB2312"/>
          <w:sz w:val="24"/>
        </w:rPr>
        <w:t>3. 法人、其他组织竞标时“我方”是指“我单位”，自然人竞标时“我方”是指“本人”。</w:t>
      </w:r>
    </w:p>
    <w:p w14:paraId="030D2AAD">
      <w:pPr>
        <w:spacing w:line="360" w:lineRule="auto"/>
        <w:ind w:firstLine="420"/>
        <w:jc w:val="left"/>
        <w:rPr>
          <w:rFonts w:ascii="仿宋_GB2312" w:hAnsi="仿宋_GB2312" w:eastAsia="仿宋_GB2312" w:cs="仿宋_GB2312"/>
          <w:szCs w:val="21"/>
        </w:rPr>
      </w:pPr>
    </w:p>
    <w:p w14:paraId="36F5C09A">
      <w:pPr>
        <w:spacing w:line="500" w:lineRule="exact"/>
        <w:jc w:val="center"/>
        <w:rPr>
          <w:rFonts w:ascii="方正小标宋简体" w:hAnsi="方正小标宋简体" w:eastAsia="方正小标宋简体" w:cs="方正小标宋简体"/>
          <w:sz w:val="44"/>
          <w:szCs w:val="44"/>
        </w:rPr>
      </w:pPr>
      <w:r>
        <w:rPr>
          <w:rFonts w:hint="eastAsia" w:ascii="仿宋_GB2312" w:hAnsi="仿宋_GB2312" w:eastAsia="仿宋_GB2312" w:cs="仿宋_GB2312"/>
          <w:szCs w:val="21"/>
        </w:rPr>
        <w:br w:type="page" w:clear="all"/>
      </w:r>
      <w:r>
        <w:rPr>
          <w:rFonts w:hint="eastAsia" w:ascii="方正小标宋简体" w:hAnsi="方正小标宋简体" w:eastAsia="方正小标宋简体" w:cs="方正小标宋简体"/>
          <w:sz w:val="44"/>
          <w:szCs w:val="44"/>
        </w:rPr>
        <w:t>授权委托书（联合体竞标格式）</w:t>
      </w:r>
    </w:p>
    <w:p w14:paraId="34C369CC">
      <w:pPr>
        <w:spacing w:line="50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（如有委托时）</w:t>
      </w:r>
    </w:p>
    <w:p w14:paraId="7CE1A50B">
      <w:pPr>
        <w:spacing w:line="500" w:lineRule="exact"/>
        <w:jc w:val="center"/>
        <w:rPr>
          <w:rFonts w:ascii="方正小标宋简体" w:hAnsi="方正小标宋简体" w:eastAsia="方正小标宋简体" w:cs="方正小标宋简体"/>
          <w:sz w:val="44"/>
          <w:szCs w:val="44"/>
        </w:rPr>
      </w:pPr>
    </w:p>
    <w:p w14:paraId="132E451B">
      <w:pPr>
        <w:spacing w:line="500" w:lineRule="exact"/>
        <w:jc w:val="center"/>
        <w:rPr>
          <w:rFonts w:ascii="仿宋_GB2312" w:hAnsi="仿宋_GB2312" w:eastAsia="仿宋_GB2312" w:cs="仿宋_GB2312"/>
          <w:sz w:val="32"/>
          <w:szCs w:val="32"/>
        </w:rPr>
      </w:pPr>
    </w:p>
    <w:p w14:paraId="7BEF5683">
      <w:pPr>
        <w:spacing w:line="360" w:lineRule="auto"/>
        <w:ind w:firstLine="480"/>
        <w:jc w:val="left"/>
        <w:rPr>
          <w:rFonts w:ascii="宋体" w:hAnsi="宋体" w:cs="仿宋_GB2312"/>
          <w:sz w:val="24"/>
        </w:rPr>
      </w:pPr>
      <w:r>
        <w:rPr>
          <w:rFonts w:hint="eastAsia" w:ascii="宋体" w:hAnsi="宋体" w:cs="仿宋_GB2312"/>
          <w:sz w:val="24"/>
        </w:rPr>
        <w:t>本授权委托书声明：根据（牵头人名称）与（联合体其他成员名称）签订的《联合体竞标协议书》的内容，（牵头人名称）的法定代表人（姓名）现授权（姓名）为联合委托代理人，并代表我方全权办理针对上述项目的所有采购程序和环节的具体事务和签署相关文件。</w:t>
      </w:r>
    </w:p>
    <w:p w14:paraId="4F4645D9">
      <w:pPr>
        <w:spacing w:line="360" w:lineRule="auto"/>
        <w:ind w:firstLine="480"/>
        <w:rPr>
          <w:rFonts w:ascii="宋体" w:hAnsi="宋体" w:cs="仿宋_GB2312"/>
          <w:sz w:val="24"/>
        </w:rPr>
      </w:pPr>
      <w:r>
        <w:rPr>
          <w:rFonts w:hint="eastAsia" w:ascii="宋体" w:hAnsi="宋体" w:cs="仿宋_GB2312"/>
          <w:sz w:val="24"/>
        </w:rPr>
        <w:t>我方对委托代理人的签字事项负全部责任。</w:t>
      </w:r>
    </w:p>
    <w:p w14:paraId="1B48BB84">
      <w:pPr>
        <w:spacing w:line="360" w:lineRule="auto"/>
        <w:ind w:firstLine="480"/>
        <w:rPr>
          <w:rFonts w:ascii="宋体" w:hAnsi="宋体" w:cs="仿宋_GB2312"/>
          <w:sz w:val="24"/>
        </w:rPr>
      </w:pPr>
      <w:r>
        <w:rPr>
          <w:rFonts w:hint="eastAsia" w:ascii="宋体" w:hAnsi="宋体" w:cs="仿宋_GB2312"/>
          <w:sz w:val="24"/>
        </w:rPr>
        <w:t>本授权书自签署之日起生效，在撤销授权的书面通知以前，本授权书一直有效。委托代理人在授权书有效期内签署的所有文件不因授权的撤销而失效。</w:t>
      </w:r>
    </w:p>
    <w:p w14:paraId="310B7A59">
      <w:pPr>
        <w:spacing w:line="360" w:lineRule="auto"/>
        <w:ind w:firstLine="480"/>
        <w:rPr>
          <w:rFonts w:ascii="宋体" w:hAnsi="宋体" w:cs="仿宋_GB2312"/>
          <w:sz w:val="24"/>
        </w:rPr>
      </w:pPr>
      <w:r>
        <w:rPr>
          <w:rFonts w:hint="eastAsia" w:ascii="宋体" w:hAnsi="宋体" w:cs="仿宋_GB2312"/>
          <w:sz w:val="24"/>
        </w:rPr>
        <w:t>委托代理人无转委托权，特此委托。</w:t>
      </w:r>
    </w:p>
    <w:p w14:paraId="6BCB787A">
      <w:pPr>
        <w:spacing w:line="360" w:lineRule="auto"/>
        <w:rPr>
          <w:rFonts w:ascii="宋体" w:hAnsi="宋体" w:cs="仿宋_GB2312"/>
          <w:sz w:val="24"/>
        </w:rPr>
      </w:pPr>
    </w:p>
    <w:p w14:paraId="0478667A">
      <w:pPr>
        <w:spacing w:line="360" w:lineRule="auto"/>
        <w:ind w:firstLine="1560"/>
        <w:rPr>
          <w:rFonts w:ascii="宋体" w:hAnsi="宋体" w:cs="仿宋_GB2312"/>
          <w:sz w:val="24"/>
        </w:rPr>
      </w:pPr>
      <w:r>
        <w:rPr>
          <w:rFonts w:hint="eastAsia" w:ascii="宋体" w:hAnsi="宋体" w:cs="仿宋_GB2312"/>
          <w:sz w:val="24"/>
        </w:rPr>
        <w:t>牵头人法定代表人（签字或盖章）：</w:t>
      </w:r>
    </w:p>
    <w:p w14:paraId="099D8B2E">
      <w:pPr>
        <w:spacing w:line="360" w:lineRule="auto"/>
        <w:ind w:firstLine="3000"/>
        <w:rPr>
          <w:rFonts w:ascii="宋体" w:hAnsi="宋体" w:cs="仿宋_GB2312"/>
          <w:sz w:val="24"/>
        </w:rPr>
      </w:pPr>
      <w:r>
        <w:rPr>
          <w:rFonts w:hint="eastAsia" w:ascii="宋体" w:hAnsi="宋体" w:cs="仿宋_GB2312"/>
          <w:sz w:val="24"/>
        </w:rPr>
        <w:t>牵头人（电子签章）：</w:t>
      </w:r>
    </w:p>
    <w:p w14:paraId="50623A0B">
      <w:pPr>
        <w:spacing w:line="360" w:lineRule="auto"/>
        <w:ind w:firstLine="3840"/>
        <w:rPr>
          <w:rFonts w:ascii="宋体" w:hAnsi="宋体" w:cs="仿宋_GB2312"/>
          <w:sz w:val="24"/>
        </w:rPr>
      </w:pPr>
      <w:r>
        <w:rPr>
          <w:rFonts w:hint="eastAsia" w:ascii="宋体" w:hAnsi="宋体" w:cs="仿宋_GB2312"/>
          <w:sz w:val="24"/>
        </w:rPr>
        <w:t>日期：年月日</w:t>
      </w:r>
    </w:p>
    <w:p w14:paraId="5B8B5B21">
      <w:pPr>
        <w:spacing w:line="360" w:lineRule="auto"/>
        <w:rPr>
          <w:rFonts w:ascii="宋体" w:hAnsi="宋体" w:cs="仿宋_GB2312"/>
          <w:sz w:val="24"/>
        </w:rPr>
      </w:pPr>
    </w:p>
    <w:p w14:paraId="32A71692">
      <w:pPr>
        <w:spacing w:line="360" w:lineRule="auto"/>
        <w:ind w:firstLine="3120"/>
        <w:rPr>
          <w:rFonts w:ascii="宋体" w:hAnsi="宋体" w:cs="仿宋_GB2312"/>
          <w:sz w:val="24"/>
        </w:rPr>
      </w:pPr>
      <w:r>
        <w:rPr>
          <w:rFonts w:hint="eastAsia" w:ascii="宋体" w:hAnsi="宋体" w:cs="仿宋_GB2312"/>
          <w:sz w:val="24"/>
        </w:rPr>
        <w:t>被授权人（签字）：</w:t>
      </w:r>
    </w:p>
    <w:p w14:paraId="7ACDF4D9">
      <w:pPr>
        <w:spacing w:line="360" w:lineRule="auto"/>
        <w:ind w:firstLine="3840"/>
        <w:rPr>
          <w:rFonts w:ascii="宋体" w:hAnsi="宋体" w:cs="仿宋_GB2312"/>
          <w:sz w:val="24"/>
        </w:rPr>
      </w:pPr>
      <w:r>
        <w:rPr>
          <w:rFonts w:hint="eastAsia" w:ascii="宋体" w:hAnsi="宋体" w:cs="仿宋_GB2312"/>
          <w:sz w:val="24"/>
        </w:rPr>
        <w:t>日期：年月日</w:t>
      </w:r>
    </w:p>
    <w:p w14:paraId="02C7D4CA">
      <w:pPr>
        <w:spacing w:line="360" w:lineRule="auto"/>
        <w:rPr>
          <w:rFonts w:ascii="宋体" w:hAnsi="宋体" w:cs="仿宋_GB2312"/>
          <w:sz w:val="24"/>
        </w:rPr>
      </w:pPr>
    </w:p>
    <w:p w14:paraId="163BAAD1">
      <w:pPr>
        <w:spacing w:line="360" w:lineRule="auto"/>
        <w:rPr>
          <w:rFonts w:ascii="宋体" w:hAnsi="宋体" w:cs="仿宋_GB2312"/>
          <w:sz w:val="24"/>
        </w:rPr>
      </w:pPr>
      <w:r>
        <w:rPr>
          <w:rFonts w:hint="eastAsia" w:ascii="宋体" w:hAnsi="宋体" w:cs="仿宋_GB2312"/>
          <w:sz w:val="24"/>
        </w:rPr>
        <w:t>注：</w:t>
      </w:r>
    </w:p>
    <w:p w14:paraId="218AB720">
      <w:pPr>
        <w:spacing w:line="360" w:lineRule="auto"/>
        <w:rPr>
          <w:rFonts w:ascii="宋体" w:hAnsi="宋体" w:cs="仿宋_GB2312"/>
          <w:sz w:val="24"/>
        </w:rPr>
      </w:pPr>
      <w:r>
        <w:rPr>
          <w:rFonts w:hint="eastAsia" w:ascii="宋体" w:hAnsi="宋体" w:cs="仿宋_GB2312"/>
          <w:sz w:val="24"/>
        </w:rPr>
        <w:t>1. 法定代表人必须在授权委托书上亲笔签字或盖章，委托代理人必须在授权委托书上亲笔签字，</w:t>
      </w:r>
      <w:r>
        <w:rPr>
          <w:rFonts w:hint="eastAsia" w:ascii="宋体" w:hAnsi="宋体" w:cs="仿宋_GB2312"/>
          <w:b/>
          <w:sz w:val="24"/>
        </w:rPr>
        <w:t>否则其响应文件按无效响应处理。</w:t>
      </w:r>
    </w:p>
    <w:p w14:paraId="06948DC1">
      <w:pPr>
        <w:spacing w:line="360" w:lineRule="auto"/>
        <w:ind w:firstLine="480"/>
        <w:jc w:val="left"/>
        <w:rPr>
          <w:rFonts w:ascii="宋体" w:hAnsi="宋体" w:cs="仿宋_GB2312"/>
          <w:sz w:val="24"/>
        </w:rPr>
      </w:pPr>
      <w:r>
        <w:rPr>
          <w:rFonts w:hint="eastAsia" w:ascii="宋体" w:hAnsi="宋体" w:cs="仿宋_GB2312"/>
          <w:sz w:val="24"/>
        </w:rPr>
        <w:t>2.本授权委托书应由联合体牵头人的法定代表人按上述规定签署。</w:t>
      </w:r>
    </w:p>
    <w:p w14:paraId="79B3B955">
      <w:pPr>
        <w:spacing w:line="360" w:lineRule="auto"/>
        <w:ind w:firstLine="480"/>
        <w:jc w:val="left"/>
        <w:rPr>
          <w:rFonts w:ascii="宋体" w:hAnsi="宋体" w:cs="仿宋_GB2312"/>
          <w:sz w:val="24"/>
        </w:rPr>
      </w:pPr>
      <w:r>
        <w:rPr>
          <w:rFonts w:hint="eastAsia" w:ascii="宋体" w:hAnsi="宋体" w:cs="仿宋_GB2312"/>
          <w:sz w:val="24"/>
        </w:rPr>
        <w:t>3.供应商为其他组织或者自然人时，本谈判文件规定的法定代表人指负责人或者自然人。本谈判文件所称负责人是指参加竞标的其他组织营业执照上的负责人，本谈判文件所称自然人指参与竞标的自然人本人。</w:t>
      </w:r>
    </w:p>
    <w:p w14:paraId="4524C789">
      <w:pPr>
        <w:spacing w:line="360" w:lineRule="auto"/>
        <w:ind w:firstLine="480"/>
        <w:jc w:val="left"/>
        <w:rPr>
          <w:rFonts w:ascii="仿宋_GB2312" w:hAnsi="仿宋_GB2312" w:eastAsia="仿宋_GB2312" w:cs="仿宋_GB2312"/>
          <w:szCs w:val="21"/>
        </w:rPr>
      </w:pPr>
      <w:r>
        <w:rPr>
          <w:rFonts w:hint="eastAsia" w:ascii="宋体" w:hAnsi="宋体" w:cs="仿宋_GB2312"/>
          <w:sz w:val="24"/>
        </w:rPr>
        <w:t>4.法人、其他组织竞标时“我方”是指“我单位”，自然人竞标时“我方”是指“本人”。</w:t>
      </w:r>
    </w:p>
    <w:p w14:paraId="1E6E584F">
      <w:pPr>
        <w:spacing w:line="360" w:lineRule="auto"/>
        <w:ind w:firstLine="640"/>
        <w:rPr>
          <w:rFonts w:ascii="宋体" w:hAnsi="宋体"/>
          <w:b/>
          <w:bCs/>
          <w:sz w:val="32"/>
          <w:szCs w:val="32"/>
        </w:rPr>
      </w:pPr>
      <w:r>
        <w:rPr>
          <w:rFonts w:hint="eastAsia" w:ascii="仿宋_GB2312" w:hAnsi="仿宋_GB2312" w:eastAsia="仿宋_GB2312" w:cs="仿宋_GB2312"/>
          <w:sz w:val="32"/>
          <w:szCs w:val="32"/>
        </w:rPr>
        <w:br w:type="page" w:clear="all"/>
      </w:r>
      <w:r>
        <w:rPr>
          <w:rFonts w:hint="eastAsia" w:ascii="仿宋" w:hAnsi="仿宋" w:eastAsia="仿宋" w:cs="仿宋_GB2312"/>
          <w:b/>
          <w:sz w:val="30"/>
          <w:szCs w:val="30"/>
        </w:rPr>
        <w:t>四、商务条款偏离表</w:t>
      </w:r>
    </w:p>
    <w:p w14:paraId="6D10A058">
      <w:pPr>
        <w:spacing w:line="500" w:lineRule="exact"/>
        <w:jc w:val="center"/>
        <w:rPr>
          <w:rFonts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商务条款偏离表（格式）</w:t>
      </w:r>
    </w:p>
    <w:p w14:paraId="61AFF1B7">
      <w:pPr>
        <w:spacing w:line="360" w:lineRule="auto"/>
        <w:rPr>
          <w:rFonts w:ascii="宋体" w:hAnsi="宋体" w:cs="仿宋_GB2312"/>
          <w:sz w:val="24"/>
        </w:rPr>
      </w:pPr>
      <w:r>
        <w:rPr>
          <w:rFonts w:hint="eastAsia" w:ascii="宋体" w:hAnsi="宋体" w:cs="仿宋_GB2312"/>
          <w:sz w:val="24"/>
        </w:rPr>
        <w:t>分标号</w:t>
      </w:r>
      <w:r>
        <w:rPr>
          <w:rFonts w:hint="eastAsia" w:ascii="宋体" w:hAnsi="宋体"/>
          <w:szCs w:val="21"/>
        </w:rPr>
        <w:t>（此处有分标时填写具体分标号，无分标时填写“无”）</w:t>
      </w:r>
      <w:r>
        <w:rPr>
          <w:rFonts w:hint="eastAsia" w:ascii="宋体" w:hAnsi="宋体" w:cs="仿宋_GB2312"/>
          <w:sz w:val="24"/>
        </w:rPr>
        <w:t>：</w:t>
      </w:r>
    </w:p>
    <w:tbl>
      <w:tblPr>
        <w:tblStyle w:val="32"/>
        <w:tblW w:w="94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3757"/>
        <w:gridCol w:w="2606"/>
        <w:gridCol w:w="2426"/>
      </w:tblGrid>
      <w:tr w14:paraId="407EF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691" w:type="dxa"/>
            <w:tcBorders>
              <w:top w:val="single" w:color="auto" w:sz="4" w:space="0"/>
              <w:left w:val="single" w:color="auto" w:sz="4" w:space="0"/>
              <w:bottom w:val="single" w:color="auto" w:sz="4" w:space="0"/>
              <w:right w:val="single" w:color="auto" w:sz="4" w:space="0"/>
            </w:tcBorders>
            <w:noWrap/>
          </w:tcPr>
          <w:p w14:paraId="35FED604">
            <w:pPr>
              <w:spacing w:line="340" w:lineRule="exact"/>
              <w:jc w:val="center"/>
              <w:rPr>
                <w:rFonts w:ascii="宋体" w:hAnsi="宋体"/>
                <w:szCs w:val="21"/>
              </w:rPr>
            </w:pPr>
            <w:r>
              <w:rPr>
                <w:rFonts w:hint="eastAsia" w:ascii="宋体" w:hAnsi="宋体"/>
                <w:szCs w:val="21"/>
              </w:rPr>
              <w:t>项号</w:t>
            </w:r>
          </w:p>
        </w:tc>
        <w:tc>
          <w:tcPr>
            <w:tcW w:w="3757" w:type="dxa"/>
            <w:tcBorders>
              <w:top w:val="single" w:color="auto" w:sz="4" w:space="0"/>
              <w:left w:val="single" w:color="auto" w:sz="4" w:space="0"/>
              <w:bottom w:val="single" w:color="auto" w:sz="4" w:space="0"/>
              <w:right w:val="single" w:color="auto" w:sz="4" w:space="0"/>
            </w:tcBorders>
            <w:noWrap/>
          </w:tcPr>
          <w:p w14:paraId="445283B7">
            <w:pPr>
              <w:spacing w:line="340" w:lineRule="exact"/>
              <w:jc w:val="center"/>
              <w:rPr>
                <w:rFonts w:ascii="宋体" w:hAnsi="宋体"/>
                <w:szCs w:val="21"/>
              </w:rPr>
            </w:pPr>
            <w:r>
              <w:rPr>
                <w:rFonts w:hint="eastAsia" w:ascii="宋体" w:hAnsi="宋体"/>
                <w:szCs w:val="21"/>
              </w:rPr>
              <w:t>竞争性谈判采购文件的商务需求</w:t>
            </w:r>
          </w:p>
        </w:tc>
        <w:tc>
          <w:tcPr>
            <w:tcW w:w="2606" w:type="dxa"/>
            <w:tcBorders>
              <w:top w:val="single" w:color="auto" w:sz="4" w:space="0"/>
              <w:left w:val="single" w:color="auto" w:sz="4" w:space="0"/>
              <w:bottom w:val="single" w:color="auto" w:sz="4" w:space="0"/>
              <w:right w:val="single" w:color="auto" w:sz="4" w:space="0"/>
            </w:tcBorders>
          </w:tcPr>
          <w:p w14:paraId="251BE249">
            <w:pPr>
              <w:spacing w:line="340" w:lineRule="exact"/>
              <w:jc w:val="center"/>
              <w:rPr>
                <w:rFonts w:ascii="宋体" w:hAnsi="宋体"/>
                <w:szCs w:val="21"/>
              </w:rPr>
            </w:pPr>
            <w:r>
              <w:rPr>
                <w:rFonts w:hint="eastAsia" w:ascii="宋体" w:hAnsi="宋体"/>
                <w:szCs w:val="21"/>
              </w:rPr>
              <w:t>响应文件承诺的商务条款</w:t>
            </w:r>
          </w:p>
        </w:tc>
        <w:tc>
          <w:tcPr>
            <w:tcW w:w="2426" w:type="dxa"/>
            <w:tcBorders>
              <w:top w:val="single" w:color="auto" w:sz="4" w:space="0"/>
              <w:left w:val="single" w:color="auto" w:sz="4" w:space="0"/>
              <w:bottom w:val="single" w:color="auto" w:sz="4" w:space="0"/>
              <w:right w:val="single" w:color="auto" w:sz="4" w:space="0"/>
            </w:tcBorders>
          </w:tcPr>
          <w:p w14:paraId="77671996">
            <w:pPr>
              <w:spacing w:line="300" w:lineRule="exact"/>
              <w:jc w:val="center"/>
              <w:rPr>
                <w:rFonts w:ascii="宋体" w:hAnsi="宋体"/>
                <w:szCs w:val="21"/>
              </w:rPr>
            </w:pPr>
            <w:r>
              <w:rPr>
                <w:rFonts w:hint="eastAsia" w:ascii="宋体" w:hAnsi="宋体"/>
                <w:szCs w:val="21"/>
              </w:rPr>
              <w:t>偏离说明</w:t>
            </w:r>
          </w:p>
        </w:tc>
      </w:tr>
      <w:tr w14:paraId="5D3E3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691" w:type="dxa"/>
            <w:vMerge w:val="restart"/>
            <w:tcBorders>
              <w:top w:val="single" w:color="auto" w:sz="4" w:space="0"/>
              <w:left w:val="single" w:color="auto" w:sz="4" w:space="0"/>
              <w:bottom w:val="single" w:color="auto" w:sz="4" w:space="0"/>
              <w:right w:val="single" w:color="auto" w:sz="4" w:space="0"/>
            </w:tcBorders>
            <w:noWrap/>
          </w:tcPr>
          <w:p w14:paraId="3283B24C">
            <w:pPr>
              <w:spacing w:line="340" w:lineRule="exact"/>
              <w:rPr>
                <w:rFonts w:ascii="宋体" w:hAnsi="宋体"/>
                <w:szCs w:val="21"/>
              </w:rPr>
            </w:pPr>
            <w:r>
              <w:rPr>
                <w:rFonts w:hint="eastAsia" w:ascii="宋体" w:hAnsi="宋体"/>
                <w:szCs w:val="21"/>
              </w:rPr>
              <w:t>一</w:t>
            </w:r>
          </w:p>
        </w:tc>
        <w:tc>
          <w:tcPr>
            <w:tcW w:w="3757" w:type="dxa"/>
            <w:tcBorders>
              <w:top w:val="single" w:color="auto" w:sz="4" w:space="0"/>
              <w:left w:val="single" w:color="auto" w:sz="4" w:space="0"/>
              <w:bottom w:val="single" w:color="auto" w:sz="4" w:space="0"/>
              <w:right w:val="single" w:color="auto" w:sz="4" w:space="0"/>
            </w:tcBorders>
            <w:noWrap/>
          </w:tcPr>
          <w:p w14:paraId="35CDEDF5">
            <w:pPr>
              <w:rPr>
                <w:rFonts w:ascii="宋体" w:hAnsi="宋体"/>
                <w:szCs w:val="21"/>
              </w:rPr>
            </w:pPr>
            <w:r>
              <w:rPr>
                <w:rFonts w:hint="eastAsia" w:ascii="宋体" w:hAnsi="宋体"/>
                <w:szCs w:val="21"/>
              </w:rPr>
              <w:t>1  ……</w:t>
            </w:r>
          </w:p>
        </w:tc>
        <w:tc>
          <w:tcPr>
            <w:tcW w:w="2606" w:type="dxa"/>
            <w:tcBorders>
              <w:top w:val="single" w:color="auto" w:sz="4" w:space="0"/>
              <w:left w:val="single" w:color="auto" w:sz="4" w:space="0"/>
              <w:bottom w:val="single" w:color="auto" w:sz="4" w:space="0"/>
              <w:right w:val="single" w:color="auto" w:sz="4" w:space="0"/>
            </w:tcBorders>
          </w:tcPr>
          <w:p w14:paraId="446D4263">
            <w:pPr>
              <w:rPr>
                <w:rFonts w:ascii="宋体" w:hAnsi="宋体"/>
                <w:szCs w:val="21"/>
              </w:rPr>
            </w:pPr>
            <w:r>
              <w:rPr>
                <w:rFonts w:hint="eastAsia" w:ascii="宋体" w:hAnsi="宋体"/>
                <w:szCs w:val="21"/>
              </w:rPr>
              <w:t>1  ……</w:t>
            </w:r>
          </w:p>
        </w:tc>
        <w:tc>
          <w:tcPr>
            <w:tcW w:w="2426" w:type="dxa"/>
            <w:tcBorders>
              <w:top w:val="single" w:color="auto" w:sz="4" w:space="0"/>
              <w:left w:val="single" w:color="auto" w:sz="4" w:space="0"/>
              <w:bottom w:val="single" w:color="auto" w:sz="4" w:space="0"/>
              <w:right w:val="single" w:color="auto" w:sz="4" w:space="0"/>
            </w:tcBorders>
          </w:tcPr>
          <w:p w14:paraId="2C48AE44">
            <w:pPr>
              <w:spacing w:line="300" w:lineRule="exact"/>
              <w:rPr>
                <w:rFonts w:ascii="宋体" w:hAnsi="宋体"/>
                <w:szCs w:val="21"/>
              </w:rPr>
            </w:pPr>
            <w:r>
              <w:rPr>
                <w:rFonts w:hint="eastAsia" w:ascii="宋体" w:hAnsi="宋体"/>
                <w:szCs w:val="21"/>
              </w:rPr>
              <w:t>正偏离（负偏离或无偏离）</w:t>
            </w:r>
          </w:p>
          <w:p w14:paraId="328F9256">
            <w:pPr>
              <w:spacing w:line="300" w:lineRule="exact"/>
              <w:rPr>
                <w:rFonts w:ascii="宋体" w:hAnsi="宋体"/>
                <w:szCs w:val="21"/>
              </w:rPr>
            </w:pPr>
          </w:p>
        </w:tc>
      </w:tr>
      <w:tr w14:paraId="03892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jc w:val="center"/>
        </w:trPr>
        <w:tc>
          <w:tcPr>
            <w:tcW w:w="691" w:type="dxa"/>
            <w:vMerge w:val="continue"/>
            <w:tcBorders>
              <w:top w:val="single" w:color="auto" w:sz="4" w:space="0"/>
              <w:left w:val="single" w:color="auto" w:sz="4" w:space="0"/>
              <w:bottom w:val="single" w:color="auto" w:sz="4" w:space="0"/>
              <w:right w:val="single" w:color="auto" w:sz="4" w:space="0"/>
            </w:tcBorders>
            <w:vAlign w:val="center"/>
          </w:tcPr>
          <w:p w14:paraId="638567A9">
            <w:pPr>
              <w:widowControl/>
              <w:jc w:val="left"/>
              <w:rPr>
                <w:rFonts w:ascii="宋体" w:hAnsi="宋体"/>
                <w:szCs w:val="21"/>
              </w:rPr>
            </w:pPr>
          </w:p>
        </w:tc>
        <w:tc>
          <w:tcPr>
            <w:tcW w:w="3757" w:type="dxa"/>
            <w:tcBorders>
              <w:top w:val="single" w:color="auto" w:sz="4" w:space="0"/>
              <w:left w:val="single" w:color="auto" w:sz="4" w:space="0"/>
              <w:bottom w:val="single" w:color="auto" w:sz="4" w:space="0"/>
              <w:right w:val="single" w:color="auto" w:sz="4" w:space="0"/>
            </w:tcBorders>
            <w:noWrap/>
          </w:tcPr>
          <w:p w14:paraId="027C8417">
            <w:pPr>
              <w:spacing w:line="340" w:lineRule="exact"/>
              <w:rPr>
                <w:rFonts w:ascii="宋体" w:hAnsi="宋体"/>
                <w:szCs w:val="21"/>
              </w:rPr>
            </w:pPr>
            <w:r>
              <w:rPr>
                <w:rFonts w:hint="eastAsia" w:ascii="宋体" w:hAnsi="宋体"/>
                <w:szCs w:val="21"/>
              </w:rPr>
              <w:t>2  ……</w:t>
            </w:r>
          </w:p>
          <w:p w14:paraId="017523BC">
            <w:pPr>
              <w:spacing w:line="340" w:lineRule="exact"/>
              <w:rPr>
                <w:rFonts w:ascii="宋体" w:hAnsi="宋体"/>
                <w:szCs w:val="21"/>
              </w:rPr>
            </w:pPr>
          </w:p>
        </w:tc>
        <w:tc>
          <w:tcPr>
            <w:tcW w:w="2606" w:type="dxa"/>
            <w:tcBorders>
              <w:top w:val="single" w:color="auto" w:sz="4" w:space="0"/>
              <w:left w:val="single" w:color="auto" w:sz="4" w:space="0"/>
              <w:bottom w:val="single" w:color="auto" w:sz="4" w:space="0"/>
              <w:right w:val="single" w:color="auto" w:sz="4" w:space="0"/>
            </w:tcBorders>
          </w:tcPr>
          <w:p w14:paraId="4B3FC939">
            <w:pPr>
              <w:spacing w:line="340" w:lineRule="exact"/>
              <w:rPr>
                <w:rFonts w:ascii="宋体" w:hAnsi="宋体"/>
                <w:szCs w:val="21"/>
              </w:rPr>
            </w:pPr>
            <w:r>
              <w:rPr>
                <w:rFonts w:hint="eastAsia" w:ascii="宋体" w:hAnsi="宋体"/>
                <w:szCs w:val="21"/>
              </w:rPr>
              <w:t>2  ……</w:t>
            </w:r>
          </w:p>
          <w:p w14:paraId="125C5FE2">
            <w:pPr>
              <w:spacing w:line="300" w:lineRule="exact"/>
              <w:rPr>
                <w:rFonts w:ascii="宋体" w:hAnsi="宋体"/>
                <w:szCs w:val="21"/>
              </w:rPr>
            </w:pPr>
          </w:p>
        </w:tc>
        <w:tc>
          <w:tcPr>
            <w:tcW w:w="2426" w:type="dxa"/>
            <w:tcBorders>
              <w:top w:val="single" w:color="auto" w:sz="4" w:space="0"/>
              <w:left w:val="single" w:color="auto" w:sz="4" w:space="0"/>
              <w:bottom w:val="single" w:color="auto" w:sz="4" w:space="0"/>
              <w:right w:val="single" w:color="auto" w:sz="4" w:space="0"/>
            </w:tcBorders>
          </w:tcPr>
          <w:p w14:paraId="32C8F4DE">
            <w:pPr>
              <w:spacing w:line="300" w:lineRule="exact"/>
              <w:rPr>
                <w:rFonts w:ascii="宋体" w:hAnsi="宋体"/>
                <w:szCs w:val="21"/>
              </w:rPr>
            </w:pPr>
            <w:r>
              <w:rPr>
                <w:rFonts w:hint="eastAsia" w:ascii="宋体" w:hAnsi="宋体"/>
                <w:szCs w:val="21"/>
              </w:rPr>
              <w:t>正偏离（负偏离或无偏离）</w:t>
            </w:r>
          </w:p>
          <w:p w14:paraId="5021C5A2">
            <w:pPr>
              <w:spacing w:line="300" w:lineRule="exact"/>
              <w:rPr>
                <w:rFonts w:ascii="宋体" w:hAnsi="宋体"/>
                <w:szCs w:val="21"/>
              </w:rPr>
            </w:pPr>
          </w:p>
        </w:tc>
      </w:tr>
      <w:tr w14:paraId="37200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jc w:val="center"/>
        </w:trPr>
        <w:tc>
          <w:tcPr>
            <w:tcW w:w="691" w:type="dxa"/>
            <w:vMerge w:val="continue"/>
            <w:tcBorders>
              <w:top w:val="single" w:color="auto" w:sz="4" w:space="0"/>
              <w:left w:val="single" w:color="auto" w:sz="4" w:space="0"/>
              <w:bottom w:val="single" w:color="auto" w:sz="4" w:space="0"/>
              <w:right w:val="single" w:color="auto" w:sz="4" w:space="0"/>
            </w:tcBorders>
            <w:vAlign w:val="center"/>
          </w:tcPr>
          <w:p w14:paraId="29931E3F">
            <w:pPr>
              <w:widowControl/>
              <w:jc w:val="left"/>
              <w:rPr>
                <w:rFonts w:ascii="宋体" w:hAnsi="宋体"/>
                <w:szCs w:val="21"/>
              </w:rPr>
            </w:pPr>
          </w:p>
        </w:tc>
        <w:tc>
          <w:tcPr>
            <w:tcW w:w="3757" w:type="dxa"/>
            <w:tcBorders>
              <w:top w:val="single" w:color="auto" w:sz="4" w:space="0"/>
              <w:left w:val="single" w:color="auto" w:sz="4" w:space="0"/>
              <w:bottom w:val="single" w:color="auto" w:sz="4" w:space="0"/>
              <w:right w:val="single" w:color="auto" w:sz="4" w:space="0"/>
            </w:tcBorders>
            <w:noWrap/>
          </w:tcPr>
          <w:p w14:paraId="18F926E5">
            <w:pPr>
              <w:spacing w:line="340" w:lineRule="exact"/>
              <w:rPr>
                <w:rFonts w:ascii="宋体" w:hAnsi="宋体"/>
                <w:szCs w:val="21"/>
              </w:rPr>
            </w:pPr>
            <w:r>
              <w:rPr>
                <w:rFonts w:hint="eastAsia" w:ascii="宋体" w:hAnsi="宋体"/>
                <w:szCs w:val="21"/>
              </w:rPr>
              <w:t>3  ……</w:t>
            </w:r>
          </w:p>
          <w:p w14:paraId="43F3914C">
            <w:pPr>
              <w:spacing w:line="340" w:lineRule="exact"/>
              <w:rPr>
                <w:rFonts w:ascii="宋体" w:hAnsi="宋体"/>
                <w:szCs w:val="21"/>
              </w:rPr>
            </w:pPr>
          </w:p>
        </w:tc>
        <w:tc>
          <w:tcPr>
            <w:tcW w:w="2606" w:type="dxa"/>
            <w:tcBorders>
              <w:top w:val="single" w:color="auto" w:sz="4" w:space="0"/>
              <w:left w:val="single" w:color="auto" w:sz="4" w:space="0"/>
              <w:bottom w:val="single" w:color="auto" w:sz="4" w:space="0"/>
              <w:right w:val="single" w:color="auto" w:sz="4" w:space="0"/>
            </w:tcBorders>
          </w:tcPr>
          <w:p w14:paraId="71F696AA">
            <w:pPr>
              <w:spacing w:line="340" w:lineRule="exact"/>
              <w:rPr>
                <w:rFonts w:ascii="宋体" w:hAnsi="宋体"/>
                <w:szCs w:val="21"/>
              </w:rPr>
            </w:pPr>
            <w:r>
              <w:rPr>
                <w:rFonts w:hint="eastAsia" w:ascii="宋体" w:hAnsi="宋体"/>
                <w:szCs w:val="21"/>
              </w:rPr>
              <w:t>3  ……</w:t>
            </w:r>
          </w:p>
          <w:p w14:paraId="4F873F27">
            <w:pPr>
              <w:spacing w:line="300" w:lineRule="exact"/>
              <w:rPr>
                <w:rFonts w:ascii="宋体" w:hAnsi="宋体"/>
                <w:szCs w:val="21"/>
              </w:rPr>
            </w:pPr>
          </w:p>
        </w:tc>
        <w:tc>
          <w:tcPr>
            <w:tcW w:w="2426" w:type="dxa"/>
            <w:tcBorders>
              <w:top w:val="single" w:color="auto" w:sz="4" w:space="0"/>
              <w:left w:val="single" w:color="auto" w:sz="4" w:space="0"/>
              <w:bottom w:val="single" w:color="auto" w:sz="4" w:space="0"/>
              <w:right w:val="single" w:color="auto" w:sz="4" w:space="0"/>
            </w:tcBorders>
          </w:tcPr>
          <w:p w14:paraId="6AB46F18">
            <w:pPr>
              <w:spacing w:line="300" w:lineRule="exact"/>
              <w:rPr>
                <w:rFonts w:ascii="宋体" w:hAnsi="宋体"/>
                <w:szCs w:val="21"/>
              </w:rPr>
            </w:pPr>
            <w:r>
              <w:rPr>
                <w:rFonts w:hint="eastAsia" w:ascii="宋体" w:hAnsi="宋体"/>
                <w:szCs w:val="21"/>
              </w:rPr>
              <w:t>正偏离（负偏离或无偏离）</w:t>
            </w:r>
          </w:p>
          <w:p w14:paraId="1563F945">
            <w:pPr>
              <w:spacing w:line="300" w:lineRule="exact"/>
              <w:rPr>
                <w:rFonts w:ascii="宋体" w:hAnsi="宋体"/>
                <w:szCs w:val="21"/>
              </w:rPr>
            </w:pPr>
          </w:p>
        </w:tc>
      </w:tr>
      <w:tr w14:paraId="54743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jc w:val="center"/>
        </w:trPr>
        <w:tc>
          <w:tcPr>
            <w:tcW w:w="691" w:type="dxa"/>
            <w:vMerge w:val="continue"/>
            <w:tcBorders>
              <w:top w:val="single" w:color="auto" w:sz="4" w:space="0"/>
              <w:left w:val="single" w:color="auto" w:sz="4" w:space="0"/>
              <w:bottom w:val="single" w:color="auto" w:sz="4" w:space="0"/>
              <w:right w:val="single" w:color="auto" w:sz="4" w:space="0"/>
            </w:tcBorders>
            <w:vAlign w:val="center"/>
          </w:tcPr>
          <w:p w14:paraId="4BB3E7DF">
            <w:pPr>
              <w:widowControl/>
              <w:jc w:val="left"/>
              <w:rPr>
                <w:rFonts w:ascii="宋体" w:hAnsi="宋体"/>
                <w:szCs w:val="21"/>
              </w:rPr>
            </w:pPr>
          </w:p>
        </w:tc>
        <w:tc>
          <w:tcPr>
            <w:tcW w:w="3757" w:type="dxa"/>
            <w:tcBorders>
              <w:top w:val="single" w:color="auto" w:sz="4" w:space="0"/>
              <w:left w:val="single" w:color="auto" w:sz="4" w:space="0"/>
              <w:bottom w:val="single" w:color="auto" w:sz="4" w:space="0"/>
              <w:right w:val="single" w:color="auto" w:sz="4" w:space="0"/>
            </w:tcBorders>
            <w:noWrap/>
          </w:tcPr>
          <w:p w14:paraId="168411CF">
            <w:pPr>
              <w:spacing w:line="340" w:lineRule="exact"/>
              <w:rPr>
                <w:rFonts w:ascii="宋体" w:hAnsi="宋体"/>
                <w:szCs w:val="21"/>
              </w:rPr>
            </w:pPr>
            <w:r>
              <w:rPr>
                <w:rFonts w:hint="eastAsia" w:ascii="宋体" w:hAnsi="宋体"/>
                <w:szCs w:val="21"/>
              </w:rPr>
              <w:t>……</w:t>
            </w:r>
          </w:p>
        </w:tc>
        <w:tc>
          <w:tcPr>
            <w:tcW w:w="2606" w:type="dxa"/>
            <w:tcBorders>
              <w:top w:val="single" w:color="auto" w:sz="4" w:space="0"/>
              <w:left w:val="single" w:color="auto" w:sz="4" w:space="0"/>
              <w:bottom w:val="single" w:color="auto" w:sz="4" w:space="0"/>
              <w:right w:val="single" w:color="auto" w:sz="4" w:space="0"/>
            </w:tcBorders>
          </w:tcPr>
          <w:p w14:paraId="20A5B01C">
            <w:pPr>
              <w:spacing w:line="300" w:lineRule="exact"/>
              <w:rPr>
                <w:rFonts w:ascii="宋体" w:hAnsi="宋体"/>
                <w:szCs w:val="21"/>
              </w:rPr>
            </w:pPr>
            <w:r>
              <w:rPr>
                <w:rFonts w:hint="eastAsia" w:ascii="宋体" w:hAnsi="宋体"/>
                <w:szCs w:val="21"/>
              </w:rPr>
              <w:t>……</w:t>
            </w:r>
          </w:p>
        </w:tc>
        <w:tc>
          <w:tcPr>
            <w:tcW w:w="2426" w:type="dxa"/>
            <w:tcBorders>
              <w:top w:val="single" w:color="auto" w:sz="4" w:space="0"/>
              <w:left w:val="single" w:color="auto" w:sz="4" w:space="0"/>
              <w:bottom w:val="single" w:color="auto" w:sz="4" w:space="0"/>
              <w:right w:val="single" w:color="auto" w:sz="4" w:space="0"/>
            </w:tcBorders>
          </w:tcPr>
          <w:p w14:paraId="3022E08F">
            <w:pPr>
              <w:spacing w:line="300" w:lineRule="exact"/>
              <w:rPr>
                <w:rFonts w:ascii="宋体" w:hAnsi="宋体"/>
                <w:szCs w:val="21"/>
              </w:rPr>
            </w:pPr>
            <w:r>
              <w:rPr>
                <w:rFonts w:hint="eastAsia" w:ascii="宋体" w:hAnsi="宋体"/>
                <w:szCs w:val="21"/>
              </w:rPr>
              <w:t>正偏离（负偏离或无偏离）</w:t>
            </w:r>
          </w:p>
          <w:p w14:paraId="7CB0EF1B">
            <w:pPr>
              <w:spacing w:line="300" w:lineRule="exact"/>
              <w:rPr>
                <w:rFonts w:ascii="宋体" w:hAnsi="宋体"/>
                <w:szCs w:val="21"/>
              </w:rPr>
            </w:pPr>
          </w:p>
        </w:tc>
      </w:tr>
      <w:tr w14:paraId="0311C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691" w:type="dxa"/>
            <w:vMerge w:val="restart"/>
            <w:tcBorders>
              <w:top w:val="single" w:color="auto" w:sz="4" w:space="0"/>
              <w:left w:val="single" w:color="auto" w:sz="4" w:space="0"/>
              <w:bottom w:val="single" w:color="auto" w:sz="4" w:space="0"/>
              <w:right w:val="single" w:color="auto" w:sz="4" w:space="0"/>
            </w:tcBorders>
            <w:noWrap/>
          </w:tcPr>
          <w:p w14:paraId="1B354781">
            <w:pPr>
              <w:spacing w:line="340" w:lineRule="exact"/>
              <w:rPr>
                <w:rFonts w:ascii="宋体" w:hAnsi="宋体"/>
                <w:szCs w:val="21"/>
              </w:rPr>
            </w:pPr>
            <w:r>
              <w:rPr>
                <w:rFonts w:hint="eastAsia" w:ascii="宋体" w:hAnsi="宋体"/>
                <w:szCs w:val="21"/>
              </w:rPr>
              <w:t>二</w:t>
            </w:r>
          </w:p>
        </w:tc>
        <w:tc>
          <w:tcPr>
            <w:tcW w:w="3757" w:type="dxa"/>
            <w:tcBorders>
              <w:top w:val="single" w:color="auto" w:sz="4" w:space="0"/>
              <w:left w:val="single" w:color="auto" w:sz="4" w:space="0"/>
              <w:bottom w:val="single" w:color="auto" w:sz="4" w:space="0"/>
              <w:right w:val="single" w:color="auto" w:sz="4" w:space="0"/>
            </w:tcBorders>
            <w:noWrap/>
          </w:tcPr>
          <w:p w14:paraId="6A3EA1A9">
            <w:pPr>
              <w:rPr>
                <w:rFonts w:ascii="宋体" w:hAnsi="宋体"/>
                <w:szCs w:val="21"/>
              </w:rPr>
            </w:pPr>
            <w:r>
              <w:rPr>
                <w:rFonts w:hint="eastAsia" w:ascii="宋体" w:hAnsi="宋体"/>
                <w:szCs w:val="21"/>
              </w:rPr>
              <w:t>1  ……</w:t>
            </w:r>
          </w:p>
        </w:tc>
        <w:tc>
          <w:tcPr>
            <w:tcW w:w="2606" w:type="dxa"/>
            <w:tcBorders>
              <w:top w:val="single" w:color="auto" w:sz="4" w:space="0"/>
              <w:left w:val="single" w:color="auto" w:sz="4" w:space="0"/>
              <w:bottom w:val="single" w:color="auto" w:sz="4" w:space="0"/>
              <w:right w:val="single" w:color="auto" w:sz="4" w:space="0"/>
            </w:tcBorders>
          </w:tcPr>
          <w:p w14:paraId="3452EFE6">
            <w:pPr>
              <w:rPr>
                <w:rFonts w:ascii="宋体" w:hAnsi="宋体"/>
                <w:szCs w:val="21"/>
              </w:rPr>
            </w:pPr>
            <w:r>
              <w:rPr>
                <w:rFonts w:hint="eastAsia" w:ascii="宋体" w:hAnsi="宋体"/>
                <w:szCs w:val="21"/>
              </w:rPr>
              <w:t>1  ……</w:t>
            </w:r>
          </w:p>
        </w:tc>
        <w:tc>
          <w:tcPr>
            <w:tcW w:w="2426" w:type="dxa"/>
            <w:tcBorders>
              <w:top w:val="single" w:color="auto" w:sz="4" w:space="0"/>
              <w:left w:val="single" w:color="auto" w:sz="4" w:space="0"/>
              <w:bottom w:val="single" w:color="auto" w:sz="4" w:space="0"/>
              <w:right w:val="single" w:color="auto" w:sz="4" w:space="0"/>
            </w:tcBorders>
          </w:tcPr>
          <w:p w14:paraId="59B91562">
            <w:pPr>
              <w:spacing w:line="300" w:lineRule="exact"/>
              <w:rPr>
                <w:rFonts w:ascii="宋体" w:hAnsi="宋体"/>
                <w:szCs w:val="21"/>
              </w:rPr>
            </w:pPr>
            <w:r>
              <w:rPr>
                <w:rFonts w:hint="eastAsia" w:ascii="宋体" w:hAnsi="宋体"/>
                <w:szCs w:val="21"/>
              </w:rPr>
              <w:t>正偏离（负偏离或无偏离）</w:t>
            </w:r>
          </w:p>
          <w:p w14:paraId="11F149DB">
            <w:pPr>
              <w:spacing w:line="300" w:lineRule="exact"/>
              <w:rPr>
                <w:rFonts w:ascii="宋体" w:hAnsi="宋体"/>
                <w:szCs w:val="21"/>
              </w:rPr>
            </w:pPr>
          </w:p>
        </w:tc>
      </w:tr>
      <w:tr w14:paraId="5FACC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jc w:val="center"/>
        </w:trPr>
        <w:tc>
          <w:tcPr>
            <w:tcW w:w="691" w:type="dxa"/>
            <w:vMerge w:val="continue"/>
            <w:tcBorders>
              <w:top w:val="single" w:color="auto" w:sz="4" w:space="0"/>
              <w:left w:val="single" w:color="auto" w:sz="4" w:space="0"/>
              <w:bottom w:val="single" w:color="auto" w:sz="4" w:space="0"/>
              <w:right w:val="single" w:color="auto" w:sz="4" w:space="0"/>
            </w:tcBorders>
            <w:vAlign w:val="center"/>
          </w:tcPr>
          <w:p w14:paraId="4302070F">
            <w:pPr>
              <w:widowControl/>
              <w:jc w:val="left"/>
              <w:rPr>
                <w:rFonts w:ascii="宋体" w:hAnsi="宋体"/>
                <w:szCs w:val="21"/>
              </w:rPr>
            </w:pPr>
          </w:p>
        </w:tc>
        <w:tc>
          <w:tcPr>
            <w:tcW w:w="3757" w:type="dxa"/>
            <w:tcBorders>
              <w:top w:val="single" w:color="auto" w:sz="4" w:space="0"/>
              <w:left w:val="single" w:color="auto" w:sz="4" w:space="0"/>
              <w:bottom w:val="single" w:color="auto" w:sz="4" w:space="0"/>
              <w:right w:val="single" w:color="auto" w:sz="4" w:space="0"/>
            </w:tcBorders>
            <w:noWrap/>
          </w:tcPr>
          <w:p w14:paraId="7107AD6B">
            <w:pPr>
              <w:spacing w:line="340" w:lineRule="exact"/>
              <w:rPr>
                <w:rFonts w:ascii="宋体" w:hAnsi="宋体"/>
                <w:szCs w:val="21"/>
              </w:rPr>
            </w:pPr>
            <w:r>
              <w:rPr>
                <w:rFonts w:hint="eastAsia" w:ascii="宋体" w:hAnsi="宋体"/>
                <w:szCs w:val="21"/>
              </w:rPr>
              <w:t>2  ……</w:t>
            </w:r>
          </w:p>
          <w:p w14:paraId="0F7C8C3F">
            <w:pPr>
              <w:spacing w:line="340" w:lineRule="exact"/>
              <w:rPr>
                <w:rFonts w:ascii="宋体" w:hAnsi="宋体"/>
                <w:szCs w:val="21"/>
              </w:rPr>
            </w:pPr>
          </w:p>
        </w:tc>
        <w:tc>
          <w:tcPr>
            <w:tcW w:w="2606" w:type="dxa"/>
            <w:tcBorders>
              <w:top w:val="single" w:color="auto" w:sz="4" w:space="0"/>
              <w:left w:val="single" w:color="auto" w:sz="4" w:space="0"/>
              <w:bottom w:val="single" w:color="auto" w:sz="4" w:space="0"/>
              <w:right w:val="single" w:color="auto" w:sz="4" w:space="0"/>
            </w:tcBorders>
          </w:tcPr>
          <w:p w14:paraId="1CDDCB62">
            <w:pPr>
              <w:spacing w:line="340" w:lineRule="exact"/>
              <w:rPr>
                <w:rFonts w:ascii="宋体" w:hAnsi="宋体"/>
                <w:szCs w:val="21"/>
              </w:rPr>
            </w:pPr>
            <w:r>
              <w:rPr>
                <w:rFonts w:hint="eastAsia" w:ascii="宋体" w:hAnsi="宋体"/>
                <w:szCs w:val="21"/>
              </w:rPr>
              <w:t>2  ……</w:t>
            </w:r>
          </w:p>
          <w:p w14:paraId="2A6E65A4">
            <w:pPr>
              <w:spacing w:line="300" w:lineRule="exact"/>
              <w:rPr>
                <w:rFonts w:ascii="宋体" w:hAnsi="宋体"/>
                <w:szCs w:val="21"/>
              </w:rPr>
            </w:pPr>
          </w:p>
        </w:tc>
        <w:tc>
          <w:tcPr>
            <w:tcW w:w="2426" w:type="dxa"/>
            <w:tcBorders>
              <w:top w:val="single" w:color="auto" w:sz="4" w:space="0"/>
              <w:left w:val="single" w:color="auto" w:sz="4" w:space="0"/>
              <w:bottom w:val="single" w:color="auto" w:sz="4" w:space="0"/>
              <w:right w:val="single" w:color="auto" w:sz="4" w:space="0"/>
            </w:tcBorders>
          </w:tcPr>
          <w:p w14:paraId="204105BE">
            <w:pPr>
              <w:spacing w:line="300" w:lineRule="exact"/>
              <w:rPr>
                <w:rFonts w:ascii="宋体" w:hAnsi="宋体"/>
                <w:szCs w:val="21"/>
              </w:rPr>
            </w:pPr>
            <w:r>
              <w:rPr>
                <w:rFonts w:hint="eastAsia" w:ascii="宋体" w:hAnsi="宋体"/>
                <w:szCs w:val="21"/>
              </w:rPr>
              <w:t>正偏离（负偏离或无偏离）</w:t>
            </w:r>
          </w:p>
          <w:p w14:paraId="5CC3796D">
            <w:pPr>
              <w:spacing w:line="300" w:lineRule="exact"/>
              <w:rPr>
                <w:rFonts w:ascii="宋体" w:hAnsi="宋体"/>
                <w:szCs w:val="21"/>
              </w:rPr>
            </w:pPr>
          </w:p>
        </w:tc>
      </w:tr>
      <w:tr w14:paraId="531BF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jc w:val="center"/>
        </w:trPr>
        <w:tc>
          <w:tcPr>
            <w:tcW w:w="691" w:type="dxa"/>
            <w:vMerge w:val="continue"/>
            <w:tcBorders>
              <w:top w:val="single" w:color="auto" w:sz="4" w:space="0"/>
              <w:left w:val="single" w:color="auto" w:sz="4" w:space="0"/>
              <w:bottom w:val="single" w:color="auto" w:sz="4" w:space="0"/>
              <w:right w:val="single" w:color="auto" w:sz="4" w:space="0"/>
            </w:tcBorders>
            <w:vAlign w:val="center"/>
          </w:tcPr>
          <w:p w14:paraId="21CEE476">
            <w:pPr>
              <w:widowControl/>
              <w:jc w:val="left"/>
              <w:rPr>
                <w:rFonts w:ascii="宋体" w:hAnsi="宋体"/>
                <w:szCs w:val="21"/>
              </w:rPr>
            </w:pPr>
          </w:p>
        </w:tc>
        <w:tc>
          <w:tcPr>
            <w:tcW w:w="3757" w:type="dxa"/>
            <w:tcBorders>
              <w:top w:val="single" w:color="auto" w:sz="4" w:space="0"/>
              <w:left w:val="single" w:color="auto" w:sz="4" w:space="0"/>
              <w:bottom w:val="single" w:color="auto" w:sz="4" w:space="0"/>
              <w:right w:val="single" w:color="auto" w:sz="4" w:space="0"/>
            </w:tcBorders>
            <w:noWrap/>
          </w:tcPr>
          <w:p w14:paraId="630A6293">
            <w:pPr>
              <w:spacing w:line="340" w:lineRule="exact"/>
              <w:rPr>
                <w:rFonts w:ascii="宋体" w:hAnsi="宋体"/>
                <w:szCs w:val="21"/>
              </w:rPr>
            </w:pPr>
            <w:r>
              <w:rPr>
                <w:rFonts w:hint="eastAsia" w:ascii="宋体" w:hAnsi="宋体"/>
                <w:szCs w:val="21"/>
              </w:rPr>
              <w:t>3  ……</w:t>
            </w:r>
          </w:p>
          <w:p w14:paraId="01C6AC94">
            <w:pPr>
              <w:spacing w:line="340" w:lineRule="exact"/>
              <w:rPr>
                <w:rFonts w:ascii="宋体" w:hAnsi="宋体"/>
                <w:szCs w:val="21"/>
              </w:rPr>
            </w:pPr>
          </w:p>
        </w:tc>
        <w:tc>
          <w:tcPr>
            <w:tcW w:w="2606" w:type="dxa"/>
            <w:tcBorders>
              <w:top w:val="single" w:color="auto" w:sz="4" w:space="0"/>
              <w:left w:val="single" w:color="auto" w:sz="4" w:space="0"/>
              <w:bottom w:val="single" w:color="auto" w:sz="4" w:space="0"/>
              <w:right w:val="single" w:color="auto" w:sz="4" w:space="0"/>
            </w:tcBorders>
          </w:tcPr>
          <w:p w14:paraId="2B5FAA56">
            <w:pPr>
              <w:spacing w:line="340" w:lineRule="exact"/>
              <w:rPr>
                <w:rFonts w:ascii="宋体" w:hAnsi="宋体"/>
                <w:szCs w:val="21"/>
              </w:rPr>
            </w:pPr>
            <w:r>
              <w:rPr>
                <w:rFonts w:hint="eastAsia" w:ascii="宋体" w:hAnsi="宋体"/>
                <w:szCs w:val="21"/>
              </w:rPr>
              <w:t>3  ……</w:t>
            </w:r>
          </w:p>
          <w:p w14:paraId="18573E9D">
            <w:pPr>
              <w:spacing w:line="300" w:lineRule="exact"/>
              <w:rPr>
                <w:rFonts w:ascii="宋体" w:hAnsi="宋体"/>
                <w:szCs w:val="21"/>
              </w:rPr>
            </w:pPr>
          </w:p>
        </w:tc>
        <w:tc>
          <w:tcPr>
            <w:tcW w:w="2426" w:type="dxa"/>
            <w:tcBorders>
              <w:top w:val="single" w:color="auto" w:sz="4" w:space="0"/>
              <w:left w:val="single" w:color="auto" w:sz="4" w:space="0"/>
              <w:bottom w:val="single" w:color="auto" w:sz="4" w:space="0"/>
              <w:right w:val="single" w:color="auto" w:sz="4" w:space="0"/>
            </w:tcBorders>
          </w:tcPr>
          <w:p w14:paraId="3C23D266">
            <w:pPr>
              <w:spacing w:line="300" w:lineRule="exact"/>
              <w:rPr>
                <w:rFonts w:ascii="宋体" w:hAnsi="宋体"/>
                <w:szCs w:val="21"/>
              </w:rPr>
            </w:pPr>
            <w:r>
              <w:rPr>
                <w:rFonts w:hint="eastAsia" w:ascii="宋体" w:hAnsi="宋体"/>
                <w:szCs w:val="21"/>
              </w:rPr>
              <w:t>正偏离（负偏离或无偏离）</w:t>
            </w:r>
          </w:p>
          <w:p w14:paraId="227D6DD4">
            <w:pPr>
              <w:spacing w:line="300" w:lineRule="exact"/>
              <w:rPr>
                <w:rFonts w:ascii="宋体" w:hAnsi="宋体"/>
                <w:szCs w:val="21"/>
              </w:rPr>
            </w:pPr>
          </w:p>
        </w:tc>
      </w:tr>
      <w:tr w14:paraId="0D411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jc w:val="center"/>
        </w:trPr>
        <w:tc>
          <w:tcPr>
            <w:tcW w:w="691" w:type="dxa"/>
            <w:vMerge w:val="continue"/>
            <w:tcBorders>
              <w:top w:val="single" w:color="auto" w:sz="4" w:space="0"/>
              <w:left w:val="single" w:color="auto" w:sz="4" w:space="0"/>
              <w:bottom w:val="single" w:color="auto" w:sz="4" w:space="0"/>
              <w:right w:val="single" w:color="auto" w:sz="4" w:space="0"/>
            </w:tcBorders>
            <w:vAlign w:val="center"/>
          </w:tcPr>
          <w:p w14:paraId="528FB4D0">
            <w:pPr>
              <w:widowControl/>
              <w:jc w:val="left"/>
              <w:rPr>
                <w:rFonts w:ascii="宋体" w:hAnsi="宋体"/>
                <w:szCs w:val="21"/>
              </w:rPr>
            </w:pPr>
          </w:p>
        </w:tc>
        <w:tc>
          <w:tcPr>
            <w:tcW w:w="3757" w:type="dxa"/>
            <w:tcBorders>
              <w:top w:val="single" w:color="auto" w:sz="4" w:space="0"/>
              <w:left w:val="single" w:color="auto" w:sz="4" w:space="0"/>
              <w:bottom w:val="single" w:color="auto" w:sz="4" w:space="0"/>
              <w:right w:val="single" w:color="auto" w:sz="4" w:space="0"/>
            </w:tcBorders>
            <w:noWrap/>
          </w:tcPr>
          <w:p w14:paraId="7FED5E74">
            <w:pPr>
              <w:spacing w:line="340" w:lineRule="exact"/>
              <w:rPr>
                <w:rFonts w:ascii="宋体" w:hAnsi="宋体"/>
                <w:szCs w:val="21"/>
              </w:rPr>
            </w:pPr>
            <w:r>
              <w:rPr>
                <w:rFonts w:hint="eastAsia" w:ascii="宋体" w:hAnsi="宋体"/>
                <w:szCs w:val="21"/>
              </w:rPr>
              <w:t>……</w:t>
            </w:r>
          </w:p>
        </w:tc>
        <w:tc>
          <w:tcPr>
            <w:tcW w:w="2606" w:type="dxa"/>
            <w:tcBorders>
              <w:top w:val="single" w:color="auto" w:sz="4" w:space="0"/>
              <w:left w:val="single" w:color="auto" w:sz="4" w:space="0"/>
              <w:bottom w:val="single" w:color="auto" w:sz="4" w:space="0"/>
              <w:right w:val="single" w:color="auto" w:sz="4" w:space="0"/>
            </w:tcBorders>
          </w:tcPr>
          <w:p w14:paraId="37ADF48E">
            <w:pPr>
              <w:spacing w:line="300" w:lineRule="exact"/>
              <w:rPr>
                <w:rFonts w:ascii="宋体" w:hAnsi="宋体"/>
                <w:szCs w:val="21"/>
              </w:rPr>
            </w:pPr>
            <w:r>
              <w:rPr>
                <w:rFonts w:hint="eastAsia" w:ascii="宋体" w:hAnsi="宋体"/>
                <w:szCs w:val="21"/>
              </w:rPr>
              <w:t>……</w:t>
            </w:r>
          </w:p>
        </w:tc>
        <w:tc>
          <w:tcPr>
            <w:tcW w:w="2426" w:type="dxa"/>
            <w:tcBorders>
              <w:top w:val="single" w:color="auto" w:sz="4" w:space="0"/>
              <w:left w:val="single" w:color="auto" w:sz="4" w:space="0"/>
              <w:bottom w:val="single" w:color="auto" w:sz="4" w:space="0"/>
              <w:right w:val="single" w:color="auto" w:sz="4" w:space="0"/>
            </w:tcBorders>
          </w:tcPr>
          <w:p w14:paraId="7631FE2E">
            <w:pPr>
              <w:spacing w:line="300" w:lineRule="exact"/>
              <w:rPr>
                <w:rFonts w:ascii="宋体" w:hAnsi="宋体"/>
                <w:szCs w:val="21"/>
              </w:rPr>
            </w:pPr>
            <w:r>
              <w:rPr>
                <w:rFonts w:hint="eastAsia" w:ascii="宋体" w:hAnsi="宋体"/>
                <w:szCs w:val="21"/>
              </w:rPr>
              <w:t>正偏离（负偏离或无偏离）</w:t>
            </w:r>
          </w:p>
          <w:p w14:paraId="0EE1ABBF">
            <w:pPr>
              <w:spacing w:line="300" w:lineRule="exact"/>
              <w:rPr>
                <w:rFonts w:ascii="宋体" w:hAnsi="宋体"/>
                <w:szCs w:val="21"/>
              </w:rPr>
            </w:pPr>
          </w:p>
        </w:tc>
      </w:tr>
      <w:tr w14:paraId="294F2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691" w:type="dxa"/>
            <w:vMerge w:val="restart"/>
            <w:tcBorders>
              <w:top w:val="single" w:color="auto" w:sz="4" w:space="0"/>
              <w:left w:val="single" w:color="auto" w:sz="4" w:space="0"/>
              <w:bottom w:val="single" w:color="auto" w:sz="4" w:space="0"/>
              <w:right w:val="single" w:color="auto" w:sz="4" w:space="0"/>
            </w:tcBorders>
            <w:noWrap/>
          </w:tcPr>
          <w:p w14:paraId="4427E816">
            <w:pPr>
              <w:spacing w:line="340" w:lineRule="exact"/>
              <w:rPr>
                <w:rFonts w:ascii="宋体" w:hAnsi="宋体"/>
                <w:szCs w:val="21"/>
              </w:rPr>
            </w:pPr>
            <w:r>
              <w:rPr>
                <w:rFonts w:hint="eastAsia" w:ascii="宋体" w:hAnsi="宋体"/>
                <w:szCs w:val="21"/>
              </w:rPr>
              <w:t>……</w:t>
            </w:r>
          </w:p>
        </w:tc>
        <w:tc>
          <w:tcPr>
            <w:tcW w:w="3757" w:type="dxa"/>
            <w:tcBorders>
              <w:top w:val="single" w:color="auto" w:sz="4" w:space="0"/>
              <w:left w:val="single" w:color="auto" w:sz="4" w:space="0"/>
              <w:bottom w:val="single" w:color="auto" w:sz="4" w:space="0"/>
              <w:right w:val="single" w:color="auto" w:sz="4" w:space="0"/>
            </w:tcBorders>
            <w:noWrap/>
          </w:tcPr>
          <w:p w14:paraId="4B804DD2">
            <w:pPr>
              <w:rPr>
                <w:rFonts w:ascii="宋体" w:hAnsi="宋体"/>
                <w:szCs w:val="21"/>
              </w:rPr>
            </w:pPr>
            <w:r>
              <w:rPr>
                <w:rFonts w:hint="eastAsia" w:ascii="宋体" w:hAnsi="宋体"/>
                <w:szCs w:val="21"/>
              </w:rPr>
              <w:t>1  ……</w:t>
            </w:r>
          </w:p>
        </w:tc>
        <w:tc>
          <w:tcPr>
            <w:tcW w:w="2606" w:type="dxa"/>
            <w:tcBorders>
              <w:top w:val="single" w:color="auto" w:sz="4" w:space="0"/>
              <w:left w:val="single" w:color="auto" w:sz="4" w:space="0"/>
              <w:bottom w:val="single" w:color="auto" w:sz="4" w:space="0"/>
              <w:right w:val="single" w:color="auto" w:sz="4" w:space="0"/>
            </w:tcBorders>
          </w:tcPr>
          <w:p w14:paraId="2D28A764">
            <w:pPr>
              <w:rPr>
                <w:rFonts w:ascii="宋体" w:hAnsi="宋体"/>
                <w:szCs w:val="21"/>
              </w:rPr>
            </w:pPr>
            <w:r>
              <w:rPr>
                <w:rFonts w:hint="eastAsia" w:ascii="宋体" w:hAnsi="宋体"/>
                <w:szCs w:val="21"/>
              </w:rPr>
              <w:t>1  ……</w:t>
            </w:r>
          </w:p>
        </w:tc>
        <w:tc>
          <w:tcPr>
            <w:tcW w:w="2426" w:type="dxa"/>
            <w:tcBorders>
              <w:top w:val="single" w:color="auto" w:sz="4" w:space="0"/>
              <w:left w:val="single" w:color="auto" w:sz="4" w:space="0"/>
              <w:bottom w:val="single" w:color="auto" w:sz="4" w:space="0"/>
              <w:right w:val="single" w:color="auto" w:sz="4" w:space="0"/>
            </w:tcBorders>
          </w:tcPr>
          <w:p w14:paraId="0FC6759C">
            <w:pPr>
              <w:spacing w:line="300" w:lineRule="exact"/>
              <w:rPr>
                <w:rFonts w:ascii="宋体" w:hAnsi="宋体"/>
                <w:szCs w:val="21"/>
              </w:rPr>
            </w:pPr>
            <w:r>
              <w:rPr>
                <w:rFonts w:hint="eastAsia" w:ascii="宋体" w:hAnsi="宋体"/>
                <w:szCs w:val="21"/>
              </w:rPr>
              <w:t>正偏离（负偏离或无偏离）</w:t>
            </w:r>
          </w:p>
          <w:p w14:paraId="080EBE45">
            <w:pPr>
              <w:spacing w:line="300" w:lineRule="exact"/>
              <w:rPr>
                <w:rFonts w:ascii="宋体" w:hAnsi="宋体"/>
                <w:szCs w:val="21"/>
              </w:rPr>
            </w:pPr>
          </w:p>
        </w:tc>
      </w:tr>
      <w:tr w14:paraId="3E5C8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jc w:val="center"/>
        </w:trPr>
        <w:tc>
          <w:tcPr>
            <w:tcW w:w="691" w:type="dxa"/>
            <w:vMerge w:val="continue"/>
            <w:tcBorders>
              <w:top w:val="single" w:color="auto" w:sz="4" w:space="0"/>
              <w:left w:val="single" w:color="auto" w:sz="4" w:space="0"/>
              <w:bottom w:val="single" w:color="auto" w:sz="4" w:space="0"/>
              <w:right w:val="single" w:color="auto" w:sz="4" w:space="0"/>
            </w:tcBorders>
            <w:vAlign w:val="center"/>
          </w:tcPr>
          <w:p w14:paraId="3CC68900">
            <w:pPr>
              <w:widowControl/>
              <w:jc w:val="left"/>
              <w:rPr>
                <w:rFonts w:ascii="宋体" w:hAnsi="宋体"/>
                <w:szCs w:val="21"/>
              </w:rPr>
            </w:pPr>
          </w:p>
        </w:tc>
        <w:tc>
          <w:tcPr>
            <w:tcW w:w="3757" w:type="dxa"/>
            <w:tcBorders>
              <w:top w:val="single" w:color="auto" w:sz="4" w:space="0"/>
              <w:left w:val="single" w:color="auto" w:sz="4" w:space="0"/>
              <w:bottom w:val="single" w:color="auto" w:sz="4" w:space="0"/>
              <w:right w:val="single" w:color="auto" w:sz="4" w:space="0"/>
            </w:tcBorders>
            <w:noWrap/>
          </w:tcPr>
          <w:p w14:paraId="5FB41E17">
            <w:pPr>
              <w:spacing w:line="340" w:lineRule="exact"/>
              <w:rPr>
                <w:rFonts w:ascii="宋体" w:hAnsi="宋体"/>
                <w:szCs w:val="21"/>
              </w:rPr>
            </w:pPr>
            <w:r>
              <w:rPr>
                <w:rFonts w:hint="eastAsia" w:ascii="宋体" w:hAnsi="宋体"/>
                <w:szCs w:val="21"/>
              </w:rPr>
              <w:t>2  ……</w:t>
            </w:r>
          </w:p>
          <w:p w14:paraId="66B3FF88">
            <w:pPr>
              <w:spacing w:line="340" w:lineRule="exact"/>
              <w:rPr>
                <w:rFonts w:ascii="宋体" w:hAnsi="宋体"/>
                <w:szCs w:val="21"/>
              </w:rPr>
            </w:pPr>
          </w:p>
        </w:tc>
        <w:tc>
          <w:tcPr>
            <w:tcW w:w="2606" w:type="dxa"/>
            <w:tcBorders>
              <w:top w:val="single" w:color="auto" w:sz="4" w:space="0"/>
              <w:left w:val="single" w:color="auto" w:sz="4" w:space="0"/>
              <w:bottom w:val="single" w:color="auto" w:sz="4" w:space="0"/>
              <w:right w:val="single" w:color="auto" w:sz="4" w:space="0"/>
            </w:tcBorders>
          </w:tcPr>
          <w:p w14:paraId="529F14D0">
            <w:pPr>
              <w:spacing w:line="340" w:lineRule="exact"/>
              <w:rPr>
                <w:rFonts w:ascii="宋体" w:hAnsi="宋体"/>
                <w:szCs w:val="21"/>
              </w:rPr>
            </w:pPr>
            <w:r>
              <w:rPr>
                <w:rFonts w:hint="eastAsia" w:ascii="宋体" w:hAnsi="宋体"/>
                <w:szCs w:val="21"/>
              </w:rPr>
              <w:t>2  ……</w:t>
            </w:r>
          </w:p>
          <w:p w14:paraId="2DCEA5F9">
            <w:pPr>
              <w:spacing w:line="300" w:lineRule="exact"/>
              <w:rPr>
                <w:rFonts w:ascii="宋体" w:hAnsi="宋体"/>
                <w:szCs w:val="21"/>
              </w:rPr>
            </w:pPr>
          </w:p>
        </w:tc>
        <w:tc>
          <w:tcPr>
            <w:tcW w:w="2426" w:type="dxa"/>
            <w:tcBorders>
              <w:top w:val="single" w:color="auto" w:sz="4" w:space="0"/>
              <w:left w:val="single" w:color="auto" w:sz="4" w:space="0"/>
              <w:bottom w:val="single" w:color="auto" w:sz="4" w:space="0"/>
              <w:right w:val="single" w:color="auto" w:sz="4" w:space="0"/>
            </w:tcBorders>
          </w:tcPr>
          <w:p w14:paraId="692A5E86">
            <w:pPr>
              <w:spacing w:line="300" w:lineRule="exact"/>
              <w:rPr>
                <w:rFonts w:ascii="宋体" w:hAnsi="宋体"/>
                <w:szCs w:val="21"/>
              </w:rPr>
            </w:pPr>
            <w:r>
              <w:rPr>
                <w:rFonts w:hint="eastAsia" w:ascii="宋体" w:hAnsi="宋体"/>
                <w:szCs w:val="21"/>
              </w:rPr>
              <w:t>正偏离（负偏离或无偏离）</w:t>
            </w:r>
          </w:p>
          <w:p w14:paraId="7045C91D">
            <w:pPr>
              <w:spacing w:line="300" w:lineRule="exact"/>
              <w:rPr>
                <w:rFonts w:ascii="宋体" w:hAnsi="宋体"/>
                <w:szCs w:val="21"/>
              </w:rPr>
            </w:pPr>
          </w:p>
        </w:tc>
      </w:tr>
      <w:tr w14:paraId="6F766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jc w:val="center"/>
        </w:trPr>
        <w:tc>
          <w:tcPr>
            <w:tcW w:w="691" w:type="dxa"/>
            <w:vMerge w:val="continue"/>
            <w:tcBorders>
              <w:top w:val="single" w:color="auto" w:sz="4" w:space="0"/>
              <w:left w:val="single" w:color="auto" w:sz="4" w:space="0"/>
              <w:bottom w:val="single" w:color="auto" w:sz="4" w:space="0"/>
              <w:right w:val="single" w:color="auto" w:sz="4" w:space="0"/>
            </w:tcBorders>
            <w:vAlign w:val="center"/>
          </w:tcPr>
          <w:p w14:paraId="55D76E37">
            <w:pPr>
              <w:widowControl/>
              <w:jc w:val="left"/>
              <w:rPr>
                <w:rFonts w:ascii="宋体" w:hAnsi="宋体"/>
                <w:szCs w:val="21"/>
              </w:rPr>
            </w:pPr>
          </w:p>
        </w:tc>
        <w:tc>
          <w:tcPr>
            <w:tcW w:w="3757" w:type="dxa"/>
            <w:tcBorders>
              <w:top w:val="single" w:color="auto" w:sz="4" w:space="0"/>
              <w:left w:val="single" w:color="auto" w:sz="4" w:space="0"/>
              <w:bottom w:val="single" w:color="auto" w:sz="4" w:space="0"/>
              <w:right w:val="single" w:color="auto" w:sz="4" w:space="0"/>
            </w:tcBorders>
            <w:noWrap/>
          </w:tcPr>
          <w:p w14:paraId="26FD1D45">
            <w:pPr>
              <w:spacing w:line="340" w:lineRule="exact"/>
              <w:rPr>
                <w:rFonts w:ascii="宋体" w:hAnsi="宋体"/>
                <w:szCs w:val="21"/>
              </w:rPr>
            </w:pPr>
            <w:r>
              <w:rPr>
                <w:rFonts w:hint="eastAsia" w:ascii="宋体" w:hAnsi="宋体"/>
                <w:szCs w:val="21"/>
              </w:rPr>
              <w:t>3  ……</w:t>
            </w:r>
          </w:p>
          <w:p w14:paraId="51C7AA8E">
            <w:pPr>
              <w:spacing w:line="340" w:lineRule="exact"/>
              <w:rPr>
                <w:rFonts w:ascii="宋体" w:hAnsi="宋体"/>
                <w:szCs w:val="21"/>
              </w:rPr>
            </w:pPr>
          </w:p>
        </w:tc>
        <w:tc>
          <w:tcPr>
            <w:tcW w:w="2606" w:type="dxa"/>
            <w:tcBorders>
              <w:top w:val="single" w:color="auto" w:sz="4" w:space="0"/>
              <w:left w:val="single" w:color="auto" w:sz="4" w:space="0"/>
              <w:bottom w:val="single" w:color="auto" w:sz="4" w:space="0"/>
              <w:right w:val="single" w:color="auto" w:sz="4" w:space="0"/>
            </w:tcBorders>
          </w:tcPr>
          <w:p w14:paraId="0A86F66D">
            <w:pPr>
              <w:spacing w:line="340" w:lineRule="exact"/>
              <w:rPr>
                <w:rFonts w:ascii="宋体" w:hAnsi="宋体"/>
                <w:szCs w:val="21"/>
              </w:rPr>
            </w:pPr>
            <w:r>
              <w:rPr>
                <w:rFonts w:hint="eastAsia" w:ascii="宋体" w:hAnsi="宋体"/>
                <w:szCs w:val="21"/>
              </w:rPr>
              <w:t>3  ……</w:t>
            </w:r>
          </w:p>
          <w:p w14:paraId="4CEC19F9">
            <w:pPr>
              <w:spacing w:line="300" w:lineRule="exact"/>
              <w:rPr>
                <w:rFonts w:ascii="宋体" w:hAnsi="宋体"/>
                <w:szCs w:val="21"/>
              </w:rPr>
            </w:pPr>
          </w:p>
        </w:tc>
        <w:tc>
          <w:tcPr>
            <w:tcW w:w="2426" w:type="dxa"/>
            <w:tcBorders>
              <w:top w:val="single" w:color="auto" w:sz="4" w:space="0"/>
              <w:left w:val="single" w:color="auto" w:sz="4" w:space="0"/>
              <w:bottom w:val="single" w:color="auto" w:sz="4" w:space="0"/>
              <w:right w:val="single" w:color="auto" w:sz="4" w:space="0"/>
            </w:tcBorders>
          </w:tcPr>
          <w:p w14:paraId="3A17083C">
            <w:pPr>
              <w:spacing w:line="300" w:lineRule="exact"/>
              <w:rPr>
                <w:rFonts w:ascii="宋体" w:hAnsi="宋体"/>
                <w:szCs w:val="21"/>
              </w:rPr>
            </w:pPr>
            <w:r>
              <w:rPr>
                <w:rFonts w:hint="eastAsia" w:ascii="宋体" w:hAnsi="宋体"/>
                <w:szCs w:val="21"/>
              </w:rPr>
              <w:t>正偏离（负偏离或无偏离）</w:t>
            </w:r>
          </w:p>
          <w:p w14:paraId="2C1AB9F3">
            <w:pPr>
              <w:spacing w:line="300" w:lineRule="exact"/>
              <w:rPr>
                <w:rFonts w:ascii="宋体" w:hAnsi="宋体"/>
                <w:szCs w:val="21"/>
              </w:rPr>
            </w:pPr>
          </w:p>
        </w:tc>
      </w:tr>
      <w:tr w14:paraId="4749A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jc w:val="center"/>
        </w:trPr>
        <w:tc>
          <w:tcPr>
            <w:tcW w:w="691" w:type="dxa"/>
            <w:vMerge w:val="continue"/>
            <w:tcBorders>
              <w:top w:val="single" w:color="auto" w:sz="4" w:space="0"/>
              <w:left w:val="single" w:color="auto" w:sz="4" w:space="0"/>
              <w:bottom w:val="single" w:color="auto" w:sz="4" w:space="0"/>
              <w:right w:val="single" w:color="auto" w:sz="4" w:space="0"/>
            </w:tcBorders>
            <w:vAlign w:val="center"/>
          </w:tcPr>
          <w:p w14:paraId="752D0077">
            <w:pPr>
              <w:widowControl/>
              <w:jc w:val="left"/>
              <w:rPr>
                <w:rFonts w:ascii="宋体" w:hAnsi="宋体"/>
                <w:szCs w:val="21"/>
              </w:rPr>
            </w:pPr>
          </w:p>
        </w:tc>
        <w:tc>
          <w:tcPr>
            <w:tcW w:w="3757" w:type="dxa"/>
            <w:tcBorders>
              <w:top w:val="single" w:color="auto" w:sz="4" w:space="0"/>
              <w:left w:val="single" w:color="auto" w:sz="4" w:space="0"/>
              <w:bottom w:val="single" w:color="auto" w:sz="4" w:space="0"/>
              <w:right w:val="single" w:color="auto" w:sz="4" w:space="0"/>
            </w:tcBorders>
            <w:noWrap/>
          </w:tcPr>
          <w:p w14:paraId="48DF863F">
            <w:pPr>
              <w:spacing w:line="340" w:lineRule="exact"/>
              <w:rPr>
                <w:rFonts w:ascii="宋体" w:hAnsi="宋体"/>
                <w:szCs w:val="21"/>
              </w:rPr>
            </w:pPr>
            <w:r>
              <w:rPr>
                <w:rFonts w:hint="eastAsia" w:ascii="宋体" w:hAnsi="宋体"/>
                <w:szCs w:val="21"/>
              </w:rPr>
              <w:t>……</w:t>
            </w:r>
          </w:p>
        </w:tc>
        <w:tc>
          <w:tcPr>
            <w:tcW w:w="2606" w:type="dxa"/>
            <w:tcBorders>
              <w:top w:val="single" w:color="auto" w:sz="4" w:space="0"/>
              <w:left w:val="single" w:color="auto" w:sz="4" w:space="0"/>
              <w:bottom w:val="single" w:color="auto" w:sz="4" w:space="0"/>
              <w:right w:val="single" w:color="auto" w:sz="4" w:space="0"/>
            </w:tcBorders>
          </w:tcPr>
          <w:p w14:paraId="2375E182">
            <w:pPr>
              <w:spacing w:line="300" w:lineRule="exact"/>
              <w:rPr>
                <w:rFonts w:ascii="宋体" w:hAnsi="宋体"/>
                <w:szCs w:val="21"/>
              </w:rPr>
            </w:pPr>
            <w:r>
              <w:rPr>
                <w:rFonts w:hint="eastAsia" w:ascii="宋体" w:hAnsi="宋体"/>
                <w:szCs w:val="21"/>
              </w:rPr>
              <w:t>……</w:t>
            </w:r>
          </w:p>
        </w:tc>
        <w:tc>
          <w:tcPr>
            <w:tcW w:w="2426" w:type="dxa"/>
            <w:tcBorders>
              <w:top w:val="single" w:color="auto" w:sz="4" w:space="0"/>
              <w:left w:val="single" w:color="auto" w:sz="4" w:space="0"/>
              <w:bottom w:val="single" w:color="auto" w:sz="4" w:space="0"/>
              <w:right w:val="single" w:color="auto" w:sz="4" w:space="0"/>
            </w:tcBorders>
          </w:tcPr>
          <w:p w14:paraId="200E37F7">
            <w:pPr>
              <w:spacing w:line="300" w:lineRule="exact"/>
              <w:rPr>
                <w:rFonts w:ascii="宋体" w:hAnsi="宋体"/>
                <w:szCs w:val="21"/>
              </w:rPr>
            </w:pPr>
            <w:r>
              <w:rPr>
                <w:rFonts w:hint="eastAsia" w:ascii="宋体" w:hAnsi="宋体"/>
                <w:szCs w:val="21"/>
              </w:rPr>
              <w:t>正偏离（负偏离或无偏离）</w:t>
            </w:r>
          </w:p>
          <w:p w14:paraId="0EAEF605">
            <w:pPr>
              <w:spacing w:line="300" w:lineRule="exact"/>
              <w:rPr>
                <w:rFonts w:ascii="宋体" w:hAnsi="宋体"/>
                <w:szCs w:val="21"/>
              </w:rPr>
            </w:pPr>
          </w:p>
        </w:tc>
      </w:tr>
      <w:tr w14:paraId="735E0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9480" w:type="dxa"/>
            <w:gridSpan w:val="4"/>
            <w:tcBorders>
              <w:top w:val="single" w:color="auto" w:sz="4" w:space="0"/>
              <w:left w:val="single" w:color="auto" w:sz="4" w:space="0"/>
              <w:bottom w:val="single" w:color="auto" w:sz="4" w:space="0"/>
              <w:right w:val="single" w:color="auto" w:sz="4" w:space="0"/>
            </w:tcBorders>
            <w:noWrap/>
          </w:tcPr>
          <w:p w14:paraId="351371D4">
            <w:pPr>
              <w:spacing w:line="340" w:lineRule="exact"/>
              <w:rPr>
                <w:rFonts w:ascii="宋体" w:hAnsi="宋体"/>
                <w:szCs w:val="21"/>
              </w:rPr>
            </w:pPr>
            <w:r>
              <w:rPr>
                <w:rFonts w:hint="eastAsia" w:ascii="宋体" w:hAnsi="宋体"/>
                <w:szCs w:val="21"/>
                <w:u w:val="single"/>
              </w:rPr>
              <w:t>　　</w:t>
            </w:r>
            <w:r>
              <w:rPr>
                <w:rFonts w:hint="eastAsia" w:ascii="宋体" w:hAnsi="宋体"/>
                <w:szCs w:val="21"/>
              </w:rPr>
              <w:t>分标（此处有分标时填写具体分标号，无分标时填写“无”）</w:t>
            </w:r>
          </w:p>
        </w:tc>
      </w:tr>
    </w:tbl>
    <w:p w14:paraId="1E47FB65">
      <w:pPr>
        <w:spacing w:line="400" w:lineRule="exact"/>
        <w:rPr>
          <w:rFonts w:ascii="宋体" w:hAnsi="宋体" w:cs="仿宋_GB2312"/>
          <w:sz w:val="24"/>
        </w:rPr>
      </w:pPr>
    </w:p>
    <w:p w14:paraId="1F1FFC90">
      <w:pPr>
        <w:spacing w:line="400" w:lineRule="exact"/>
        <w:rPr>
          <w:rFonts w:ascii="宋体" w:hAnsi="宋体" w:cs="仿宋_GB2312"/>
          <w:sz w:val="24"/>
        </w:rPr>
      </w:pPr>
      <w:r>
        <w:rPr>
          <w:rFonts w:hint="eastAsia" w:ascii="宋体" w:hAnsi="宋体" w:cs="仿宋_GB2312"/>
          <w:sz w:val="24"/>
        </w:rPr>
        <w:t>注：</w:t>
      </w:r>
    </w:p>
    <w:p w14:paraId="3ED92163">
      <w:pPr>
        <w:spacing w:line="400" w:lineRule="exact"/>
        <w:rPr>
          <w:rFonts w:ascii="宋体" w:hAnsi="宋体" w:cs="仿宋_GB2312"/>
          <w:b/>
          <w:sz w:val="24"/>
        </w:rPr>
      </w:pPr>
      <w:r>
        <w:rPr>
          <w:rFonts w:hint="eastAsia" w:ascii="宋体" w:hAnsi="宋体" w:cs="仿宋_GB2312"/>
          <w:b/>
          <w:sz w:val="24"/>
        </w:rPr>
        <w:t>1.说明：应对照谈判文件“第二章采购需求”中的商务条款逐条作出明确响应，并作出偏离说明。</w:t>
      </w:r>
    </w:p>
    <w:p w14:paraId="1F5E14E5">
      <w:pPr>
        <w:spacing w:line="400" w:lineRule="exact"/>
        <w:rPr>
          <w:rFonts w:ascii="宋体" w:hAnsi="宋体" w:cs="仿宋_GB2312"/>
          <w:b/>
          <w:sz w:val="24"/>
        </w:rPr>
      </w:pPr>
      <w:r>
        <w:rPr>
          <w:rFonts w:hint="eastAsia" w:ascii="宋体" w:hAnsi="宋体" w:cs="仿宋_GB2312"/>
          <w:b/>
          <w:sz w:val="24"/>
        </w:rPr>
        <w:t>2.供应商应根据自身的承诺，对照谈判文件要求，在“偏离说明”中注明“正偏离”、“负偏离”或者“无偏离”。既不属于“正偏离”也不属于“负偏离”即为“无偏离”。</w:t>
      </w:r>
      <w:r>
        <w:rPr>
          <w:rFonts w:hint="eastAsia" w:ascii="宋体" w:hAnsi="宋体" w:eastAsia="仿宋_GB2312" w:cs="仿宋_GB2312"/>
          <w:b/>
          <w:sz w:val="24"/>
        </w:rPr>
        <w:t>当响应文件的</w:t>
      </w:r>
      <w:r>
        <w:rPr>
          <w:rFonts w:hint="eastAsia" w:ascii="宋体" w:hAnsi="宋体" w:cs="仿宋_GB2312"/>
          <w:b/>
          <w:sz w:val="24"/>
        </w:rPr>
        <w:t>商务内容低于竞争性谈判采购文件要求时，</w:t>
      </w:r>
      <w:r>
        <w:rPr>
          <w:rFonts w:hint="eastAsia" w:ascii="宋体" w:hAnsi="宋体" w:cs="仿宋_GB2312"/>
          <w:b/>
          <w:sz w:val="32"/>
        </w:rPr>
        <w:t>竞标人应当如实写明“负偏离”，否则视为虚假应标。</w:t>
      </w:r>
    </w:p>
    <w:p w14:paraId="4113B9BF">
      <w:pPr>
        <w:spacing w:line="400" w:lineRule="exact"/>
        <w:rPr>
          <w:rFonts w:ascii="宋体" w:hAnsi="宋体" w:cs="仿宋_GB2312"/>
          <w:b/>
          <w:sz w:val="24"/>
        </w:rPr>
      </w:pPr>
      <w:r>
        <w:rPr>
          <w:rFonts w:hint="eastAsia" w:ascii="宋体" w:hAnsi="宋体" w:cs="仿宋_GB2312"/>
          <w:b/>
          <w:sz w:val="24"/>
        </w:rPr>
        <w:t>3.表格内容均需按要求填写并盖章，不得留空，</w:t>
      </w:r>
      <w:r>
        <w:rPr>
          <w:rFonts w:hint="eastAsia" w:ascii="宋体" w:hAnsi="宋体" w:cs="仿宋_GB2312"/>
          <w:b/>
          <w:sz w:val="36"/>
        </w:rPr>
        <w:t>否则按竞标无效处理。</w:t>
      </w:r>
    </w:p>
    <w:p w14:paraId="1182CFBD">
      <w:pPr>
        <w:spacing w:line="400" w:lineRule="exact"/>
        <w:rPr>
          <w:rFonts w:ascii="宋体" w:hAnsi="宋体" w:cs="仿宋_GB2312"/>
          <w:b/>
          <w:sz w:val="24"/>
        </w:rPr>
      </w:pPr>
      <w:r>
        <w:rPr>
          <w:rFonts w:hint="eastAsia" w:ascii="宋体" w:hAnsi="宋体" w:cs="仿宋_GB2312"/>
          <w:b/>
          <w:sz w:val="24"/>
        </w:rPr>
        <w:t>4.如果采购需求为小于、小于等于、大于或大于等于某个数值标准时，响应文件承诺不得直接复制采购需求，响应文件承诺内容应当写明竞标货物具体参数或商务响应承诺的具体数值，</w:t>
      </w:r>
      <w:r>
        <w:rPr>
          <w:rFonts w:hint="eastAsia" w:ascii="宋体" w:hAnsi="宋体" w:cs="仿宋_GB2312"/>
          <w:b/>
          <w:sz w:val="36"/>
        </w:rPr>
        <w:t>否则按竞标无效处理</w:t>
      </w:r>
      <w:r>
        <w:rPr>
          <w:rFonts w:hint="eastAsia" w:ascii="宋体" w:hAnsi="宋体" w:cs="仿宋_GB2312"/>
          <w:b/>
          <w:sz w:val="28"/>
        </w:rPr>
        <w:t>。</w:t>
      </w:r>
    </w:p>
    <w:p w14:paraId="1F0DACD7">
      <w:pPr>
        <w:spacing w:line="400" w:lineRule="exact"/>
        <w:ind w:firstLine="482"/>
        <w:rPr>
          <w:rFonts w:ascii="宋体" w:hAnsi="宋体" w:cs="仿宋_GB2312"/>
          <w:b/>
          <w:sz w:val="24"/>
        </w:rPr>
      </w:pPr>
      <w:r>
        <w:rPr>
          <w:rFonts w:hint="eastAsia" w:ascii="宋体" w:hAnsi="宋体" w:cs="仿宋_GB2312"/>
          <w:b/>
          <w:sz w:val="24"/>
        </w:rPr>
        <w:t>如该采购需求属于不能明确具体数值的，采购人应在此采购需求的数值后标注◆号，对标注◆号的采购需求不适用上述“竞标无效”条款。</w:t>
      </w:r>
    </w:p>
    <w:p w14:paraId="24810FAF">
      <w:pPr>
        <w:spacing w:line="360" w:lineRule="auto"/>
        <w:ind w:right="-817"/>
        <w:contextualSpacing/>
        <w:rPr>
          <w:rFonts w:ascii="宋体" w:hAnsi="宋体" w:cs="仿宋_GB2312"/>
          <w:sz w:val="24"/>
        </w:rPr>
      </w:pPr>
    </w:p>
    <w:p w14:paraId="3B46DF6F">
      <w:pPr>
        <w:spacing w:line="360" w:lineRule="auto"/>
        <w:ind w:firstLine="3840"/>
        <w:rPr>
          <w:rFonts w:ascii="宋体" w:hAnsi="宋体" w:cs="仿宋_GB2312"/>
          <w:sz w:val="24"/>
        </w:rPr>
      </w:pPr>
      <w:r>
        <w:rPr>
          <w:rFonts w:hint="eastAsia" w:ascii="仿宋_GB2312" w:hAnsi="仿宋" w:eastAsia="仿宋_GB2312" w:cs="仿宋_GB2312"/>
          <w:sz w:val="24"/>
        </w:rPr>
        <w:t>供应商名称（电子签章）：</w:t>
      </w:r>
    </w:p>
    <w:p w14:paraId="27E7824C">
      <w:pPr>
        <w:spacing w:line="360" w:lineRule="auto"/>
        <w:jc w:val="center"/>
        <w:rPr>
          <w:rFonts w:ascii="宋体" w:hAnsi="宋体" w:cs="仿宋_GB2312"/>
          <w:b/>
          <w:sz w:val="24"/>
        </w:rPr>
      </w:pPr>
      <w:r>
        <w:rPr>
          <w:rFonts w:hint="eastAsia" w:ascii="仿宋_GB2312" w:hAnsi="仿宋" w:eastAsia="仿宋_GB2312" w:cs="仿宋_GB2312"/>
          <w:sz w:val="24"/>
          <w:lang w:val="zh-CN"/>
        </w:rPr>
        <w:t>日期：年月日</w:t>
      </w:r>
    </w:p>
    <w:p w14:paraId="2F6D2E0C">
      <w:pPr>
        <w:spacing w:line="360" w:lineRule="auto"/>
        <w:ind w:firstLine="602"/>
        <w:rPr>
          <w:rFonts w:ascii="仿宋" w:hAnsi="仿宋" w:eastAsia="仿宋" w:cs="仿宋_GB2312"/>
          <w:b/>
          <w:sz w:val="30"/>
          <w:szCs w:val="30"/>
        </w:rPr>
      </w:pPr>
    </w:p>
    <w:p w14:paraId="0D08191D">
      <w:pPr>
        <w:spacing w:line="360" w:lineRule="auto"/>
        <w:ind w:firstLine="602"/>
        <w:rPr>
          <w:rFonts w:ascii="仿宋" w:hAnsi="仿宋" w:eastAsia="仿宋" w:cs="仿宋_GB2312"/>
          <w:b/>
          <w:sz w:val="30"/>
          <w:szCs w:val="30"/>
        </w:rPr>
      </w:pPr>
    </w:p>
    <w:p w14:paraId="0624F0DA">
      <w:pPr>
        <w:spacing w:line="360" w:lineRule="auto"/>
        <w:ind w:firstLine="602"/>
        <w:rPr>
          <w:rFonts w:ascii="仿宋" w:hAnsi="仿宋" w:eastAsia="仿宋" w:cs="仿宋_GB2312"/>
          <w:b/>
          <w:sz w:val="30"/>
          <w:szCs w:val="30"/>
        </w:rPr>
      </w:pPr>
      <w:r>
        <w:rPr>
          <w:rFonts w:hint="eastAsia" w:ascii="仿宋" w:hAnsi="仿宋" w:eastAsia="仿宋" w:cs="仿宋_GB2312"/>
          <w:b/>
          <w:sz w:val="30"/>
          <w:szCs w:val="30"/>
        </w:rPr>
        <w:t>五、竞标人情况介绍</w:t>
      </w:r>
    </w:p>
    <w:p w14:paraId="3B8B90C7">
      <w:pPr>
        <w:spacing w:line="360" w:lineRule="auto"/>
        <w:ind w:firstLine="602"/>
        <w:rPr>
          <w:rFonts w:ascii="仿宋" w:hAnsi="仿宋" w:eastAsia="仿宋" w:cs="仿宋_GB2312"/>
          <w:b/>
          <w:sz w:val="30"/>
          <w:szCs w:val="30"/>
        </w:rPr>
      </w:pPr>
    </w:p>
    <w:p w14:paraId="1B4A2BF6">
      <w:pPr>
        <w:spacing w:line="360" w:lineRule="auto"/>
        <w:ind w:left="4335" w:hanging="240"/>
        <w:rPr>
          <w:rFonts w:ascii="仿宋_GB2312" w:hAnsi="仿宋" w:eastAsia="仿宋_GB2312" w:cs="仿宋_GB2312"/>
          <w:sz w:val="24"/>
        </w:rPr>
      </w:pPr>
      <w:r>
        <w:rPr>
          <w:rFonts w:hint="eastAsia" w:ascii="仿宋_GB2312" w:hAnsi="仿宋" w:eastAsia="仿宋_GB2312" w:cs="仿宋_GB2312"/>
          <w:sz w:val="24"/>
        </w:rPr>
        <w:t>供应商名称（电子签章）：</w:t>
      </w:r>
    </w:p>
    <w:p w14:paraId="79525A7A">
      <w:pPr>
        <w:spacing w:line="360" w:lineRule="auto"/>
        <w:ind w:firstLine="6480"/>
        <w:rPr>
          <w:rFonts w:ascii="仿宋_GB2312" w:hAnsi="仿宋" w:eastAsia="仿宋_GB2312" w:cs="仿宋_GB2312"/>
          <w:b/>
          <w:bCs/>
          <w:sz w:val="24"/>
        </w:rPr>
      </w:pPr>
      <w:r>
        <w:rPr>
          <w:rFonts w:hint="eastAsia" w:ascii="仿宋_GB2312" w:hAnsi="仿宋" w:eastAsia="仿宋_GB2312" w:cs="仿宋_GB2312"/>
          <w:sz w:val="24"/>
          <w:lang w:val="zh-CN"/>
        </w:rPr>
        <w:t>日期：年月日</w:t>
      </w:r>
    </w:p>
    <w:p w14:paraId="7FE7754B">
      <w:pPr>
        <w:spacing w:before="120" w:after="50"/>
        <w:ind w:firstLine="602"/>
        <w:rPr>
          <w:rFonts w:ascii="仿宋" w:hAnsi="仿宋" w:eastAsia="仿宋" w:cs="仿宋_GB2312"/>
          <w:b/>
          <w:sz w:val="30"/>
          <w:szCs w:val="30"/>
        </w:rPr>
      </w:pPr>
      <w:r>
        <w:rPr>
          <w:rFonts w:hint="eastAsia" w:ascii="仿宋" w:hAnsi="仿宋" w:eastAsia="仿宋" w:cs="仿宋_GB2312"/>
          <w:b/>
          <w:sz w:val="30"/>
          <w:szCs w:val="30"/>
        </w:rPr>
        <w:t>六、供应商类似的业绩证明文件</w:t>
      </w:r>
    </w:p>
    <w:p w14:paraId="787B47A2">
      <w:pPr>
        <w:spacing w:line="360" w:lineRule="auto"/>
        <w:ind w:firstLine="120"/>
        <w:rPr>
          <w:rFonts w:ascii="宋体" w:hAnsi="宋体"/>
          <w:sz w:val="24"/>
        </w:rPr>
      </w:pPr>
      <w:r>
        <w:rPr>
          <w:rFonts w:hint="eastAsia" w:ascii="仿宋_GB2312" w:hAnsi="仿宋" w:eastAsia="仿宋_GB2312" w:cs="仿宋_GB2312"/>
          <w:b/>
          <w:sz w:val="24"/>
        </w:rPr>
        <w:t>附表 :相关项目业绩一览表（供应商同类项目合同复印件、用户验收报告、用户评价意见格式自拟）</w:t>
      </w:r>
    </w:p>
    <w:p w14:paraId="62B7CF75">
      <w:pPr>
        <w:spacing w:line="360" w:lineRule="auto"/>
        <w:ind w:left="420"/>
        <w:rPr>
          <w:sz w:val="20"/>
          <w:szCs w:val="21"/>
        </w:rPr>
      </w:pPr>
      <w:r>
        <w:rPr>
          <w:rFonts w:hint="eastAsia"/>
          <w:sz w:val="20"/>
          <w:szCs w:val="21"/>
        </w:rPr>
        <w:t>注：供应商可按上述的格式自行编制，须随表提交相应的合同复印件和用户单位验收证明并注明所在供应商商务技术文件页码。</w:t>
      </w:r>
    </w:p>
    <w:p w14:paraId="085CCE5B">
      <w:pPr>
        <w:spacing w:line="360" w:lineRule="auto"/>
        <w:ind w:left="4335" w:hanging="240"/>
        <w:rPr>
          <w:rFonts w:ascii="仿宋_GB2312" w:hAnsi="仿宋" w:eastAsia="仿宋_GB2312" w:cs="仿宋_GB2312"/>
          <w:sz w:val="24"/>
        </w:rPr>
      </w:pPr>
      <w:r>
        <w:rPr>
          <w:rFonts w:hint="eastAsia" w:ascii="仿宋_GB2312" w:hAnsi="仿宋" w:eastAsia="仿宋_GB2312" w:cs="仿宋_GB2312"/>
          <w:sz w:val="24"/>
        </w:rPr>
        <w:t>供应商名称（电子签章）：</w:t>
      </w:r>
    </w:p>
    <w:p w14:paraId="07FCC46F">
      <w:pPr>
        <w:spacing w:line="360" w:lineRule="auto"/>
        <w:ind w:firstLine="6480"/>
        <w:rPr>
          <w:rFonts w:ascii="仿宋_GB2312" w:hAnsi="仿宋" w:eastAsia="仿宋_GB2312" w:cs="仿宋_GB2312"/>
          <w:b/>
          <w:bCs/>
          <w:sz w:val="24"/>
        </w:rPr>
      </w:pPr>
      <w:r>
        <w:rPr>
          <w:rFonts w:hint="eastAsia" w:ascii="仿宋_GB2312" w:hAnsi="仿宋" w:eastAsia="仿宋_GB2312" w:cs="仿宋_GB2312"/>
          <w:sz w:val="24"/>
          <w:lang w:val="zh-CN"/>
        </w:rPr>
        <w:t>日期：年月日</w:t>
      </w:r>
    </w:p>
    <w:p w14:paraId="78C3FF16">
      <w:pPr>
        <w:widowControl/>
        <w:jc w:val="left"/>
        <w:rPr>
          <w:rFonts w:ascii="仿宋_GB2312" w:hAnsi="仿宋_GB2312" w:eastAsia="仿宋_GB2312" w:cs="仿宋_GB2312"/>
          <w:sz w:val="32"/>
          <w:szCs w:val="32"/>
        </w:rPr>
        <w:sectPr>
          <w:pgSz w:w="11910" w:h="16840"/>
          <w:pgMar w:top="1340" w:right="1500" w:bottom="280" w:left="1680" w:header="720" w:footer="720" w:gutter="0"/>
          <w:cols w:space="1701" w:num="1"/>
        </w:sectPr>
      </w:pPr>
    </w:p>
    <w:p w14:paraId="0800E22C">
      <w:pPr>
        <w:spacing w:line="360" w:lineRule="auto"/>
        <w:ind w:firstLine="6120"/>
        <w:rPr>
          <w:rFonts w:ascii="仿宋_GB2312" w:hAnsi="仿宋" w:eastAsia="仿宋_GB2312" w:cs="仿宋_GB2312"/>
          <w:sz w:val="24"/>
          <w:lang w:val="zh-CN"/>
        </w:rPr>
      </w:pPr>
    </w:p>
    <w:p w14:paraId="6280D8BF">
      <w:pPr>
        <w:spacing w:line="360" w:lineRule="auto"/>
        <w:ind w:firstLine="602"/>
        <w:rPr>
          <w:rFonts w:ascii="仿宋" w:hAnsi="仿宋" w:eastAsia="仿宋" w:cs="仿宋_GB2312"/>
          <w:b/>
          <w:sz w:val="30"/>
          <w:szCs w:val="30"/>
        </w:rPr>
      </w:pPr>
      <w:r>
        <w:rPr>
          <w:rFonts w:hint="eastAsia" w:ascii="仿宋" w:hAnsi="仿宋" w:eastAsia="仿宋" w:cs="仿宋_GB2312"/>
          <w:b/>
          <w:sz w:val="30"/>
          <w:szCs w:val="30"/>
        </w:rPr>
        <w:t>七、货物需求偏离表（格式）</w:t>
      </w:r>
    </w:p>
    <w:p w14:paraId="4D79BE2D">
      <w:pPr>
        <w:spacing w:line="500" w:lineRule="exact"/>
        <w:jc w:val="center"/>
        <w:rPr>
          <w:rFonts w:ascii="仿宋_GB2312" w:hAnsi="仿宋_GB2312" w:eastAsia="仿宋_GB2312" w:cs="仿宋_GB2312"/>
          <w:sz w:val="32"/>
          <w:szCs w:val="32"/>
        </w:rPr>
      </w:pPr>
    </w:p>
    <w:p w14:paraId="79CD99B3">
      <w:pPr>
        <w:spacing w:line="500" w:lineRule="exact"/>
        <w:jc w:val="center"/>
        <w:rPr>
          <w:rFonts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货物需求偏离表</w:t>
      </w:r>
    </w:p>
    <w:p w14:paraId="5C59574A">
      <w:pPr>
        <w:spacing w:line="360" w:lineRule="auto"/>
        <w:ind w:firstLine="480"/>
        <w:rPr>
          <w:rFonts w:ascii="宋体" w:hAnsi="宋体" w:cs="仿宋_GB2312"/>
          <w:sz w:val="24"/>
        </w:rPr>
      </w:pPr>
      <w:r>
        <w:rPr>
          <w:rFonts w:hint="eastAsia" w:ascii="宋体" w:hAnsi="宋体" w:cs="仿宋_GB2312"/>
          <w:sz w:val="24"/>
        </w:rPr>
        <w:t>所竞分标：</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3"/>
        <w:gridCol w:w="1142"/>
        <w:gridCol w:w="736"/>
        <w:gridCol w:w="1576"/>
        <w:gridCol w:w="1140"/>
        <w:gridCol w:w="658"/>
        <w:gridCol w:w="1146"/>
        <w:gridCol w:w="1095"/>
      </w:tblGrid>
      <w:tr w14:paraId="5A5EB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8" w:hRule="atLeast"/>
          <w:jc w:val="center"/>
        </w:trPr>
        <w:tc>
          <w:tcPr>
            <w:tcW w:w="593" w:type="dxa"/>
            <w:vMerge w:val="restart"/>
            <w:tcBorders>
              <w:top w:val="single" w:color="auto" w:sz="4" w:space="0"/>
              <w:left w:val="single" w:color="auto" w:sz="4" w:space="0"/>
              <w:bottom w:val="single" w:color="auto" w:sz="4" w:space="0"/>
              <w:right w:val="single" w:color="auto" w:sz="4" w:space="0"/>
            </w:tcBorders>
            <w:noWrap/>
            <w:vAlign w:val="center"/>
          </w:tcPr>
          <w:p w14:paraId="3A988D49">
            <w:pPr>
              <w:rPr>
                <w:rFonts w:ascii="宋体" w:hAnsi="宋体"/>
                <w:szCs w:val="21"/>
              </w:rPr>
            </w:pPr>
            <w:r>
              <w:rPr>
                <w:rFonts w:hint="eastAsia" w:ascii="宋体" w:hAnsi="宋体"/>
                <w:szCs w:val="21"/>
              </w:rPr>
              <w:t>项号</w:t>
            </w:r>
          </w:p>
        </w:tc>
        <w:tc>
          <w:tcPr>
            <w:tcW w:w="3454" w:type="dxa"/>
            <w:gridSpan w:val="3"/>
            <w:tcBorders>
              <w:top w:val="single" w:color="auto" w:sz="4" w:space="0"/>
              <w:left w:val="single" w:color="auto" w:sz="4" w:space="0"/>
              <w:bottom w:val="single" w:color="auto" w:sz="4" w:space="0"/>
              <w:right w:val="single" w:color="auto" w:sz="4" w:space="0"/>
            </w:tcBorders>
            <w:noWrap/>
            <w:vAlign w:val="center"/>
          </w:tcPr>
          <w:p w14:paraId="57BBCD82">
            <w:pPr>
              <w:jc w:val="center"/>
              <w:rPr>
                <w:rFonts w:ascii="宋体" w:hAnsi="宋体"/>
                <w:szCs w:val="21"/>
              </w:rPr>
            </w:pPr>
            <w:r>
              <w:rPr>
                <w:rFonts w:hint="eastAsia" w:ascii="宋体" w:hAnsi="宋体"/>
                <w:szCs w:val="21"/>
              </w:rPr>
              <w:t>竞争性谈判采购文件需求</w:t>
            </w:r>
          </w:p>
        </w:tc>
        <w:tc>
          <w:tcPr>
            <w:tcW w:w="2944" w:type="dxa"/>
            <w:gridSpan w:val="3"/>
            <w:tcBorders>
              <w:top w:val="single" w:color="auto" w:sz="4" w:space="0"/>
              <w:left w:val="single" w:color="auto" w:sz="4" w:space="0"/>
              <w:bottom w:val="single" w:color="auto" w:sz="4" w:space="0"/>
              <w:right w:val="single" w:color="auto" w:sz="4" w:space="0"/>
            </w:tcBorders>
            <w:noWrap/>
            <w:vAlign w:val="center"/>
          </w:tcPr>
          <w:p w14:paraId="2D3F8A12">
            <w:pPr>
              <w:jc w:val="center"/>
              <w:rPr>
                <w:rFonts w:ascii="宋体" w:hAnsi="宋体"/>
                <w:szCs w:val="21"/>
              </w:rPr>
            </w:pPr>
            <w:r>
              <w:rPr>
                <w:rFonts w:hint="eastAsia" w:ascii="宋体" w:hAnsi="宋体"/>
                <w:szCs w:val="21"/>
              </w:rPr>
              <w:t>响应文件承诺</w:t>
            </w:r>
          </w:p>
        </w:tc>
        <w:tc>
          <w:tcPr>
            <w:tcW w:w="1095" w:type="dxa"/>
            <w:vMerge w:val="restart"/>
            <w:tcBorders>
              <w:top w:val="single" w:color="auto" w:sz="4" w:space="0"/>
              <w:left w:val="single" w:color="auto" w:sz="4" w:space="0"/>
              <w:bottom w:val="single" w:color="auto" w:sz="4" w:space="0"/>
              <w:right w:val="single" w:color="auto" w:sz="4" w:space="0"/>
            </w:tcBorders>
            <w:noWrap/>
            <w:vAlign w:val="center"/>
          </w:tcPr>
          <w:p w14:paraId="0212F8BB">
            <w:pPr>
              <w:rPr>
                <w:rFonts w:ascii="宋体" w:hAnsi="宋体"/>
                <w:szCs w:val="21"/>
              </w:rPr>
            </w:pPr>
            <w:r>
              <w:rPr>
                <w:rFonts w:hint="eastAsia" w:ascii="宋体" w:hAnsi="宋体"/>
                <w:szCs w:val="21"/>
              </w:rPr>
              <w:t>偏离说明</w:t>
            </w:r>
          </w:p>
        </w:tc>
      </w:tr>
      <w:tr w14:paraId="067A2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1" w:hRule="atLeast"/>
          <w:jc w:val="center"/>
        </w:trPr>
        <w:tc>
          <w:tcPr>
            <w:tcW w:w="593" w:type="dxa"/>
            <w:vMerge w:val="continue"/>
            <w:tcBorders>
              <w:top w:val="single" w:color="auto" w:sz="4" w:space="0"/>
              <w:left w:val="single" w:color="auto" w:sz="4" w:space="0"/>
              <w:bottom w:val="single" w:color="auto" w:sz="4" w:space="0"/>
              <w:right w:val="single" w:color="auto" w:sz="4" w:space="0"/>
            </w:tcBorders>
            <w:vAlign w:val="center"/>
          </w:tcPr>
          <w:p w14:paraId="2CC9CCAE">
            <w:pPr>
              <w:widowControl/>
              <w:jc w:val="left"/>
              <w:rPr>
                <w:rFonts w:ascii="宋体" w:hAnsi="宋体"/>
                <w:szCs w:val="21"/>
              </w:rPr>
            </w:pPr>
          </w:p>
        </w:tc>
        <w:tc>
          <w:tcPr>
            <w:tcW w:w="1142" w:type="dxa"/>
            <w:tcBorders>
              <w:top w:val="single" w:color="auto" w:sz="4" w:space="0"/>
              <w:left w:val="single" w:color="auto" w:sz="4" w:space="0"/>
              <w:bottom w:val="single" w:color="auto" w:sz="4" w:space="0"/>
              <w:right w:val="single" w:color="auto" w:sz="4" w:space="0"/>
            </w:tcBorders>
            <w:noWrap/>
            <w:vAlign w:val="center"/>
          </w:tcPr>
          <w:p w14:paraId="0542A2A1">
            <w:pPr>
              <w:rPr>
                <w:rFonts w:ascii="宋体" w:hAnsi="宋体"/>
                <w:szCs w:val="21"/>
              </w:rPr>
            </w:pPr>
            <w:r>
              <w:rPr>
                <w:rFonts w:hint="eastAsia" w:ascii="宋体" w:hAnsi="宋体"/>
                <w:szCs w:val="21"/>
              </w:rPr>
              <w:t>标的名称</w:t>
            </w:r>
          </w:p>
        </w:tc>
        <w:tc>
          <w:tcPr>
            <w:tcW w:w="736" w:type="dxa"/>
            <w:tcBorders>
              <w:top w:val="single" w:color="auto" w:sz="4" w:space="0"/>
              <w:left w:val="single" w:color="auto" w:sz="4" w:space="0"/>
              <w:bottom w:val="single" w:color="auto" w:sz="4" w:space="0"/>
              <w:right w:val="single" w:color="auto" w:sz="4" w:space="0"/>
            </w:tcBorders>
            <w:noWrap/>
            <w:vAlign w:val="center"/>
          </w:tcPr>
          <w:p w14:paraId="1F1DEB01">
            <w:pPr>
              <w:rPr>
                <w:rFonts w:ascii="宋体" w:hAnsi="宋体"/>
                <w:szCs w:val="21"/>
              </w:rPr>
            </w:pPr>
            <w:r>
              <w:rPr>
                <w:rFonts w:hint="eastAsia" w:ascii="宋体" w:hAnsi="宋体"/>
                <w:szCs w:val="21"/>
              </w:rPr>
              <w:t>数量</w:t>
            </w:r>
          </w:p>
        </w:tc>
        <w:tc>
          <w:tcPr>
            <w:tcW w:w="1576" w:type="dxa"/>
            <w:tcBorders>
              <w:top w:val="single" w:color="auto" w:sz="4" w:space="0"/>
              <w:left w:val="single" w:color="auto" w:sz="4" w:space="0"/>
              <w:bottom w:val="single" w:color="auto" w:sz="4" w:space="0"/>
              <w:right w:val="single" w:color="auto" w:sz="4" w:space="0"/>
            </w:tcBorders>
            <w:noWrap/>
            <w:vAlign w:val="center"/>
          </w:tcPr>
          <w:p w14:paraId="02292E9C">
            <w:pPr>
              <w:rPr>
                <w:rFonts w:ascii="宋体" w:hAnsi="宋体"/>
                <w:szCs w:val="21"/>
              </w:rPr>
            </w:pPr>
            <w:r>
              <w:rPr>
                <w:rFonts w:hint="eastAsia" w:ascii="宋体" w:hAnsi="宋体"/>
                <w:szCs w:val="21"/>
              </w:rPr>
              <w:t>货物技术参数要求</w:t>
            </w:r>
          </w:p>
        </w:tc>
        <w:tc>
          <w:tcPr>
            <w:tcW w:w="1140" w:type="dxa"/>
            <w:tcBorders>
              <w:top w:val="single" w:color="auto" w:sz="4" w:space="0"/>
              <w:left w:val="single" w:color="auto" w:sz="4" w:space="0"/>
              <w:bottom w:val="single" w:color="auto" w:sz="4" w:space="0"/>
              <w:right w:val="single" w:color="auto" w:sz="4" w:space="0"/>
            </w:tcBorders>
            <w:noWrap/>
            <w:vAlign w:val="center"/>
          </w:tcPr>
          <w:p w14:paraId="35BBA00A">
            <w:pPr>
              <w:rPr>
                <w:rFonts w:ascii="宋体" w:hAnsi="宋体"/>
                <w:szCs w:val="21"/>
              </w:rPr>
            </w:pPr>
            <w:r>
              <w:rPr>
                <w:rFonts w:hint="eastAsia" w:ascii="宋体" w:hAnsi="宋体"/>
                <w:szCs w:val="21"/>
              </w:rPr>
              <w:t>标的名称</w:t>
            </w:r>
          </w:p>
        </w:tc>
        <w:tc>
          <w:tcPr>
            <w:tcW w:w="658" w:type="dxa"/>
            <w:tcBorders>
              <w:top w:val="single" w:color="auto" w:sz="4" w:space="0"/>
              <w:left w:val="single" w:color="auto" w:sz="4" w:space="0"/>
              <w:bottom w:val="single" w:color="auto" w:sz="4" w:space="0"/>
              <w:right w:val="single" w:color="auto" w:sz="4" w:space="0"/>
            </w:tcBorders>
            <w:noWrap/>
            <w:vAlign w:val="center"/>
          </w:tcPr>
          <w:p w14:paraId="38CE98FA">
            <w:pPr>
              <w:rPr>
                <w:rFonts w:ascii="宋体" w:hAnsi="宋体"/>
                <w:szCs w:val="21"/>
              </w:rPr>
            </w:pPr>
            <w:r>
              <w:rPr>
                <w:rFonts w:hint="eastAsia" w:ascii="宋体" w:hAnsi="宋体"/>
                <w:szCs w:val="21"/>
              </w:rPr>
              <w:t>数量</w:t>
            </w:r>
          </w:p>
        </w:tc>
        <w:tc>
          <w:tcPr>
            <w:tcW w:w="1146" w:type="dxa"/>
            <w:tcBorders>
              <w:top w:val="single" w:color="auto" w:sz="4" w:space="0"/>
              <w:left w:val="single" w:color="auto" w:sz="4" w:space="0"/>
              <w:bottom w:val="single" w:color="auto" w:sz="4" w:space="0"/>
              <w:right w:val="single" w:color="auto" w:sz="4" w:space="0"/>
            </w:tcBorders>
            <w:noWrap/>
            <w:vAlign w:val="center"/>
          </w:tcPr>
          <w:p w14:paraId="2E945E04">
            <w:pPr>
              <w:rPr>
                <w:rFonts w:ascii="宋体" w:hAnsi="宋体"/>
                <w:szCs w:val="21"/>
              </w:rPr>
            </w:pPr>
            <w:r>
              <w:rPr>
                <w:rFonts w:hint="eastAsia" w:ascii="宋体" w:hAnsi="宋体"/>
                <w:szCs w:val="21"/>
              </w:rPr>
              <w:t>货物技术参数</w:t>
            </w:r>
          </w:p>
        </w:tc>
        <w:tc>
          <w:tcPr>
            <w:tcW w:w="1095" w:type="dxa"/>
            <w:vMerge w:val="continue"/>
            <w:tcBorders>
              <w:top w:val="single" w:color="auto" w:sz="4" w:space="0"/>
              <w:left w:val="single" w:color="auto" w:sz="4" w:space="0"/>
              <w:bottom w:val="single" w:color="auto" w:sz="4" w:space="0"/>
              <w:right w:val="single" w:color="auto" w:sz="4" w:space="0"/>
            </w:tcBorders>
            <w:vAlign w:val="center"/>
          </w:tcPr>
          <w:p w14:paraId="26066EEE">
            <w:pPr>
              <w:widowControl/>
              <w:jc w:val="left"/>
              <w:rPr>
                <w:rFonts w:ascii="宋体" w:hAnsi="宋体"/>
                <w:szCs w:val="21"/>
              </w:rPr>
            </w:pPr>
          </w:p>
        </w:tc>
      </w:tr>
      <w:tr w14:paraId="06164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 w:hRule="atLeast"/>
          <w:jc w:val="center"/>
        </w:trPr>
        <w:tc>
          <w:tcPr>
            <w:tcW w:w="593" w:type="dxa"/>
            <w:tcBorders>
              <w:top w:val="single" w:color="auto" w:sz="4" w:space="0"/>
              <w:left w:val="single" w:color="auto" w:sz="4" w:space="0"/>
              <w:bottom w:val="single" w:color="auto" w:sz="4" w:space="0"/>
              <w:right w:val="single" w:color="auto" w:sz="4" w:space="0"/>
            </w:tcBorders>
            <w:noWrap/>
            <w:vAlign w:val="center"/>
          </w:tcPr>
          <w:p w14:paraId="6FE444DF">
            <w:pPr>
              <w:rPr>
                <w:rFonts w:ascii="宋体" w:hAnsi="宋体"/>
                <w:szCs w:val="21"/>
              </w:rPr>
            </w:pPr>
            <w:r>
              <w:rPr>
                <w:rFonts w:hint="eastAsia" w:ascii="宋体" w:hAnsi="宋体"/>
                <w:szCs w:val="21"/>
              </w:rPr>
              <w:t>1</w:t>
            </w:r>
          </w:p>
        </w:tc>
        <w:tc>
          <w:tcPr>
            <w:tcW w:w="1142" w:type="dxa"/>
            <w:tcBorders>
              <w:top w:val="single" w:color="auto" w:sz="4" w:space="0"/>
              <w:left w:val="single" w:color="auto" w:sz="4" w:space="0"/>
              <w:bottom w:val="single" w:color="auto" w:sz="4" w:space="0"/>
              <w:right w:val="single" w:color="auto" w:sz="4" w:space="0"/>
            </w:tcBorders>
            <w:noWrap/>
            <w:vAlign w:val="center"/>
          </w:tcPr>
          <w:p w14:paraId="2F102F48">
            <w:pPr>
              <w:rPr>
                <w:rFonts w:ascii="宋体" w:hAnsi="宋体"/>
                <w:szCs w:val="21"/>
              </w:rPr>
            </w:pPr>
            <w:r>
              <w:rPr>
                <w:rFonts w:hint="eastAsia" w:ascii="宋体" w:hAnsi="宋体"/>
                <w:szCs w:val="21"/>
              </w:rPr>
              <w:t>……</w:t>
            </w:r>
          </w:p>
        </w:tc>
        <w:tc>
          <w:tcPr>
            <w:tcW w:w="736" w:type="dxa"/>
            <w:tcBorders>
              <w:top w:val="single" w:color="auto" w:sz="4" w:space="0"/>
              <w:left w:val="single" w:color="auto" w:sz="4" w:space="0"/>
              <w:bottom w:val="single" w:color="auto" w:sz="4" w:space="0"/>
              <w:right w:val="single" w:color="auto" w:sz="4" w:space="0"/>
            </w:tcBorders>
            <w:noWrap/>
            <w:vAlign w:val="center"/>
          </w:tcPr>
          <w:p w14:paraId="4D005EB4">
            <w:pPr>
              <w:rPr>
                <w:rFonts w:ascii="宋体" w:hAnsi="宋体"/>
                <w:szCs w:val="21"/>
              </w:rPr>
            </w:pPr>
            <w:r>
              <w:rPr>
                <w:rFonts w:hint="eastAsia" w:ascii="宋体" w:hAnsi="宋体"/>
                <w:szCs w:val="21"/>
              </w:rPr>
              <w:t>…</w:t>
            </w:r>
          </w:p>
        </w:tc>
        <w:tc>
          <w:tcPr>
            <w:tcW w:w="1576" w:type="dxa"/>
            <w:tcBorders>
              <w:top w:val="single" w:color="auto" w:sz="4" w:space="0"/>
              <w:left w:val="single" w:color="auto" w:sz="4" w:space="0"/>
              <w:bottom w:val="single" w:color="auto" w:sz="4" w:space="0"/>
              <w:right w:val="single" w:color="auto" w:sz="4" w:space="0"/>
            </w:tcBorders>
            <w:noWrap/>
            <w:vAlign w:val="center"/>
          </w:tcPr>
          <w:p w14:paraId="413CCE9C">
            <w:pPr>
              <w:rPr>
                <w:rFonts w:ascii="宋体" w:hAnsi="宋体"/>
                <w:szCs w:val="21"/>
              </w:rPr>
            </w:pPr>
            <w:r>
              <w:rPr>
                <w:rFonts w:hint="eastAsia" w:ascii="宋体" w:hAnsi="宋体"/>
                <w:szCs w:val="21"/>
              </w:rPr>
              <w:t>1  ……</w:t>
            </w:r>
          </w:p>
          <w:p w14:paraId="763E3B67">
            <w:pPr>
              <w:rPr>
                <w:rFonts w:ascii="宋体" w:hAnsi="宋体"/>
                <w:szCs w:val="21"/>
              </w:rPr>
            </w:pPr>
            <w:r>
              <w:rPr>
                <w:rFonts w:hint="eastAsia" w:ascii="宋体" w:hAnsi="宋体"/>
                <w:szCs w:val="21"/>
              </w:rPr>
              <w:t>2  ……</w:t>
            </w:r>
          </w:p>
          <w:p w14:paraId="6EC5F5E1">
            <w:pPr>
              <w:rPr>
                <w:rFonts w:ascii="宋体" w:hAnsi="宋体"/>
                <w:szCs w:val="21"/>
              </w:rPr>
            </w:pPr>
            <w:r>
              <w:rPr>
                <w:rFonts w:hint="eastAsia" w:ascii="宋体" w:hAnsi="宋体"/>
                <w:szCs w:val="21"/>
              </w:rPr>
              <w:t>3  ……</w:t>
            </w:r>
          </w:p>
          <w:p w14:paraId="1A089308">
            <w:pPr>
              <w:rPr>
                <w:rFonts w:ascii="宋体" w:hAnsi="宋体"/>
                <w:szCs w:val="21"/>
              </w:rPr>
            </w:pPr>
            <w:r>
              <w:rPr>
                <w:rFonts w:hint="eastAsia" w:ascii="宋体" w:hAnsi="宋体"/>
                <w:szCs w:val="21"/>
              </w:rPr>
              <w:t>……</w:t>
            </w:r>
          </w:p>
        </w:tc>
        <w:tc>
          <w:tcPr>
            <w:tcW w:w="1140" w:type="dxa"/>
            <w:tcBorders>
              <w:top w:val="single" w:color="auto" w:sz="4" w:space="0"/>
              <w:left w:val="single" w:color="auto" w:sz="4" w:space="0"/>
              <w:bottom w:val="single" w:color="auto" w:sz="4" w:space="0"/>
              <w:right w:val="single" w:color="auto" w:sz="4" w:space="0"/>
            </w:tcBorders>
            <w:noWrap/>
            <w:vAlign w:val="center"/>
          </w:tcPr>
          <w:p w14:paraId="1BB72C3F">
            <w:pPr>
              <w:rPr>
                <w:rFonts w:ascii="宋体" w:hAnsi="宋体"/>
                <w:szCs w:val="21"/>
              </w:rPr>
            </w:pPr>
            <w:r>
              <w:rPr>
                <w:rFonts w:hint="eastAsia" w:ascii="宋体" w:hAnsi="宋体"/>
                <w:szCs w:val="21"/>
              </w:rPr>
              <w:t>……</w:t>
            </w:r>
          </w:p>
        </w:tc>
        <w:tc>
          <w:tcPr>
            <w:tcW w:w="658" w:type="dxa"/>
            <w:tcBorders>
              <w:top w:val="single" w:color="auto" w:sz="4" w:space="0"/>
              <w:left w:val="single" w:color="auto" w:sz="4" w:space="0"/>
              <w:bottom w:val="single" w:color="auto" w:sz="4" w:space="0"/>
              <w:right w:val="single" w:color="auto" w:sz="4" w:space="0"/>
            </w:tcBorders>
            <w:noWrap/>
            <w:vAlign w:val="center"/>
          </w:tcPr>
          <w:p w14:paraId="580BE34A">
            <w:pPr>
              <w:rPr>
                <w:rFonts w:ascii="宋体" w:hAnsi="宋体"/>
                <w:szCs w:val="21"/>
              </w:rPr>
            </w:pPr>
            <w:r>
              <w:rPr>
                <w:rFonts w:hint="eastAsia" w:ascii="宋体" w:hAnsi="宋体"/>
                <w:szCs w:val="21"/>
              </w:rPr>
              <w:t>…</w:t>
            </w:r>
          </w:p>
        </w:tc>
        <w:tc>
          <w:tcPr>
            <w:tcW w:w="1146" w:type="dxa"/>
            <w:tcBorders>
              <w:top w:val="single" w:color="auto" w:sz="4" w:space="0"/>
              <w:left w:val="single" w:color="auto" w:sz="4" w:space="0"/>
              <w:bottom w:val="single" w:color="auto" w:sz="4" w:space="0"/>
              <w:right w:val="single" w:color="auto" w:sz="4" w:space="0"/>
            </w:tcBorders>
            <w:noWrap/>
            <w:vAlign w:val="center"/>
          </w:tcPr>
          <w:p w14:paraId="7E10929D">
            <w:pPr>
              <w:rPr>
                <w:rFonts w:ascii="宋体" w:hAnsi="宋体"/>
                <w:szCs w:val="21"/>
              </w:rPr>
            </w:pPr>
            <w:r>
              <w:rPr>
                <w:rFonts w:hint="eastAsia" w:ascii="宋体" w:hAnsi="宋体"/>
                <w:szCs w:val="21"/>
              </w:rPr>
              <w:t>1  ……</w:t>
            </w:r>
          </w:p>
          <w:p w14:paraId="08F640FC">
            <w:pPr>
              <w:rPr>
                <w:rFonts w:ascii="宋体" w:hAnsi="宋体"/>
                <w:szCs w:val="21"/>
              </w:rPr>
            </w:pPr>
            <w:r>
              <w:rPr>
                <w:rFonts w:hint="eastAsia" w:ascii="宋体" w:hAnsi="宋体"/>
                <w:szCs w:val="21"/>
              </w:rPr>
              <w:t>2  ……</w:t>
            </w:r>
          </w:p>
          <w:p w14:paraId="08B5D352">
            <w:pPr>
              <w:rPr>
                <w:rFonts w:ascii="宋体" w:hAnsi="宋体"/>
                <w:szCs w:val="21"/>
              </w:rPr>
            </w:pPr>
            <w:r>
              <w:rPr>
                <w:rFonts w:hint="eastAsia" w:ascii="宋体" w:hAnsi="宋体"/>
                <w:szCs w:val="21"/>
              </w:rPr>
              <w:t>3  ……</w:t>
            </w:r>
          </w:p>
          <w:p w14:paraId="6FC8465A">
            <w:pPr>
              <w:rPr>
                <w:rFonts w:ascii="宋体" w:hAnsi="宋体"/>
                <w:szCs w:val="21"/>
              </w:rPr>
            </w:pPr>
            <w:r>
              <w:rPr>
                <w:rFonts w:hint="eastAsia" w:ascii="宋体" w:hAnsi="宋体"/>
                <w:szCs w:val="21"/>
              </w:rPr>
              <w:t>……</w:t>
            </w:r>
          </w:p>
        </w:tc>
        <w:tc>
          <w:tcPr>
            <w:tcW w:w="1095" w:type="dxa"/>
            <w:tcBorders>
              <w:top w:val="single" w:color="auto" w:sz="4" w:space="0"/>
              <w:left w:val="single" w:color="auto" w:sz="4" w:space="0"/>
              <w:bottom w:val="single" w:color="auto" w:sz="4" w:space="0"/>
              <w:right w:val="single" w:color="auto" w:sz="4" w:space="0"/>
            </w:tcBorders>
            <w:noWrap/>
            <w:vAlign w:val="center"/>
          </w:tcPr>
          <w:p w14:paraId="1CF59966">
            <w:pPr>
              <w:rPr>
                <w:rFonts w:ascii="宋体" w:hAnsi="宋体"/>
                <w:szCs w:val="21"/>
              </w:rPr>
            </w:pPr>
          </w:p>
        </w:tc>
      </w:tr>
      <w:tr w14:paraId="294AB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1" w:hRule="atLeast"/>
          <w:jc w:val="center"/>
        </w:trPr>
        <w:tc>
          <w:tcPr>
            <w:tcW w:w="593" w:type="dxa"/>
            <w:tcBorders>
              <w:top w:val="single" w:color="auto" w:sz="4" w:space="0"/>
              <w:left w:val="single" w:color="auto" w:sz="4" w:space="0"/>
              <w:bottom w:val="single" w:color="auto" w:sz="4" w:space="0"/>
              <w:right w:val="single" w:color="auto" w:sz="4" w:space="0"/>
            </w:tcBorders>
            <w:noWrap/>
            <w:vAlign w:val="center"/>
          </w:tcPr>
          <w:p w14:paraId="1B89B5EE">
            <w:pPr>
              <w:rPr>
                <w:rFonts w:ascii="宋体" w:hAnsi="宋体"/>
                <w:szCs w:val="21"/>
              </w:rPr>
            </w:pPr>
            <w:r>
              <w:rPr>
                <w:rFonts w:hint="eastAsia" w:ascii="宋体" w:hAnsi="宋体"/>
                <w:szCs w:val="21"/>
              </w:rPr>
              <w:t>2</w:t>
            </w:r>
          </w:p>
        </w:tc>
        <w:tc>
          <w:tcPr>
            <w:tcW w:w="1142" w:type="dxa"/>
            <w:tcBorders>
              <w:top w:val="single" w:color="auto" w:sz="4" w:space="0"/>
              <w:left w:val="single" w:color="auto" w:sz="4" w:space="0"/>
              <w:bottom w:val="single" w:color="auto" w:sz="4" w:space="0"/>
              <w:right w:val="single" w:color="auto" w:sz="4" w:space="0"/>
            </w:tcBorders>
            <w:noWrap/>
            <w:vAlign w:val="center"/>
          </w:tcPr>
          <w:p w14:paraId="0C7BEA88">
            <w:pPr>
              <w:rPr>
                <w:rFonts w:ascii="宋体" w:hAnsi="宋体"/>
                <w:szCs w:val="21"/>
              </w:rPr>
            </w:pPr>
            <w:r>
              <w:rPr>
                <w:rFonts w:hint="eastAsia" w:ascii="宋体" w:hAnsi="宋体"/>
                <w:szCs w:val="21"/>
              </w:rPr>
              <w:t>……</w:t>
            </w:r>
          </w:p>
        </w:tc>
        <w:tc>
          <w:tcPr>
            <w:tcW w:w="736" w:type="dxa"/>
            <w:tcBorders>
              <w:top w:val="single" w:color="auto" w:sz="4" w:space="0"/>
              <w:left w:val="single" w:color="auto" w:sz="4" w:space="0"/>
              <w:bottom w:val="single" w:color="auto" w:sz="4" w:space="0"/>
              <w:right w:val="single" w:color="auto" w:sz="4" w:space="0"/>
            </w:tcBorders>
            <w:noWrap/>
            <w:vAlign w:val="center"/>
          </w:tcPr>
          <w:p w14:paraId="478A730E">
            <w:pPr>
              <w:rPr>
                <w:rFonts w:ascii="宋体" w:hAnsi="宋体"/>
                <w:szCs w:val="21"/>
              </w:rPr>
            </w:pPr>
            <w:r>
              <w:rPr>
                <w:rFonts w:hint="eastAsia" w:ascii="宋体" w:hAnsi="宋体"/>
                <w:szCs w:val="21"/>
              </w:rPr>
              <w:t>…</w:t>
            </w:r>
          </w:p>
        </w:tc>
        <w:tc>
          <w:tcPr>
            <w:tcW w:w="1576" w:type="dxa"/>
            <w:tcBorders>
              <w:top w:val="single" w:color="auto" w:sz="4" w:space="0"/>
              <w:left w:val="single" w:color="auto" w:sz="4" w:space="0"/>
              <w:bottom w:val="single" w:color="auto" w:sz="4" w:space="0"/>
              <w:right w:val="single" w:color="auto" w:sz="4" w:space="0"/>
            </w:tcBorders>
            <w:noWrap/>
            <w:vAlign w:val="center"/>
          </w:tcPr>
          <w:p w14:paraId="4022F1D4">
            <w:pPr>
              <w:rPr>
                <w:rFonts w:ascii="宋体" w:hAnsi="宋体"/>
                <w:szCs w:val="21"/>
              </w:rPr>
            </w:pPr>
            <w:r>
              <w:rPr>
                <w:rFonts w:hint="eastAsia" w:ascii="宋体" w:hAnsi="宋体"/>
                <w:szCs w:val="21"/>
              </w:rPr>
              <w:t>1  ……</w:t>
            </w:r>
          </w:p>
          <w:p w14:paraId="7FD65B03">
            <w:pPr>
              <w:rPr>
                <w:rFonts w:ascii="宋体" w:hAnsi="宋体"/>
                <w:szCs w:val="21"/>
              </w:rPr>
            </w:pPr>
            <w:r>
              <w:rPr>
                <w:rFonts w:hint="eastAsia" w:ascii="宋体" w:hAnsi="宋体"/>
                <w:szCs w:val="21"/>
              </w:rPr>
              <w:t>2  ……</w:t>
            </w:r>
          </w:p>
          <w:p w14:paraId="38D5A411">
            <w:pPr>
              <w:rPr>
                <w:rFonts w:ascii="宋体" w:hAnsi="宋体"/>
                <w:szCs w:val="21"/>
              </w:rPr>
            </w:pPr>
            <w:r>
              <w:rPr>
                <w:rFonts w:hint="eastAsia" w:ascii="宋体" w:hAnsi="宋体"/>
                <w:szCs w:val="21"/>
              </w:rPr>
              <w:t>3……</w:t>
            </w:r>
          </w:p>
          <w:p w14:paraId="75C3EA9E">
            <w:pPr>
              <w:rPr>
                <w:rFonts w:ascii="宋体" w:hAnsi="宋体"/>
                <w:szCs w:val="21"/>
              </w:rPr>
            </w:pPr>
            <w:r>
              <w:rPr>
                <w:rFonts w:hint="eastAsia" w:ascii="宋体" w:hAnsi="宋体"/>
                <w:szCs w:val="21"/>
              </w:rPr>
              <w:t>……</w:t>
            </w:r>
          </w:p>
        </w:tc>
        <w:tc>
          <w:tcPr>
            <w:tcW w:w="1140" w:type="dxa"/>
            <w:tcBorders>
              <w:top w:val="single" w:color="auto" w:sz="4" w:space="0"/>
              <w:left w:val="single" w:color="auto" w:sz="4" w:space="0"/>
              <w:bottom w:val="single" w:color="auto" w:sz="4" w:space="0"/>
              <w:right w:val="single" w:color="auto" w:sz="4" w:space="0"/>
            </w:tcBorders>
            <w:noWrap/>
            <w:vAlign w:val="center"/>
          </w:tcPr>
          <w:p w14:paraId="08DA3214">
            <w:pPr>
              <w:rPr>
                <w:rFonts w:ascii="宋体" w:hAnsi="宋体"/>
                <w:szCs w:val="21"/>
              </w:rPr>
            </w:pPr>
            <w:r>
              <w:rPr>
                <w:rFonts w:hint="eastAsia" w:ascii="宋体" w:hAnsi="宋体"/>
                <w:szCs w:val="21"/>
              </w:rPr>
              <w:t>……</w:t>
            </w:r>
          </w:p>
        </w:tc>
        <w:tc>
          <w:tcPr>
            <w:tcW w:w="658" w:type="dxa"/>
            <w:tcBorders>
              <w:top w:val="single" w:color="auto" w:sz="4" w:space="0"/>
              <w:left w:val="single" w:color="auto" w:sz="4" w:space="0"/>
              <w:bottom w:val="single" w:color="auto" w:sz="4" w:space="0"/>
              <w:right w:val="single" w:color="auto" w:sz="4" w:space="0"/>
            </w:tcBorders>
            <w:noWrap/>
            <w:vAlign w:val="center"/>
          </w:tcPr>
          <w:p w14:paraId="2A7C1F97">
            <w:pPr>
              <w:rPr>
                <w:rFonts w:ascii="宋体" w:hAnsi="宋体"/>
                <w:szCs w:val="21"/>
              </w:rPr>
            </w:pPr>
            <w:r>
              <w:rPr>
                <w:rFonts w:hint="eastAsia" w:ascii="宋体" w:hAnsi="宋体"/>
                <w:szCs w:val="21"/>
              </w:rPr>
              <w:t>…</w:t>
            </w:r>
          </w:p>
        </w:tc>
        <w:tc>
          <w:tcPr>
            <w:tcW w:w="1146" w:type="dxa"/>
            <w:tcBorders>
              <w:top w:val="single" w:color="auto" w:sz="4" w:space="0"/>
              <w:left w:val="single" w:color="auto" w:sz="4" w:space="0"/>
              <w:bottom w:val="single" w:color="auto" w:sz="4" w:space="0"/>
              <w:right w:val="single" w:color="auto" w:sz="4" w:space="0"/>
            </w:tcBorders>
            <w:noWrap/>
            <w:vAlign w:val="center"/>
          </w:tcPr>
          <w:p w14:paraId="6B35EB41">
            <w:pPr>
              <w:rPr>
                <w:rFonts w:ascii="宋体" w:hAnsi="宋体"/>
                <w:szCs w:val="21"/>
              </w:rPr>
            </w:pPr>
            <w:r>
              <w:rPr>
                <w:rFonts w:hint="eastAsia" w:ascii="宋体" w:hAnsi="宋体"/>
                <w:szCs w:val="21"/>
              </w:rPr>
              <w:t>1  ……</w:t>
            </w:r>
          </w:p>
          <w:p w14:paraId="296A5E41">
            <w:pPr>
              <w:rPr>
                <w:rFonts w:ascii="宋体" w:hAnsi="宋体"/>
                <w:szCs w:val="21"/>
              </w:rPr>
            </w:pPr>
            <w:r>
              <w:rPr>
                <w:rFonts w:hint="eastAsia" w:ascii="宋体" w:hAnsi="宋体"/>
                <w:szCs w:val="21"/>
              </w:rPr>
              <w:t>2  ……</w:t>
            </w:r>
          </w:p>
          <w:p w14:paraId="43FF75EB">
            <w:pPr>
              <w:rPr>
                <w:rFonts w:ascii="宋体" w:hAnsi="宋体"/>
                <w:szCs w:val="21"/>
              </w:rPr>
            </w:pPr>
            <w:r>
              <w:rPr>
                <w:rFonts w:hint="eastAsia" w:ascii="宋体" w:hAnsi="宋体"/>
                <w:szCs w:val="21"/>
              </w:rPr>
              <w:t>3  ……</w:t>
            </w:r>
          </w:p>
          <w:p w14:paraId="619FB35F">
            <w:pPr>
              <w:rPr>
                <w:rFonts w:ascii="宋体" w:hAnsi="宋体"/>
                <w:szCs w:val="21"/>
              </w:rPr>
            </w:pPr>
            <w:r>
              <w:rPr>
                <w:rFonts w:hint="eastAsia" w:ascii="宋体" w:hAnsi="宋体"/>
                <w:szCs w:val="21"/>
              </w:rPr>
              <w:t>……</w:t>
            </w:r>
          </w:p>
        </w:tc>
        <w:tc>
          <w:tcPr>
            <w:tcW w:w="1095" w:type="dxa"/>
            <w:tcBorders>
              <w:top w:val="single" w:color="auto" w:sz="4" w:space="0"/>
              <w:left w:val="single" w:color="auto" w:sz="4" w:space="0"/>
              <w:bottom w:val="single" w:color="auto" w:sz="4" w:space="0"/>
              <w:right w:val="single" w:color="auto" w:sz="4" w:space="0"/>
            </w:tcBorders>
            <w:noWrap/>
            <w:vAlign w:val="center"/>
          </w:tcPr>
          <w:p w14:paraId="6CC9EFF1">
            <w:pPr>
              <w:rPr>
                <w:rFonts w:ascii="宋体" w:hAnsi="宋体"/>
                <w:szCs w:val="21"/>
              </w:rPr>
            </w:pPr>
          </w:p>
        </w:tc>
      </w:tr>
      <w:tr w14:paraId="13DA5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593" w:type="dxa"/>
            <w:tcBorders>
              <w:top w:val="single" w:color="auto" w:sz="4" w:space="0"/>
              <w:left w:val="single" w:color="auto" w:sz="4" w:space="0"/>
              <w:bottom w:val="single" w:color="auto" w:sz="4" w:space="0"/>
              <w:right w:val="single" w:color="auto" w:sz="4" w:space="0"/>
            </w:tcBorders>
            <w:noWrap/>
            <w:vAlign w:val="center"/>
          </w:tcPr>
          <w:p w14:paraId="0D91203B">
            <w:pPr>
              <w:rPr>
                <w:rFonts w:ascii="宋体" w:hAnsi="宋体"/>
                <w:szCs w:val="21"/>
              </w:rPr>
            </w:pPr>
            <w:r>
              <w:rPr>
                <w:rFonts w:hint="eastAsia" w:ascii="宋体" w:hAnsi="宋体"/>
                <w:szCs w:val="21"/>
              </w:rPr>
              <w:t>...</w:t>
            </w:r>
          </w:p>
        </w:tc>
        <w:tc>
          <w:tcPr>
            <w:tcW w:w="1142" w:type="dxa"/>
            <w:tcBorders>
              <w:top w:val="single" w:color="auto" w:sz="4" w:space="0"/>
              <w:left w:val="single" w:color="auto" w:sz="4" w:space="0"/>
              <w:bottom w:val="single" w:color="auto" w:sz="4" w:space="0"/>
              <w:right w:val="single" w:color="auto" w:sz="4" w:space="0"/>
            </w:tcBorders>
            <w:noWrap/>
            <w:vAlign w:val="center"/>
          </w:tcPr>
          <w:p w14:paraId="66CBF2F2">
            <w:pPr>
              <w:rPr>
                <w:rFonts w:ascii="宋体" w:hAnsi="宋体"/>
                <w:szCs w:val="21"/>
              </w:rPr>
            </w:pPr>
          </w:p>
        </w:tc>
        <w:tc>
          <w:tcPr>
            <w:tcW w:w="736" w:type="dxa"/>
            <w:tcBorders>
              <w:top w:val="single" w:color="auto" w:sz="4" w:space="0"/>
              <w:left w:val="single" w:color="auto" w:sz="4" w:space="0"/>
              <w:bottom w:val="single" w:color="auto" w:sz="4" w:space="0"/>
              <w:right w:val="single" w:color="auto" w:sz="4" w:space="0"/>
            </w:tcBorders>
            <w:noWrap/>
            <w:vAlign w:val="center"/>
          </w:tcPr>
          <w:p w14:paraId="44FDA142">
            <w:pPr>
              <w:rPr>
                <w:rFonts w:ascii="宋体" w:hAnsi="宋体"/>
                <w:szCs w:val="21"/>
              </w:rPr>
            </w:pPr>
          </w:p>
        </w:tc>
        <w:tc>
          <w:tcPr>
            <w:tcW w:w="1576" w:type="dxa"/>
            <w:tcBorders>
              <w:top w:val="single" w:color="auto" w:sz="4" w:space="0"/>
              <w:left w:val="single" w:color="auto" w:sz="4" w:space="0"/>
              <w:bottom w:val="single" w:color="auto" w:sz="4" w:space="0"/>
              <w:right w:val="single" w:color="auto" w:sz="4" w:space="0"/>
            </w:tcBorders>
            <w:noWrap/>
            <w:vAlign w:val="center"/>
          </w:tcPr>
          <w:p w14:paraId="4587817F">
            <w:pPr>
              <w:rPr>
                <w:rFonts w:ascii="宋体" w:hAnsi="宋体"/>
                <w:szCs w:val="21"/>
              </w:rPr>
            </w:pPr>
          </w:p>
        </w:tc>
        <w:tc>
          <w:tcPr>
            <w:tcW w:w="1140" w:type="dxa"/>
            <w:tcBorders>
              <w:top w:val="single" w:color="auto" w:sz="4" w:space="0"/>
              <w:left w:val="single" w:color="auto" w:sz="4" w:space="0"/>
              <w:bottom w:val="single" w:color="auto" w:sz="4" w:space="0"/>
              <w:right w:val="single" w:color="auto" w:sz="4" w:space="0"/>
            </w:tcBorders>
            <w:noWrap/>
            <w:vAlign w:val="center"/>
          </w:tcPr>
          <w:p w14:paraId="3D6CF526">
            <w:pPr>
              <w:rPr>
                <w:rFonts w:ascii="宋体" w:hAnsi="宋体"/>
                <w:szCs w:val="21"/>
              </w:rPr>
            </w:pPr>
          </w:p>
        </w:tc>
        <w:tc>
          <w:tcPr>
            <w:tcW w:w="658" w:type="dxa"/>
            <w:tcBorders>
              <w:top w:val="single" w:color="auto" w:sz="4" w:space="0"/>
              <w:left w:val="single" w:color="auto" w:sz="4" w:space="0"/>
              <w:bottom w:val="single" w:color="auto" w:sz="4" w:space="0"/>
              <w:right w:val="single" w:color="auto" w:sz="4" w:space="0"/>
            </w:tcBorders>
            <w:noWrap/>
            <w:vAlign w:val="center"/>
          </w:tcPr>
          <w:p w14:paraId="63E80748">
            <w:pPr>
              <w:rPr>
                <w:rFonts w:ascii="宋体" w:hAnsi="宋体"/>
                <w:szCs w:val="21"/>
              </w:rPr>
            </w:pPr>
          </w:p>
        </w:tc>
        <w:tc>
          <w:tcPr>
            <w:tcW w:w="1146" w:type="dxa"/>
            <w:tcBorders>
              <w:top w:val="single" w:color="auto" w:sz="4" w:space="0"/>
              <w:left w:val="single" w:color="auto" w:sz="4" w:space="0"/>
              <w:bottom w:val="single" w:color="auto" w:sz="4" w:space="0"/>
              <w:right w:val="single" w:color="auto" w:sz="4" w:space="0"/>
            </w:tcBorders>
            <w:noWrap/>
            <w:vAlign w:val="center"/>
          </w:tcPr>
          <w:p w14:paraId="2950C702">
            <w:pPr>
              <w:rPr>
                <w:rFonts w:ascii="宋体" w:hAnsi="宋体"/>
                <w:szCs w:val="21"/>
              </w:rPr>
            </w:pPr>
          </w:p>
        </w:tc>
        <w:tc>
          <w:tcPr>
            <w:tcW w:w="1095" w:type="dxa"/>
            <w:tcBorders>
              <w:top w:val="single" w:color="auto" w:sz="4" w:space="0"/>
              <w:left w:val="single" w:color="auto" w:sz="4" w:space="0"/>
              <w:bottom w:val="single" w:color="auto" w:sz="4" w:space="0"/>
              <w:right w:val="single" w:color="auto" w:sz="4" w:space="0"/>
            </w:tcBorders>
            <w:noWrap/>
            <w:vAlign w:val="center"/>
          </w:tcPr>
          <w:p w14:paraId="7B878535">
            <w:pPr>
              <w:rPr>
                <w:rFonts w:ascii="宋体" w:hAnsi="宋体"/>
                <w:szCs w:val="21"/>
              </w:rPr>
            </w:pPr>
          </w:p>
        </w:tc>
      </w:tr>
    </w:tbl>
    <w:p w14:paraId="4EA2F8A0">
      <w:pPr>
        <w:spacing w:after="120" w:line="360" w:lineRule="auto"/>
        <w:contextualSpacing/>
        <w:rPr>
          <w:rFonts w:ascii="宋体" w:hAnsi="宋体"/>
          <w:szCs w:val="21"/>
        </w:rPr>
      </w:pPr>
      <w:r>
        <w:rPr>
          <w:rFonts w:hint="eastAsia" w:ascii="宋体" w:hAnsi="宋体"/>
          <w:szCs w:val="21"/>
        </w:rPr>
        <w:t>注：</w:t>
      </w:r>
    </w:p>
    <w:p w14:paraId="7C979FD7">
      <w:pPr>
        <w:spacing w:after="120" w:line="360" w:lineRule="auto"/>
        <w:contextualSpacing/>
        <w:rPr>
          <w:rFonts w:ascii="宋体" w:hAnsi="宋体" w:cs="仿宋_GB2312"/>
          <w:szCs w:val="21"/>
        </w:rPr>
      </w:pPr>
      <w:r>
        <w:rPr>
          <w:rFonts w:hint="eastAsia" w:ascii="宋体" w:hAnsi="宋体" w:cs="仿宋_GB2312"/>
          <w:szCs w:val="21"/>
        </w:rPr>
        <w:t>1.说明：应对照谈判文件“第二章”中“货物需求一览表”的货物技术参数要求条款逐条作出明确响应，并作出偏离说明。</w:t>
      </w:r>
    </w:p>
    <w:p w14:paraId="4C621854">
      <w:pPr>
        <w:spacing w:line="400" w:lineRule="exact"/>
        <w:rPr>
          <w:rFonts w:ascii="宋体" w:hAnsi="宋体" w:cs="仿宋_GB2312"/>
          <w:b/>
          <w:sz w:val="24"/>
          <w:szCs w:val="21"/>
        </w:rPr>
      </w:pPr>
      <w:r>
        <w:rPr>
          <w:rFonts w:hint="eastAsia" w:ascii="宋体" w:hAnsi="宋体" w:cs="仿宋_GB2312"/>
          <w:b/>
          <w:szCs w:val="21"/>
        </w:rPr>
        <w:t>2.供应商应根据自身的承诺，对照谈判文件要求，在“偏离说明”中注明“正偏离”、“负偏离”或者“无偏离”。既不属于“正偏离”也不属于“负偏离”即为“无偏离”。</w:t>
      </w:r>
      <w:r>
        <w:rPr>
          <w:rFonts w:hint="eastAsia" w:ascii="宋体" w:hAnsi="宋体" w:cs="仿宋_GB2312"/>
          <w:b/>
          <w:sz w:val="24"/>
          <w:szCs w:val="21"/>
        </w:rPr>
        <w:t>当响应文件的商务内容低于竞争性谈判采购文件要求时，竞标人应当如实写明“负偏离”，否则视为虚假应标。</w:t>
      </w:r>
    </w:p>
    <w:p w14:paraId="0E0DDAFD">
      <w:pPr>
        <w:spacing w:line="400" w:lineRule="exact"/>
        <w:rPr>
          <w:rFonts w:ascii="宋体" w:hAnsi="宋体" w:cs="仿宋_GB2312"/>
          <w:b/>
          <w:sz w:val="32"/>
          <w:szCs w:val="21"/>
        </w:rPr>
      </w:pPr>
      <w:r>
        <w:rPr>
          <w:rFonts w:hint="eastAsia" w:ascii="宋体" w:hAnsi="宋体" w:cs="仿宋_GB2312"/>
          <w:b/>
          <w:szCs w:val="21"/>
        </w:rPr>
        <w:t>3.表格内容均需按要求填写并盖章，不得留空，</w:t>
      </w:r>
      <w:r>
        <w:rPr>
          <w:rFonts w:hint="eastAsia" w:ascii="宋体" w:hAnsi="宋体" w:cs="仿宋_GB2312"/>
          <w:b/>
          <w:sz w:val="32"/>
          <w:szCs w:val="21"/>
        </w:rPr>
        <w:t>否则按竞标无效处理。</w:t>
      </w:r>
    </w:p>
    <w:p w14:paraId="311230BA">
      <w:pPr>
        <w:spacing w:line="400" w:lineRule="exact"/>
        <w:rPr>
          <w:rFonts w:ascii="宋体" w:hAnsi="宋体" w:cs="仿宋_GB2312"/>
          <w:b/>
          <w:szCs w:val="21"/>
        </w:rPr>
      </w:pPr>
      <w:r>
        <w:rPr>
          <w:rFonts w:hint="eastAsia" w:ascii="宋体" w:hAnsi="宋体" w:cs="仿宋_GB2312"/>
          <w:b/>
          <w:szCs w:val="21"/>
        </w:rPr>
        <w:t>4.如果采购需求为小于、小于等于、大于或大于等于某个数值标准时，响应文件承诺不得直接复制采购需求，响应文件承诺内容应当写明竞标货物具体参数或商务响应承诺的具体数值，</w:t>
      </w:r>
      <w:r>
        <w:rPr>
          <w:rFonts w:hint="eastAsia" w:ascii="宋体" w:hAnsi="宋体" w:cs="仿宋_GB2312"/>
          <w:b/>
          <w:sz w:val="32"/>
          <w:szCs w:val="21"/>
        </w:rPr>
        <w:t>否则按竞标无效处理。</w:t>
      </w:r>
    </w:p>
    <w:p w14:paraId="677B1CCC">
      <w:pPr>
        <w:spacing w:line="400" w:lineRule="exact"/>
        <w:ind w:firstLine="422"/>
        <w:rPr>
          <w:rFonts w:ascii="宋体" w:hAnsi="宋体" w:cs="仿宋_GB2312"/>
          <w:b/>
          <w:szCs w:val="21"/>
        </w:rPr>
      </w:pPr>
      <w:r>
        <w:rPr>
          <w:rFonts w:hint="eastAsia" w:ascii="宋体" w:hAnsi="宋体" w:cs="仿宋_GB2312"/>
          <w:b/>
          <w:szCs w:val="21"/>
        </w:rPr>
        <w:t>如该采购需求属于不能明确具体数值的，采购人应在此采购需求的数值后标注◆号，对标注◆号的采购需求不适用上述“竞标无效”条款。</w:t>
      </w:r>
    </w:p>
    <w:p w14:paraId="67890845">
      <w:pPr>
        <w:spacing w:line="400" w:lineRule="exact"/>
        <w:rPr>
          <w:rFonts w:ascii="宋体" w:hAnsi="宋体" w:cs="仿宋_GB2312"/>
          <w:szCs w:val="21"/>
        </w:rPr>
      </w:pPr>
    </w:p>
    <w:p w14:paraId="6B0156F5">
      <w:pPr>
        <w:spacing w:line="360" w:lineRule="auto"/>
        <w:rPr>
          <w:rFonts w:ascii="宋体" w:hAnsi="宋体" w:eastAsia="仿宋_GB2312" w:cs="仿宋_GB2312"/>
          <w:sz w:val="24"/>
          <w:szCs w:val="20"/>
        </w:rPr>
      </w:pPr>
      <w:r>
        <w:rPr>
          <w:rFonts w:hint="eastAsia" w:ascii="宋体" w:hAnsi="宋体" w:cs="仿宋_GB2312"/>
          <w:szCs w:val="21"/>
        </w:rPr>
        <w:t>5. 如技术偏离表中的竞标响应与佐证材料不一致的，以佐证材料为准。</w:t>
      </w:r>
    </w:p>
    <w:p w14:paraId="5902B64C">
      <w:pPr>
        <w:spacing w:line="360" w:lineRule="auto"/>
        <w:ind w:firstLine="602"/>
        <w:rPr>
          <w:rFonts w:ascii="仿宋" w:hAnsi="仿宋" w:eastAsia="仿宋" w:cs="仿宋_GB2312"/>
          <w:b/>
          <w:sz w:val="30"/>
          <w:szCs w:val="30"/>
        </w:rPr>
      </w:pPr>
    </w:p>
    <w:p w14:paraId="0A210BE4">
      <w:pPr>
        <w:spacing w:line="360" w:lineRule="auto"/>
        <w:ind w:left="4335" w:hanging="240"/>
        <w:rPr>
          <w:rFonts w:ascii="仿宋_GB2312" w:hAnsi="仿宋" w:eastAsia="仿宋_GB2312" w:cs="仿宋_GB2312"/>
          <w:sz w:val="24"/>
        </w:rPr>
      </w:pPr>
      <w:r>
        <w:rPr>
          <w:rFonts w:hint="eastAsia" w:ascii="仿宋_GB2312" w:hAnsi="仿宋" w:eastAsia="仿宋_GB2312" w:cs="仿宋_GB2312"/>
          <w:sz w:val="24"/>
        </w:rPr>
        <w:t>供应商名称（电子签章）：</w:t>
      </w:r>
    </w:p>
    <w:p w14:paraId="3CCD0C05">
      <w:pPr>
        <w:spacing w:line="360" w:lineRule="auto"/>
        <w:ind w:firstLine="6480"/>
        <w:rPr>
          <w:rFonts w:ascii="仿宋_GB2312" w:hAnsi="仿宋" w:eastAsia="仿宋_GB2312" w:cs="仿宋_GB2312"/>
          <w:b/>
          <w:bCs/>
          <w:sz w:val="24"/>
        </w:rPr>
      </w:pPr>
      <w:r>
        <w:rPr>
          <w:rFonts w:hint="eastAsia" w:ascii="仿宋_GB2312" w:hAnsi="仿宋" w:eastAsia="仿宋_GB2312" w:cs="仿宋_GB2312"/>
          <w:sz w:val="24"/>
          <w:lang w:val="zh-CN"/>
        </w:rPr>
        <w:t>日期：年月日</w:t>
      </w:r>
    </w:p>
    <w:p w14:paraId="66BC3048">
      <w:pPr>
        <w:widowControl/>
        <w:jc w:val="left"/>
        <w:rPr>
          <w:rFonts w:ascii="仿宋_GB2312" w:hAnsi="仿宋_GB2312" w:eastAsia="仿宋_GB2312" w:cs="仿宋_GB2312"/>
          <w:sz w:val="32"/>
          <w:szCs w:val="32"/>
        </w:rPr>
        <w:sectPr>
          <w:pgSz w:w="11910" w:h="16840"/>
          <w:pgMar w:top="1340" w:right="1500" w:bottom="280" w:left="1680" w:header="720" w:footer="720" w:gutter="0"/>
          <w:cols w:space="1701" w:num="1"/>
        </w:sectPr>
      </w:pPr>
    </w:p>
    <w:p w14:paraId="37EFA940">
      <w:pPr>
        <w:spacing w:line="360" w:lineRule="auto"/>
        <w:ind w:firstLine="602"/>
        <w:rPr>
          <w:rFonts w:ascii="仿宋" w:hAnsi="仿宋" w:eastAsia="仿宋" w:cs="仿宋_GB2312"/>
          <w:b/>
          <w:sz w:val="30"/>
          <w:szCs w:val="30"/>
        </w:rPr>
      </w:pPr>
      <w:r>
        <w:rPr>
          <w:rFonts w:hint="eastAsia" w:ascii="仿宋" w:hAnsi="仿宋" w:eastAsia="仿宋" w:cs="仿宋_GB2312"/>
          <w:b/>
          <w:sz w:val="30"/>
          <w:szCs w:val="30"/>
        </w:rPr>
        <w:t>八、配置清单</w:t>
      </w:r>
    </w:p>
    <w:p w14:paraId="75132880">
      <w:pPr>
        <w:spacing w:line="500" w:lineRule="exact"/>
        <w:jc w:val="center"/>
        <w:rPr>
          <w:rFonts w:ascii="仿宋_GB2312" w:hAnsi="仿宋_GB2312" w:eastAsia="仿宋_GB2312" w:cs="仿宋_GB2312"/>
          <w:sz w:val="32"/>
          <w:szCs w:val="32"/>
        </w:rPr>
      </w:pPr>
    </w:p>
    <w:p w14:paraId="5F40E20D">
      <w:pPr>
        <w:spacing w:line="520" w:lineRule="exact"/>
        <w:jc w:val="center"/>
        <w:rPr>
          <w:rFonts w:ascii="宋体" w:hAnsi="宋体"/>
          <w:b/>
          <w:sz w:val="32"/>
          <w:szCs w:val="32"/>
        </w:rPr>
      </w:pPr>
      <w:r>
        <w:rPr>
          <w:rFonts w:hint="eastAsia" w:ascii="方正小标宋简体" w:hAnsi="方正小标宋简体" w:eastAsia="方正小标宋简体" w:cs="方正小标宋简体"/>
          <w:bCs/>
          <w:sz w:val="44"/>
          <w:szCs w:val="44"/>
        </w:rPr>
        <w:t>货物配置清单</w:t>
      </w:r>
    </w:p>
    <w:p w14:paraId="5FD36450">
      <w:pPr>
        <w:spacing w:line="300" w:lineRule="auto"/>
        <w:rPr>
          <w:rFonts w:ascii="宋体" w:hAnsi="宋体"/>
          <w:szCs w:val="21"/>
        </w:rPr>
      </w:pPr>
    </w:p>
    <w:p w14:paraId="6791AA6B">
      <w:pPr>
        <w:spacing w:line="360" w:lineRule="auto"/>
        <w:rPr>
          <w:rFonts w:ascii="宋体" w:hAnsi="宋体" w:cs="仿宋_GB2312"/>
          <w:sz w:val="24"/>
          <w:u w:val="single"/>
        </w:rPr>
      </w:pPr>
      <w:r>
        <w:rPr>
          <w:rFonts w:hint="eastAsia" w:ascii="宋体" w:hAnsi="宋体" w:cs="仿宋_GB2312"/>
          <w:sz w:val="24"/>
        </w:rPr>
        <w:t>所竞分标：</w:t>
      </w:r>
    </w:p>
    <w:tbl>
      <w:tblPr>
        <w:tblStyle w:val="32"/>
        <w:tblW w:w="5000"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653"/>
        <w:gridCol w:w="1091"/>
        <w:gridCol w:w="1310"/>
        <w:gridCol w:w="653"/>
        <w:gridCol w:w="1091"/>
        <w:gridCol w:w="872"/>
        <w:gridCol w:w="872"/>
        <w:gridCol w:w="2404"/>
      </w:tblGrid>
      <w:tr w14:paraId="146812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413" w:type="pct"/>
            <w:tcBorders>
              <w:top w:val="single" w:color="auto" w:sz="4" w:space="0"/>
              <w:left w:val="single" w:color="auto" w:sz="4" w:space="0"/>
              <w:bottom w:val="single" w:color="auto" w:sz="4" w:space="0"/>
              <w:right w:val="single" w:color="auto" w:sz="4" w:space="0"/>
            </w:tcBorders>
            <w:noWrap/>
            <w:vAlign w:val="center"/>
          </w:tcPr>
          <w:p w14:paraId="4D937616">
            <w:pPr>
              <w:spacing w:before="50" w:after="50"/>
              <w:jc w:val="center"/>
              <w:rPr>
                <w:rFonts w:ascii="宋体" w:hAnsi="宋体"/>
                <w:sz w:val="24"/>
              </w:rPr>
            </w:pPr>
            <w:r>
              <w:rPr>
                <w:rFonts w:hint="eastAsia" w:ascii="宋体" w:hAnsi="宋体"/>
                <w:sz w:val="24"/>
              </w:rPr>
              <w:t>序号</w:t>
            </w:r>
          </w:p>
        </w:tc>
        <w:tc>
          <w:tcPr>
            <w:tcW w:w="696" w:type="pct"/>
            <w:tcBorders>
              <w:top w:val="single" w:color="auto" w:sz="4" w:space="0"/>
              <w:left w:val="single" w:color="auto" w:sz="4" w:space="0"/>
              <w:bottom w:val="single" w:color="auto" w:sz="4" w:space="0"/>
              <w:right w:val="single" w:color="auto" w:sz="4" w:space="0"/>
            </w:tcBorders>
            <w:noWrap/>
            <w:vAlign w:val="center"/>
          </w:tcPr>
          <w:p w14:paraId="122BE505">
            <w:pPr>
              <w:spacing w:before="50" w:after="50"/>
              <w:jc w:val="center"/>
              <w:rPr>
                <w:rFonts w:ascii="宋体" w:hAnsi="宋体"/>
                <w:sz w:val="24"/>
              </w:rPr>
            </w:pPr>
            <w:r>
              <w:rPr>
                <w:rFonts w:hint="eastAsia" w:ascii="宋体" w:hAnsi="宋体"/>
                <w:sz w:val="24"/>
              </w:rPr>
              <w:t>货物名称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31C902D3">
            <w:pPr>
              <w:spacing w:before="50" w:after="50"/>
              <w:jc w:val="center"/>
              <w:rPr>
                <w:rFonts w:ascii="宋体" w:hAnsi="宋体"/>
                <w:sz w:val="24"/>
              </w:rPr>
            </w:pPr>
            <w:r>
              <w:rPr>
                <w:rFonts w:hint="eastAsia" w:ascii="宋体" w:hAnsi="宋体"/>
                <w:sz w:val="24"/>
              </w:rPr>
              <w:t>数量及单位</w:t>
            </w:r>
          </w:p>
        </w:tc>
        <w:tc>
          <w:tcPr>
            <w:tcW w:w="500" w:type="pct"/>
            <w:tcBorders>
              <w:top w:val="single" w:color="auto" w:sz="4" w:space="0"/>
              <w:left w:val="single" w:color="auto" w:sz="4" w:space="0"/>
              <w:bottom w:val="single" w:color="auto" w:sz="4" w:space="0"/>
              <w:right w:val="single" w:color="auto" w:sz="4" w:space="0"/>
            </w:tcBorders>
            <w:noWrap/>
            <w:vAlign w:val="center"/>
          </w:tcPr>
          <w:p w14:paraId="09EE33E9">
            <w:pPr>
              <w:spacing w:before="50" w:after="50"/>
              <w:jc w:val="center"/>
              <w:rPr>
                <w:rFonts w:ascii="宋体" w:hAnsi="宋体"/>
                <w:sz w:val="24"/>
              </w:rPr>
            </w:pPr>
            <w:r>
              <w:rPr>
                <w:rFonts w:hint="eastAsia" w:ascii="宋体" w:hAnsi="宋体"/>
                <w:sz w:val="24"/>
              </w:rPr>
              <w:t>品牌</w:t>
            </w:r>
          </w:p>
        </w:tc>
        <w:tc>
          <w:tcPr>
            <w:tcW w:w="998" w:type="pct"/>
            <w:tcBorders>
              <w:top w:val="single" w:color="auto" w:sz="4" w:space="0"/>
              <w:left w:val="single" w:color="auto" w:sz="4" w:space="0"/>
              <w:bottom w:val="single" w:color="auto" w:sz="4" w:space="0"/>
              <w:right w:val="single" w:color="auto" w:sz="4" w:space="0"/>
            </w:tcBorders>
            <w:noWrap/>
          </w:tcPr>
          <w:p w14:paraId="57ED3B90">
            <w:pPr>
              <w:spacing w:before="50" w:after="50"/>
              <w:jc w:val="center"/>
              <w:rPr>
                <w:rFonts w:ascii="宋体" w:hAnsi="宋体"/>
                <w:sz w:val="24"/>
              </w:rPr>
            </w:pPr>
          </w:p>
          <w:p w14:paraId="5C545C40">
            <w:pPr>
              <w:spacing w:before="50" w:after="50"/>
              <w:jc w:val="center"/>
              <w:rPr>
                <w:rFonts w:ascii="宋体" w:hAnsi="宋体"/>
                <w:sz w:val="24"/>
              </w:rPr>
            </w:pPr>
            <w:r>
              <w:rPr>
                <w:rFonts w:hint="eastAsia" w:ascii="宋体" w:hAnsi="宋体"/>
                <w:sz w:val="24"/>
              </w:rPr>
              <w:t>规格型号</w:t>
            </w:r>
          </w:p>
        </w:tc>
        <w:tc>
          <w:tcPr>
            <w:tcW w:w="696" w:type="pct"/>
            <w:tcBorders>
              <w:top w:val="single" w:color="auto" w:sz="4" w:space="0"/>
              <w:left w:val="single" w:color="auto" w:sz="4" w:space="0"/>
              <w:bottom w:val="single" w:color="auto" w:sz="4" w:space="0"/>
              <w:right w:val="single" w:color="auto" w:sz="4" w:space="0"/>
            </w:tcBorders>
            <w:noWrap/>
            <w:vAlign w:val="center"/>
          </w:tcPr>
          <w:p w14:paraId="6064A1F8">
            <w:pPr>
              <w:spacing w:before="50" w:after="50"/>
              <w:jc w:val="center"/>
              <w:rPr>
                <w:rFonts w:ascii="宋体" w:hAnsi="宋体"/>
                <w:sz w:val="24"/>
              </w:rPr>
            </w:pPr>
            <w:r>
              <w:rPr>
                <w:rFonts w:hint="eastAsia" w:ascii="宋体" w:hAnsi="宋体"/>
                <w:sz w:val="24"/>
              </w:rPr>
              <w:t>制造商</w:t>
            </w:r>
          </w:p>
        </w:tc>
        <w:tc>
          <w:tcPr>
            <w:tcW w:w="412" w:type="pct"/>
            <w:tcBorders>
              <w:top w:val="single" w:color="auto" w:sz="4" w:space="0"/>
              <w:left w:val="single" w:color="auto" w:sz="4" w:space="0"/>
              <w:bottom w:val="single" w:color="auto" w:sz="4" w:space="0"/>
              <w:right w:val="single" w:color="auto" w:sz="4" w:space="0"/>
            </w:tcBorders>
            <w:noWrap/>
            <w:vAlign w:val="center"/>
          </w:tcPr>
          <w:p w14:paraId="328F4C80">
            <w:pPr>
              <w:spacing w:before="50" w:after="50"/>
              <w:jc w:val="center"/>
              <w:rPr>
                <w:rFonts w:ascii="宋体" w:hAnsi="宋体"/>
                <w:sz w:val="24"/>
              </w:rPr>
            </w:pPr>
            <w:r>
              <w:rPr>
                <w:rFonts w:hint="eastAsia" w:ascii="宋体" w:hAnsi="宋体"/>
                <w:sz w:val="24"/>
              </w:rPr>
              <w:t>原产地</w:t>
            </w:r>
          </w:p>
        </w:tc>
        <w:tc>
          <w:tcPr>
            <w:tcW w:w="836" w:type="pct"/>
            <w:tcBorders>
              <w:top w:val="single" w:color="auto" w:sz="4" w:space="0"/>
              <w:left w:val="single" w:color="auto" w:sz="4" w:space="0"/>
              <w:bottom w:val="single" w:color="auto" w:sz="4" w:space="0"/>
              <w:right w:val="single" w:color="auto" w:sz="4" w:space="0"/>
            </w:tcBorders>
            <w:noWrap/>
            <w:vAlign w:val="center"/>
          </w:tcPr>
          <w:p w14:paraId="63F5B0E9">
            <w:pPr>
              <w:spacing w:before="50" w:after="50"/>
              <w:jc w:val="center"/>
              <w:rPr>
                <w:rFonts w:ascii="宋体" w:hAnsi="宋体"/>
                <w:sz w:val="24"/>
              </w:rPr>
            </w:pPr>
            <w:r>
              <w:rPr>
                <w:rFonts w:hint="eastAsia" w:ascii="宋体" w:hAnsi="宋体"/>
                <w:sz w:val="24"/>
              </w:rPr>
              <w:t>参数性能、指标及配置</w:t>
            </w:r>
          </w:p>
        </w:tc>
      </w:tr>
      <w:tr w14:paraId="6B0ECA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9" w:hRule="atLeast"/>
          <w:jc w:val="center"/>
        </w:trPr>
        <w:tc>
          <w:tcPr>
            <w:tcW w:w="413" w:type="pct"/>
            <w:tcBorders>
              <w:top w:val="single" w:color="auto" w:sz="4" w:space="0"/>
              <w:left w:val="single" w:color="auto" w:sz="4" w:space="0"/>
              <w:bottom w:val="single" w:color="auto" w:sz="4" w:space="0"/>
              <w:right w:val="single" w:color="auto" w:sz="4" w:space="0"/>
            </w:tcBorders>
            <w:noWrap/>
            <w:vAlign w:val="center"/>
          </w:tcPr>
          <w:p w14:paraId="20CB9C63">
            <w:pPr>
              <w:spacing w:before="50" w:after="50"/>
              <w:jc w:val="center"/>
              <w:rPr>
                <w:rFonts w:ascii="宋体" w:hAnsi="宋体"/>
                <w:sz w:val="24"/>
              </w:rPr>
            </w:pPr>
          </w:p>
        </w:tc>
        <w:tc>
          <w:tcPr>
            <w:tcW w:w="696" w:type="pct"/>
            <w:tcBorders>
              <w:top w:val="single" w:color="auto" w:sz="4" w:space="0"/>
              <w:left w:val="single" w:color="auto" w:sz="4" w:space="0"/>
              <w:bottom w:val="single" w:color="auto" w:sz="4" w:space="0"/>
              <w:right w:val="single" w:color="auto" w:sz="4" w:space="0"/>
            </w:tcBorders>
            <w:noWrap/>
            <w:vAlign w:val="center"/>
          </w:tcPr>
          <w:p w14:paraId="5222D325">
            <w:pPr>
              <w:spacing w:before="50" w:after="50"/>
              <w:jc w:val="center"/>
              <w:rPr>
                <w:rFonts w:ascii="宋体" w:hAnsi="宋体"/>
                <w:sz w:val="24"/>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07FBAA4E">
            <w:pPr>
              <w:spacing w:before="50" w:after="50"/>
              <w:jc w:val="center"/>
              <w:rPr>
                <w:rFonts w:ascii="宋体" w:hAnsi="宋体"/>
                <w:sz w:val="24"/>
              </w:rPr>
            </w:pPr>
          </w:p>
        </w:tc>
        <w:tc>
          <w:tcPr>
            <w:tcW w:w="500" w:type="pct"/>
            <w:tcBorders>
              <w:top w:val="single" w:color="auto" w:sz="4" w:space="0"/>
              <w:left w:val="single" w:color="auto" w:sz="4" w:space="0"/>
              <w:bottom w:val="single" w:color="auto" w:sz="4" w:space="0"/>
              <w:right w:val="single" w:color="auto" w:sz="4" w:space="0"/>
            </w:tcBorders>
            <w:noWrap/>
            <w:vAlign w:val="center"/>
          </w:tcPr>
          <w:p w14:paraId="3D674648">
            <w:pPr>
              <w:spacing w:before="50" w:after="50"/>
              <w:jc w:val="center"/>
              <w:rPr>
                <w:rFonts w:ascii="宋体" w:hAnsi="宋体"/>
                <w:sz w:val="24"/>
              </w:rPr>
            </w:pPr>
          </w:p>
        </w:tc>
        <w:tc>
          <w:tcPr>
            <w:tcW w:w="998" w:type="pct"/>
            <w:tcBorders>
              <w:top w:val="single" w:color="auto" w:sz="4" w:space="0"/>
              <w:left w:val="single" w:color="auto" w:sz="4" w:space="0"/>
              <w:bottom w:val="single" w:color="auto" w:sz="4" w:space="0"/>
              <w:right w:val="single" w:color="auto" w:sz="4" w:space="0"/>
            </w:tcBorders>
            <w:noWrap/>
          </w:tcPr>
          <w:p w14:paraId="268991CC">
            <w:pPr>
              <w:spacing w:before="50" w:after="50"/>
              <w:jc w:val="center"/>
              <w:rPr>
                <w:rFonts w:ascii="宋体" w:hAnsi="宋体"/>
                <w:sz w:val="24"/>
              </w:rPr>
            </w:pPr>
          </w:p>
        </w:tc>
        <w:tc>
          <w:tcPr>
            <w:tcW w:w="696" w:type="pct"/>
            <w:tcBorders>
              <w:top w:val="single" w:color="auto" w:sz="4" w:space="0"/>
              <w:left w:val="single" w:color="auto" w:sz="4" w:space="0"/>
              <w:bottom w:val="single" w:color="auto" w:sz="4" w:space="0"/>
              <w:right w:val="single" w:color="auto" w:sz="4" w:space="0"/>
            </w:tcBorders>
            <w:noWrap/>
            <w:vAlign w:val="center"/>
          </w:tcPr>
          <w:p w14:paraId="47DB26DB">
            <w:pPr>
              <w:spacing w:before="50" w:after="50"/>
              <w:jc w:val="center"/>
              <w:rPr>
                <w:rFonts w:ascii="宋体" w:hAnsi="宋体"/>
                <w:sz w:val="24"/>
              </w:rPr>
            </w:pPr>
          </w:p>
        </w:tc>
        <w:tc>
          <w:tcPr>
            <w:tcW w:w="412" w:type="pct"/>
            <w:tcBorders>
              <w:top w:val="single" w:color="auto" w:sz="4" w:space="0"/>
              <w:left w:val="single" w:color="auto" w:sz="4" w:space="0"/>
              <w:bottom w:val="single" w:color="auto" w:sz="4" w:space="0"/>
              <w:right w:val="single" w:color="auto" w:sz="4" w:space="0"/>
            </w:tcBorders>
            <w:noWrap/>
            <w:vAlign w:val="center"/>
          </w:tcPr>
          <w:p w14:paraId="5B7BE9A5">
            <w:pPr>
              <w:spacing w:before="50" w:after="50"/>
              <w:jc w:val="center"/>
              <w:rPr>
                <w:rFonts w:ascii="宋体" w:hAnsi="宋体"/>
                <w:sz w:val="24"/>
              </w:rPr>
            </w:pPr>
          </w:p>
        </w:tc>
        <w:tc>
          <w:tcPr>
            <w:tcW w:w="836" w:type="pct"/>
            <w:tcBorders>
              <w:top w:val="single" w:color="auto" w:sz="4" w:space="0"/>
              <w:left w:val="single" w:color="auto" w:sz="4" w:space="0"/>
              <w:bottom w:val="single" w:color="auto" w:sz="4" w:space="0"/>
              <w:right w:val="single" w:color="auto" w:sz="4" w:space="0"/>
            </w:tcBorders>
            <w:noWrap/>
            <w:vAlign w:val="center"/>
          </w:tcPr>
          <w:p w14:paraId="20321A42">
            <w:pPr>
              <w:spacing w:before="50" w:after="50"/>
              <w:jc w:val="center"/>
              <w:rPr>
                <w:rFonts w:ascii="宋体" w:hAnsi="宋体"/>
                <w:sz w:val="24"/>
              </w:rPr>
            </w:pPr>
          </w:p>
        </w:tc>
      </w:tr>
      <w:tr w14:paraId="347A553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2" w:hRule="atLeast"/>
          <w:jc w:val="center"/>
        </w:trPr>
        <w:tc>
          <w:tcPr>
            <w:tcW w:w="413" w:type="pct"/>
            <w:tcBorders>
              <w:top w:val="single" w:color="auto" w:sz="4" w:space="0"/>
              <w:left w:val="single" w:color="auto" w:sz="4" w:space="0"/>
              <w:bottom w:val="single" w:color="auto" w:sz="4" w:space="0"/>
              <w:right w:val="single" w:color="auto" w:sz="4" w:space="0"/>
            </w:tcBorders>
            <w:noWrap/>
            <w:vAlign w:val="center"/>
          </w:tcPr>
          <w:p w14:paraId="5611170B">
            <w:pPr>
              <w:spacing w:before="50" w:after="50"/>
              <w:jc w:val="center"/>
              <w:rPr>
                <w:rFonts w:ascii="宋体" w:hAnsi="宋体"/>
                <w:sz w:val="24"/>
              </w:rPr>
            </w:pPr>
          </w:p>
        </w:tc>
        <w:tc>
          <w:tcPr>
            <w:tcW w:w="696" w:type="pct"/>
            <w:tcBorders>
              <w:top w:val="single" w:color="auto" w:sz="4" w:space="0"/>
              <w:left w:val="single" w:color="auto" w:sz="4" w:space="0"/>
              <w:bottom w:val="single" w:color="auto" w:sz="4" w:space="0"/>
              <w:right w:val="single" w:color="auto" w:sz="4" w:space="0"/>
            </w:tcBorders>
            <w:noWrap/>
            <w:vAlign w:val="center"/>
          </w:tcPr>
          <w:p w14:paraId="6DD5B39D">
            <w:pPr>
              <w:spacing w:before="50" w:after="50"/>
              <w:jc w:val="center"/>
              <w:rPr>
                <w:rFonts w:ascii="宋体" w:hAnsi="宋体"/>
                <w:sz w:val="24"/>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654FBEF5">
            <w:pPr>
              <w:spacing w:before="50" w:after="50"/>
              <w:jc w:val="center"/>
              <w:rPr>
                <w:rFonts w:ascii="宋体" w:hAnsi="宋体"/>
                <w:sz w:val="24"/>
              </w:rPr>
            </w:pPr>
          </w:p>
        </w:tc>
        <w:tc>
          <w:tcPr>
            <w:tcW w:w="500" w:type="pct"/>
            <w:tcBorders>
              <w:top w:val="single" w:color="auto" w:sz="4" w:space="0"/>
              <w:left w:val="single" w:color="auto" w:sz="4" w:space="0"/>
              <w:bottom w:val="single" w:color="auto" w:sz="4" w:space="0"/>
              <w:right w:val="single" w:color="auto" w:sz="4" w:space="0"/>
            </w:tcBorders>
            <w:noWrap/>
            <w:vAlign w:val="center"/>
          </w:tcPr>
          <w:p w14:paraId="2DE4AED5">
            <w:pPr>
              <w:spacing w:before="50" w:after="50"/>
              <w:jc w:val="center"/>
              <w:rPr>
                <w:rFonts w:ascii="宋体" w:hAnsi="宋体"/>
                <w:sz w:val="24"/>
              </w:rPr>
            </w:pPr>
          </w:p>
        </w:tc>
        <w:tc>
          <w:tcPr>
            <w:tcW w:w="998" w:type="pct"/>
            <w:tcBorders>
              <w:top w:val="single" w:color="auto" w:sz="4" w:space="0"/>
              <w:left w:val="single" w:color="auto" w:sz="4" w:space="0"/>
              <w:bottom w:val="single" w:color="auto" w:sz="4" w:space="0"/>
              <w:right w:val="single" w:color="auto" w:sz="4" w:space="0"/>
            </w:tcBorders>
            <w:noWrap/>
          </w:tcPr>
          <w:p w14:paraId="659C22E8">
            <w:pPr>
              <w:spacing w:before="50" w:after="50"/>
              <w:jc w:val="center"/>
              <w:rPr>
                <w:rFonts w:ascii="宋体" w:hAnsi="宋体"/>
                <w:sz w:val="24"/>
              </w:rPr>
            </w:pPr>
          </w:p>
        </w:tc>
        <w:tc>
          <w:tcPr>
            <w:tcW w:w="696" w:type="pct"/>
            <w:tcBorders>
              <w:top w:val="single" w:color="auto" w:sz="4" w:space="0"/>
              <w:left w:val="single" w:color="auto" w:sz="4" w:space="0"/>
              <w:bottom w:val="single" w:color="auto" w:sz="4" w:space="0"/>
              <w:right w:val="single" w:color="auto" w:sz="4" w:space="0"/>
            </w:tcBorders>
            <w:noWrap/>
            <w:vAlign w:val="center"/>
          </w:tcPr>
          <w:p w14:paraId="52D10159">
            <w:pPr>
              <w:spacing w:before="50" w:after="50"/>
              <w:jc w:val="center"/>
              <w:rPr>
                <w:rFonts w:ascii="宋体" w:hAnsi="宋体"/>
                <w:sz w:val="24"/>
              </w:rPr>
            </w:pPr>
          </w:p>
        </w:tc>
        <w:tc>
          <w:tcPr>
            <w:tcW w:w="412" w:type="pct"/>
            <w:tcBorders>
              <w:top w:val="single" w:color="auto" w:sz="4" w:space="0"/>
              <w:left w:val="single" w:color="auto" w:sz="4" w:space="0"/>
              <w:bottom w:val="single" w:color="auto" w:sz="4" w:space="0"/>
              <w:right w:val="single" w:color="auto" w:sz="4" w:space="0"/>
            </w:tcBorders>
            <w:noWrap/>
            <w:vAlign w:val="center"/>
          </w:tcPr>
          <w:p w14:paraId="2D26BB52">
            <w:pPr>
              <w:spacing w:before="50" w:after="50"/>
              <w:jc w:val="center"/>
              <w:rPr>
                <w:rFonts w:ascii="宋体" w:hAnsi="宋体"/>
                <w:sz w:val="24"/>
              </w:rPr>
            </w:pPr>
          </w:p>
        </w:tc>
        <w:tc>
          <w:tcPr>
            <w:tcW w:w="836" w:type="pct"/>
            <w:tcBorders>
              <w:top w:val="single" w:color="auto" w:sz="4" w:space="0"/>
              <w:left w:val="single" w:color="auto" w:sz="4" w:space="0"/>
              <w:bottom w:val="single" w:color="auto" w:sz="4" w:space="0"/>
              <w:right w:val="single" w:color="auto" w:sz="4" w:space="0"/>
            </w:tcBorders>
            <w:noWrap/>
            <w:vAlign w:val="center"/>
          </w:tcPr>
          <w:p w14:paraId="28FC1F4E">
            <w:pPr>
              <w:spacing w:before="50" w:after="50"/>
              <w:jc w:val="center"/>
              <w:rPr>
                <w:rFonts w:ascii="宋体" w:hAnsi="宋体"/>
                <w:sz w:val="24"/>
              </w:rPr>
            </w:pPr>
          </w:p>
        </w:tc>
      </w:tr>
      <w:tr w14:paraId="3252AB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5" w:hRule="atLeast"/>
          <w:jc w:val="center"/>
        </w:trPr>
        <w:tc>
          <w:tcPr>
            <w:tcW w:w="413" w:type="pct"/>
            <w:tcBorders>
              <w:top w:val="single" w:color="auto" w:sz="4" w:space="0"/>
              <w:left w:val="single" w:color="auto" w:sz="4" w:space="0"/>
              <w:bottom w:val="single" w:color="auto" w:sz="4" w:space="0"/>
              <w:right w:val="single" w:color="auto" w:sz="4" w:space="0"/>
            </w:tcBorders>
            <w:noWrap/>
            <w:vAlign w:val="center"/>
          </w:tcPr>
          <w:p w14:paraId="7B82497A">
            <w:pPr>
              <w:spacing w:before="50" w:after="50"/>
              <w:jc w:val="center"/>
              <w:rPr>
                <w:rFonts w:ascii="宋体" w:hAnsi="宋体"/>
                <w:sz w:val="24"/>
              </w:rPr>
            </w:pPr>
          </w:p>
        </w:tc>
        <w:tc>
          <w:tcPr>
            <w:tcW w:w="696" w:type="pct"/>
            <w:tcBorders>
              <w:top w:val="single" w:color="auto" w:sz="4" w:space="0"/>
              <w:left w:val="single" w:color="auto" w:sz="4" w:space="0"/>
              <w:bottom w:val="single" w:color="auto" w:sz="4" w:space="0"/>
              <w:right w:val="single" w:color="auto" w:sz="4" w:space="0"/>
            </w:tcBorders>
            <w:noWrap/>
            <w:vAlign w:val="center"/>
          </w:tcPr>
          <w:p w14:paraId="1C565E00">
            <w:pPr>
              <w:spacing w:before="50" w:after="50"/>
              <w:jc w:val="center"/>
              <w:rPr>
                <w:rFonts w:ascii="宋体" w:hAnsi="宋体"/>
                <w:sz w:val="24"/>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34C5E902">
            <w:pPr>
              <w:spacing w:before="50" w:after="50"/>
              <w:jc w:val="center"/>
              <w:rPr>
                <w:rFonts w:ascii="宋体" w:hAnsi="宋体"/>
                <w:sz w:val="24"/>
              </w:rPr>
            </w:pPr>
          </w:p>
        </w:tc>
        <w:tc>
          <w:tcPr>
            <w:tcW w:w="500" w:type="pct"/>
            <w:tcBorders>
              <w:top w:val="single" w:color="auto" w:sz="4" w:space="0"/>
              <w:left w:val="single" w:color="auto" w:sz="4" w:space="0"/>
              <w:bottom w:val="single" w:color="auto" w:sz="4" w:space="0"/>
              <w:right w:val="single" w:color="auto" w:sz="4" w:space="0"/>
            </w:tcBorders>
            <w:noWrap/>
            <w:vAlign w:val="center"/>
          </w:tcPr>
          <w:p w14:paraId="7722F070">
            <w:pPr>
              <w:spacing w:before="50" w:after="50"/>
              <w:jc w:val="center"/>
              <w:rPr>
                <w:rFonts w:ascii="宋体" w:hAnsi="宋体"/>
                <w:sz w:val="24"/>
              </w:rPr>
            </w:pPr>
          </w:p>
        </w:tc>
        <w:tc>
          <w:tcPr>
            <w:tcW w:w="998" w:type="pct"/>
            <w:tcBorders>
              <w:top w:val="single" w:color="auto" w:sz="4" w:space="0"/>
              <w:left w:val="single" w:color="auto" w:sz="4" w:space="0"/>
              <w:bottom w:val="single" w:color="auto" w:sz="4" w:space="0"/>
              <w:right w:val="single" w:color="auto" w:sz="4" w:space="0"/>
            </w:tcBorders>
            <w:noWrap/>
          </w:tcPr>
          <w:p w14:paraId="424903D6">
            <w:pPr>
              <w:spacing w:before="50" w:after="50"/>
              <w:jc w:val="center"/>
              <w:rPr>
                <w:rFonts w:ascii="宋体" w:hAnsi="宋体"/>
                <w:sz w:val="24"/>
              </w:rPr>
            </w:pPr>
          </w:p>
        </w:tc>
        <w:tc>
          <w:tcPr>
            <w:tcW w:w="696" w:type="pct"/>
            <w:tcBorders>
              <w:top w:val="single" w:color="auto" w:sz="4" w:space="0"/>
              <w:left w:val="single" w:color="auto" w:sz="4" w:space="0"/>
              <w:bottom w:val="single" w:color="auto" w:sz="4" w:space="0"/>
              <w:right w:val="single" w:color="auto" w:sz="4" w:space="0"/>
            </w:tcBorders>
            <w:noWrap/>
            <w:vAlign w:val="center"/>
          </w:tcPr>
          <w:p w14:paraId="4F490FF1">
            <w:pPr>
              <w:spacing w:before="50" w:after="50"/>
              <w:jc w:val="center"/>
              <w:rPr>
                <w:rFonts w:ascii="宋体" w:hAnsi="宋体"/>
                <w:sz w:val="24"/>
              </w:rPr>
            </w:pPr>
          </w:p>
        </w:tc>
        <w:tc>
          <w:tcPr>
            <w:tcW w:w="412" w:type="pct"/>
            <w:tcBorders>
              <w:top w:val="single" w:color="auto" w:sz="4" w:space="0"/>
              <w:left w:val="single" w:color="auto" w:sz="4" w:space="0"/>
              <w:bottom w:val="single" w:color="auto" w:sz="4" w:space="0"/>
              <w:right w:val="single" w:color="auto" w:sz="4" w:space="0"/>
            </w:tcBorders>
            <w:noWrap/>
            <w:vAlign w:val="center"/>
          </w:tcPr>
          <w:p w14:paraId="36DC472B">
            <w:pPr>
              <w:spacing w:before="50" w:after="50"/>
              <w:jc w:val="center"/>
              <w:rPr>
                <w:rFonts w:ascii="宋体" w:hAnsi="宋体"/>
                <w:sz w:val="24"/>
              </w:rPr>
            </w:pPr>
          </w:p>
        </w:tc>
        <w:tc>
          <w:tcPr>
            <w:tcW w:w="836" w:type="pct"/>
            <w:tcBorders>
              <w:top w:val="single" w:color="auto" w:sz="4" w:space="0"/>
              <w:left w:val="single" w:color="auto" w:sz="4" w:space="0"/>
              <w:bottom w:val="single" w:color="auto" w:sz="4" w:space="0"/>
              <w:right w:val="single" w:color="auto" w:sz="4" w:space="0"/>
            </w:tcBorders>
            <w:noWrap/>
            <w:vAlign w:val="center"/>
          </w:tcPr>
          <w:p w14:paraId="5F96CA4C">
            <w:pPr>
              <w:spacing w:before="50" w:after="50"/>
              <w:jc w:val="center"/>
              <w:rPr>
                <w:rFonts w:ascii="宋体" w:hAnsi="宋体"/>
                <w:sz w:val="24"/>
              </w:rPr>
            </w:pPr>
          </w:p>
        </w:tc>
      </w:tr>
    </w:tbl>
    <w:p w14:paraId="7B9C77C4">
      <w:pPr>
        <w:spacing w:line="360" w:lineRule="auto"/>
        <w:rPr>
          <w:rFonts w:ascii="宋体" w:hAnsi="宋体"/>
          <w:sz w:val="24"/>
        </w:rPr>
      </w:pPr>
      <w:r>
        <w:rPr>
          <w:rFonts w:hint="eastAsia" w:ascii="宋体" w:hAnsi="宋体"/>
          <w:sz w:val="24"/>
        </w:rPr>
        <w:t>备注：</w:t>
      </w:r>
    </w:p>
    <w:p w14:paraId="7E741B86">
      <w:pPr>
        <w:tabs>
          <w:tab w:val="left" w:pos="1065"/>
        </w:tabs>
        <w:spacing w:line="360" w:lineRule="auto"/>
        <w:ind w:firstLine="482"/>
        <w:rPr>
          <w:rFonts w:ascii="宋体" w:hAnsi="宋体"/>
          <w:b/>
          <w:sz w:val="32"/>
        </w:rPr>
      </w:pPr>
      <w:r>
        <w:rPr>
          <w:rFonts w:hint="eastAsia" w:ascii="宋体" w:hAnsi="宋体"/>
          <w:b/>
          <w:bCs/>
          <w:sz w:val="24"/>
        </w:rPr>
        <w:t>以上性能配置清单中“货物名称、数量及单位、品牌、规格型号、制造商、原产地、参数性能、指标及配置”必须如实填写完整，品牌、规格型号没有则填无，</w:t>
      </w:r>
      <w:r>
        <w:rPr>
          <w:rFonts w:hint="eastAsia" w:ascii="宋体" w:hAnsi="宋体"/>
          <w:b/>
          <w:bCs/>
          <w:sz w:val="32"/>
        </w:rPr>
        <w:t>填写有缺漏的，响应文件作无效处理</w:t>
      </w:r>
      <w:r>
        <w:rPr>
          <w:rFonts w:hint="eastAsia" w:ascii="宋体" w:hAnsi="宋体"/>
          <w:b/>
          <w:sz w:val="32"/>
        </w:rPr>
        <w:t>。</w:t>
      </w:r>
    </w:p>
    <w:p w14:paraId="034980CA">
      <w:pPr>
        <w:tabs>
          <w:tab w:val="left" w:pos="1065"/>
        </w:tabs>
        <w:spacing w:line="360" w:lineRule="auto"/>
        <w:ind w:firstLine="482"/>
        <w:rPr>
          <w:rFonts w:ascii="宋体" w:hAnsi="宋体" w:cs="仿宋_GB2312"/>
          <w:b/>
          <w:sz w:val="32"/>
        </w:rPr>
      </w:pPr>
      <w:r>
        <w:rPr>
          <w:rFonts w:hint="eastAsia" w:ascii="宋体" w:hAnsi="宋体"/>
          <w:b/>
          <w:sz w:val="24"/>
        </w:rPr>
        <w:t>货物名称、数量及单位、品牌必须与“响应报价表”一致，</w:t>
      </w:r>
      <w:r>
        <w:rPr>
          <w:rFonts w:hint="eastAsia" w:ascii="宋体" w:hAnsi="宋体"/>
          <w:b/>
          <w:bCs/>
          <w:sz w:val="32"/>
        </w:rPr>
        <w:t>否则响应文件作无效处理</w:t>
      </w:r>
      <w:r>
        <w:rPr>
          <w:rFonts w:hint="eastAsia" w:ascii="宋体" w:hAnsi="宋体"/>
          <w:b/>
          <w:sz w:val="32"/>
        </w:rPr>
        <w:t>。</w:t>
      </w:r>
      <w:r>
        <w:rPr>
          <w:rFonts w:hint="eastAsia" w:ascii="宋体" w:hAnsi="宋体" w:cs="仿宋_GB2312"/>
          <w:b/>
          <w:sz w:val="32"/>
        </w:rPr>
        <w:tab/>
      </w:r>
    </w:p>
    <w:p w14:paraId="0DD222C1">
      <w:pPr>
        <w:spacing w:line="360" w:lineRule="auto"/>
        <w:jc w:val="left"/>
        <w:rPr>
          <w:rFonts w:ascii="宋体" w:hAnsi="宋体" w:cs="仿宋_GB2312"/>
          <w:sz w:val="24"/>
        </w:rPr>
      </w:pPr>
    </w:p>
    <w:p w14:paraId="575A8CAC">
      <w:pPr>
        <w:spacing w:line="360" w:lineRule="auto"/>
        <w:ind w:left="4335" w:hanging="240"/>
        <w:rPr>
          <w:rFonts w:ascii="仿宋_GB2312" w:hAnsi="仿宋" w:eastAsia="仿宋_GB2312" w:cs="仿宋_GB2312"/>
          <w:sz w:val="24"/>
        </w:rPr>
      </w:pPr>
      <w:r>
        <w:rPr>
          <w:rFonts w:hint="eastAsia" w:ascii="仿宋_GB2312" w:hAnsi="仿宋" w:eastAsia="仿宋_GB2312" w:cs="仿宋_GB2312"/>
          <w:sz w:val="24"/>
        </w:rPr>
        <w:t>供应商名称（电子签章）：</w:t>
      </w:r>
    </w:p>
    <w:p w14:paraId="2179EA6B">
      <w:pPr>
        <w:spacing w:line="360" w:lineRule="auto"/>
        <w:ind w:firstLine="6480"/>
        <w:rPr>
          <w:rFonts w:ascii="仿宋_GB2312" w:hAnsi="仿宋" w:eastAsia="仿宋_GB2312" w:cs="仿宋_GB2312"/>
          <w:b/>
          <w:bCs/>
          <w:sz w:val="24"/>
        </w:rPr>
      </w:pPr>
      <w:r>
        <w:rPr>
          <w:rFonts w:hint="eastAsia" w:ascii="仿宋_GB2312" w:hAnsi="仿宋" w:eastAsia="仿宋_GB2312" w:cs="仿宋_GB2312"/>
          <w:sz w:val="24"/>
          <w:lang w:val="zh-CN"/>
        </w:rPr>
        <w:t>日期：年月日</w:t>
      </w:r>
    </w:p>
    <w:p w14:paraId="6DF03681">
      <w:pPr>
        <w:spacing w:line="500" w:lineRule="exact"/>
        <w:rPr>
          <w:rFonts w:ascii="仿宋_GB2312" w:hAnsi="仿宋_GB2312" w:eastAsia="仿宋_GB2312" w:cs="仿宋_GB2312"/>
          <w:sz w:val="32"/>
          <w:szCs w:val="32"/>
        </w:rPr>
      </w:pPr>
    </w:p>
    <w:p w14:paraId="1271589E">
      <w:pPr>
        <w:spacing w:line="500" w:lineRule="exact"/>
        <w:rPr>
          <w:rFonts w:ascii="仿宋_GB2312" w:hAnsi="仿宋_GB2312" w:eastAsia="仿宋_GB2312" w:cs="仿宋_GB2312"/>
          <w:sz w:val="32"/>
          <w:szCs w:val="32"/>
        </w:rPr>
      </w:pPr>
    </w:p>
    <w:p w14:paraId="16407CBC">
      <w:pPr>
        <w:spacing w:line="500" w:lineRule="exact"/>
        <w:rPr>
          <w:rFonts w:ascii="仿宋_GB2312" w:hAnsi="仿宋_GB2312" w:eastAsia="仿宋_GB2312" w:cs="仿宋_GB2312"/>
          <w:sz w:val="32"/>
          <w:szCs w:val="32"/>
        </w:rPr>
      </w:pPr>
    </w:p>
    <w:p w14:paraId="00477AE6">
      <w:pPr>
        <w:spacing w:line="500" w:lineRule="exact"/>
        <w:rPr>
          <w:rFonts w:ascii="仿宋_GB2312" w:hAnsi="仿宋_GB2312" w:eastAsia="仿宋_GB2312" w:cs="仿宋_GB2312"/>
          <w:sz w:val="32"/>
          <w:szCs w:val="32"/>
        </w:rPr>
      </w:pPr>
    </w:p>
    <w:p w14:paraId="09C983D0">
      <w:pPr>
        <w:spacing w:line="500" w:lineRule="exact"/>
        <w:rPr>
          <w:rFonts w:ascii="仿宋_GB2312" w:hAnsi="仿宋_GB2312" w:eastAsia="仿宋_GB2312" w:cs="仿宋_GB2312"/>
          <w:sz w:val="32"/>
          <w:szCs w:val="32"/>
        </w:rPr>
      </w:pPr>
    </w:p>
    <w:p w14:paraId="11C76213">
      <w:pPr>
        <w:spacing w:line="500" w:lineRule="exact"/>
        <w:rPr>
          <w:rFonts w:ascii="仿宋_GB2312" w:hAnsi="仿宋_GB2312" w:eastAsia="仿宋_GB2312" w:cs="仿宋_GB2312"/>
          <w:sz w:val="32"/>
          <w:szCs w:val="32"/>
        </w:rPr>
      </w:pPr>
    </w:p>
    <w:p w14:paraId="3CF2F5DF">
      <w:pPr>
        <w:spacing w:line="500" w:lineRule="exact"/>
        <w:rPr>
          <w:rFonts w:ascii="仿宋_GB2312" w:hAnsi="仿宋_GB2312" w:eastAsia="仿宋_GB2312" w:cs="仿宋_GB2312"/>
          <w:sz w:val="32"/>
          <w:szCs w:val="32"/>
        </w:rPr>
      </w:pPr>
    </w:p>
    <w:p w14:paraId="24FD7552">
      <w:pPr>
        <w:spacing w:line="500" w:lineRule="exact"/>
        <w:rPr>
          <w:rFonts w:ascii="仿宋_GB2312" w:hAnsi="仿宋_GB2312" w:eastAsia="仿宋_GB2312" w:cs="仿宋_GB2312"/>
          <w:sz w:val="32"/>
          <w:szCs w:val="32"/>
        </w:rPr>
      </w:pPr>
    </w:p>
    <w:p w14:paraId="0A97D0AD">
      <w:pPr>
        <w:spacing w:line="500" w:lineRule="exact"/>
        <w:rPr>
          <w:rFonts w:ascii="仿宋_GB2312" w:hAnsi="仿宋_GB2312" w:eastAsia="仿宋_GB2312" w:cs="仿宋_GB2312"/>
          <w:sz w:val="32"/>
          <w:szCs w:val="32"/>
        </w:rPr>
      </w:pPr>
    </w:p>
    <w:p w14:paraId="55F92688">
      <w:pPr>
        <w:spacing w:before="120" w:after="50"/>
        <w:ind w:left="143" w:firstLine="596"/>
        <w:rPr>
          <w:rFonts w:ascii="仿宋" w:hAnsi="仿宋" w:eastAsia="仿宋" w:cs="仿宋_GB2312"/>
          <w:b/>
          <w:sz w:val="30"/>
          <w:szCs w:val="30"/>
        </w:rPr>
      </w:pPr>
      <w:r>
        <w:rPr>
          <w:rFonts w:hint="eastAsia" w:ascii="仿宋" w:hAnsi="仿宋" w:eastAsia="仿宋" w:cs="仿宋_GB2312"/>
          <w:b/>
          <w:sz w:val="30"/>
          <w:szCs w:val="30"/>
        </w:rPr>
        <w:t>九、售后服务承诺</w:t>
      </w:r>
    </w:p>
    <w:p w14:paraId="038A17BE">
      <w:pPr>
        <w:spacing w:before="120" w:after="50"/>
        <w:ind w:left="143" w:firstLine="420"/>
        <w:rPr>
          <w:rFonts w:hAnsi="宋体"/>
        </w:rPr>
      </w:pPr>
      <w:r>
        <w:rPr>
          <w:rFonts w:hint="eastAsia" w:hAnsi="宋体"/>
        </w:rPr>
        <w:t>由竞标人按本项目竞争性谈判采购文件第二章“货物需求一览表”中商务条款部分的售后服务要求自行填写，其中要包含售后服务承诺书。</w:t>
      </w:r>
    </w:p>
    <w:p w14:paraId="288B02FB">
      <w:pPr>
        <w:tabs>
          <w:tab w:val="center" w:pos="4153"/>
          <w:tab w:val="right" w:pos="8306"/>
        </w:tabs>
        <w:jc w:val="left"/>
        <w:rPr>
          <w:sz w:val="18"/>
          <w:szCs w:val="18"/>
        </w:rPr>
      </w:pPr>
    </w:p>
    <w:p w14:paraId="2346AD05">
      <w:pPr>
        <w:spacing w:before="120" w:after="50"/>
        <w:ind w:left="142"/>
        <w:jc w:val="center"/>
        <w:rPr>
          <w:rFonts w:ascii="宋体" w:hAnsi="宋体"/>
          <w:b/>
          <w:sz w:val="32"/>
          <w:szCs w:val="32"/>
        </w:rPr>
      </w:pPr>
      <w:r>
        <w:rPr>
          <w:rFonts w:hint="eastAsia" w:ascii="宋体" w:hAnsi="宋体"/>
          <w:b/>
          <w:sz w:val="32"/>
          <w:szCs w:val="32"/>
        </w:rPr>
        <w:t>1、售后服务承诺</w:t>
      </w:r>
    </w:p>
    <w:p w14:paraId="5054EAAB">
      <w:pPr>
        <w:spacing w:line="360" w:lineRule="auto"/>
        <w:rPr>
          <w:rFonts w:ascii="仿宋_GB2312" w:hAnsi="仿宋" w:eastAsia="仿宋_GB2312" w:cs="仿宋_GB2312"/>
          <w:b/>
          <w:sz w:val="24"/>
        </w:rPr>
      </w:pPr>
      <w:r>
        <w:rPr>
          <w:rFonts w:hint="eastAsia" w:ascii="仿宋_GB2312" w:hAnsi="仿宋" w:eastAsia="仿宋_GB2312" w:cs="仿宋_GB2312"/>
          <w:b/>
          <w:sz w:val="24"/>
        </w:rPr>
        <w:t>附表A:售后服务机构情况表</w:t>
      </w:r>
      <w:r>
        <w:rPr>
          <w:rFonts w:hint="eastAsia" w:ascii="仿宋_GB2312" w:hAnsi="仿宋" w:eastAsia="仿宋_GB2312" w:cs="仿宋_GB2312"/>
          <w:sz w:val="24"/>
        </w:rPr>
        <w:t>（按此格式自制）</w:t>
      </w:r>
    </w:p>
    <w:tbl>
      <w:tblPr>
        <w:tblStyle w:val="32"/>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340"/>
        <w:gridCol w:w="1095"/>
        <w:gridCol w:w="1245"/>
        <w:gridCol w:w="1980"/>
        <w:gridCol w:w="1260"/>
      </w:tblGrid>
      <w:tr w14:paraId="4609D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noWrap/>
          </w:tcPr>
          <w:p w14:paraId="3E98BA32">
            <w:pPr>
              <w:spacing w:line="360" w:lineRule="auto"/>
              <w:jc w:val="center"/>
              <w:rPr>
                <w:rFonts w:ascii="仿宋_GB2312" w:hAnsi="仿宋" w:eastAsia="仿宋_GB2312" w:cs="仿宋_GB2312"/>
                <w:b/>
                <w:sz w:val="24"/>
              </w:rPr>
            </w:pPr>
            <w:r>
              <w:rPr>
                <w:rFonts w:hint="eastAsia" w:ascii="仿宋_GB2312" w:hAnsi="仿宋" w:eastAsia="仿宋_GB2312" w:cs="仿宋_GB2312"/>
                <w:b/>
                <w:sz w:val="24"/>
              </w:rPr>
              <w:t>序号</w:t>
            </w:r>
          </w:p>
        </w:tc>
        <w:tc>
          <w:tcPr>
            <w:tcW w:w="2340" w:type="dxa"/>
            <w:tcBorders>
              <w:top w:val="single" w:color="auto" w:sz="4" w:space="0"/>
              <w:left w:val="single" w:color="auto" w:sz="4" w:space="0"/>
              <w:bottom w:val="single" w:color="auto" w:sz="4" w:space="0"/>
              <w:right w:val="single" w:color="auto" w:sz="4" w:space="0"/>
            </w:tcBorders>
            <w:noWrap/>
          </w:tcPr>
          <w:p w14:paraId="07A0DC61">
            <w:pPr>
              <w:spacing w:line="360" w:lineRule="auto"/>
              <w:jc w:val="center"/>
              <w:rPr>
                <w:rFonts w:ascii="仿宋_GB2312" w:hAnsi="仿宋" w:eastAsia="仿宋_GB2312" w:cs="仿宋_GB2312"/>
                <w:b/>
                <w:sz w:val="24"/>
              </w:rPr>
            </w:pPr>
            <w:r>
              <w:rPr>
                <w:rFonts w:hint="eastAsia" w:ascii="仿宋_GB2312" w:hAnsi="仿宋" w:eastAsia="仿宋_GB2312" w:cs="仿宋_GB2312"/>
                <w:b/>
                <w:sz w:val="24"/>
              </w:rPr>
              <w:t>机构名称</w:t>
            </w:r>
          </w:p>
        </w:tc>
        <w:tc>
          <w:tcPr>
            <w:tcW w:w="1095" w:type="dxa"/>
            <w:tcBorders>
              <w:top w:val="single" w:color="auto" w:sz="4" w:space="0"/>
              <w:left w:val="single" w:color="auto" w:sz="4" w:space="0"/>
              <w:bottom w:val="single" w:color="auto" w:sz="4" w:space="0"/>
              <w:right w:val="single" w:color="auto" w:sz="4" w:space="0"/>
            </w:tcBorders>
            <w:noWrap/>
          </w:tcPr>
          <w:p w14:paraId="0DD90D93">
            <w:pPr>
              <w:spacing w:line="360" w:lineRule="auto"/>
              <w:jc w:val="center"/>
              <w:rPr>
                <w:rFonts w:ascii="仿宋_GB2312" w:hAnsi="仿宋" w:eastAsia="仿宋_GB2312" w:cs="仿宋_GB2312"/>
                <w:b/>
                <w:sz w:val="24"/>
              </w:rPr>
            </w:pPr>
            <w:r>
              <w:rPr>
                <w:rFonts w:hint="eastAsia" w:ascii="仿宋_GB2312" w:hAnsi="仿宋" w:eastAsia="仿宋_GB2312" w:cs="仿宋_GB2312"/>
                <w:b/>
                <w:sz w:val="24"/>
              </w:rPr>
              <w:t>机构性质</w:t>
            </w:r>
          </w:p>
        </w:tc>
        <w:tc>
          <w:tcPr>
            <w:tcW w:w="1245" w:type="dxa"/>
            <w:tcBorders>
              <w:top w:val="single" w:color="auto" w:sz="4" w:space="0"/>
              <w:left w:val="single" w:color="auto" w:sz="4" w:space="0"/>
              <w:bottom w:val="single" w:color="auto" w:sz="4" w:space="0"/>
              <w:right w:val="single" w:color="auto" w:sz="4" w:space="0"/>
            </w:tcBorders>
            <w:noWrap/>
          </w:tcPr>
          <w:p w14:paraId="32DFA174">
            <w:pPr>
              <w:spacing w:line="360" w:lineRule="auto"/>
              <w:jc w:val="center"/>
              <w:rPr>
                <w:rFonts w:ascii="仿宋_GB2312" w:hAnsi="仿宋" w:eastAsia="仿宋_GB2312" w:cs="仿宋_GB2312"/>
                <w:b/>
                <w:sz w:val="24"/>
              </w:rPr>
            </w:pPr>
            <w:r>
              <w:rPr>
                <w:rFonts w:hint="eastAsia" w:ascii="仿宋_GB2312" w:hAnsi="仿宋" w:eastAsia="仿宋_GB2312" w:cs="仿宋_GB2312"/>
                <w:b/>
                <w:sz w:val="24"/>
              </w:rPr>
              <w:t>注册地址</w:t>
            </w:r>
          </w:p>
        </w:tc>
        <w:tc>
          <w:tcPr>
            <w:tcW w:w="1980" w:type="dxa"/>
            <w:tcBorders>
              <w:top w:val="single" w:color="auto" w:sz="4" w:space="0"/>
              <w:left w:val="single" w:color="auto" w:sz="4" w:space="0"/>
              <w:bottom w:val="single" w:color="auto" w:sz="4" w:space="0"/>
              <w:right w:val="single" w:color="auto" w:sz="4" w:space="0"/>
            </w:tcBorders>
            <w:noWrap/>
          </w:tcPr>
          <w:p w14:paraId="3E1DF9F1">
            <w:pPr>
              <w:spacing w:line="360" w:lineRule="auto"/>
              <w:jc w:val="center"/>
              <w:rPr>
                <w:rFonts w:ascii="仿宋_GB2312" w:hAnsi="仿宋" w:eastAsia="仿宋_GB2312" w:cs="仿宋_GB2312"/>
                <w:b/>
                <w:sz w:val="24"/>
              </w:rPr>
            </w:pPr>
            <w:r>
              <w:rPr>
                <w:rFonts w:hint="eastAsia" w:ascii="仿宋_GB2312" w:hAnsi="仿宋" w:eastAsia="仿宋_GB2312" w:cs="仿宋_GB2312"/>
                <w:b/>
                <w:sz w:val="24"/>
              </w:rPr>
              <w:t>货物技术人员数量</w:t>
            </w:r>
          </w:p>
        </w:tc>
        <w:tc>
          <w:tcPr>
            <w:tcW w:w="1260" w:type="dxa"/>
            <w:tcBorders>
              <w:top w:val="single" w:color="auto" w:sz="4" w:space="0"/>
              <w:left w:val="single" w:color="auto" w:sz="4" w:space="0"/>
              <w:bottom w:val="single" w:color="auto" w:sz="4" w:space="0"/>
              <w:right w:val="single" w:color="auto" w:sz="4" w:space="0"/>
            </w:tcBorders>
            <w:noWrap/>
          </w:tcPr>
          <w:p w14:paraId="661A5BD5">
            <w:pPr>
              <w:spacing w:line="360" w:lineRule="auto"/>
              <w:jc w:val="center"/>
              <w:rPr>
                <w:rFonts w:ascii="仿宋_GB2312" w:hAnsi="仿宋" w:eastAsia="仿宋_GB2312" w:cs="仿宋_GB2312"/>
                <w:b/>
                <w:sz w:val="24"/>
              </w:rPr>
            </w:pPr>
            <w:r>
              <w:rPr>
                <w:rFonts w:hint="eastAsia" w:ascii="仿宋_GB2312" w:hAnsi="仿宋" w:eastAsia="仿宋_GB2312" w:cs="仿宋_GB2312"/>
                <w:b/>
                <w:sz w:val="24"/>
              </w:rPr>
              <w:t>联系电话</w:t>
            </w:r>
          </w:p>
        </w:tc>
      </w:tr>
      <w:tr w14:paraId="6315E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noWrap/>
          </w:tcPr>
          <w:p w14:paraId="5427C079">
            <w:pPr>
              <w:spacing w:line="360" w:lineRule="auto"/>
              <w:jc w:val="center"/>
              <w:rPr>
                <w:rFonts w:ascii="仿宋_GB2312" w:hAnsi="仿宋" w:eastAsia="仿宋_GB2312" w:cs="仿宋_GB2312"/>
                <w:sz w:val="24"/>
              </w:rPr>
            </w:pPr>
          </w:p>
        </w:tc>
        <w:tc>
          <w:tcPr>
            <w:tcW w:w="2340" w:type="dxa"/>
            <w:tcBorders>
              <w:top w:val="single" w:color="auto" w:sz="4" w:space="0"/>
              <w:left w:val="single" w:color="auto" w:sz="4" w:space="0"/>
              <w:bottom w:val="single" w:color="auto" w:sz="4" w:space="0"/>
              <w:right w:val="single" w:color="auto" w:sz="4" w:space="0"/>
            </w:tcBorders>
            <w:noWrap/>
          </w:tcPr>
          <w:p w14:paraId="177173BE">
            <w:pPr>
              <w:spacing w:line="360" w:lineRule="auto"/>
              <w:jc w:val="center"/>
              <w:rPr>
                <w:rFonts w:ascii="仿宋_GB2312" w:hAnsi="仿宋" w:eastAsia="仿宋_GB2312" w:cs="仿宋_GB2312"/>
                <w:sz w:val="24"/>
              </w:rPr>
            </w:pPr>
          </w:p>
        </w:tc>
        <w:tc>
          <w:tcPr>
            <w:tcW w:w="1095" w:type="dxa"/>
            <w:tcBorders>
              <w:top w:val="single" w:color="auto" w:sz="4" w:space="0"/>
              <w:left w:val="single" w:color="auto" w:sz="4" w:space="0"/>
              <w:bottom w:val="single" w:color="auto" w:sz="4" w:space="0"/>
              <w:right w:val="single" w:color="auto" w:sz="4" w:space="0"/>
            </w:tcBorders>
            <w:noWrap/>
          </w:tcPr>
          <w:p w14:paraId="5C064291">
            <w:pPr>
              <w:spacing w:line="360" w:lineRule="auto"/>
              <w:jc w:val="center"/>
              <w:rPr>
                <w:rFonts w:ascii="仿宋_GB2312" w:hAnsi="仿宋" w:eastAsia="仿宋_GB2312" w:cs="仿宋_GB2312"/>
                <w:sz w:val="24"/>
              </w:rPr>
            </w:pPr>
          </w:p>
        </w:tc>
        <w:tc>
          <w:tcPr>
            <w:tcW w:w="1245" w:type="dxa"/>
            <w:tcBorders>
              <w:top w:val="single" w:color="auto" w:sz="4" w:space="0"/>
              <w:left w:val="single" w:color="auto" w:sz="4" w:space="0"/>
              <w:bottom w:val="single" w:color="auto" w:sz="4" w:space="0"/>
              <w:right w:val="single" w:color="auto" w:sz="4" w:space="0"/>
            </w:tcBorders>
            <w:noWrap/>
          </w:tcPr>
          <w:p w14:paraId="243D7ED3">
            <w:pPr>
              <w:spacing w:line="360" w:lineRule="auto"/>
              <w:jc w:val="center"/>
              <w:rPr>
                <w:rFonts w:ascii="仿宋_GB2312" w:hAnsi="仿宋" w:eastAsia="仿宋_GB2312" w:cs="仿宋_GB2312"/>
                <w:sz w:val="24"/>
              </w:rPr>
            </w:pPr>
          </w:p>
        </w:tc>
        <w:tc>
          <w:tcPr>
            <w:tcW w:w="1980" w:type="dxa"/>
            <w:tcBorders>
              <w:top w:val="single" w:color="auto" w:sz="4" w:space="0"/>
              <w:left w:val="single" w:color="auto" w:sz="4" w:space="0"/>
              <w:bottom w:val="single" w:color="auto" w:sz="4" w:space="0"/>
              <w:right w:val="single" w:color="auto" w:sz="4" w:space="0"/>
            </w:tcBorders>
            <w:noWrap/>
          </w:tcPr>
          <w:p w14:paraId="2BAE0811">
            <w:pPr>
              <w:spacing w:line="360" w:lineRule="auto"/>
              <w:jc w:val="center"/>
              <w:rPr>
                <w:rFonts w:ascii="仿宋_GB2312" w:hAnsi="仿宋" w:eastAsia="仿宋_GB2312" w:cs="仿宋_GB2312"/>
                <w:sz w:val="24"/>
              </w:rPr>
            </w:pPr>
          </w:p>
        </w:tc>
        <w:tc>
          <w:tcPr>
            <w:tcW w:w="1260" w:type="dxa"/>
            <w:tcBorders>
              <w:top w:val="single" w:color="auto" w:sz="4" w:space="0"/>
              <w:left w:val="single" w:color="auto" w:sz="4" w:space="0"/>
              <w:bottom w:val="single" w:color="auto" w:sz="4" w:space="0"/>
              <w:right w:val="single" w:color="auto" w:sz="4" w:space="0"/>
            </w:tcBorders>
            <w:noWrap/>
          </w:tcPr>
          <w:p w14:paraId="1F825867">
            <w:pPr>
              <w:spacing w:line="360" w:lineRule="auto"/>
              <w:jc w:val="center"/>
              <w:rPr>
                <w:rFonts w:ascii="仿宋_GB2312" w:hAnsi="仿宋" w:eastAsia="仿宋_GB2312" w:cs="仿宋_GB2312"/>
                <w:sz w:val="24"/>
              </w:rPr>
            </w:pPr>
          </w:p>
        </w:tc>
      </w:tr>
      <w:tr w14:paraId="2D477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noWrap/>
          </w:tcPr>
          <w:p w14:paraId="0C00835E">
            <w:pPr>
              <w:spacing w:line="360" w:lineRule="auto"/>
              <w:jc w:val="center"/>
              <w:rPr>
                <w:rFonts w:ascii="仿宋_GB2312" w:hAnsi="仿宋" w:eastAsia="仿宋_GB2312" w:cs="仿宋_GB2312"/>
                <w:sz w:val="24"/>
              </w:rPr>
            </w:pPr>
          </w:p>
        </w:tc>
        <w:tc>
          <w:tcPr>
            <w:tcW w:w="2340" w:type="dxa"/>
            <w:tcBorders>
              <w:top w:val="single" w:color="auto" w:sz="4" w:space="0"/>
              <w:left w:val="single" w:color="auto" w:sz="4" w:space="0"/>
              <w:bottom w:val="single" w:color="auto" w:sz="4" w:space="0"/>
              <w:right w:val="single" w:color="auto" w:sz="4" w:space="0"/>
            </w:tcBorders>
            <w:noWrap/>
          </w:tcPr>
          <w:p w14:paraId="23B621DC">
            <w:pPr>
              <w:spacing w:line="360" w:lineRule="auto"/>
              <w:jc w:val="center"/>
              <w:rPr>
                <w:rFonts w:ascii="仿宋_GB2312" w:hAnsi="仿宋" w:eastAsia="仿宋_GB2312" w:cs="仿宋_GB2312"/>
                <w:sz w:val="24"/>
              </w:rPr>
            </w:pPr>
          </w:p>
        </w:tc>
        <w:tc>
          <w:tcPr>
            <w:tcW w:w="1095" w:type="dxa"/>
            <w:tcBorders>
              <w:top w:val="single" w:color="auto" w:sz="4" w:space="0"/>
              <w:left w:val="single" w:color="auto" w:sz="4" w:space="0"/>
              <w:bottom w:val="single" w:color="auto" w:sz="4" w:space="0"/>
              <w:right w:val="single" w:color="auto" w:sz="4" w:space="0"/>
            </w:tcBorders>
            <w:noWrap/>
          </w:tcPr>
          <w:p w14:paraId="7C37A856">
            <w:pPr>
              <w:spacing w:line="360" w:lineRule="auto"/>
              <w:jc w:val="center"/>
              <w:rPr>
                <w:rFonts w:ascii="仿宋_GB2312" w:hAnsi="仿宋" w:eastAsia="仿宋_GB2312" w:cs="仿宋_GB2312"/>
                <w:sz w:val="24"/>
              </w:rPr>
            </w:pPr>
          </w:p>
        </w:tc>
        <w:tc>
          <w:tcPr>
            <w:tcW w:w="1245" w:type="dxa"/>
            <w:tcBorders>
              <w:top w:val="single" w:color="auto" w:sz="4" w:space="0"/>
              <w:left w:val="single" w:color="auto" w:sz="4" w:space="0"/>
              <w:bottom w:val="single" w:color="auto" w:sz="4" w:space="0"/>
              <w:right w:val="single" w:color="auto" w:sz="4" w:space="0"/>
            </w:tcBorders>
            <w:noWrap/>
          </w:tcPr>
          <w:p w14:paraId="0FE12E2C">
            <w:pPr>
              <w:spacing w:line="360" w:lineRule="auto"/>
              <w:jc w:val="center"/>
              <w:rPr>
                <w:rFonts w:ascii="仿宋_GB2312" w:hAnsi="仿宋" w:eastAsia="仿宋_GB2312" w:cs="仿宋_GB2312"/>
                <w:sz w:val="24"/>
              </w:rPr>
            </w:pPr>
          </w:p>
        </w:tc>
        <w:tc>
          <w:tcPr>
            <w:tcW w:w="1980" w:type="dxa"/>
            <w:tcBorders>
              <w:top w:val="single" w:color="auto" w:sz="4" w:space="0"/>
              <w:left w:val="single" w:color="auto" w:sz="4" w:space="0"/>
              <w:bottom w:val="single" w:color="auto" w:sz="4" w:space="0"/>
              <w:right w:val="single" w:color="auto" w:sz="4" w:space="0"/>
            </w:tcBorders>
            <w:noWrap/>
          </w:tcPr>
          <w:p w14:paraId="696BE590">
            <w:pPr>
              <w:spacing w:line="360" w:lineRule="auto"/>
              <w:jc w:val="center"/>
              <w:rPr>
                <w:rFonts w:ascii="仿宋_GB2312" w:hAnsi="仿宋" w:eastAsia="仿宋_GB2312" w:cs="仿宋_GB2312"/>
                <w:sz w:val="24"/>
              </w:rPr>
            </w:pPr>
          </w:p>
        </w:tc>
        <w:tc>
          <w:tcPr>
            <w:tcW w:w="1260" w:type="dxa"/>
            <w:tcBorders>
              <w:top w:val="single" w:color="auto" w:sz="4" w:space="0"/>
              <w:left w:val="single" w:color="auto" w:sz="4" w:space="0"/>
              <w:bottom w:val="single" w:color="auto" w:sz="4" w:space="0"/>
              <w:right w:val="single" w:color="auto" w:sz="4" w:space="0"/>
            </w:tcBorders>
            <w:noWrap/>
          </w:tcPr>
          <w:p w14:paraId="749D6615">
            <w:pPr>
              <w:spacing w:line="360" w:lineRule="auto"/>
              <w:jc w:val="center"/>
              <w:rPr>
                <w:rFonts w:ascii="仿宋_GB2312" w:hAnsi="仿宋" w:eastAsia="仿宋_GB2312" w:cs="仿宋_GB2312"/>
                <w:sz w:val="24"/>
              </w:rPr>
            </w:pPr>
          </w:p>
        </w:tc>
      </w:tr>
      <w:tr w14:paraId="54346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noWrap/>
          </w:tcPr>
          <w:p w14:paraId="0F8117BD">
            <w:pPr>
              <w:spacing w:line="360" w:lineRule="auto"/>
              <w:jc w:val="center"/>
              <w:rPr>
                <w:rFonts w:ascii="仿宋_GB2312" w:hAnsi="仿宋" w:eastAsia="仿宋_GB2312" w:cs="仿宋_GB2312"/>
                <w:sz w:val="24"/>
              </w:rPr>
            </w:pPr>
          </w:p>
        </w:tc>
        <w:tc>
          <w:tcPr>
            <w:tcW w:w="2340" w:type="dxa"/>
            <w:tcBorders>
              <w:top w:val="single" w:color="auto" w:sz="4" w:space="0"/>
              <w:left w:val="single" w:color="auto" w:sz="4" w:space="0"/>
              <w:bottom w:val="single" w:color="auto" w:sz="4" w:space="0"/>
              <w:right w:val="single" w:color="auto" w:sz="4" w:space="0"/>
            </w:tcBorders>
            <w:noWrap/>
          </w:tcPr>
          <w:p w14:paraId="40493BCD">
            <w:pPr>
              <w:spacing w:line="360" w:lineRule="auto"/>
              <w:jc w:val="center"/>
              <w:rPr>
                <w:rFonts w:ascii="仿宋_GB2312" w:hAnsi="仿宋" w:eastAsia="仿宋_GB2312" w:cs="仿宋_GB2312"/>
                <w:sz w:val="24"/>
              </w:rPr>
            </w:pPr>
          </w:p>
        </w:tc>
        <w:tc>
          <w:tcPr>
            <w:tcW w:w="1095" w:type="dxa"/>
            <w:tcBorders>
              <w:top w:val="single" w:color="auto" w:sz="4" w:space="0"/>
              <w:left w:val="single" w:color="auto" w:sz="4" w:space="0"/>
              <w:bottom w:val="single" w:color="auto" w:sz="4" w:space="0"/>
              <w:right w:val="single" w:color="auto" w:sz="4" w:space="0"/>
            </w:tcBorders>
            <w:noWrap/>
          </w:tcPr>
          <w:p w14:paraId="03269488">
            <w:pPr>
              <w:spacing w:line="360" w:lineRule="auto"/>
              <w:jc w:val="center"/>
              <w:rPr>
                <w:rFonts w:ascii="仿宋_GB2312" w:hAnsi="仿宋" w:eastAsia="仿宋_GB2312" w:cs="仿宋_GB2312"/>
                <w:sz w:val="24"/>
              </w:rPr>
            </w:pPr>
          </w:p>
        </w:tc>
        <w:tc>
          <w:tcPr>
            <w:tcW w:w="1245" w:type="dxa"/>
            <w:tcBorders>
              <w:top w:val="single" w:color="auto" w:sz="4" w:space="0"/>
              <w:left w:val="single" w:color="auto" w:sz="4" w:space="0"/>
              <w:bottom w:val="single" w:color="auto" w:sz="4" w:space="0"/>
              <w:right w:val="single" w:color="auto" w:sz="4" w:space="0"/>
            </w:tcBorders>
            <w:noWrap/>
          </w:tcPr>
          <w:p w14:paraId="13247342">
            <w:pPr>
              <w:spacing w:line="360" w:lineRule="auto"/>
              <w:jc w:val="center"/>
              <w:rPr>
                <w:rFonts w:ascii="仿宋_GB2312" w:hAnsi="仿宋" w:eastAsia="仿宋_GB2312" w:cs="仿宋_GB2312"/>
                <w:sz w:val="24"/>
              </w:rPr>
            </w:pPr>
          </w:p>
        </w:tc>
        <w:tc>
          <w:tcPr>
            <w:tcW w:w="1980" w:type="dxa"/>
            <w:tcBorders>
              <w:top w:val="single" w:color="auto" w:sz="4" w:space="0"/>
              <w:left w:val="single" w:color="auto" w:sz="4" w:space="0"/>
              <w:bottom w:val="single" w:color="auto" w:sz="4" w:space="0"/>
              <w:right w:val="single" w:color="auto" w:sz="4" w:space="0"/>
            </w:tcBorders>
            <w:noWrap/>
          </w:tcPr>
          <w:p w14:paraId="6B885399">
            <w:pPr>
              <w:spacing w:line="360" w:lineRule="auto"/>
              <w:jc w:val="center"/>
              <w:rPr>
                <w:rFonts w:ascii="仿宋_GB2312" w:hAnsi="仿宋" w:eastAsia="仿宋_GB2312" w:cs="仿宋_GB2312"/>
                <w:sz w:val="24"/>
              </w:rPr>
            </w:pPr>
          </w:p>
        </w:tc>
        <w:tc>
          <w:tcPr>
            <w:tcW w:w="1260" w:type="dxa"/>
            <w:tcBorders>
              <w:top w:val="single" w:color="auto" w:sz="4" w:space="0"/>
              <w:left w:val="single" w:color="auto" w:sz="4" w:space="0"/>
              <w:bottom w:val="single" w:color="auto" w:sz="4" w:space="0"/>
              <w:right w:val="single" w:color="auto" w:sz="4" w:space="0"/>
            </w:tcBorders>
            <w:noWrap/>
          </w:tcPr>
          <w:p w14:paraId="015321EE">
            <w:pPr>
              <w:spacing w:line="360" w:lineRule="auto"/>
              <w:jc w:val="center"/>
              <w:rPr>
                <w:rFonts w:ascii="仿宋_GB2312" w:hAnsi="仿宋" w:eastAsia="仿宋_GB2312" w:cs="仿宋_GB2312"/>
                <w:sz w:val="24"/>
              </w:rPr>
            </w:pPr>
          </w:p>
        </w:tc>
      </w:tr>
    </w:tbl>
    <w:p w14:paraId="42D81DF5">
      <w:pPr>
        <w:spacing w:line="360" w:lineRule="auto"/>
        <w:rPr>
          <w:rFonts w:ascii="仿宋_GB2312" w:hAnsi="仿宋" w:eastAsia="仿宋_GB2312" w:cs="仿宋_GB2312"/>
          <w:b/>
          <w:sz w:val="24"/>
        </w:rPr>
      </w:pPr>
      <w:r>
        <w:rPr>
          <w:rFonts w:hint="eastAsia" w:ascii="仿宋_GB2312" w:hAnsi="仿宋" w:eastAsia="仿宋_GB2312" w:cs="仿宋_GB2312"/>
          <w:b/>
          <w:sz w:val="24"/>
        </w:rPr>
        <w:t>注：关于项目涉及的所有售后服务机构均在本表注明，包括供应商本单位和符合条件的第三方货物机构；</w:t>
      </w:r>
    </w:p>
    <w:p w14:paraId="41572A25">
      <w:pPr>
        <w:spacing w:line="360" w:lineRule="auto"/>
        <w:rPr>
          <w:rFonts w:ascii="仿宋_GB2312" w:hAnsi="仿宋" w:eastAsia="仿宋_GB2312" w:cs="仿宋_GB2312"/>
          <w:sz w:val="24"/>
        </w:rPr>
      </w:pPr>
    </w:p>
    <w:p w14:paraId="562DEBF6">
      <w:pPr>
        <w:spacing w:line="360" w:lineRule="auto"/>
        <w:rPr>
          <w:rFonts w:ascii="仿宋_GB2312" w:hAnsi="仿宋" w:eastAsia="仿宋_GB2312" w:cs="仿宋_GB2312"/>
          <w:sz w:val="24"/>
        </w:rPr>
      </w:pPr>
      <w:r>
        <w:rPr>
          <w:rFonts w:hint="eastAsia" w:ascii="仿宋_GB2312" w:hAnsi="仿宋" w:eastAsia="仿宋_GB2312" w:cs="仿宋_GB2312"/>
          <w:b/>
          <w:sz w:val="24"/>
        </w:rPr>
        <w:t>附表B：售后服务人员情况表</w:t>
      </w:r>
      <w:r>
        <w:rPr>
          <w:rFonts w:hint="eastAsia" w:ascii="仿宋_GB2312" w:hAnsi="仿宋" w:eastAsia="仿宋_GB2312" w:cs="仿宋_GB2312"/>
          <w:sz w:val="24"/>
        </w:rPr>
        <w:t>（按此格式自制）</w:t>
      </w:r>
    </w:p>
    <w:tbl>
      <w:tblPr>
        <w:tblStyle w:val="32"/>
        <w:tblW w:w="0" w:type="auto"/>
        <w:jc w:val="center"/>
        <w:tblLayout w:type="fixed"/>
        <w:tblCellMar>
          <w:top w:w="0" w:type="dxa"/>
          <w:left w:w="108" w:type="dxa"/>
          <w:bottom w:w="0" w:type="dxa"/>
          <w:right w:w="108" w:type="dxa"/>
        </w:tblCellMar>
      </w:tblPr>
      <w:tblGrid>
        <w:gridCol w:w="646"/>
        <w:gridCol w:w="746"/>
        <w:gridCol w:w="787"/>
        <w:gridCol w:w="412"/>
        <w:gridCol w:w="900"/>
        <w:gridCol w:w="1080"/>
        <w:gridCol w:w="1080"/>
        <w:gridCol w:w="1080"/>
        <w:gridCol w:w="1260"/>
        <w:gridCol w:w="900"/>
        <w:gridCol w:w="1111"/>
      </w:tblGrid>
      <w:tr w14:paraId="46A84EFC">
        <w:tblPrEx>
          <w:tblCellMar>
            <w:top w:w="0" w:type="dxa"/>
            <w:left w:w="108" w:type="dxa"/>
            <w:bottom w:w="0" w:type="dxa"/>
            <w:right w:w="108" w:type="dxa"/>
          </w:tblCellMar>
        </w:tblPrEx>
        <w:trPr>
          <w:jc w:val="center"/>
        </w:trPr>
        <w:tc>
          <w:tcPr>
            <w:tcW w:w="646" w:type="dxa"/>
            <w:tcBorders>
              <w:top w:val="single" w:color="auto" w:sz="6" w:space="0"/>
              <w:left w:val="single" w:color="auto" w:sz="6" w:space="0"/>
              <w:bottom w:val="single" w:color="auto" w:sz="6" w:space="0"/>
              <w:right w:val="single" w:color="auto" w:sz="4" w:space="0"/>
            </w:tcBorders>
            <w:noWrap/>
            <w:vAlign w:val="center"/>
          </w:tcPr>
          <w:p w14:paraId="3C7173AD">
            <w:pPr>
              <w:spacing w:line="360" w:lineRule="auto"/>
              <w:jc w:val="center"/>
              <w:rPr>
                <w:rFonts w:ascii="仿宋_GB2312" w:hAnsi="仿宋" w:eastAsia="仿宋_GB2312" w:cs="仿宋_GB2312"/>
                <w:sz w:val="24"/>
              </w:rPr>
            </w:pPr>
            <w:r>
              <w:rPr>
                <w:rFonts w:hint="eastAsia" w:ascii="仿宋_GB2312" w:hAnsi="仿宋" w:eastAsia="仿宋_GB2312" w:cs="仿宋_GB2312"/>
                <w:sz w:val="24"/>
              </w:rPr>
              <w:t>序号</w:t>
            </w:r>
          </w:p>
          <w:p w14:paraId="642A657A">
            <w:pPr>
              <w:spacing w:line="360" w:lineRule="auto"/>
              <w:jc w:val="center"/>
              <w:rPr>
                <w:rFonts w:ascii="仿宋_GB2312" w:hAnsi="仿宋"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noWrap/>
            <w:vAlign w:val="center"/>
          </w:tcPr>
          <w:p w14:paraId="092CA271">
            <w:pPr>
              <w:spacing w:line="360" w:lineRule="auto"/>
              <w:jc w:val="center"/>
              <w:rPr>
                <w:rFonts w:ascii="仿宋_GB2312" w:hAnsi="仿宋" w:eastAsia="仿宋_GB2312" w:cs="仿宋_GB2312"/>
                <w:sz w:val="24"/>
              </w:rPr>
            </w:pPr>
            <w:r>
              <w:rPr>
                <w:rFonts w:hint="eastAsia" w:ascii="仿宋_GB2312" w:hAnsi="仿宋"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noWrap/>
            <w:vAlign w:val="center"/>
          </w:tcPr>
          <w:p w14:paraId="773EB3C2">
            <w:pPr>
              <w:spacing w:line="360" w:lineRule="auto"/>
              <w:jc w:val="center"/>
              <w:rPr>
                <w:rFonts w:ascii="仿宋_GB2312" w:hAnsi="仿宋" w:eastAsia="仿宋_GB2312" w:cs="仿宋_GB2312"/>
                <w:sz w:val="24"/>
              </w:rPr>
            </w:pPr>
            <w:r>
              <w:rPr>
                <w:rFonts w:hint="eastAsia" w:ascii="仿宋_GB2312" w:hAnsi="仿宋"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noWrap/>
            <w:vAlign w:val="center"/>
          </w:tcPr>
          <w:p w14:paraId="3732C7AF">
            <w:pPr>
              <w:spacing w:line="360" w:lineRule="auto"/>
              <w:jc w:val="center"/>
              <w:rPr>
                <w:rFonts w:ascii="仿宋_GB2312" w:hAnsi="仿宋" w:eastAsia="仿宋_GB2312" w:cs="仿宋_GB2312"/>
                <w:sz w:val="24"/>
              </w:rPr>
            </w:pPr>
            <w:r>
              <w:rPr>
                <w:rFonts w:hint="eastAsia" w:ascii="仿宋_GB2312" w:hAnsi="仿宋"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noWrap/>
            <w:vAlign w:val="center"/>
          </w:tcPr>
          <w:p w14:paraId="1A110922">
            <w:pPr>
              <w:spacing w:line="360" w:lineRule="auto"/>
              <w:jc w:val="center"/>
              <w:rPr>
                <w:rFonts w:ascii="仿宋_GB2312" w:hAnsi="仿宋" w:eastAsia="仿宋_GB2312" w:cs="仿宋_GB2312"/>
                <w:sz w:val="24"/>
              </w:rPr>
            </w:pPr>
            <w:r>
              <w:rPr>
                <w:rFonts w:hint="eastAsia" w:ascii="仿宋_GB2312" w:hAnsi="仿宋"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noWrap/>
            <w:vAlign w:val="center"/>
          </w:tcPr>
          <w:p w14:paraId="29A1C403">
            <w:pPr>
              <w:spacing w:line="360" w:lineRule="auto"/>
              <w:jc w:val="center"/>
              <w:rPr>
                <w:rFonts w:ascii="仿宋_GB2312" w:hAnsi="仿宋" w:eastAsia="仿宋_GB2312" w:cs="仿宋_GB2312"/>
                <w:sz w:val="24"/>
              </w:rPr>
            </w:pPr>
            <w:r>
              <w:rPr>
                <w:rFonts w:hint="eastAsia" w:ascii="仿宋_GB2312" w:hAnsi="仿宋"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noWrap/>
            <w:vAlign w:val="center"/>
          </w:tcPr>
          <w:p w14:paraId="655A7357">
            <w:pPr>
              <w:spacing w:line="360" w:lineRule="auto"/>
              <w:jc w:val="center"/>
              <w:rPr>
                <w:rFonts w:ascii="仿宋_GB2312" w:hAnsi="仿宋" w:eastAsia="仿宋_GB2312" w:cs="仿宋_GB2312"/>
                <w:sz w:val="24"/>
              </w:rPr>
            </w:pPr>
            <w:r>
              <w:rPr>
                <w:rFonts w:hint="eastAsia" w:ascii="仿宋_GB2312" w:hAnsi="仿宋"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noWrap/>
            <w:vAlign w:val="center"/>
          </w:tcPr>
          <w:p w14:paraId="563AB7C9">
            <w:pPr>
              <w:spacing w:line="360" w:lineRule="auto"/>
              <w:jc w:val="center"/>
              <w:rPr>
                <w:rFonts w:ascii="仿宋_GB2312" w:hAnsi="仿宋" w:eastAsia="仿宋_GB2312" w:cs="仿宋_GB2312"/>
                <w:sz w:val="24"/>
              </w:rPr>
            </w:pPr>
            <w:r>
              <w:rPr>
                <w:rFonts w:hint="eastAsia" w:ascii="仿宋_GB2312" w:hAnsi="仿宋"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noWrap/>
            <w:vAlign w:val="center"/>
          </w:tcPr>
          <w:p w14:paraId="0B4460EB">
            <w:pPr>
              <w:spacing w:line="360" w:lineRule="auto"/>
              <w:jc w:val="center"/>
              <w:rPr>
                <w:rFonts w:ascii="仿宋_GB2312" w:hAnsi="仿宋" w:eastAsia="仿宋_GB2312" w:cs="仿宋_GB2312"/>
                <w:sz w:val="24"/>
              </w:rPr>
            </w:pPr>
            <w:r>
              <w:rPr>
                <w:rFonts w:hint="eastAsia" w:ascii="仿宋_GB2312" w:hAnsi="仿宋"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noWrap/>
            <w:vAlign w:val="center"/>
          </w:tcPr>
          <w:p w14:paraId="519C3465">
            <w:pPr>
              <w:spacing w:line="360" w:lineRule="auto"/>
              <w:jc w:val="center"/>
              <w:rPr>
                <w:rFonts w:ascii="仿宋_GB2312" w:hAnsi="仿宋" w:eastAsia="仿宋_GB2312" w:cs="仿宋_GB2312"/>
                <w:sz w:val="24"/>
              </w:rPr>
            </w:pPr>
            <w:r>
              <w:rPr>
                <w:rFonts w:hint="eastAsia" w:ascii="仿宋_GB2312" w:hAnsi="仿宋" w:eastAsia="仿宋_GB2312" w:cs="仿宋_GB2312"/>
                <w:sz w:val="24"/>
              </w:rPr>
              <w:t>响应时间</w:t>
            </w:r>
          </w:p>
        </w:tc>
        <w:tc>
          <w:tcPr>
            <w:tcW w:w="1111" w:type="dxa"/>
            <w:tcBorders>
              <w:top w:val="single" w:color="auto" w:sz="6" w:space="0"/>
              <w:left w:val="single" w:color="auto" w:sz="6" w:space="0"/>
              <w:bottom w:val="single" w:color="auto" w:sz="6" w:space="0"/>
              <w:right w:val="single" w:color="auto" w:sz="6" w:space="0"/>
            </w:tcBorders>
            <w:noWrap/>
            <w:vAlign w:val="center"/>
          </w:tcPr>
          <w:p w14:paraId="6F3577D9">
            <w:pPr>
              <w:spacing w:line="360" w:lineRule="auto"/>
              <w:jc w:val="center"/>
              <w:rPr>
                <w:rFonts w:ascii="仿宋_GB2312" w:hAnsi="仿宋" w:eastAsia="仿宋_GB2312" w:cs="仿宋_GB2312"/>
                <w:sz w:val="24"/>
              </w:rPr>
            </w:pPr>
            <w:r>
              <w:rPr>
                <w:rFonts w:hint="eastAsia" w:ascii="仿宋_GB2312" w:hAnsi="仿宋" w:eastAsia="仿宋_GB2312" w:cs="仿宋_GB2312"/>
                <w:sz w:val="24"/>
              </w:rPr>
              <w:t>到达现场时间</w:t>
            </w:r>
          </w:p>
        </w:tc>
      </w:tr>
      <w:tr w14:paraId="271560FB">
        <w:tblPrEx>
          <w:tblCellMar>
            <w:top w:w="0" w:type="dxa"/>
            <w:left w:w="108" w:type="dxa"/>
            <w:bottom w:w="0" w:type="dxa"/>
            <w:right w:w="108" w:type="dxa"/>
          </w:tblCellMar>
        </w:tblPrEx>
        <w:trPr>
          <w:trHeight w:val="607" w:hRule="atLeast"/>
          <w:jc w:val="center"/>
        </w:trPr>
        <w:tc>
          <w:tcPr>
            <w:tcW w:w="646" w:type="dxa"/>
            <w:tcBorders>
              <w:top w:val="single" w:color="auto" w:sz="6" w:space="0"/>
              <w:left w:val="single" w:color="auto" w:sz="6" w:space="0"/>
              <w:bottom w:val="single" w:color="auto" w:sz="6" w:space="0"/>
              <w:right w:val="single" w:color="auto" w:sz="4" w:space="0"/>
            </w:tcBorders>
            <w:noWrap/>
          </w:tcPr>
          <w:p w14:paraId="5669C339">
            <w:pPr>
              <w:spacing w:line="360" w:lineRule="auto"/>
              <w:jc w:val="center"/>
              <w:rPr>
                <w:rFonts w:ascii="仿宋_GB2312" w:hAnsi="仿宋"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noWrap/>
          </w:tcPr>
          <w:p w14:paraId="7033B8BC">
            <w:pPr>
              <w:spacing w:line="360" w:lineRule="auto"/>
              <w:jc w:val="center"/>
              <w:rPr>
                <w:rFonts w:ascii="仿宋_GB2312" w:hAnsi="仿宋" w:eastAsia="仿宋_GB2312" w:cs="仿宋_GB2312"/>
                <w:sz w:val="24"/>
              </w:rPr>
            </w:pPr>
            <w:r>
              <w:rPr>
                <w:rFonts w:hint="eastAsia" w:ascii="仿宋_GB2312" w:hAnsi="仿宋"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noWrap/>
          </w:tcPr>
          <w:p w14:paraId="3F679A62">
            <w:pPr>
              <w:spacing w:line="360" w:lineRule="auto"/>
              <w:rPr>
                <w:rFonts w:ascii="仿宋_GB2312" w:hAnsi="仿宋"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noWrap/>
          </w:tcPr>
          <w:p w14:paraId="5BB9CD5F">
            <w:pPr>
              <w:spacing w:line="360" w:lineRule="auto"/>
              <w:rPr>
                <w:rFonts w:ascii="仿宋_GB2312" w:hAnsi="仿宋"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noWrap/>
          </w:tcPr>
          <w:p w14:paraId="6B1E3360">
            <w:pPr>
              <w:spacing w:line="360" w:lineRule="auto"/>
              <w:rPr>
                <w:rFonts w:ascii="仿宋_GB2312" w:hAnsi="仿宋"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tcPr>
          <w:p w14:paraId="53F518EE">
            <w:pPr>
              <w:spacing w:line="360" w:lineRule="auto"/>
              <w:rPr>
                <w:rFonts w:ascii="仿宋_GB2312" w:hAnsi="仿宋"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tcPr>
          <w:p w14:paraId="27D13A25">
            <w:pPr>
              <w:spacing w:line="360" w:lineRule="auto"/>
              <w:rPr>
                <w:rFonts w:ascii="仿宋_GB2312" w:hAnsi="仿宋"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tcPr>
          <w:p w14:paraId="61093386">
            <w:pPr>
              <w:spacing w:line="360" w:lineRule="auto"/>
              <w:rPr>
                <w:rFonts w:ascii="仿宋_GB2312" w:hAnsi="仿宋"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noWrap/>
          </w:tcPr>
          <w:p w14:paraId="10ED3028">
            <w:pPr>
              <w:spacing w:line="360" w:lineRule="auto"/>
              <w:rPr>
                <w:rFonts w:ascii="仿宋_GB2312" w:hAnsi="仿宋"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noWrap/>
          </w:tcPr>
          <w:p w14:paraId="67C1F278">
            <w:pPr>
              <w:spacing w:line="360" w:lineRule="auto"/>
              <w:rPr>
                <w:rFonts w:ascii="仿宋_GB2312" w:hAnsi="仿宋" w:eastAsia="仿宋_GB2312" w:cs="仿宋_GB2312"/>
                <w:sz w:val="24"/>
              </w:rPr>
            </w:pPr>
          </w:p>
        </w:tc>
        <w:tc>
          <w:tcPr>
            <w:tcW w:w="1111" w:type="dxa"/>
            <w:tcBorders>
              <w:top w:val="single" w:color="auto" w:sz="6" w:space="0"/>
              <w:left w:val="single" w:color="auto" w:sz="6" w:space="0"/>
              <w:bottom w:val="single" w:color="auto" w:sz="6" w:space="0"/>
              <w:right w:val="single" w:color="auto" w:sz="6" w:space="0"/>
            </w:tcBorders>
            <w:noWrap/>
          </w:tcPr>
          <w:p w14:paraId="37BDD0D9">
            <w:pPr>
              <w:spacing w:line="360" w:lineRule="auto"/>
              <w:rPr>
                <w:rFonts w:ascii="仿宋_GB2312" w:hAnsi="仿宋" w:eastAsia="仿宋_GB2312" w:cs="仿宋_GB2312"/>
                <w:sz w:val="24"/>
              </w:rPr>
            </w:pPr>
          </w:p>
        </w:tc>
      </w:tr>
      <w:tr w14:paraId="65905CD2">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noWrap/>
          </w:tcPr>
          <w:p w14:paraId="18DDDA52">
            <w:pPr>
              <w:spacing w:line="360" w:lineRule="auto"/>
              <w:jc w:val="center"/>
              <w:rPr>
                <w:rFonts w:ascii="仿宋_GB2312" w:hAnsi="仿宋"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noWrap/>
          </w:tcPr>
          <w:p w14:paraId="688D3BAF">
            <w:pPr>
              <w:spacing w:line="360" w:lineRule="auto"/>
              <w:jc w:val="center"/>
              <w:rPr>
                <w:rFonts w:ascii="仿宋_GB2312" w:hAnsi="仿宋" w:eastAsia="仿宋_GB2312" w:cs="仿宋_GB2312"/>
                <w:sz w:val="24"/>
              </w:rPr>
            </w:pPr>
            <w:r>
              <w:rPr>
                <w:rFonts w:hint="eastAsia" w:ascii="仿宋_GB2312" w:hAnsi="仿宋"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noWrap/>
          </w:tcPr>
          <w:p w14:paraId="0D276FD4">
            <w:pPr>
              <w:spacing w:line="360" w:lineRule="auto"/>
              <w:rPr>
                <w:rFonts w:ascii="仿宋_GB2312" w:hAnsi="仿宋"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noWrap/>
          </w:tcPr>
          <w:p w14:paraId="3F5CE556">
            <w:pPr>
              <w:spacing w:line="360" w:lineRule="auto"/>
              <w:rPr>
                <w:rFonts w:ascii="仿宋_GB2312" w:hAnsi="仿宋"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noWrap/>
          </w:tcPr>
          <w:p w14:paraId="4499D1CD">
            <w:pPr>
              <w:spacing w:line="360" w:lineRule="auto"/>
              <w:rPr>
                <w:rFonts w:ascii="仿宋_GB2312" w:hAnsi="仿宋"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tcPr>
          <w:p w14:paraId="40EDA7A2">
            <w:pPr>
              <w:spacing w:line="360" w:lineRule="auto"/>
              <w:rPr>
                <w:rFonts w:ascii="仿宋_GB2312" w:hAnsi="仿宋"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tcPr>
          <w:p w14:paraId="67F197BA">
            <w:pPr>
              <w:spacing w:line="360" w:lineRule="auto"/>
              <w:rPr>
                <w:rFonts w:ascii="仿宋_GB2312" w:hAnsi="仿宋"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tcPr>
          <w:p w14:paraId="23FC98FC">
            <w:pPr>
              <w:spacing w:line="360" w:lineRule="auto"/>
              <w:rPr>
                <w:rFonts w:ascii="仿宋_GB2312" w:hAnsi="仿宋"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noWrap/>
          </w:tcPr>
          <w:p w14:paraId="65418825">
            <w:pPr>
              <w:spacing w:line="360" w:lineRule="auto"/>
              <w:rPr>
                <w:rFonts w:ascii="仿宋_GB2312" w:hAnsi="仿宋"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noWrap/>
          </w:tcPr>
          <w:p w14:paraId="31E7797B">
            <w:pPr>
              <w:spacing w:line="360" w:lineRule="auto"/>
              <w:rPr>
                <w:rFonts w:ascii="仿宋_GB2312" w:hAnsi="仿宋" w:eastAsia="仿宋_GB2312" w:cs="仿宋_GB2312"/>
                <w:sz w:val="24"/>
              </w:rPr>
            </w:pPr>
          </w:p>
        </w:tc>
        <w:tc>
          <w:tcPr>
            <w:tcW w:w="1111" w:type="dxa"/>
            <w:tcBorders>
              <w:top w:val="single" w:color="auto" w:sz="6" w:space="0"/>
              <w:left w:val="single" w:color="auto" w:sz="6" w:space="0"/>
              <w:bottom w:val="single" w:color="auto" w:sz="6" w:space="0"/>
              <w:right w:val="single" w:color="auto" w:sz="6" w:space="0"/>
            </w:tcBorders>
            <w:noWrap/>
          </w:tcPr>
          <w:p w14:paraId="15B72319">
            <w:pPr>
              <w:spacing w:line="360" w:lineRule="auto"/>
              <w:rPr>
                <w:rFonts w:ascii="仿宋_GB2312" w:hAnsi="仿宋" w:eastAsia="仿宋_GB2312" w:cs="仿宋_GB2312"/>
                <w:sz w:val="24"/>
              </w:rPr>
            </w:pPr>
          </w:p>
        </w:tc>
      </w:tr>
      <w:tr w14:paraId="167869CA">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noWrap/>
          </w:tcPr>
          <w:p w14:paraId="4CA0CEB7">
            <w:pPr>
              <w:spacing w:line="360" w:lineRule="auto"/>
              <w:jc w:val="center"/>
              <w:rPr>
                <w:rFonts w:ascii="仿宋_GB2312" w:hAnsi="仿宋"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noWrap/>
          </w:tcPr>
          <w:p w14:paraId="447EF4BC">
            <w:pPr>
              <w:spacing w:line="360" w:lineRule="auto"/>
              <w:jc w:val="center"/>
              <w:rPr>
                <w:rFonts w:ascii="仿宋_GB2312" w:hAnsi="仿宋"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noWrap/>
          </w:tcPr>
          <w:p w14:paraId="1C24BE66">
            <w:pPr>
              <w:spacing w:line="360" w:lineRule="auto"/>
              <w:rPr>
                <w:rFonts w:ascii="仿宋_GB2312" w:hAnsi="仿宋"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noWrap/>
          </w:tcPr>
          <w:p w14:paraId="0585ED76">
            <w:pPr>
              <w:spacing w:line="360" w:lineRule="auto"/>
              <w:rPr>
                <w:rFonts w:ascii="仿宋_GB2312" w:hAnsi="仿宋"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noWrap/>
          </w:tcPr>
          <w:p w14:paraId="6487A313">
            <w:pPr>
              <w:spacing w:line="360" w:lineRule="auto"/>
              <w:rPr>
                <w:rFonts w:ascii="仿宋_GB2312" w:hAnsi="仿宋"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tcPr>
          <w:p w14:paraId="7E292088">
            <w:pPr>
              <w:spacing w:line="360" w:lineRule="auto"/>
              <w:rPr>
                <w:rFonts w:ascii="仿宋_GB2312" w:hAnsi="仿宋"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tcPr>
          <w:p w14:paraId="6DAFC797">
            <w:pPr>
              <w:spacing w:line="360" w:lineRule="auto"/>
              <w:rPr>
                <w:rFonts w:ascii="仿宋_GB2312" w:hAnsi="仿宋"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tcPr>
          <w:p w14:paraId="4A2EE7FC">
            <w:pPr>
              <w:spacing w:line="360" w:lineRule="auto"/>
              <w:rPr>
                <w:rFonts w:ascii="仿宋_GB2312" w:hAnsi="仿宋"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noWrap/>
          </w:tcPr>
          <w:p w14:paraId="1EC20961">
            <w:pPr>
              <w:spacing w:line="360" w:lineRule="auto"/>
              <w:rPr>
                <w:rFonts w:ascii="仿宋_GB2312" w:hAnsi="仿宋"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noWrap/>
          </w:tcPr>
          <w:p w14:paraId="0E658B5A">
            <w:pPr>
              <w:spacing w:line="360" w:lineRule="auto"/>
              <w:rPr>
                <w:rFonts w:ascii="仿宋_GB2312" w:hAnsi="仿宋" w:eastAsia="仿宋_GB2312" w:cs="仿宋_GB2312"/>
                <w:sz w:val="24"/>
              </w:rPr>
            </w:pPr>
          </w:p>
        </w:tc>
        <w:tc>
          <w:tcPr>
            <w:tcW w:w="1111" w:type="dxa"/>
            <w:tcBorders>
              <w:top w:val="single" w:color="auto" w:sz="6" w:space="0"/>
              <w:left w:val="single" w:color="auto" w:sz="6" w:space="0"/>
              <w:bottom w:val="single" w:color="auto" w:sz="6" w:space="0"/>
              <w:right w:val="single" w:color="auto" w:sz="6" w:space="0"/>
            </w:tcBorders>
            <w:noWrap/>
          </w:tcPr>
          <w:p w14:paraId="465A4259">
            <w:pPr>
              <w:spacing w:line="360" w:lineRule="auto"/>
              <w:rPr>
                <w:rFonts w:ascii="仿宋_GB2312" w:hAnsi="仿宋" w:eastAsia="仿宋_GB2312" w:cs="仿宋_GB2312"/>
                <w:sz w:val="24"/>
              </w:rPr>
            </w:pPr>
          </w:p>
        </w:tc>
      </w:tr>
      <w:tr w14:paraId="2CCDE9B8">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noWrap/>
          </w:tcPr>
          <w:p w14:paraId="1433B91D">
            <w:pPr>
              <w:spacing w:line="360" w:lineRule="auto"/>
              <w:jc w:val="center"/>
              <w:rPr>
                <w:rFonts w:ascii="仿宋_GB2312" w:hAnsi="仿宋"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noWrap/>
          </w:tcPr>
          <w:p w14:paraId="1D826D7E">
            <w:pPr>
              <w:spacing w:line="360" w:lineRule="auto"/>
              <w:jc w:val="center"/>
              <w:rPr>
                <w:rFonts w:ascii="仿宋_GB2312" w:hAnsi="仿宋"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noWrap/>
          </w:tcPr>
          <w:p w14:paraId="3C3089DC">
            <w:pPr>
              <w:spacing w:line="360" w:lineRule="auto"/>
              <w:rPr>
                <w:rFonts w:ascii="仿宋_GB2312" w:hAnsi="仿宋"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noWrap/>
          </w:tcPr>
          <w:p w14:paraId="18221058">
            <w:pPr>
              <w:spacing w:line="360" w:lineRule="auto"/>
              <w:rPr>
                <w:rFonts w:ascii="仿宋_GB2312" w:hAnsi="仿宋"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noWrap/>
          </w:tcPr>
          <w:p w14:paraId="4C64034F">
            <w:pPr>
              <w:spacing w:line="360" w:lineRule="auto"/>
              <w:rPr>
                <w:rFonts w:ascii="仿宋_GB2312" w:hAnsi="仿宋"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tcPr>
          <w:p w14:paraId="622CB355">
            <w:pPr>
              <w:spacing w:line="360" w:lineRule="auto"/>
              <w:rPr>
                <w:rFonts w:ascii="仿宋_GB2312" w:hAnsi="仿宋"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tcPr>
          <w:p w14:paraId="11572697">
            <w:pPr>
              <w:spacing w:line="360" w:lineRule="auto"/>
              <w:rPr>
                <w:rFonts w:ascii="仿宋_GB2312" w:hAnsi="仿宋"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tcPr>
          <w:p w14:paraId="502D68C3">
            <w:pPr>
              <w:spacing w:line="360" w:lineRule="auto"/>
              <w:rPr>
                <w:rFonts w:ascii="仿宋_GB2312" w:hAnsi="仿宋"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noWrap/>
          </w:tcPr>
          <w:p w14:paraId="4B0CD446">
            <w:pPr>
              <w:spacing w:line="360" w:lineRule="auto"/>
              <w:rPr>
                <w:rFonts w:ascii="仿宋_GB2312" w:hAnsi="仿宋"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noWrap/>
          </w:tcPr>
          <w:p w14:paraId="24F6CD7B">
            <w:pPr>
              <w:spacing w:line="360" w:lineRule="auto"/>
              <w:rPr>
                <w:rFonts w:ascii="仿宋_GB2312" w:hAnsi="仿宋" w:eastAsia="仿宋_GB2312" w:cs="仿宋_GB2312"/>
                <w:sz w:val="24"/>
              </w:rPr>
            </w:pPr>
          </w:p>
        </w:tc>
        <w:tc>
          <w:tcPr>
            <w:tcW w:w="1111" w:type="dxa"/>
            <w:tcBorders>
              <w:top w:val="single" w:color="auto" w:sz="6" w:space="0"/>
              <w:left w:val="single" w:color="auto" w:sz="6" w:space="0"/>
              <w:bottom w:val="single" w:color="auto" w:sz="6" w:space="0"/>
              <w:right w:val="single" w:color="auto" w:sz="6" w:space="0"/>
            </w:tcBorders>
            <w:noWrap/>
          </w:tcPr>
          <w:p w14:paraId="63D97F42">
            <w:pPr>
              <w:spacing w:line="360" w:lineRule="auto"/>
              <w:rPr>
                <w:rFonts w:ascii="仿宋_GB2312" w:hAnsi="仿宋" w:eastAsia="仿宋_GB2312" w:cs="仿宋_GB2312"/>
                <w:sz w:val="24"/>
              </w:rPr>
            </w:pPr>
          </w:p>
        </w:tc>
      </w:tr>
    </w:tbl>
    <w:p w14:paraId="7D498303">
      <w:pPr>
        <w:spacing w:line="440" w:lineRule="exact"/>
        <w:ind w:firstLine="396"/>
        <w:rPr>
          <w:rFonts w:ascii="宋体" w:hAnsi="宋体"/>
          <w:sz w:val="20"/>
          <w:szCs w:val="21"/>
        </w:rPr>
      </w:pPr>
    </w:p>
    <w:p w14:paraId="3D98EAB6">
      <w:pPr>
        <w:spacing w:line="500" w:lineRule="exact"/>
        <w:rPr>
          <w:rFonts w:ascii="仿宋_GB2312" w:hAnsi="仿宋_GB2312" w:eastAsia="仿宋_GB2312" w:cs="仿宋_GB2312"/>
          <w:sz w:val="32"/>
          <w:szCs w:val="32"/>
        </w:rPr>
      </w:pPr>
    </w:p>
    <w:p w14:paraId="1D799DDD">
      <w:pPr>
        <w:spacing w:line="360" w:lineRule="auto"/>
        <w:ind w:left="4335" w:hanging="240"/>
        <w:rPr>
          <w:rFonts w:ascii="仿宋_GB2312" w:hAnsi="仿宋" w:eastAsia="仿宋_GB2312" w:cs="仿宋_GB2312"/>
          <w:sz w:val="24"/>
        </w:rPr>
      </w:pPr>
      <w:r>
        <w:rPr>
          <w:rFonts w:hint="eastAsia" w:ascii="仿宋_GB2312" w:hAnsi="仿宋" w:eastAsia="仿宋_GB2312" w:cs="仿宋_GB2312"/>
          <w:sz w:val="24"/>
        </w:rPr>
        <w:t>供应商名称（电子签章）：</w:t>
      </w:r>
    </w:p>
    <w:p w14:paraId="253EC49C">
      <w:pPr>
        <w:spacing w:line="360" w:lineRule="auto"/>
        <w:ind w:firstLine="6480"/>
        <w:rPr>
          <w:rFonts w:ascii="仿宋_GB2312" w:hAnsi="仿宋" w:eastAsia="仿宋_GB2312" w:cs="仿宋_GB2312"/>
          <w:sz w:val="24"/>
          <w:lang w:val="zh-CN"/>
        </w:rPr>
      </w:pPr>
      <w:r>
        <w:rPr>
          <w:rFonts w:hint="eastAsia" w:ascii="仿宋_GB2312" w:hAnsi="仿宋" w:eastAsia="仿宋_GB2312" w:cs="仿宋_GB2312"/>
          <w:sz w:val="24"/>
          <w:lang w:val="zh-CN"/>
        </w:rPr>
        <w:t>日期：年月日</w:t>
      </w:r>
    </w:p>
    <w:p w14:paraId="6CDBAD4F">
      <w:pPr>
        <w:spacing w:line="360" w:lineRule="auto"/>
        <w:ind w:firstLine="602"/>
        <w:rPr>
          <w:rFonts w:ascii="仿宋" w:hAnsi="仿宋" w:eastAsia="仿宋" w:cs="仿宋_GB2312"/>
          <w:b/>
          <w:sz w:val="30"/>
          <w:szCs w:val="30"/>
        </w:rPr>
      </w:pPr>
    </w:p>
    <w:p w14:paraId="62C75D0F">
      <w:pPr>
        <w:spacing w:line="360" w:lineRule="auto"/>
        <w:ind w:firstLine="602"/>
        <w:rPr>
          <w:rFonts w:ascii="仿宋" w:hAnsi="仿宋" w:eastAsia="仿宋" w:cs="仿宋_GB2312"/>
          <w:b/>
          <w:sz w:val="30"/>
          <w:szCs w:val="30"/>
        </w:rPr>
      </w:pPr>
    </w:p>
    <w:p w14:paraId="59D0236C">
      <w:pPr>
        <w:spacing w:line="360" w:lineRule="auto"/>
        <w:ind w:firstLine="602"/>
        <w:rPr>
          <w:rFonts w:ascii="仿宋" w:hAnsi="仿宋" w:eastAsia="仿宋" w:cs="仿宋_GB2312"/>
          <w:b/>
          <w:sz w:val="30"/>
          <w:szCs w:val="30"/>
        </w:rPr>
      </w:pPr>
      <w:r>
        <w:rPr>
          <w:rFonts w:hint="eastAsia" w:ascii="仿宋" w:hAnsi="仿宋" w:eastAsia="仿宋" w:cs="仿宋_GB2312"/>
          <w:b/>
          <w:sz w:val="30"/>
          <w:szCs w:val="30"/>
        </w:rPr>
        <w:t>十、项目实施人员一览表（如有要求）</w:t>
      </w:r>
    </w:p>
    <w:p w14:paraId="12CF4482">
      <w:pPr>
        <w:spacing w:line="360" w:lineRule="auto"/>
        <w:jc w:val="center"/>
        <w:rPr>
          <w:rFonts w:ascii="仿宋_GB2312" w:hAnsi="仿宋" w:eastAsia="仿宋_GB2312" w:cs="仿宋_GB2312"/>
          <w:b/>
          <w:bCs/>
          <w:sz w:val="24"/>
        </w:rPr>
      </w:pPr>
      <w:r>
        <w:rPr>
          <w:rFonts w:hint="eastAsia" w:ascii="仿宋_GB2312" w:hAnsi="仿宋" w:eastAsia="仿宋_GB2312" w:cs="仿宋_GB2312"/>
          <w:sz w:val="24"/>
        </w:rPr>
        <w:t>（以下格式仅供参考，供应商可根据采购需求及采购文件要求自行编制）</w:t>
      </w:r>
    </w:p>
    <w:p w14:paraId="5135452C">
      <w:pPr>
        <w:ind w:firstLine="480"/>
        <w:rPr>
          <w:rFonts w:ascii="宋体" w:hAnsi="Courier New"/>
          <w:sz w:val="24"/>
        </w:rPr>
      </w:pPr>
      <w:r>
        <w:rPr>
          <w:rFonts w:hint="eastAsia" w:ascii="宋体" w:hAnsi="Courier New"/>
          <w:sz w:val="24"/>
        </w:rPr>
        <w:t>响应分标：无。</w:t>
      </w:r>
    </w:p>
    <w:p w14:paraId="0EBD7C5E">
      <w:pPr>
        <w:keepNext/>
        <w:spacing w:line="360" w:lineRule="auto"/>
        <w:ind w:firstLine="477"/>
        <w:rPr>
          <w:rFonts w:ascii="仿宋_GB2312" w:hAnsi="仿宋" w:eastAsia="仿宋_GB2312" w:cs="仿宋_GB2312"/>
          <w:b/>
          <w:sz w:val="24"/>
        </w:rPr>
      </w:pPr>
      <w:r>
        <w:rPr>
          <w:rFonts w:hint="eastAsia" w:ascii="仿宋_GB2312" w:hAnsi="仿宋" w:eastAsia="仿宋_GB2312" w:cs="仿宋_GB2312"/>
          <w:b/>
          <w:sz w:val="24"/>
        </w:rPr>
        <w:t>附表A:本项目的项目经理情况表</w:t>
      </w:r>
    </w:p>
    <w:tbl>
      <w:tblPr>
        <w:tblStyle w:val="32"/>
        <w:tblW w:w="0" w:type="auto"/>
        <w:tblInd w:w="8" w:type="dxa"/>
        <w:tblLayout w:type="fixed"/>
        <w:tblCellMar>
          <w:top w:w="0" w:type="dxa"/>
          <w:left w:w="108" w:type="dxa"/>
          <w:bottom w:w="0" w:type="dxa"/>
          <w:right w:w="108" w:type="dxa"/>
        </w:tblCellMar>
      </w:tblPr>
      <w:tblGrid>
        <w:gridCol w:w="2061"/>
        <w:gridCol w:w="1287"/>
        <w:gridCol w:w="1260"/>
        <w:gridCol w:w="4147"/>
      </w:tblGrid>
      <w:tr w14:paraId="23BFB7BB">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noWrap/>
            <w:vAlign w:val="center"/>
          </w:tcPr>
          <w:p w14:paraId="27E92C70">
            <w:pPr>
              <w:spacing w:line="360" w:lineRule="auto"/>
              <w:jc w:val="center"/>
              <w:rPr>
                <w:rFonts w:ascii="仿宋_GB2312" w:hAnsi="仿宋" w:eastAsia="仿宋_GB2312" w:cs="仿宋_GB2312"/>
                <w:sz w:val="24"/>
              </w:rPr>
            </w:pPr>
            <w:r>
              <w:rPr>
                <w:rFonts w:hint="eastAsia" w:ascii="仿宋_GB2312" w:hAnsi="仿宋"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noWrap/>
            <w:vAlign w:val="center"/>
          </w:tcPr>
          <w:p w14:paraId="2C611AED">
            <w:pPr>
              <w:spacing w:line="360" w:lineRule="auto"/>
              <w:jc w:val="center"/>
              <w:rPr>
                <w:rFonts w:ascii="仿宋_GB2312" w:hAnsi="仿宋"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noWrap/>
            <w:vAlign w:val="center"/>
          </w:tcPr>
          <w:p w14:paraId="420081BE">
            <w:pPr>
              <w:spacing w:line="360" w:lineRule="auto"/>
              <w:jc w:val="center"/>
              <w:rPr>
                <w:rFonts w:ascii="仿宋_GB2312" w:hAnsi="仿宋" w:eastAsia="仿宋_GB2312" w:cs="仿宋_GB2312"/>
                <w:sz w:val="24"/>
              </w:rPr>
            </w:pPr>
            <w:r>
              <w:rPr>
                <w:rFonts w:hint="eastAsia" w:ascii="仿宋_GB2312" w:hAnsi="仿宋"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noWrap/>
            <w:vAlign w:val="center"/>
          </w:tcPr>
          <w:p w14:paraId="02601763">
            <w:pPr>
              <w:spacing w:line="360" w:lineRule="auto"/>
              <w:rPr>
                <w:rFonts w:ascii="仿宋_GB2312" w:hAnsi="仿宋" w:eastAsia="仿宋_GB2312" w:cs="仿宋_GB2312"/>
                <w:sz w:val="24"/>
              </w:rPr>
            </w:pPr>
            <w:r>
              <w:rPr>
                <w:rFonts w:hint="eastAsia" w:ascii="仿宋_GB2312" w:hAnsi="仿宋" w:eastAsia="仿宋_GB2312" w:cs="仿宋_GB2312"/>
                <w:sz w:val="24"/>
              </w:rPr>
              <w:t>响应截止时间前三年业绩及承担的主要工作情况，曾担任项目经理的项目应列明细</w:t>
            </w:r>
          </w:p>
        </w:tc>
      </w:tr>
      <w:tr w14:paraId="013E273B">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ign w:val="center"/>
          </w:tcPr>
          <w:p w14:paraId="4239B588">
            <w:pPr>
              <w:spacing w:line="360" w:lineRule="auto"/>
              <w:jc w:val="center"/>
              <w:rPr>
                <w:rFonts w:ascii="仿宋_GB2312" w:hAnsi="仿宋" w:eastAsia="仿宋_GB2312" w:cs="仿宋_GB2312"/>
                <w:sz w:val="24"/>
              </w:rPr>
            </w:pPr>
            <w:r>
              <w:rPr>
                <w:rFonts w:hint="eastAsia" w:ascii="仿宋_GB2312" w:hAnsi="仿宋"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noWrap/>
            <w:vAlign w:val="center"/>
          </w:tcPr>
          <w:p w14:paraId="69794F70">
            <w:pPr>
              <w:spacing w:line="360" w:lineRule="auto"/>
              <w:jc w:val="center"/>
              <w:rPr>
                <w:rFonts w:ascii="仿宋_GB2312" w:hAnsi="仿宋"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ign w:val="center"/>
          </w:tcPr>
          <w:p w14:paraId="62EA709A">
            <w:pPr>
              <w:spacing w:line="360" w:lineRule="auto"/>
              <w:jc w:val="center"/>
              <w:rPr>
                <w:rFonts w:ascii="仿宋_GB2312" w:hAnsi="仿宋"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noWrap/>
            <w:vAlign w:val="center"/>
          </w:tcPr>
          <w:p w14:paraId="38D1DEFF">
            <w:pPr>
              <w:spacing w:line="360" w:lineRule="auto"/>
              <w:jc w:val="center"/>
              <w:rPr>
                <w:rFonts w:ascii="仿宋_GB2312" w:hAnsi="仿宋" w:eastAsia="仿宋_GB2312" w:cs="仿宋_GB2312"/>
                <w:sz w:val="24"/>
              </w:rPr>
            </w:pPr>
          </w:p>
        </w:tc>
      </w:tr>
      <w:tr w14:paraId="537027E3">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noWrap/>
            <w:vAlign w:val="center"/>
          </w:tcPr>
          <w:p w14:paraId="1412C5CA">
            <w:pPr>
              <w:spacing w:line="360" w:lineRule="auto"/>
              <w:jc w:val="center"/>
              <w:rPr>
                <w:rFonts w:ascii="仿宋_GB2312" w:hAnsi="仿宋" w:eastAsia="仿宋_GB2312" w:cs="仿宋_GB2312"/>
                <w:sz w:val="24"/>
              </w:rPr>
            </w:pPr>
            <w:r>
              <w:rPr>
                <w:rFonts w:hint="eastAsia" w:ascii="仿宋_GB2312" w:hAnsi="仿宋"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noWrap/>
            <w:vAlign w:val="center"/>
          </w:tcPr>
          <w:p w14:paraId="74831A67">
            <w:pPr>
              <w:spacing w:line="360" w:lineRule="auto"/>
              <w:jc w:val="center"/>
              <w:rPr>
                <w:rFonts w:ascii="仿宋_GB2312" w:hAnsi="仿宋"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ign w:val="center"/>
          </w:tcPr>
          <w:p w14:paraId="495B47FE">
            <w:pPr>
              <w:spacing w:line="360" w:lineRule="auto"/>
              <w:jc w:val="center"/>
              <w:rPr>
                <w:rFonts w:ascii="仿宋_GB2312" w:hAnsi="仿宋"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71F8E84">
            <w:pPr>
              <w:widowControl/>
              <w:jc w:val="left"/>
              <w:rPr>
                <w:rFonts w:ascii="仿宋_GB2312" w:hAnsi="仿宋" w:eastAsia="仿宋_GB2312" w:cs="仿宋_GB2312"/>
                <w:sz w:val="24"/>
              </w:rPr>
            </w:pPr>
          </w:p>
        </w:tc>
      </w:tr>
      <w:tr w14:paraId="535C3176">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ign w:val="center"/>
          </w:tcPr>
          <w:p w14:paraId="1EE04AD2">
            <w:pPr>
              <w:spacing w:line="360" w:lineRule="auto"/>
              <w:jc w:val="center"/>
              <w:rPr>
                <w:rFonts w:ascii="仿宋_GB2312" w:hAnsi="仿宋" w:eastAsia="仿宋_GB2312" w:cs="仿宋_GB2312"/>
                <w:sz w:val="24"/>
              </w:rPr>
            </w:pPr>
            <w:r>
              <w:rPr>
                <w:rFonts w:hint="eastAsia" w:ascii="仿宋_GB2312" w:hAnsi="仿宋"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noWrap/>
            <w:vAlign w:val="center"/>
          </w:tcPr>
          <w:p w14:paraId="7F440B19">
            <w:pPr>
              <w:spacing w:line="360" w:lineRule="auto"/>
              <w:jc w:val="center"/>
              <w:rPr>
                <w:rFonts w:ascii="仿宋_GB2312" w:hAnsi="仿宋"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noWrap/>
            <w:vAlign w:val="center"/>
          </w:tcPr>
          <w:p w14:paraId="36C674F0">
            <w:pPr>
              <w:spacing w:line="360" w:lineRule="auto"/>
              <w:jc w:val="center"/>
              <w:rPr>
                <w:rFonts w:ascii="仿宋_GB2312" w:hAnsi="仿宋"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6511FE5">
            <w:pPr>
              <w:widowControl/>
              <w:jc w:val="left"/>
              <w:rPr>
                <w:rFonts w:ascii="仿宋_GB2312" w:hAnsi="仿宋" w:eastAsia="仿宋_GB2312" w:cs="仿宋_GB2312"/>
                <w:sz w:val="24"/>
              </w:rPr>
            </w:pPr>
          </w:p>
        </w:tc>
      </w:tr>
      <w:tr w14:paraId="27CF8777">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ign w:val="center"/>
          </w:tcPr>
          <w:p w14:paraId="1004F9DC">
            <w:pPr>
              <w:spacing w:line="360" w:lineRule="auto"/>
              <w:jc w:val="center"/>
              <w:rPr>
                <w:rFonts w:ascii="仿宋_GB2312" w:hAnsi="仿宋" w:eastAsia="仿宋_GB2312" w:cs="仿宋_GB2312"/>
                <w:sz w:val="24"/>
              </w:rPr>
            </w:pPr>
            <w:r>
              <w:rPr>
                <w:rFonts w:hint="eastAsia" w:ascii="仿宋_GB2312" w:hAnsi="仿宋"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noWrap/>
            <w:vAlign w:val="center"/>
          </w:tcPr>
          <w:p w14:paraId="3023EF53">
            <w:pPr>
              <w:spacing w:line="360" w:lineRule="auto"/>
              <w:jc w:val="center"/>
              <w:rPr>
                <w:rFonts w:ascii="仿宋_GB2312" w:hAnsi="仿宋"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noWrap/>
            <w:vAlign w:val="center"/>
          </w:tcPr>
          <w:p w14:paraId="4A15A54E">
            <w:pPr>
              <w:spacing w:line="360" w:lineRule="auto"/>
              <w:jc w:val="center"/>
              <w:rPr>
                <w:rFonts w:ascii="仿宋_GB2312" w:hAnsi="仿宋"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AF11C62">
            <w:pPr>
              <w:widowControl/>
              <w:jc w:val="left"/>
              <w:rPr>
                <w:rFonts w:ascii="仿宋_GB2312" w:hAnsi="仿宋" w:eastAsia="仿宋_GB2312" w:cs="仿宋_GB2312"/>
                <w:sz w:val="24"/>
              </w:rPr>
            </w:pPr>
          </w:p>
        </w:tc>
      </w:tr>
      <w:tr w14:paraId="2247CC03">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noWrap/>
            <w:vAlign w:val="center"/>
          </w:tcPr>
          <w:p w14:paraId="0695C1EA">
            <w:pPr>
              <w:spacing w:line="360" w:lineRule="auto"/>
              <w:jc w:val="center"/>
              <w:rPr>
                <w:rFonts w:ascii="仿宋_GB2312" w:hAnsi="仿宋" w:eastAsia="仿宋_GB2312" w:cs="仿宋_GB2312"/>
                <w:sz w:val="24"/>
              </w:rPr>
            </w:pPr>
            <w:r>
              <w:rPr>
                <w:rFonts w:hint="eastAsia" w:ascii="仿宋_GB2312" w:hAnsi="仿宋"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noWrap/>
            <w:vAlign w:val="center"/>
          </w:tcPr>
          <w:p w14:paraId="75A2016A">
            <w:pPr>
              <w:spacing w:line="360" w:lineRule="auto"/>
              <w:jc w:val="center"/>
              <w:rPr>
                <w:rFonts w:ascii="仿宋_GB2312" w:hAnsi="仿宋"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noWrap/>
            <w:vAlign w:val="center"/>
          </w:tcPr>
          <w:p w14:paraId="70301856">
            <w:pPr>
              <w:spacing w:line="360" w:lineRule="auto"/>
              <w:jc w:val="center"/>
              <w:rPr>
                <w:rFonts w:ascii="仿宋_GB2312" w:hAnsi="仿宋"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1EA31B6">
            <w:pPr>
              <w:widowControl/>
              <w:jc w:val="left"/>
              <w:rPr>
                <w:rFonts w:ascii="仿宋_GB2312" w:hAnsi="仿宋" w:eastAsia="仿宋_GB2312" w:cs="仿宋_GB2312"/>
                <w:sz w:val="24"/>
              </w:rPr>
            </w:pPr>
          </w:p>
        </w:tc>
      </w:tr>
      <w:tr w14:paraId="54FDEAE0">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noWrap/>
            <w:vAlign w:val="center"/>
          </w:tcPr>
          <w:p w14:paraId="79643719">
            <w:pPr>
              <w:spacing w:line="360" w:lineRule="auto"/>
              <w:jc w:val="center"/>
              <w:rPr>
                <w:rFonts w:ascii="仿宋_GB2312" w:hAnsi="仿宋" w:eastAsia="仿宋_GB2312" w:cs="仿宋_GB2312"/>
                <w:sz w:val="24"/>
              </w:rPr>
            </w:pPr>
            <w:r>
              <w:rPr>
                <w:rFonts w:hint="eastAsia" w:ascii="仿宋_GB2312" w:hAnsi="仿宋"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noWrap/>
            <w:vAlign w:val="center"/>
          </w:tcPr>
          <w:p w14:paraId="3EDF37AB">
            <w:pPr>
              <w:spacing w:line="360" w:lineRule="auto"/>
              <w:jc w:val="center"/>
              <w:rPr>
                <w:rFonts w:ascii="仿宋_GB2312" w:hAnsi="仿宋"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noWrap/>
            <w:vAlign w:val="center"/>
          </w:tcPr>
          <w:p w14:paraId="63FD8C28">
            <w:pPr>
              <w:spacing w:line="360" w:lineRule="auto"/>
              <w:jc w:val="center"/>
              <w:rPr>
                <w:rFonts w:ascii="仿宋_GB2312" w:hAnsi="仿宋"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6864B9E">
            <w:pPr>
              <w:widowControl/>
              <w:jc w:val="left"/>
              <w:rPr>
                <w:rFonts w:ascii="仿宋_GB2312" w:hAnsi="仿宋" w:eastAsia="仿宋_GB2312" w:cs="仿宋_GB2312"/>
                <w:sz w:val="24"/>
              </w:rPr>
            </w:pPr>
          </w:p>
        </w:tc>
      </w:tr>
      <w:tr w14:paraId="141E8589">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noWrap/>
            <w:vAlign w:val="center"/>
          </w:tcPr>
          <w:p w14:paraId="3DB3851E">
            <w:pPr>
              <w:spacing w:line="360" w:lineRule="auto"/>
              <w:jc w:val="center"/>
              <w:rPr>
                <w:rFonts w:ascii="仿宋_GB2312" w:hAnsi="仿宋" w:eastAsia="仿宋_GB2312" w:cs="仿宋_GB2312"/>
                <w:sz w:val="24"/>
              </w:rPr>
            </w:pPr>
            <w:r>
              <w:rPr>
                <w:rFonts w:hint="eastAsia" w:ascii="仿宋_GB2312" w:hAnsi="仿宋"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noWrap/>
            <w:vAlign w:val="center"/>
          </w:tcPr>
          <w:p w14:paraId="7884BE55">
            <w:pPr>
              <w:spacing w:line="360" w:lineRule="auto"/>
              <w:jc w:val="center"/>
              <w:rPr>
                <w:rFonts w:ascii="仿宋_GB2312" w:hAnsi="仿宋"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noWrap/>
            <w:vAlign w:val="center"/>
          </w:tcPr>
          <w:p w14:paraId="19EFAD39">
            <w:pPr>
              <w:spacing w:line="360" w:lineRule="auto"/>
              <w:jc w:val="center"/>
              <w:rPr>
                <w:rFonts w:ascii="仿宋_GB2312" w:hAnsi="仿宋"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CCF6137">
            <w:pPr>
              <w:widowControl/>
              <w:jc w:val="left"/>
              <w:rPr>
                <w:rFonts w:ascii="仿宋_GB2312" w:hAnsi="仿宋" w:eastAsia="仿宋_GB2312" w:cs="仿宋_GB2312"/>
                <w:sz w:val="24"/>
              </w:rPr>
            </w:pPr>
          </w:p>
        </w:tc>
      </w:tr>
      <w:tr w14:paraId="564246B3">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noWrap/>
            <w:vAlign w:val="center"/>
          </w:tcPr>
          <w:p w14:paraId="5FBD1131">
            <w:pPr>
              <w:spacing w:line="360" w:lineRule="auto"/>
              <w:jc w:val="center"/>
              <w:rPr>
                <w:rFonts w:ascii="仿宋_GB2312" w:hAnsi="仿宋" w:eastAsia="仿宋_GB2312" w:cs="仿宋_GB2312"/>
                <w:sz w:val="24"/>
              </w:rPr>
            </w:pPr>
            <w:r>
              <w:rPr>
                <w:rFonts w:hint="eastAsia" w:ascii="仿宋_GB2312" w:hAnsi="仿宋"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noWrap/>
            <w:vAlign w:val="center"/>
          </w:tcPr>
          <w:p w14:paraId="2B23C78D">
            <w:pPr>
              <w:spacing w:line="360" w:lineRule="auto"/>
              <w:jc w:val="center"/>
              <w:rPr>
                <w:rFonts w:ascii="仿宋_GB2312" w:hAnsi="仿宋"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noWrap/>
            <w:vAlign w:val="center"/>
          </w:tcPr>
          <w:p w14:paraId="381D1C56">
            <w:pPr>
              <w:spacing w:line="360" w:lineRule="auto"/>
              <w:jc w:val="center"/>
              <w:rPr>
                <w:rFonts w:ascii="仿宋_GB2312" w:hAnsi="仿宋"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4D69FE4">
            <w:pPr>
              <w:widowControl/>
              <w:jc w:val="left"/>
              <w:rPr>
                <w:rFonts w:ascii="仿宋_GB2312" w:hAnsi="仿宋" w:eastAsia="仿宋_GB2312" w:cs="仿宋_GB2312"/>
                <w:sz w:val="24"/>
              </w:rPr>
            </w:pPr>
          </w:p>
        </w:tc>
      </w:tr>
      <w:tr w14:paraId="7E6ADDB6">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noWrap/>
            <w:vAlign w:val="center"/>
          </w:tcPr>
          <w:p w14:paraId="41A6AB5E">
            <w:pPr>
              <w:spacing w:line="360" w:lineRule="auto"/>
              <w:jc w:val="center"/>
              <w:rPr>
                <w:rFonts w:ascii="仿宋_GB2312" w:hAnsi="仿宋" w:eastAsia="仿宋_GB2312" w:cs="仿宋_GB2312"/>
                <w:sz w:val="24"/>
              </w:rPr>
            </w:pPr>
            <w:r>
              <w:rPr>
                <w:rFonts w:hint="eastAsia" w:ascii="仿宋_GB2312" w:hAnsi="仿宋"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noWrap/>
            <w:vAlign w:val="center"/>
          </w:tcPr>
          <w:p w14:paraId="61042EDD">
            <w:pPr>
              <w:spacing w:line="360" w:lineRule="auto"/>
              <w:jc w:val="center"/>
              <w:rPr>
                <w:rFonts w:ascii="仿宋_GB2312" w:hAnsi="仿宋"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ign w:val="center"/>
          </w:tcPr>
          <w:p w14:paraId="3E77571D">
            <w:pPr>
              <w:spacing w:line="360" w:lineRule="auto"/>
              <w:jc w:val="center"/>
              <w:rPr>
                <w:rFonts w:ascii="仿宋_GB2312" w:hAnsi="仿宋"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73F0A11">
            <w:pPr>
              <w:widowControl/>
              <w:jc w:val="left"/>
              <w:rPr>
                <w:rFonts w:ascii="仿宋_GB2312" w:hAnsi="仿宋" w:eastAsia="仿宋_GB2312" w:cs="仿宋_GB2312"/>
                <w:sz w:val="24"/>
              </w:rPr>
            </w:pPr>
          </w:p>
        </w:tc>
      </w:tr>
    </w:tbl>
    <w:p w14:paraId="76C6ED12">
      <w:pPr>
        <w:spacing w:line="360" w:lineRule="auto"/>
        <w:rPr>
          <w:rFonts w:ascii="仿宋_GB2312" w:hAnsi="仿宋" w:eastAsia="仿宋_GB2312" w:cs="仿宋_GB2312"/>
          <w:b/>
          <w:sz w:val="24"/>
        </w:rPr>
      </w:pPr>
      <w:r>
        <w:rPr>
          <w:rFonts w:hint="eastAsia" w:ascii="仿宋_GB2312" w:hAnsi="仿宋" w:eastAsia="仿宋_GB2312" w:cs="仿宋_GB2312"/>
          <w:b/>
          <w:sz w:val="24"/>
        </w:rPr>
        <w:t>注：随表提交相应的证书复印件并注明所在响应技术文件页码。</w:t>
      </w:r>
    </w:p>
    <w:p w14:paraId="5E3698EA">
      <w:pPr>
        <w:spacing w:line="360" w:lineRule="auto"/>
        <w:rPr>
          <w:rFonts w:ascii="仿宋_GB2312" w:hAnsi="仿宋" w:eastAsia="仿宋_GB2312" w:cs="仿宋_GB2312"/>
          <w:b/>
          <w:sz w:val="24"/>
        </w:rPr>
      </w:pPr>
      <w:r>
        <w:rPr>
          <w:rFonts w:hint="eastAsia" w:ascii="仿宋_GB2312" w:hAnsi="仿宋" w:eastAsia="仿宋_GB2312" w:cs="仿宋_GB2312"/>
          <w:b/>
          <w:sz w:val="24"/>
        </w:rPr>
        <w:t>附表B:本项目的项目小组人员情况表</w:t>
      </w:r>
      <w:r>
        <w:rPr>
          <w:rFonts w:hint="eastAsia" w:ascii="仿宋_GB2312" w:hAnsi="仿宋" w:eastAsia="仿宋_GB2312" w:cs="仿宋_GB2312"/>
          <w:sz w:val="24"/>
        </w:rPr>
        <w:t>（按此格式自制）</w:t>
      </w:r>
    </w:p>
    <w:tbl>
      <w:tblPr>
        <w:tblStyle w:val="32"/>
        <w:tblW w:w="0" w:type="auto"/>
        <w:tblInd w:w="0"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34A82959">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noWrap/>
            <w:vAlign w:val="center"/>
          </w:tcPr>
          <w:p w14:paraId="77E8CD29">
            <w:pPr>
              <w:spacing w:line="360" w:lineRule="auto"/>
              <w:jc w:val="center"/>
              <w:rPr>
                <w:rFonts w:ascii="仿宋_GB2312" w:hAnsi="仿宋" w:eastAsia="仿宋_GB2312" w:cs="仿宋_GB2312"/>
                <w:sz w:val="24"/>
              </w:rPr>
            </w:pPr>
            <w:r>
              <w:rPr>
                <w:rFonts w:hint="eastAsia" w:ascii="仿宋_GB2312" w:hAnsi="仿宋"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noWrap/>
            <w:vAlign w:val="center"/>
          </w:tcPr>
          <w:p w14:paraId="17B403FA">
            <w:pPr>
              <w:spacing w:line="360" w:lineRule="auto"/>
              <w:jc w:val="center"/>
              <w:rPr>
                <w:rFonts w:ascii="仿宋_GB2312" w:hAnsi="仿宋" w:eastAsia="仿宋_GB2312" w:cs="仿宋_GB2312"/>
                <w:sz w:val="24"/>
              </w:rPr>
            </w:pPr>
            <w:r>
              <w:rPr>
                <w:rFonts w:hint="eastAsia" w:ascii="仿宋_GB2312" w:hAnsi="仿宋"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noWrap/>
            <w:vAlign w:val="center"/>
          </w:tcPr>
          <w:p w14:paraId="4D610BD4">
            <w:pPr>
              <w:spacing w:line="360" w:lineRule="auto"/>
              <w:jc w:val="center"/>
              <w:rPr>
                <w:rFonts w:ascii="仿宋_GB2312" w:hAnsi="仿宋" w:eastAsia="仿宋_GB2312" w:cs="仿宋_GB2312"/>
                <w:sz w:val="24"/>
              </w:rPr>
            </w:pPr>
            <w:r>
              <w:rPr>
                <w:rFonts w:hint="eastAsia" w:ascii="仿宋_GB2312" w:hAnsi="仿宋"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noWrap/>
            <w:vAlign w:val="center"/>
          </w:tcPr>
          <w:p w14:paraId="5D82D4A4">
            <w:pPr>
              <w:spacing w:line="360" w:lineRule="auto"/>
              <w:jc w:val="center"/>
              <w:rPr>
                <w:rFonts w:ascii="仿宋_GB2312" w:hAnsi="仿宋" w:eastAsia="仿宋_GB2312" w:cs="仿宋_GB2312"/>
                <w:sz w:val="24"/>
              </w:rPr>
            </w:pPr>
            <w:r>
              <w:rPr>
                <w:rFonts w:hint="eastAsia" w:ascii="仿宋_GB2312" w:hAnsi="仿宋"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noWrap/>
            <w:vAlign w:val="center"/>
          </w:tcPr>
          <w:p w14:paraId="256DCC2F">
            <w:pPr>
              <w:spacing w:line="360" w:lineRule="auto"/>
              <w:jc w:val="center"/>
              <w:rPr>
                <w:rFonts w:ascii="仿宋_GB2312" w:hAnsi="仿宋" w:eastAsia="仿宋_GB2312" w:cs="仿宋_GB2312"/>
                <w:sz w:val="24"/>
              </w:rPr>
            </w:pPr>
            <w:r>
              <w:rPr>
                <w:rFonts w:hint="eastAsia" w:ascii="仿宋_GB2312" w:hAnsi="仿宋" w:eastAsia="仿宋_GB2312" w:cs="仿宋_GB2312"/>
                <w:sz w:val="24"/>
              </w:rPr>
              <w:t>学历</w:t>
            </w:r>
          </w:p>
          <w:p w14:paraId="42FE3CE7">
            <w:pPr>
              <w:spacing w:line="360" w:lineRule="auto"/>
              <w:jc w:val="center"/>
              <w:rPr>
                <w:rFonts w:ascii="仿宋_GB2312" w:hAnsi="仿宋" w:eastAsia="仿宋_GB2312" w:cs="仿宋_GB2312"/>
                <w:sz w:val="24"/>
              </w:rPr>
            </w:pPr>
            <w:r>
              <w:rPr>
                <w:rFonts w:hint="eastAsia" w:ascii="仿宋_GB2312" w:hAnsi="仿宋"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noWrap/>
            <w:vAlign w:val="center"/>
          </w:tcPr>
          <w:p w14:paraId="3C76F8D6">
            <w:pPr>
              <w:spacing w:line="360" w:lineRule="auto"/>
              <w:jc w:val="center"/>
              <w:rPr>
                <w:rFonts w:ascii="仿宋_GB2312" w:hAnsi="仿宋" w:eastAsia="仿宋_GB2312" w:cs="仿宋_GB2312"/>
                <w:sz w:val="24"/>
              </w:rPr>
            </w:pPr>
            <w:r>
              <w:rPr>
                <w:rFonts w:hint="eastAsia" w:ascii="仿宋_GB2312" w:hAnsi="仿宋" w:eastAsia="仿宋_GB2312" w:cs="仿宋_GB2312"/>
                <w:sz w:val="24"/>
              </w:rPr>
              <w:t>专业</w:t>
            </w:r>
          </w:p>
          <w:p w14:paraId="7F2416A4">
            <w:pPr>
              <w:spacing w:line="360" w:lineRule="auto"/>
              <w:jc w:val="center"/>
              <w:rPr>
                <w:rFonts w:ascii="仿宋_GB2312" w:hAnsi="仿宋" w:eastAsia="仿宋_GB2312" w:cs="仿宋_GB2312"/>
                <w:sz w:val="24"/>
              </w:rPr>
            </w:pPr>
            <w:r>
              <w:rPr>
                <w:rFonts w:hint="eastAsia" w:ascii="仿宋_GB2312" w:hAnsi="仿宋"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noWrap/>
            <w:vAlign w:val="center"/>
          </w:tcPr>
          <w:p w14:paraId="3A4B105E">
            <w:pPr>
              <w:spacing w:line="360" w:lineRule="auto"/>
              <w:jc w:val="center"/>
              <w:rPr>
                <w:rFonts w:ascii="仿宋_GB2312" w:hAnsi="仿宋" w:eastAsia="仿宋_GB2312" w:cs="仿宋_GB2312"/>
                <w:sz w:val="24"/>
              </w:rPr>
            </w:pPr>
            <w:r>
              <w:rPr>
                <w:rFonts w:hint="eastAsia" w:ascii="仿宋_GB2312" w:hAnsi="仿宋" w:eastAsia="仿宋_GB2312" w:cs="仿宋_GB2312"/>
                <w:sz w:val="24"/>
              </w:rPr>
              <w:t>职称</w:t>
            </w:r>
          </w:p>
          <w:p w14:paraId="384A052D">
            <w:pPr>
              <w:spacing w:line="360" w:lineRule="auto"/>
              <w:jc w:val="center"/>
              <w:rPr>
                <w:rFonts w:ascii="仿宋_GB2312" w:hAnsi="仿宋" w:eastAsia="仿宋_GB2312" w:cs="仿宋_GB2312"/>
                <w:sz w:val="24"/>
              </w:rPr>
            </w:pPr>
            <w:r>
              <w:rPr>
                <w:rFonts w:hint="eastAsia" w:ascii="仿宋_GB2312" w:hAnsi="仿宋"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noWrap/>
            <w:vAlign w:val="center"/>
          </w:tcPr>
          <w:p w14:paraId="19E64FFB">
            <w:pPr>
              <w:spacing w:line="360" w:lineRule="auto"/>
              <w:jc w:val="center"/>
              <w:rPr>
                <w:rFonts w:ascii="仿宋_GB2312" w:hAnsi="仿宋" w:eastAsia="仿宋_GB2312" w:cs="仿宋_GB2312"/>
                <w:sz w:val="24"/>
              </w:rPr>
            </w:pPr>
            <w:r>
              <w:rPr>
                <w:rFonts w:hint="eastAsia" w:ascii="仿宋_GB2312" w:hAnsi="仿宋"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noWrap/>
            <w:vAlign w:val="center"/>
          </w:tcPr>
          <w:p w14:paraId="69D56575">
            <w:pPr>
              <w:spacing w:line="360" w:lineRule="auto"/>
              <w:jc w:val="center"/>
              <w:rPr>
                <w:rFonts w:ascii="仿宋_GB2312" w:hAnsi="仿宋" w:eastAsia="仿宋_GB2312" w:cs="仿宋_GB2312"/>
                <w:sz w:val="24"/>
              </w:rPr>
            </w:pPr>
            <w:r>
              <w:rPr>
                <w:rFonts w:hint="eastAsia" w:ascii="仿宋_GB2312" w:hAnsi="仿宋"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noWrap/>
            <w:vAlign w:val="center"/>
          </w:tcPr>
          <w:p w14:paraId="0DCE763C">
            <w:pPr>
              <w:spacing w:line="360" w:lineRule="auto"/>
              <w:jc w:val="center"/>
              <w:rPr>
                <w:rFonts w:ascii="仿宋_GB2312" w:hAnsi="仿宋" w:eastAsia="仿宋_GB2312" w:cs="仿宋_GB2312"/>
                <w:sz w:val="24"/>
              </w:rPr>
            </w:pPr>
            <w:r>
              <w:rPr>
                <w:rFonts w:hint="eastAsia" w:ascii="仿宋_GB2312" w:hAnsi="仿宋" w:eastAsia="仿宋_GB2312" w:cs="仿宋_GB2312"/>
                <w:sz w:val="24"/>
              </w:rPr>
              <w:t>参与本项目的到位情况</w:t>
            </w:r>
          </w:p>
        </w:tc>
      </w:tr>
      <w:tr w14:paraId="7F885ACC">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noWrap/>
          </w:tcPr>
          <w:p w14:paraId="47753628">
            <w:pPr>
              <w:spacing w:line="360" w:lineRule="auto"/>
              <w:jc w:val="center"/>
              <w:rPr>
                <w:rFonts w:ascii="仿宋_GB2312" w:hAnsi="仿宋"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noWrap/>
          </w:tcPr>
          <w:p w14:paraId="6F427200">
            <w:pPr>
              <w:spacing w:line="360" w:lineRule="auto"/>
              <w:rPr>
                <w:rFonts w:ascii="仿宋_GB2312" w:hAnsi="仿宋"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noWrap/>
          </w:tcPr>
          <w:p w14:paraId="74FE898A">
            <w:pPr>
              <w:spacing w:line="360" w:lineRule="auto"/>
              <w:rPr>
                <w:rFonts w:ascii="仿宋_GB2312" w:hAnsi="仿宋"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noWrap/>
          </w:tcPr>
          <w:p w14:paraId="7E4DE641">
            <w:pPr>
              <w:spacing w:line="360" w:lineRule="auto"/>
              <w:rPr>
                <w:rFonts w:ascii="仿宋_GB2312" w:hAnsi="仿宋"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noWrap/>
          </w:tcPr>
          <w:p w14:paraId="11F28E0C">
            <w:pPr>
              <w:spacing w:line="360" w:lineRule="auto"/>
              <w:rPr>
                <w:rFonts w:ascii="仿宋_GB2312" w:hAnsi="仿宋"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tcPr>
          <w:p w14:paraId="6BE1B66F">
            <w:pPr>
              <w:spacing w:line="360" w:lineRule="auto"/>
              <w:rPr>
                <w:rFonts w:ascii="仿宋_GB2312" w:hAnsi="仿宋"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tcPr>
          <w:p w14:paraId="20C5F81B">
            <w:pPr>
              <w:spacing w:line="360" w:lineRule="auto"/>
              <w:rPr>
                <w:rFonts w:ascii="仿宋_GB2312" w:hAnsi="仿宋"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noWrap/>
          </w:tcPr>
          <w:p w14:paraId="408A0356">
            <w:pPr>
              <w:spacing w:line="360" w:lineRule="auto"/>
              <w:rPr>
                <w:rFonts w:ascii="仿宋_GB2312" w:hAnsi="仿宋"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noWrap/>
          </w:tcPr>
          <w:p w14:paraId="25ACE4D0">
            <w:pPr>
              <w:spacing w:line="360" w:lineRule="auto"/>
              <w:rPr>
                <w:rFonts w:ascii="仿宋_GB2312" w:hAnsi="仿宋"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noWrap/>
          </w:tcPr>
          <w:p w14:paraId="3C0EC355">
            <w:pPr>
              <w:spacing w:line="360" w:lineRule="auto"/>
              <w:rPr>
                <w:rFonts w:ascii="仿宋_GB2312" w:hAnsi="仿宋" w:eastAsia="仿宋_GB2312" w:cs="仿宋_GB2312"/>
                <w:sz w:val="24"/>
              </w:rPr>
            </w:pPr>
          </w:p>
        </w:tc>
      </w:tr>
      <w:tr w14:paraId="323DDED8">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noWrap/>
          </w:tcPr>
          <w:p w14:paraId="174CB269">
            <w:pPr>
              <w:spacing w:line="360" w:lineRule="auto"/>
              <w:jc w:val="center"/>
              <w:rPr>
                <w:rFonts w:ascii="仿宋_GB2312" w:hAnsi="仿宋"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noWrap/>
          </w:tcPr>
          <w:p w14:paraId="3B7EE172">
            <w:pPr>
              <w:spacing w:line="360" w:lineRule="auto"/>
              <w:rPr>
                <w:rFonts w:ascii="仿宋_GB2312" w:hAnsi="仿宋"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noWrap/>
          </w:tcPr>
          <w:p w14:paraId="65C9B21C">
            <w:pPr>
              <w:spacing w:line="360" w:lineRule="auto"/>
              <w:rPr>
                <w:rFonts w:ascii="仿宋_GB2312" w:hAnsi="仿宋"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noWrap/>
          </w:tcPr>
          <w:p w14:paraId="7623518A">
            <w:pPr>
              <w:spacing w:line="360" w:lineRule="auto"/>
              <w:rPr>
                <w:rFonts w:ascii="仿宋_GB2312" w:hAnsi="仿宋"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noWrap/>
          </w:tcPr>
          <w:p w14:paraId="6530AECD">
            <w:pPr>
              <w:spacing w:line="360" w:lineRule="auto"/>
              <w:rPr>
                <w:rFonts w:ascii="仿宋_GB2312" w:hAnsi="仿宋"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tcPr>
          <w:p w14:paraId="6C8BC063">
            <w:pPr>
              <w:spacing w:line="360" w:lineRule="auto"/>
              <w:rPr>
                <w:rFonts w:ascii="仿宋_GB2312" w:hAnsi="仿宋"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tcPr>
          <w:p w14:paraId="269D58BC">
            <w:pPr>
              <w:spacing w:line="360" w:lineRule="auto"/>
              <w:rPr>
                <w:rFonts w:ascii="仿宋_GB2312" w:hAnsi="仿宋"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noWrap/>
          </w:tcPr>
          <w:p w14:paraId="23B56142">
            <w:pPr>
              <w:spacing w:line="360" w:lineRule="auto"/>
              <w:rPr>
                <w:rFonts w:ascii="仿宋_GB2312" w:hAnsi="仿宋"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noWrap/>
          </w:tcPr>
          <w:p w14:paraId="0D4C9C6F">
            <w:pPr>
              <w:spacing w:line="360" w:lineRule="auto"/>
              <w:rPr>
                <w:rFonts w:ascii="仿宋_GB2312" w:hAnsi="仿宋"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noWrap/>
          </w:tcPr>
          <w:p w14:paraId="4DD54FC0">
            <w:pPr>
              <w:spacing w:line="360" w:lineRule="auto"/>
              <w:rPr>
                <w:rFonts w:ascii="仿宋_GB2312" w:hAnsi="仿宋" w:eastAsia="仿宋_GB2312" w:cs="仿宋_GB2312"/>
                <w:sz w:val="24"/>
              </w:rPr>
            </w:pPr>
          </w:p>
        </w:tc>
      </w:tr>
    </w:tbl>
    <w:p w14:paraId="029E524E">
      <w:pPr>
        <w:spacing w:line="360" w:lineRule="auto"/>
        <w:rPr>
          <w:rFonts w:ascii="仿宋_GB2312" w:hAnsi="仿宋" w:eastAsia="仿宋_GB2312" w:cs="仿宋_GB2312"/>
          <w:b/>
          <w:bCs/>
          <w:sz w:val="24"/>
        </w:rPr>
      </w:pPr>
      <w:r>
        <w:rPr>
          <w:rFonts w:hint="eastAsia" w:ascii="仿宋_GB2312" w:hAnsi="仿宋" w:eastAsia="仿宋_GB2312" w:cs="仿宋_GB2312"/>
          <w:b/>
          <w:sz w:val="24"/>
        </w:rPr>
        <w:t>注：供应商可按上述的格式自行编制，须随表提交相应的证书复印件并注明所在响应技术文件页码（如有）。</w:t>
      </w:r>
    </w:p>
    <w:p w14:paraId="61AB8525">
      <w:pPr>
        <w:spacing w:line="360" w:lineRule="auto"/>
        <w:rPr>
          <w:rFonts w:ascii="仿宋_GB2312" w:hAnsi="仿宋" w:eastAsia="仿宋_GB2312" w:cs="仿宋_GB2312"/>
          <w:b/>
          <w:bCs/>
          <w:sz w:val="24"/>
        </w:rPr>
      </w:pPr>
      <w:r>
        <w:rPr>
          <w:rFonts w:hint="eastAsia" w:ascii="仿宋_GB2312" w:hAnsi="仿宋" w:eastAsia="仿宋_GB2312" w:cs="仿宋_GB2312"/>
          <w:b/>
          <w:sz w:val="24"/>
        </w:rPr>
        <w:t>附表C:本项目的项目经理和小组人员。</w:t>
      </w:r>
    </w:p>
    <w:p w14:paraId="3A28132D">
      <w:pPr>
        <w:spacing w:line="360" w:lineRule="auto"/>
        <w:ind w:firstLine="602"/>
        <w:rPr>
          <w:rFonts w:ascii="仿宋" w:hAnsi="仿宋" w:eastAsia="仿宋" w:cs="仿宋_GB2312"/>
          <w:b/>
          <w:sz w:val="30"/>
          <w:szCs w:val="30"/>
        </w:rPr>
      </w:pPr>
    </w:p>
    <w:p w14:paraId="7E72A9BB">
      <w:pPr>
        <w:spacing w:line="360" w:lineRule="auto"/>
        <w:ind w:firstLine="6505"/>
        <w:rPr>
          <w:rFonts w:ascii="仿宋_GB2312" w:hAnsi="仿宋" w:eastAsia="仿宋_GB2312" w:cs="仿宋_GB2312"/>
          <w:b/>
          <w:bCs/>
          <w:sz w:val="24"/>
        </w:rPr>
      </w:pPr>
    </w:p>
    <w:p w14:paraId="4A10F016">
      <w:pPr>
        <w:spacing w:line="360" w:lineRule="auto"/>
        <w:ind w:left="4335" w:hanging="240"/>
        <w:rPr>
          <w:rFonts w:ascii="仿宋_GB2312" w:hAnsi="仿宋" w:eastAsia="仿宋_GB2312" w:cs="仿宋_GB2312"/>
          <w:sz w:val="24"/>
        </w:rPr>
      </w:pPr>
      <w:r>
        <w:rPr>
          <w:rFonts w:hint="eastAsia" w:ascii="仿宋_GB2312" w:hAnsi="仿宋" w:eastAsia="仿宋_GB2312" w:cs="仿宋_GB2312"/>
          <w:sz w:val="24"/>
        </w:rPr>
        <w:t>供应商名称（电子签章）：</w:t>
      </w:r>
    </w:p>
    <w:p w14:paraId="750C7979">
      <w:pPr>
        <w:spacing w:line="360" w:lineRule="auto"/>
        <w:ind w:firstLine="6480"/>
        <w:rPr>
          <w:rFonts w:ascii="仿宋_GB2312" w:hAnsi="仿宋" w:eastAsia="仿宋_GB2312" w:cs="仿宋_GB2312"/>
          <w:sz w:val="24"/>
          <w:lang w:val="zh-CN"/>
        </w:rPr>
      </w:pPr>
      <w:r>
        <w:rPr>
          <w:rFonts w:hint="eastAsia" w:ascii="仿宋_GB2312" w:hAnsi="仿宋" w:eastAsia="仿宋_GB2312" w:cs="仿宋_GB2312"/>
          <w:sz w:val="24"/>
          <w:lang w:val="zh-CN"/>
        </w:rPr>
        <w:t>日期：年月日</w:t>
      </w:r>
    </w:p>
    <w:p w14:paraId="22A02726">
      <w:pPr>
        <w:spacing w:line="500" w:lineRule="exact"/>
        <w:rPr>
          <w:rFonts w:ascii="仿宋_GB2312" w:hAnsi="仿宋_GB2312" w:eastAsia="仿宋_GB2312" w:cs="仿宋_GB2312"/>
          <w:sz w:val="32"/>
          <w:szCs w:val="32"/>
        </w:rPr>
      </w:pPr>
    </w:p>
    <w:p w14:paraId="2B4DCD51">
      <w:pPr>
        <w:spacing w:line="360" w:lineRule="auto"/>
        <w:ind w:firstLine="602"/>
        <w:rPr>
          <w:rFonts w:ascii="仿宋" w:hAnsi="仿宋" w:eastAsia="仿宋" w:cs="仿宋_GB2312"/>
          <w:b/>
          <w:sz w:val="30"/>
          <w:szCs w:val="30"/>
        </w:rPr>
      </w:pPr>
      <w:r>
        <w:rPr>
          <w:rFonts w:hint="eastAsia" w:ascii="仿宋" w:hAnsi="仿宋" w:eastAsia="仿宋" w:cs="仿宋_GB2312"/>
          <w:b/>
          <w:sz w:val="30"/>
          <w:szCs w:val="30"/>
        </w:rPr>
        <w:t>十一、货物需求、商务条款要求提供的其他材料</w:t>
      </w:r>
    </w:p>
    <w:p w14:paraId="44B6A01D">
      <w:pPr>
        <w:spacing w:line="360" w:lineRule="auto"/>
        <w:ind w:left="4335" w:hanging="240"/>
        <w:rPr>
          <w:rFonts w:ascii="仿宋_GB2312" w:hAnsi="仿宋" w:eastAsia="仿宋_GB2312" w:cs="仿宋_GB2312"/>
          <w:sz w:val="24"/>
        </w:rPr>
      </w:pPr>
    </w:p>
    <w:p w14:paraId="0889C90F">
      <w:pPr>
        <w:spacing w:line="360" w:lineRule="auto"/>
        <w:ind w:left="4335" w:hanging="240"/>
        <w:rPr>
          <w:rFonts w:ascii="仿宋_GB2312" w:hAnsi="仿宋" w:eastAsia="仿宋_GB2312" w:cs="仿宋_GB2312"/>
          <w:sz w:val="24"/>
        </w:rPr>
      </w:pPr>
    </w:p>
    <w:p w14:paraId="68DE69D9">
      <w:pPr>
        <w:spacing w:line="360" w:lineRule="auto"/>
        <w:ind w:left="4335" w:hanging="240"/>
        <w:rPr>
          <w:rFonts w:ascii="仿宋_GB2312" w:hAnsi="仿宋" w:eastAsia="仿宋_GB2312" w:cs="仿宋_GB2312"/>
          <w:sz w:val="24"/>
        </w:rPr>
      </w:pPr>
    </w:p>
    <w:p w14:paraId="33C2512F">
      <w:pPr>
        <w:spacing w:line="360" w:lineRule="auto"/>
        <w:ind w:left="4335" w:hanging="240"/>
        <w:rPr>
          <w:rFonts w:ascii="仿宋_GB2312" w:hAnsi="仿宋" w:eastAsia="仿宋_GB2312" w:cs="仿宋_GB2312"/>
          <w:sz w:val="24"/>
        </w:rPr>
      </w:pPr>
    </w:p>
    <w:p w14:paraId="0C2AB35C">
      <w:pPr>
        <w:spacing w:line="360" w:lineRule="auto"/>
        <w:ind w:left="4335" w:hanging="240"/>
        <w:rPr>
          <w:rFonts w:ascii="仿宋_GB2312" w:hAnsi="仿宋" w:eastAsia="仿宋_GB2312" w:cs="仿宋_GB2312"/>
          <w:sz w:val="24"/>
        </w:rPr>
      </w:pPr>
    </w:p>
    <w:p w14:paraId="2399F41E">
      <w:pPr>
        <w:spacing w:line="360" w:lineRule="auto"/>
        <w:ind w:left="4335" w:hanging="240"/>
        <w:rPr>
          <w:rFonts w:ascii="仿宋_GB2312" w:hAnsi="仿宋" w:eastAsia="仿宋_GB2312" w:cs="仿宋_GB2312"/>
          <w:sz w:val="24"/>
        </w:rPr>
      </w:pPr>
    </w:p>
    <w:p w14:paraId="30EAC668">
      <w:pPr>
        <w:spacing w:line="360" w:lineRule="auto"/>
        <w:ind w:left="4335" w:hanging="240"/>
        <w:rPr>
          <w:rFonts w:ascii="仿宋_GB2312" w:hAnsi="仿宋" w:eastAsia="仿宋_GB2312" w:cs="仿宋_GB2312"/>
          <w:sz w:val="24"/>
        </w:rPr>
      </w:pPr>
    </w:p>
    <w:p w14:paraId="62EFB1CC">
      <w:pPr>
        <w:spacing w:line="360" w:lineRule="auto"/>
        <w:ind w:left="4335" w:hanging="240"/>
        <w:rPr>
          <w:rFonts w:ascii="仿宋_GB2312" w:hAnsi="仿宋" w:eastAsia="仿宋_GB2312" w:cs="仿宋_GB2312"/>
          <w:sz w:val="24"/>
        </w:rPr>
      </w:pPr>
    </w:p>
    <w:p w14:paraId="56F1A920">
      <w:pPr>
        <w:spacing w:line="360" w:lineRule="auto"/>
        <w:ind w:left="4335" w:hanging="240"/>
        <w:rPr>
          <w:rFonts w:ascii="仿宋_GB2312" w:hAnsi="仿宋" w:eastAsia="仿宋_GB2312" w:cs="仿宋_GB2312"/>
          <w:sz w:val="24"/>
        </w:rPr>
      </w:pPr>
    </w:p>
    <w:p w14:paraId="5A688E32">
      <w:pPr>
        <w:spacing w:line="360" w:lineRule="auto"/>
        <w:ind w:left="4335" w:hanging="240"/>
        <w:rPr>
          <w:rFonts w:ascii="仿宋_GB2312" w:hAnsi="仿宋" w:eastAsia="仿宋_GB2312" w:cs="仿宋_GB2312"/>
          <w:sz w:val="24"/>
        </w:rPr>
      </w:pPr>
      <w:r>
        <w:rPr>
          <w:rFonts w:hint="eastAsia" w:ascii="仿宋_GB2312" w:hAnsi="仿宋" w:eastAsia="仿宋_GB2312" w:cs="仿宋_GB2312"/>
          <w:sz w:val="24"/>
        </w:rPr>
        <w:t>供应商名称（电子签章）：</w:t>
      </w:r>
    </w:p>
    <w:p w14:paraId="499C62F0">
      <w:pPr>
        <w:spacing w:line="360" w:lineRule="auto"/>
        <w:ind w:firstLine="6480"/>
        <w:rPr>
          <w:rFonts w:ascii="仿宋_GB2312" w:hAnsi="仿宋" w:eastAsia="仿宋_GB2312" w:cs="仿宋_GB2312"/>
          <w:sz w:val="24"/>
          <w:lang w:val="zh-CN"/>
        </w:rPr>
      </w:pPr>
      <w:r>
        <w:rPr>
          <w:rFonts w:hint="eastAsia" w:ascii="仿宋_GB2312" w:hAnsi="仿宋" w:eastAsia="仿宋_GB2312" w:cs="仿宋_GB2312"/>
          <w:sz w:val="24"/>
          <w:lang w:val="zh-CN"/>
        </w:rPr>
        <w:t>日期：年月日</w:t>
      </w:r>
    </w:p>
    <w:p w14:paraId="4EB0B811">
      <w:pPr>
        <w:spacing w:line="360" w:lineRule="auto"/>
        <w:ind w:firstLine="602"/>
        <w:rPr>
          <w:rFonts w:ascii="仿宋" w:hAnsi="仿宋" w:eastAsia="仿宋" w:cs="仿宋_GB2312"/>
          <w:b/>
          <w:sz w:val="30"/>
          <w:szCs w:val="30"/>
        </w:rPr>
      </w:pPr>
    </w:p>
    <w:p w14:paraId="7236BDC5">
      <w:pPr>
        <w:widowControl/>
        <w:jc w:val="left"/>
        <w:rPr>
          <w:rFonts w:ascii="仿宋_GB2312" w:hAnsi="仿宋_GB2312" w:eastAsia="仿宋_GB2312" w:cs="仿宋_GB2312"/>
          <w:sz w:val="32"/>
          <w:szCs w:val="32"/>
        </w:rPr>
        <w:sectPr>
          <w:pgSz w:w="11910" w:h="16840"/>
          <w:pgMar w:top="1340" w:right="1500" w:bottom="280" w:left="1680" w:header="720" w:footer="720" w:gutter="0"/>
          <w:cols w:space="1701" w:num="1"/>
        </w:sectPr>
      </w:pPr>
    </w:p>
    <w:p w14:paraId="3E210EDD">
      <w:pPr>
        <w:spacing w:line="300" w:lineRule="auto"/>
        <w:rPr>
          <w:rFonts w:ascii="宋体" w:hAnsi="宋体"/>
          <w:szCs w:val="21"/>
          <w:u w:val="single"/>
        </w:rPr>
      </w:pPr>
    </w:p>
    <w:p w14:paraId="72DE7D78">
      <w:pPr>
        <w:keepNext/>
        <w:keepLines/>
        <w:spacing w:before="260" w:after="260" w:line="415" w:lineRule="auto"/>
        <w:jc w:val="center"/>
        <w:outlineLvl w:val="1"/>
        <w:rPr>
          <w:rFonts w:ascii="宋体" w:hAnsi="宋体" w:cs="宋体"/>
          <w:b/>
          <w:bCs/>
          <w:sz w:val="32"/>
          <w:szCs w:val="32"/>
        </w:rPr>
      </w:pPr>
      <w:bookmarkStart w:id="86" w:name="_Toc173510408"/>
      <w:r>
        <w:rPr>
          <w:rFonts w:hint="eastAsia" w:ascii="宋体" w:hAnsi="宋体" w:cs="宋体"/>
          <w:b/>
          <w:bCs/>
          <w:sz w:val="32"/>
          <w:szCs w:val="32"/>
        </w:rPr>
        <w:t>第四节报价文件格式</w:t>
      </w:r>
      <w:bookmarkEnd w:id="86"/>
    </w:p>
    <w:p w14:paraId="7F866D26">
      <w:pPr>
        <w:spacing w:before="165" w:after="50"/>
        <w:rPr>
          <w:rFonts w:ascii="宋体" w:hAnsi="宋体"/>
          <w:bCs/>
          <w:sz w:val="32"/>
          <w:szCs w:val="20"/>
        </w:rPr>
      </w:pPr>
      <w:r>
        <w:rPr>
          <w:rFonts w:hint="eastAsia" w:ascii="宋体" w:hAnsi="宋体"/>
          <w:bCs/>
        </w:rPr>
        <w:t>全流程电子文件</w:t>
      </w:r>
    </w:p>
    <w:p w14:paraId="69C4DFB5">
      <w:pPr>
        <w:spacing w:before="165" w:after="50"/>
        <w:rPr>
          <w:rFonts w:ascii="宋体" w:hAnsi="宋体"/>
          <w:sz w:val="24"/>
          <w:szCs w:val="20"/>
        </w:rPr>
      </w:pPr>
    </w:p>
    <w:p w14:paraId="3B95CB38">
      <w:pPr>
        <w:spacing w:before="165" w:after="50"/>
        <w:rPr>
          <w:rFonts w:ascii="宋体" w:hAnsi="宋体"/>
          <w:sz w:val="24"/>
          <w:szCs w:val="20"/>
        </w:rPr>
      </w:pPr>
    </w:p>
    <w:p w14:paraId="63C195EE">
      <w:pPr>
        <w:spacing w:before="165" w:after="50"/>
        <w:rPr>
          <w:rFonts w:ascii="宋体" w:hAnsi="宋体"/>
          <w:sz w:val="24"/>
          <w:szCs w:val="20"/>
        </w:rPr>
      </w:pPr>
    </w:p>
    <w:p w14:paraId="03253C64">
      <w:pPr>
        <w:spacing w:before="165" w:after="50"/>
        <w:jc w:val="center"/>
        <w:rPr>
          <w:rFonts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报价文件（封面）</w:t>
      </w:r>
    </w:p>
    <w:p w14:paraId="21282FF6">
      <w:pPr>
        <w:spacing w:before="165" w:after="50"/>
        <w:rPr>
          <w:rFonts w:ascii="宋体" w:hAnsi="宋体"/>
          <w:bCs/>
          <w:sz w:val="24"/>
          <w:szCs w:val="20"/>
        </w:rPr>
      </w:pPr>
    </w:p>
    <w:p w14:paraId="382B23F2">
      <w:pPr>
        <w:spacing w:before="165" w:after="50"/>
        <w:rPr>
          <w:rFonts w:ascii="宋体" w:hAnsi="宋体"/>
          <w:bCs/>
          <w:sz w:val="24"/>
          <w:szCs w:val="20"/>
        </w:rPr>
      </w:pPr>
    </w:p>
    <w:p w14:paraId="07E51C73">
      <w:pPr>
        <w:spacing w:before="165" w:after="50"/>
        <w:rPr>
          <w:rFonts w:ascii="宋体" w:hAnsi="宋体"/>
          <w:bCs/>
          <w:sz w:val="24"/>
          <w:szCs w:val="20"/>
        </w:rPr>
      </w:pPr>
    </w:p>
    <w:p w14:paraId="1DC288DA">
      <w:pPr>
        <w:spacing w:before="165" w:after="50"/>
        <w:rPr>
          <w:rFonts w:ascii="宋体" w:hAnsi="宋体"/>
          <w:bCs/>
          <w:sz w:val="24"/>
          <w:szCs w:val="20"/>
        </w:rPr>
      </w:pPr>
    </w:p>
    <w:p w14:paraId="34BBDAFB">
      <w:pPr>
        <w:spacing w:before="165" w:after="50"/>
        <w:rPr>
          <w:rFonts w:ascii="宋体" w:hAnsi="宋体"/>
          <w:bCs/>
          <w:sz w:val="24"/>
          <w:szCs w:val="20"/>
        </w:rPr>
      </w:pPr>
    </w:p>
    <w:p w14:paraId="2F838E68">
      <w:pPr>
        <w:spacing w:before="165" w:after="50"/>
        <w:ind w:firstLine="640"/>
        <w:rPr>
          <w:rFonts w:ascii="宋体" w:hAnsi="宋体" w:cs="仿宋_GB2312"/>
          <w:bCs/>
          <w:sz w:val="32"/>
          <w:szCs w:val="32"/>
        </w:rPr>
      </w:pPr>
      <w:r>
        <w:rPr>
          <w:rFonts w:hint="eastAsia" w:ascii="宋体" w:hAnsi="宋体" w:cs="仿宋_GB2312"/>
          <w:bCs/>
          <w:sz w:val="32"/>
          <w:szCs w:val="32"/>
        </w:rPr>
        <w:t>项目名称：</w:t>
      </w:r>
      <w:bookmarkStart w:id="87" w:name="PO_3000001871_PM002_8"/>
      <w:r>
        <w:rPr>
          <w:rFonts w:hint="eastAsia" w:ascii="宋体" w:hAnsi="宋体" w:cs="仿宋_GB2312"/>
          <w:bCs/>
          <w:sz w:val="32"/>
          <w:szCs w:val="32"/>
        </w:rPr>
        <w:t>[项目采购-项目名称_]</w:t>
      </w:r>
      <w:bookmarkEnd w:id="87"/>
    </w:p>
    <w:p w14:paraId="79ED9F93">
      <w:pPr>
        <w:spacing w:before="165" w:after="50"/>
        <w:ind w:firstLine="720"/>
        <w:rPr>
          <w:rFonts w:ascii="宋体" w:hAnsi="宋体" w:cs="仿宋_GB2312"/>
          <w:bCs/>
          <w:sz w:val="32"/>
          <w:szCs w:val="32"/>
        </w:rPr>
      </w:pPr>
    </w:p>
    <w:p w14:paraId="258CAB3C">
      <w:pPr>
        <w:spacing w:before="165" w:after="50"/>
        <w:ind w:firstLine="640"/>
        <w:rPr>
          <w:rFonts w:ascii="宋体" w:hAnsi="宋体" w:cs="仿宋_GB2312"/>
          <w:bCs/>
          <w:sz w:val="32"/>
          <w:szCs w:val="32"/>
        </w:rPr>
      </w:pPr>
      <w:r>
        <w:rPr>
          <w:rFonts w:hint="eastAsia" w:ascii="宋体" w:hAnsi="宋体" w:cs="仿宋_GB2312"/>
          <w:bCs/>
          <w:sz w:val="32"/>
          <w:szCs w:val="32"/>
        </w:rPr>
        <w:t>项目编号：</w:t>
      </w:r>
      <w:bookmarkStart w:id="88" w:name="PO_3000001871_PM001_6"/>
      <w:r>
        <w:rPr>
          <w:rFonts w:hint="eastAsia" w:ascii="宋体" w:hAnsi="宋体" w:cs="仿宋_GB2312"/>
          <w:bCs/>
          <w:sz w:val="32"/>
          <w:szCs w:val="32"/>
        </w:rPr>
        <w:t>[项目采购-项目编号_]</w:t>
      </w:r>
      <w:bookmarkEnd w:id="88"/>
    </w:p>
    <w:p w14:paraId="75EBC3C3">
      <w:pPr>
        <w:spacing w:before="165" w:after="50"/>
        <w:ind w:firstLine="720"/>
        <w:rPr>
          <w:rFonts w:ascii="宋体" w:hAnsi="宋体" w:cs="仿宋_GB2312"/>
          <w:bCs/>
          <w:sz w:val="32"/>
          <w:szCs w:val="32"/>
        </w:rPr>
      </w:pPr>
    </w:p>
    <w:p w14:paraId="28EC7F49">
      <w:pPr>
        <w:spacing w:before="165" w:after="50"/>
        <w:ind w:firstLine="640"/>
        <w:rPr>
          <w:rFonts w:ascii="宋体" w:hAnsi="宋体" w:cs="仿宋_GB2312"/>
          <w:bCs/>
          <w:sz w:val="32"/>
          <w:szCs w:val="32"/>
        </w:rPr>
      </w:pPr>
      <w:r>
        <w:rPr>
          <w:rFonts w:hint="eastAsia" w:ascii="宋体" w:hAnsi="宋体" w:cs="仿宋_GB2312"/>
          <w:bCs/>
          <w:sz w:val="32"/>
          <w:szCs w:val="32"/>
        </w:rPr>
        <w:t>所竞分标（如有则填写，无分标时填写“无”或者留空）：</w:t>
      </w:r>
    </w:p>
    <w:p w14:paraId="514DB8C8">
      <w:pPr>
        <w:spacing w:before="165" w:after="50"/>
        <w:ind w:firstLine="720"/>
        <w:rPr>
          <w:rFonts w:ascii="宋体" w:hAnsi="宋体" w:cs="仿宋_GB2312"/>
          <w:bCs/>
          <w:sz w:val="32"/>
          <w:szCs w:val="32"/>
        </w:rPr>
      </w:pPr>
    </w:p>
    <w:p w14:paraId="7979DE30">
      <w:pPr>
        <w:spacing w:before="50" w:after="50"/>
        <w:ind w:firstLine="640"/>
        <w:rPr>
          <w:rFonts w:ascii="宋体" w:hAnsi="宋体" w:cs="仿宋_GB2312"/>
          <w:bCs/>
          <w:sz w:val="32"/>
          <w:szCs w:val="32"/>
        </w:rPr>
      </w:pPr>
      <w:r>
        <w:rPr>
          <w:rFonts w:hint="eastAsia" w:ascii="宋体" w:hAnsi="宋体" w:cs="仿宋_GB2312"/>
          <w:bCs/>
          <w:sz w:val="32"/>
          <w:szCs w:val="32"/>
        </w:rPr>
        <w:t>供应商名称：</w:t>
      </w:r>
    </w:p>
    <w:p w14:paraId="60777678">
      <w:pPr>
        <w:spacing w:before="50" w:after="50"/>
        <w:ind w:firstLine="720"/>
        <w:rPr>
          <w:rFonts w:ascii="宋体" w:hAnsi="宋体" w:cs="仿宋_GB2312"/>
          <w:bCs/>
          <w:sz w:val="32"/>
          <w:szCs w:val="32"/>
        </w:rPr>
      </w:pPr>
    </w:p>
    <w:p w14:paraId="621643DF">
      <w:pPr>
        <w:spacing w:before="50" w:after="50"/>
        <w:ind w:firstLine="720"/>
        <w:rPr>
          <w:rFonts w:ascii="宋体" w:hAnsi="宋体" w:cs="仿宋_GB2312"/>
          <w:bCs/>
          <w:sz w:val="32"/>
          <w:szCs w:val="32"/>
        </w:rPr>
      </w:pPr>
    </w:p>
    <w:p w14:paraId="30BF5059">
      <w:pPr>
        <w:spacing w:before="50" w:after="50"/>
        <w:ind w:firstLine="1280"/>
        <w:rPr>
          <w:rFonts w:ascii="宋体" w:hAnsi="宋体" w:cs="仿宋_GB2312"/>
          <w:bCs/>
          <w:sz w:val="32"/>
          <w:szCs w:val="32"/>
        </w:rPr>
      </w:pPr>
    </w:p>
    <w:p w14:paraId="34144DB8">
      <w:pPr>
        <w:spacing w:before="165" w:after="50"/>
        <w:jc w:val="center"/>
        <w:rPr>
          <w:rFonts w:ascii="宋体" w:hAnsi="宋体" w:cs="仿宋_GB2312"/>
          <w:sz w:val="32"/>
          <w:szCs w:val="32"/>
        </w:rPr>
      </w:pPr>
      <w:r>
        <w:rPr>
          <w:rFonts w:hint="eastAsia" w:ascii="宋体" w:hAnsi="宋体" w:cs="仿宋_GB2312"/>
          <w:sz w:val="32"/>
          <w:szCs w:val="32"/>
        </w:rPr>
        <w:t xml:space="preserve">年 </w:t>
      </w:r>
      <w:r>
        <w:rPr>
          <w:rFonts w:ascii="宋体" w:hAnsi="宋体" w:cs="仿宋_GB2312"/>
          <w:sz w:val="32"/>
          <w:szCs w:val="32"/>
        </w:rPr>
        <w:t xml:space="preserve"> </w:t>
      </w:r>
      <w:r>
        <w:rPr>
          <w:rFonts w:hint="eastAsia" w:ascii="宋体" w:hAnsi="宋体" w:cs="仿宋_GB2312"/>
          <w:sz w:val="32"/>
          <w:szCs w:val="32"/>
        </w:rPr>
        <w:t xml:space="preserve">月 </w:t>
      </w:r>
      <w:r>
        <w:rPr>
          <w:rFonts w:ascii="宋体" w:hAnsi="宋体" w:cs="仿宋_GB2312"/>
          <w:sz w:val="32"/>
          <w:szCs w:val="32"/>
        </w:rPr>
        <w:t xml:space="preserve">  </w:t>
      </w:r>
      <w:r>
        <w:rPr>
          <w:rFonts w:hint="eastAsia" w:ascii="宋体" w:hAnsi="宋体" w:cs="仿宋_GB2312"/>
          <w:sz w:val="32"/>
          <w:szCs w:val="32"/>
        </w:rPr>
        <w:t>日</w:t>
      </w:r>
    </w:p>
    <w:p w14:paraId="6FF0664B">
      <w:pPr>
        <w:spacing w:before="165" w:after="50" w:line="400" w:lineRule="exact"/>
        <w:jc w:val="center"/>
        <w:rPr>
          <w:rFonts w:ascii="宋体" w:hAnsi="宋体"/>
          <w:b/>
          <w:bCs/>
          <w:sz w:val="32"/>
          <w:szCs w:val="32"/>
        </w:rPr>
      </w:pPr>
      <w:r>
        <w:rPr>
          <w:rFonts w:hint="eastAsia" w:ascii="宋体" w:hAnsi="宋体"/>
          <w:sz w:val="24"/>
        </w:rPr>
        <w:br w:type="page" w:clear="all"/>
      </w:r>
      <w:r>
        <w:rPr>
          <w:rFonts w:hint="eastAsia" w:ascii="宋体" w:hAnsi="宋体"/>
          <w:b/>
          <w:bCs/>
          <w:sz w:val="32"/>
          <w:szCs w:val="32"/>
        </w:rPr>
        <w:t>报价文件目录</w:t>
      </w:r>
    </w:p>
    <w:p w14:paraId="102964AD">
      <w:pPr>
        <w:rPr>
          <w:rFonts w:ascii="宋体" w:hAnsi="宋体" w:cs="宋体"/>
        </w:rPr>
      </w:pPr>
    </w:p>
    <w:p w14:paraId="6BB33510">
      <w:pPr>
        <w:rPr>
          <w:rFonts w:ascii="仿宋_GB2312" w:hAnsi="仿宋" w:eastAsia="仿宋_GB2312" w:cs="仿宋_GB2312"/>
          <w:sz w:val="24"/>
        </w:rPr>
      </w:pPr>
      <w:r>
        <w:rPr>
          <w:rFonts w:hint="eastAsia" w:ascii="仿宋_GB2312" w:hAnsi="仿宋" w:eastAsia="仿宋_GB2312" w:cs="仿宋_GB2312"/>
          <w:sz w:val="24"/>
        </w:rPr>
        <w:t>一、响应函………………………………………………………（页码）</w:t>
      </w:r>
    </w:p>
    <w:p w14:paraId="7BF3A957">
      <w:pPr>
        <w:rPr>
          <w:rFonts w:ascii="仿宋_GB2312" w:hAnsi="仿宋" w:eastAsia="仿宋_GB2312" w:cs="仿宋_GB2312"/>
          <w:sz w:val="24"/>
        </w:rPr>
      </w:pPr>
      <w:r>
        <w:rPr>
          <w:rFonts w:hint="eastAsia" w:ascii="仿宋_GB2312" w:hAnsi="仿宋" w:eastAsia="仿宋_GB2312" w:cs="仿宋_GB2312"/>
          <w:sz w:val="24"/>
        </w:rPr>
        <w:t>二、响应报价表…………………………………………………（页码）</w:t>
      </w:r>
    </w:p>
    <w:p w14:paraId="0087773C">
      <w:pPr>
        <w:spacing w:line="360" w:lineRule="auto"/>
        <w:rPr>
          <w:rFonts w:ascii="仿宋_GB2312" w:hAnsi="仿宋" w:eastAsia="仿宋_GB2312" w:cs="仿宋_GB2312"/>
          <w:sz w:val="24"/>
        </w:rPr>
      </w:pPr>
      <w:r>
        <w:rPr>
          <w:rFonts w:hint="eastAsia" w:ascii="仿宋_GB2312" w:hAnsi="仿宋" w:eastAsia="仿宋_GB2312" w:cs="仿宋_GB2312"/>
          <w:sz w:val="24"/>
        </w:rPr>
        <w:t>三、中小企业声明函……………………………………………（页码）</w:t>
      </w:r>
    </w:p>
    <w:p w14:paraId="4EB15AA3">
      <w:pPr>
        <w:spacing w:before="165" w:after="50" w:line="360" w:lineRule="auto"/>
        <w:ind w:left="142" w:firstLine="640"/>
        <w:jc w:val="left"/>
        <w:rPr>
          <w:rFonts w:ascii="仿宋_GB2312" w:hAnsi="仿宋_GB2312" w:eastAsia="仿宋_GB2312" w:cs="仿宋_GB2312"/>
          <w:sz w:val="32"/>
          <w:szCs w:val="32"/>
        </w:rPr>
      </w:pPr>
    </w:p>
    <w:p w14:paraId="439C62E6">
      <w:pPr>
        <w:spacing w:line="500" w:lineRule="exact"/>
        <w:ind w:firstLine="480"/>
        <w:rPr>
          <w:rFonts w:ascii="宋体" w:hAnsi="宋体" w:cs="仿宋_GB2312"/>
          <w:sz w:val="24"/>
          <w:szCs w:val="21"/>
        </w:rPr>
      </w:pPr>
      <w:r>
        <w:rPr>
          <w:rFonts w:hint="eastAsia" w:ascii="宋体" w:hAnsi="宋体" w:cs="仿宋_GB2312"/>
          <w:sz w:val="24"/>
          <w:szCs w:val="21"/>
        </w:rPr>
        <w:br w:type="page" w:clear="all"/>
      </w:r>
      <w:r>
        <w:rPr>
          <w:rFonts w:hint="eastAsia" w:ascii="仿宋" w:hAnsi="仿宋" w:eastAsia="仿宋" w:cs="仿宋_GB2312"/>
          <w:b/>
          <w:sz w:val="30"/>
          <w:szCs w:val="30"/>
        </w:rPr>
        <w:t>一、响应函</w:t>
      </w:r>
    </w:p>
    <w:p w14:paraId="7319FB78">
      <w:pPr>
        <w:spacing w:line="500" w:lineRule="exact"/>
        <w:ind w:firstLine="602"/>
        <w:jc w:val="center"/>
        <w:rPr>
          <w:b/>
          <w:bCs/>
          <w:sz w:val="36"/>
          <w:szCs w:val="30"/>
        </w:rPr>
      </w:pPr>
      <w:r>
        <w:rPr>
          <w:rFonts w:hint="eastAsia"/>
          <w:b/>
          <w:bCs/>
          <w:sz w:val="36"/>
          <w:szCs w:val="30"/>
        </w:rPr>
        <w:t>响应函</w:t>
      </w:r>
    </w:p>
    <w:p w14:paraId="52E0C37C">
      <w:pPr>
        <w:spacing w:line="360" w:lineRule="auto"/>
        <w:rPr>
          <w:sz w:val="22"/>
          <w:szCs w:val="21"/>
        </w:rPr>
      </w:pPr>
      <w:r>
        <w:rPr>
          <w:rFonts w:hint="eastAsia"/>
          <w:sz w:val="22"/>
          <w:szCs w:val="21"/>
        </w:rPr>
        <w:t>致：</w:t>
      </w:r>
      <w:bookmarkStart w:id="89" w:name="PO_3000001871_PM031_6"/>
      <w:r>
        <w:rPr>
          <w:sz w:val="22"/>
          <w:szCs w:val="21"/>
          <w:u w:val="single"/>
        </w:rPr>
        <w:t>[</w:t>
      </w:r>
      <w:r>
        <w:rPr>
          <w:rFonts w:hint="eastAsia"/>
          <w:sz w:val="22"/>
          <w:szCs w:val="21"/>
          <w:u w:val="single"/>
        </w:rPr>
        <w:t>项目采购</w:t>
      </w:r>
      <w:r>
        <w:rPr>
          <w:sz w:val="22"/>
          <w:szCs w:val="21"/>
          <w:u w:val="single"/>
        </w:rPr>
        <w:t>-</w:t>
      </w:r>
      <w:r>
        <w:rPr>
          <w:rFonts w:hint="eastAsia"/>
          <w:sz w:val="22"/>
          <w:szCs w:val="21"/>
          <w:u w:val="single"/>
        </w:rPr>
        <w:t>采购组织机构</w:t>
      </w:r>
      <w:r>
        <w:rPr>
          <w:sz w:val="22"/>
          <w:szCs w:val="21"/>
          <w:u w:val="single"/>
        </w:rPr>
        <w:t>_]</w:t>
      </w:r>
      <w:bookmarkEnd w:id="89"/>
    </w:p>
    <w:p w14:paraId="4EA7B11B">
      <w:pPr>
        <w:spacing w:line="360" w:lineRule="auto"/>
        <w:ind w:firstLine="440"/>
        <w:rPr>
          <w:sz w:val="22"/>
          <w:szCs w:val="21"/>
        </w:rPr>
      </w:pPr>
      <w:r>
        <w:rPr>
          <w:rFonts w:hint="eastAsia" w:ascii="宋体" w:hAnsi="Courier New"/>
          <w:sz w:val="22"/>
          <w:szCs w:val="21"/>
        </w:rPr>
        <w:t>我方已仔细阅读了贵方组织的</w:t>
      </w:r>
      <w:bookmarkStart w:id="90" w:name="PO_3000001871_PM002_9"/>
      <w:r>
        <w:rPr>
          <w:rFonts w:hint="eastAsia" w:ascii="宋体" w:hAnsi="Courier New"/>
          <w:sz w:val="22"/>
          <w:szCs w:val="21"/>
          <w:u w:val="single"/>
        </w:rPr>
        <w:t>[项目采购-项目名称_]</w:t>
      </w:r>
      <w:bookmarkEnd w:id="90"/>
      <w:r>
        <w:rPr>
          <w:rFonts w:hint="eastAsia" w:ascii="宋体" w:hAnsi="Courier New"/>
          <w:sz w:val="22"/>
          <w:szCs w:val="21"/>
        </w:rPr>
        <w:t>项目（项目编号：</w:t>
      </w:r>
      <w:bookmarkStart w:id="91" w:name="PO_3000001871_PM001_11"/>
      <w:r>
        <w:rPr>
          <w:rFonts w:hint="eastAsia" w:ascii="宋体" w:hAnsi="宋体"/>
          <w:sz w:val="22"/>
          <w:szCs w:val="21"/>
          <w:u w:val="single"/>
        </w:rPr>
        <w:t>[项目采购-项目编号_]</w:t>
      </w:r>
      <w:bookmarkEnd w:id="91"/>
      <w:r>
        <w:rPr>
          <w:rFonts w:ascii="宋体" w:hAnsi="宋体"/>
          <w:sz w:val="22"/>
          <w:szCs w:val="21"/>
          <w:u w:val="single"/>
        </w:rPr>
        <w:t xml:space="preserve">  </w:t>
      </w:r>
      <w:r>
        <w:rPr>
          <w:rFonts w:hint="eastAsia" w:ascii="宋体" w:hAnsi="Courier New"/>
          <w:sz w:val="22"/>
          <w:szCs w:val="21"/>
        </w:rPr>
        <w:t>）的竞争性谈判采购文件的全部内容，现正式递交下述文件参加贵方组织的本次政府采购活动：</w:t>
      </w:r>
    </w:p>
    <w:p w14:paraId="3EF6AF60">
      <w:pPr>
        <w:spacing w:line="360" w:lineRule="auto"/>
        <w:ind w:firstLine="440"/>
        <w:rPr>
          <w:sz w:val="22"/>
          <w:szCs w:val="21"/>
        </w:rPr>
      </w:pPr>
      <w:r>
        <w:rPr>
          <w:rFonts w:hint="eastAsia" w:ascii="宋体" w:hAnsi="Courier New"/>
          <w:sz w:val="22"/>
          <w:szCs w:val="21"/>
        </w:rPr>
        <w:t>一、首次报价文件电子版</w:t>
      </w:r>
      <w:r>
        <w:rPr>
          <w:rFonts w:hint="eastAsia" w:ascii="宋体" w:hAnsi="Courier New"/>
          <w:sz w:val="22"/>
          <w:szCs w:val="21"/>
          <w:u w:val="single"/>
        </w:rPr>
        <w:t xml:space="preserve"> </w:t>
      </w:r>
      <w:r>
        <w:rPr>
          <w:rFonts w:ascii="宋体" w:hAnsi="Courier New"/>
          <w:sz w:val="22"/>
          <w:szCs w:val="21"/>
          <w:u w:val="single"/>
        </w:rPr>
        <w:t xml:space="preserve">1 </w:t>
      </w:r>
      <w:r>
        <w:rPr>
          <w:rFonts w:hint="eastAsia" w:ascii="宋体" w:hAnsi="Courier New"/>
          <w:sz w:val="22"/>
          <w:szCs w:val="21"/>
        </w:rPr>
        <w:t>份（包含按“第三章供应商须知”提交的全部文件）；</w:t>
      </w:r>
    </w:p>
    <w:p w14:paraId="2D3B25B6">
      <w:pPr>
        <w:spacing w:line="360" w:lineRule="auto"/>
        <w:ind w:firstLine="440"/>
        <w:rPr>
          <w:rFonts w:ascii="宋体" w:hAnsi="Courier New"/>
          <w:sz w:val="22"/>
          <w:szCs w:val="21"/>
        </w:rPr>
      </w:pPr>
      <w:r>
        <w:rPr>
          <w:rFonts w:hint="eastAsia" w:ascii="宋体" w:hAnsi="Courier New"/>
          <w:sz w:val="22"/>
          <w:szCs w:val="21"/>
        </w:rPr>
        <w:t>二、</w:t>
      </w:r>
      <w:r>
        <w:rPr>
          <w:rFonts w:hint="eastAsia" w:ascii="宋体" w:hAnsi="宋体"/>
          <w:sz w:val="22"/>
          <w:szCs w:val="21"/>
        </w:rPr>
        <w:t>技术</w:t>
      </w:r>
      <w:r>
        <w:rPr>
          <w:rFonts w:hint="eastAsia" w:ascii="宋体" w:hAnsi="Courier New"/>
          <w:sz w:val="22"/>
          <w:szCs w:val="21"/>
        </w:rPr>
        <w:t>文件电子版</w:t>
      </w:r>
      <w:r>
        <w:rPr>
          <w:rFonts w:ascii="宋体" w:hAnsi="Courier New"/>
          <w:sz w:val="22"/>
          <w:szCs w:val="21"/>
          <w:u w:val="single"/>
        </w:rPr>
        <w:t>1</w:t>
      </w:r>
      <w:r>
        <w:rPr>
          <w:rFonts w:hint="eastAsia" w:ascii="宋体" w:hAnsi="Courier New"/>
          <w:sz w:val="22"/>
          <w:szCs w:val="21"/>
        </w:rPr>
        <w:t>份（包含按“第三章供应商须知”提交的全部文件）；商务</w:t>
      </w:r>
      <w:r>
        <w:rPr>
          <w:rFonts w:hint="eastAsia" w:ascii="宋体" w:hAnsi="宋体"/>
          <w:sz w:val="22"/>
          <w:szCs w:val="21"/>
        </w:rPr>
        <w:t>文件</w:t>
      </w:r>
      <w:r>
        <w:rPr>
          <w:rFonts w:hint="eastAsia" w:ascii="宋体" w:hAnsi="Courier New"/>
          <w:sz w:val="22"/>
          <w:szCs w:val="21"/>
        </w:rPr>
        <w:t>电子版</w:t>
      </w:r>
      <w:r>
        <w:rPr>
          <w:rFonts w:ascii="宋体" w:hAnsi="Courier New"/>
          <w:sz w:val="22"/>
          <w:szCs w:val="21"/>
          <w:u w:val="single"/>
        </w:rPr>
        <w:t xml:space="preserve">1 </w:t>
      </w:r>
      <w:r>
        <w:rPr>
          <w:rFonts w:hint="eastAsia" w:ascii="宋体" w:hAnsi="Courier New"/>
          <w:sz w:val="22"/>
          <w:szCs w:val="21"/>
        </w:rPr>
        <w:t>份（包含按“第三章供应商须知”提交的全部文件）；（商务技术文件已合并装订成册）</w:t>
      </w:r>
    </w:p>
    <w:p w14:paraId="7C4B0EDF">
      <w:pPr>
        <w:spacing w:line="360" w:lineRule="auto"/>
        <w:ind w:firstLine="440"/>
        <w:rPr>
          <w:rFonts w:ascii="宋体" w:hAnsi="Courier New"/>
          <w:sz w:val="22"/>
          <w:szCs w:val="21"/>
        </w:rPr>
      </w:pPr>
      <w:r>
        <w:rPr>
          <w:rFonts w:hint="eastAsia" w:ascii="宋体" w:hAnsi="Courier New"/>
          <w:sz w:val="22"/>
          <w:szCs w:val="21"/>
        </w:rPr>
        <w:t>三、资格证明文件电子版（包含按“第三章供应商须知”提交的全部文件）；</w:t>
      </w:r>
    </w:p>
    <w:p w14:paraId="2313DE5F">
      <w:pPr>
        <w:spacing w:line="360" w:lineRule="auto"/>
        <w:ind w:firstLine="440"/>
        <w:rPr>
          <w:sz w:val="22"/>
          <w:szCs w:val="21"/>
        </w:rPr>
      </w:pPr>
      <w:r>
        <w:rPr>
          <w:rFonts w:hint="eastAsia" w:ascii="宋体" w:hAnsi="Courier New"/>
          <w:sz w:val="22"/>
          <w:szCs w:val="21"/>
        </w:rPr>
        <w:t>据此函，签字人兹宣布：</w:t>
      </w:r>
    </w:p>
    <w:p w14:paraId="737B5740">
      <w:pPr>
        <w:spacing w:line="360" w:lineRule="auto"/>
        <w:ind w:firstLine="420"/>
        <w:rPr>
          <w:sz w:val="22"/>
          <w:szCs w:val="21"/>
        </w:rPr>
      </w:pPr>
      <w:r>
        <w:rPr>
          <w:rFonts w:hint="eastAsia" w:ascii="宋体" w:hAnsi="Courier New"/>
          <w:sz w:val="22"/>
          <w:szCs w:val="21"/>
        </w:rPr>
        <w:t>1、我方愿意以（大写）人民币</w:t>
      </w:r>
      <w:r>
        <w:rPr>
          <w:rFonts w:hint="eastAsia" w:ascii="宋体" w:hAnsi="Courier New"/>
          <w:sz w:val="22"/>
          <w:szCs w:val="21"/>
          <w:u w:val="single"/>
        </w:rPr>
        <w:t xml:space="preserve"> </w:t>
      </w:r>
      <w:r>
        <w:rPr>
          <w:rFonts w:ascii="宋体" w:hAnsi="Courier New"/>
          <w:sz w:val="22"/>
          <w:szCs w:val="21"/>
          <w:u w:val="single"/>
        </w:rPr>
        <w:t xml:space="preserve">                 </w:t>
      </w:r>
      <w:r>
        <w:rPr>
          <w:rFonts w:hint="eastAsia" w:ascii="宋体" w:hAnsi="Courier New"/>
          <w:sz w:val="22"/>
          <w:szCs w:val="21"/>
          <w:u w:val="single"/>
        </w:rPr>
        <w:t xml:space="preserve">（￥ </w:t>
      </w:r>
      <w:r>
        <w:rPr>
          <w:rFonts w:ascii="宋体" w:hAnsi="Courier New"/>
          <w:sz w:val="22"/>
          <w:szCs w:val="21"/>
          <w:u w:val="single"/>
        </w:rPr>
        <w:t xml:space="preserve">     </w:t>
      </w:r>
      <w:r>
        <w:rPr>
          <w:rFonts w:hint="eastAsia" w:ascii="宋体" w:hAnsi="Courier New"/>
          <w:sz w:val="22"/>
          <w:szCs w:val="21"/>
          <w:u w:val="single"/>
        </w:rPr>
        <w:t>元)</w:t>
      </w:r>
      <w:r>
        <w:rPr>
          <w:rFonts w:hint="eastAsia" w:ascii="宋体" w:hAnsi="Courier New"/>
          <w:sz w:val="22"/>
          <w:szCs w:val="21"/>
        </w:rPr>
        <w:t>的竞标总报价，交货期（无分标时填写）：</w:t>
      </w:r>
      <w:r>
        <w:rPr>
          <w:rFonts w:hint="eastAsia" w:ascii="宋体" w:hAnsi="Courier New"/>
          <w:sz w:val="22"/>
          <w:szCs w:val="21"/>
          <w:u w:val="single"/>
        </w:rPr>
        <w:t xml:space="preserve"> </w:t>
      </w:r>
      <w:r>
        <w:rPr>
          <w:rFonts w:ascii="宋体" w:hAnsi="Courier New"/>
          <w:sz w:val="22"/>
          <w:szCs w:val="21"/>
          <w:u w:val="single"/>
        </w:rPr>
        <w:t xml:space="preserve">          </w:t>
      </w:r>
      <w:r>
        <w:rPr>
          <w:rFonts w:hint="eastAsia" w:ascii="宋体" w:hAnsi="Courier New"/>
          <w:sz w:val="22"/>
          <w:szCs w:val="21"/>
        </w:rPr>
        <w:t>，提供本项目竞争性谈判采购文件第二章“服务需求一览表”中相应的采购内容。</w:t>
      </w:r>
    </w:p>
    <w:p w14:paraId="3D677B0E">
      <w:pPr>
        <w:spacing w:line="360" w:lineRule="auto"/>
        <w:ind w:firstLine="420"/>
        <w:rPr>
          <w:sz w:val="22"/>
          <w:szCs w:val="21"/>
        </w:rPr>
      </w:pPr>
      <w:r>
        <w:rPr>
          <w:rFonts w:hint="eastAsia" w:ascii="宋体" w:hAnsi="Courier New"/>
          <w:sz w:val="22"/>
          <w:szCs w:val="21"/>
        </w:rPr>
        <w:t>其中（有分标时填写）：</w:t>
      </w:r>
    </w:p>
    <w:p w14:paraId="48F56413">
      <w:pPr>
        <w:spacing w:line="360" w:lineRule="auto"/>
        <w:ind w:firstLine="420"/>
        <w:rPr>
          <w:sz w:val="22"/>
          <w:szCs w:val="21"/>
        </w:rPr>
      </w:pPr>
      <w:r>
        <w:rPr>
          <w:rFonts w:hint="eastAsia" w:ascii="宋体" w:hAnsi="Courier New"/>
          <w:sz w:val="22"/>
          <w:szCs w:val="21"/>
        </w:rPr>
        <w:t>分标报价为（大写）人民币</w:t>
      </w:r>
      <w:r>
        <w:rPr>
          <w:rFonts w:hint="eastAsia" w:ascii="宋体" w:hAnsi="Courier New"/>
          <w:sz w:val="22"/>
          <w:szCs w:val="21"/>
          <w:u w:val="single"/>
        </w:rPr>
        <w:t xml:space="preserve"> </w:t>
      </w:r>
      <w:r>
        <w:rPr>
          <w:rFonts w:ascii="宋体" w:hAnsi="Courier New"/>
          <w:sz w:val="22"/>
          <w:szCs w:val="21"/>
          <w:u w:val="single"/>
        </w:rPr>
        <w:t xml:space="preserve">                 </w:t>
      </w:r>
      <w:r>
        <w:rPr>
          <w:rFonts w:hint="eastAsia" w:ascii="宋体" w:hAnsi="Courier New"/>
          <w:sz w:val="22"/>
          <w:szCs w:val="21"/>
          <w:u w:val="single"/>
        </w:rPr>
        <w:t xml:space="preserve">（￥ </w:t>
      </w:r>
      <w:r>
        <w:rPr>
          <w:rFonts w:ascii="宋体" w:hAnsi="Courier New"/>
          <w:sz w:val="22"/>
          <w:szCs w:val="21"/>
          <w:u w:val="single"/>
        </w:rPr>
        <w:t xml:space="preserve">     </w:t>
      </w:r>
      <w:r>
        <w:rPr>
          <w:rFonts w:hint="eastAsia" w:ascii="宋体" w:hAnsi="Courier New"/>
          <w:sz w:val="22"/>
          <w:szCs w:val="21"/>
          <w:u w:val="single"/>
        </w:rPr>
        <w:t>元)</w:t>
      </w:r>
      <w:r>
        <w:rPr>
          <w:rFonts w:hint="eastAsia" w:ascii="宋体" w:hAnsi="Courier New"/>
          <w:sz w:val="22"/>
          <w:szCs w:val="21"/>
        </w:rPr>
        <w:t>，交货期：</w:t>
      </w:r>
      <w:r>
        <w:rPr>
          <w:rFonts w:hint="eastAsia" w:ascii="宋体" w:hAnsi="Courier New"/>
          <w:sz w:val="22"/>
          <w:szCs w:val="21"/>
          <w:u w:val="single"/>
        </w:rPr>
        <w:t xml:space="preserve"> </w:t>
      </w:r>
      <w:r>
        <w:rPr>
          <w:rFonts w:ascii="宋体" w:hAnsi="Courier New"/>
          <w:sz w:val="22"/>
          <w:szCs w:val="21"/>
          <w:u w:val="single"/>
        </w:rPr>
        <w:t xml:space="preserve">   </w:t>
      </w:r>
      <w:r>
        <w:rPr>
          <w:rFonts w:hint="eastAsia" w:ascii="宋体" w:hAnsi="Courier New"/>
          <w:sz w:val="22"/>
          <w:szCs w:val="21"/>
        </w:rPr>
        <w:t>；</w:t>
      </w:r>
    </w:p>
    <w:p w14:paraId="2F6AC829">
      <w:pPr>
        <w:spacing w:line="360" w:lineRule="auto"/>
        <w:ind w:firstLine="420"/>
        <w:rPr>
          <w:sz w:val="22"/>
          <w:szCs w:val="21"/>
        </w:rPr>
      </w:pPr>
      <w:r>
        <w:rPr>
          <w:rFonts w:hint="eastAsia" w:ascii="宋体" w:hAnsi="Courier New"/>
          <w:sz w:val="22"/>
          <w:szCs w:val="21"/>
        </w:rPr>
        <w:t>分标报价为（大写）人民币</w:t>
      </w:r>
      <w:r>
        <w:rPr>
          <w:rFonts w:hint="eastAsia" w:ascii="宋体" w:hAnsi="Courier New"/>
          <w:sz w:val="22"/>
          <w:szCs w:val="21"/>
          <w:u w:val="single"/>
        </w:rPr>
        <w:t xml:space="preserve"> </w:t>
      </w:r>
      <w:r>
        <w:rPr>
          <w:rFonts w:ascii="宋体" w:hAnsi="Courier New"/>
          <w:sz w:val="22"/>
          <w:szCs w:val="21"/>
          <w:u w:val="single"/>
        </w:rPr>
        <w:t xml:space="preserve">                 </w:t>
      </w:r>
      <w:r>
        <w:rPr>
          <w:rFonts w:hint="eastAsia" w:ascii="宋体" w:hAnsi="Courier New"/>
          <w:sz w:val="22"/>
          <w:szCs w:val="21"/>
          <w:u w:val="single"/>
        </w:rPr>
        <w:t xml:space="preserve">（￥ </w:t>
      </w:r>
      <w:r>
        <w:rPr>
          <w:rFonts w:ascii="宋体" w:hAnsi="Courier New"/>
          <w:sz w:val="22"/>
          <w:szCs w:val="21"/>
          <w:u w:val="single"/>
        </w:rPr>
        <w:t xml:space="preserve">     </w:t>
      </w:r>
      <w:r>
        <w:rPr>
          <w:rFonts w:hint="eastAsia" w:ascii="宋体" w:hAnsi="Courier New"/>
          <w:sz w:val="22"/>
          <w:szCs w:val="21"/>
          <w:u w:val="single"/>
        </w:rPr>
        <w:t>元)</w:t>
      </w:r>
      <w:r>
        <w:rPr>
          <w:rFonts w:hint="eastAsia" w:ascii="宋体" w:hAnsi="Courier New"/>
          <w:sz w:val="22"/>
          <w:szCs w:val="21"/>
        </w:rPr>
        <w:t>，交货期：</w:t>
      </w:r>
      <w:r>
        <w:rPr>
          <w:rFonts w:hint="eastAsia" w:ascii="宋体" w:hAnsi="Courier New"/>
          <w:sz w:val="22"/>
          <w:szCs w:val="21"/>
          <w:u w:val="single"/>
        </w:rPr>
        <w:t xml:space="preserve"> </w:t>
      </w:r>
      <w:r>
        <w:rPr>
          <w:rFonts w:ascii="宋体" w:hAnsi="Courier New"/>
          <w:sz w:val="22"/>
          <w:szCs w:val="21"/>
          <w:u w:val="single"/>
        </w:rPr>
        <w:t xml:space="preserve">        </w:t>
      </w:r>
      <w:r>
        <w:rPr>
          <w:rFonts w:hint="eastAsia" w:ascii="宋体" w:hAnsi="Courier New"/>
          <w:sz w:val="22"/>
          <w:szCs w:val="21"/>
        </w:rPr>
        <w:t>；</w:t>
      </w:r>
    </w:p>
    <w:p w14:paraId="082974D4">
      <w:pPr>
        <w:spacing w:line="360" w:lineRule="auto"/>
        <w:ind w:firstLine="420"/>
        <w:rPr>
          <w:sz w:val="22"/>
          <w:szCs w:val="21"/>
        </w:rPr>
      </w:pPr>
      <w:r>
        <w:rPr>
          <w:rFonts w:hint="eastAsia" w:ascii="宋体" w:hAnsi="Courier New"/>
          <w:sz w:val="22"/>
          <w:szCs w:val="21"/>
        </w:rPr>
        <w:t>......</w:t>
      </w:r>
    </w:p>
    <w:p w14:paraId="31DBC9A3">
      <w:pPr>
        <w:spacing w:line="360" w:lineRule="auto"/>
        <w:ind w:firstLine="420"/>
        <w:rPr>
          <w:rFonts w:ascii="宋体" w:hAnsi="Courier New"/>
          <w:sz w:val="22"/>
          <w:szCs w:val="21"/>
        </w:rPr>
      </w:pPr>
      <w:r>
        <w:rPr>
          <w:rFonts w:hint="eastAsia" w:ascii="宋体" w:hAnsi="Courier New"/>
          <w:sz w:val="22"/>
          <w:szCs w:val="21"/>
        </w:rPr>
        <w:t>2、我方同意自本项目竞争性谈判采购文件采购公告规定的递交响应文件截止时间起遵循</w:t>
      </w:r>
      <w:r>
        <w:rPr>
          <w:rFonts w:hint="eastAsia" w:ascii="宋体" w:hAnsi="宋体"/>
          <w:sz w:val="22"/>
          <w:szCs w:val="21"/>
        </w:rPr>
        <w:t>本响应函</w:t>
      </w:r>
      <w:r>
        <w:rPr>
          <w:rFonts w:hint="eastAsia" w:ascii="宋体" w:hAnsi="Courier New"/>
          <w:sz w:val="22"/>
          <w:szCs w:val="21"/>
        </w:rPr>
        <w:t>，并承诺在“第三章供应商须知”规定的响应有效期内不修改、撤销响应文件。</w:t>
      </w:r>
    </w:p>
    <w:p w14:paraId="6972DC19">
      <w:pPr>
        <w:spacing w:line="360" w:lineRule="auto"/>
        <w:ind w:firstLine="420"/>
        <w:rPr>
          <w:rFonts w:ascii="宋体" w:hAnsi="Courier New"/>
          <w:sz w:val="22"/>
          <w:szCs w:val="21"/>
        </w:rPr>
      </w:pPr>
      <w:r>
        <w:rPr>
          <w:rFonts w:hint="eastAsia" w:ascii="宋体" w:hAnsi="Courier New"/>
          <w:sz w:val="22"/>
          <w:szCs w:val="21"/>
        </w:rPr>
        <w:t>3、我方在此声明，所递交的响应文件及有关资料内容完整、真实和准确。</w:t>
      </w:r>
    </w:p>
    <w:p w14:paraId="3D4E2AC1">
      <w:pPr>
        <w:spacing w:line="360" w:lineRule="auto"/>
        <w:ind w:firstLine="420"/>
        <w:rPr>
          <w:rFonts w:ascii="宋体" w:hAnsi="Courier New"/>
          <w:sz w:val="22"/>
          <w:szCs w:val="21"/>
        </w:rPr>
      </w:pPr>
      <w:r>
        <w:rPr>
          <w:rFonts w:hint="eastAsia" w:ascii="宋体" w:hAnsi="Courier New"/>
          <w:sz w:val="22"/>
          <w:szCs w:val="21"/>
        </w:rPr>
        <w:t>4、如本项目采购内容涉及须符合国家强制规定的，我方承诺我方本次竞标均符合国家有关强制规定。</w:t>
      </w:r>
    </w:p>
    <w:p w14:paraId="62593616">
      <w:pPr>
        <w:spacing w:line="360" w:lineRule="auto"/>
        <w:ind w:firstLine="420"/>
        <w:rPr>
          <w:rFonts w:ascii="宋体" w:hAnsi="Courier New"/>
          <w:sz w:val="22"/>
          <w:szCs w:val="21"/>
        </w:rPr>
      </w:pPr>
      <w:r>
        <w:rPr>
          <w:rFonts w:hint="eastAsia" w:ascii="宋体" w:hAnsi="Courier New"/>
          <w:sz w:val="22"/>
          <w:szCs w:val="21"/>
        </w:rPr>
        <w:t>5、如我方成交，我方承诺在收到成交通知书后，在成交通知书规定的期限内，</w:t>
      </w:r>
      <w:r>
        <w:rPr>
          <w:rFonts w:hint="eastAsia" w:ascii="宋体" w:hAnsi="宋体"/>
          <w:sz w:val="22"/>
          <w:szCs w:val="21"/>
        </w:rPr>
        <w:t>根据竞争性谈判采购文件、我方的响应文件及有关澄清承诺书的要求按第六章“合同文本”与采购人订立书面合同，并按照合同约定</w:t>
      </w:r>
      <w:r>
        <w:rPr>
          <w:rFonts w:hint="eastAsia" w:ascii="宋体" w:hAnsi="Courier New"/>
          <w:sz w:val="22"/>
          <w:szCs w:val="21"/>
        </w:rPr>
        <w:t>承担完成合同的责任和义务。</w:t>
      </w:r>
    </w:p>
    <w:p w14:paraId="6F2EE60F">
      <w:pPr>
        <w:spacing w:line="360" w:lineRule="auto"/>
        <w:ind w:firstLine="420"/>
        <w:rPr>
          <w:rFonts w:ascii="宋体" w:hAnsi="Courier New"/>
          <w:sz w:val="22"/>
          <w:szCs w:val="21"/>
        </w:rPr>
      </w:pPr>
      <w:r>
        <w:rPr>
          <w:rFonts w:hint="eastAsia" w:ascii="宋体" w:hAnsi="Courier New"/>
          <w:sz w:val="22"/>
          <w:szCs w:val="21"/>
        </w:rPr>
        <w:t>6、我方已详细审核竞争性谈判采购文件，我方知道必须放弃提出含糊不清或误解问题的权利。</w:t>
      </w:r>
    </w:p>
    <w:p w14:paraId="1A58735C">
      <w:pPr>
        <w:spacing w:line="360" w:lineRule="auto"/>
        <w:ind w:firstLine="420"/>
        <w:rPr>
          <w:rFonts w:ascii="宋体" w:hAnsi="Courier New"/>
          <w:sz w:val="22"/>
          <w:szCs w:val="21"/>
        </w:rPr>
      </w:pPr>
      <w:r>
        <w:rPr>
          <w:rFonts w:hint="eastAsia" w:ascii="宋体" w:hAnsi="Courier New"/>
          <w:sz w:val="22"/>
          <w:szCs w:val="21"/>
        </w:rPr>
        <w:t>7、我方承诺满足竞争性谈判采购文件</w:t>
      </w:r>
      <w:r>
        <w:rPr>
          <w:rFonts w:hint="eastAsia" w:ascii="宋体" w:hAnsi="宋体"/>
          <w:sz w:val="22"/>
          <w:szCs w:val="21"/>
        </w:rPr>
        <w:t>第六章“合同文本”</w:t>
      </w:r>
      <w:r>
        <w:rPr>
          <w:rFonts w:hint="eastAsia" w:ascii="宋体" w:hAnsi="Courier New"/>
          <w:sz w:val="22"/>
          <w:szCs w:val="21"/>
        </w:rPr>
        <w:t>的条款，承担完成合同的责任和义务。</w:t>
      </w:r>
    </w:p>
    <w:p w14:paraId="5F7E7BBC">
      <w:pPr>
        <w:spacing w:line="360" w:lineRule="auto"/>
        <w:ind w:firstLine="420"/>
        <w:rPr>
          <w:rFonts w:ascii="宋体" w:hAnsi="Courier New"/>
          <w:sz w:val="22"/>
          <w:szCs w:val="21"/>
        </w:rPr>
      </w:pPr>
      <w:r>
        <w:rPr>
          <w:rFonts w:hint="eastAsia" w:ascii="宋体" w:hAnsi="Courier New"/>
          <w:sz w:val="22"/>
          <w:szCs w:val="21"/>
        </w:rPr>
        <w:t>8、我方同意应贵方要求提供与本竞标有关的任何数据或资料。若贵方需要，我方愿意提供我方作出的一切承诺的证明材料。</w:t>
      </w:r>
    </w:p>
    <w:p w14:paraId="1DAA4D68">
      <w:pPr>
        <w:spacing w:line="360" w:lineRule="auto"/>
        <w:ind w:firstLine="420"/>
        <w:rPr>
          <w:rFonts w:ascii="宋体" w:hAnsi="Courier New"/>
          <w:sz w:val="22"/>
          <w:szCs w:val="21"/>
        </w:rPr>
      </w:pPr>
      <w:r>
        <w:rPr>
          <w:rFonts w:hint="eastAsia" w:ascii="宋体" w:hAnsi="Courier New"/>
          <w:sz w:val="22"/>
          <w:szCs w:val="21"/>
        </w:rPr>
        <w:t>9、我方完全理解贵方不一定接受响应报价最低的竞标人为成交供应商的行为。</w:t>
      </w:r>
    </w:p>
    <w:p w14:paraId="337D01BE">
      <w:pPr>
        <w:spacing w:line="360" w:lineRule="auto"/>
        <w:ind w:firstLine="420"/>
        <w:rPr>
          <w:rFonts w:ascii="宋体" w:hAnsi="Courier New"/>
          <w:sz w:val="22"/>
          <w:szCs w:val="21"/>
        </w:rPr>
      </w:pPr>
      <w:r>
        <w:rPr>
          <w:rFonts w:hint="eastAsia" w:ascii="宋体" w:hAnsi="Courier New"/>
          <w:sz w:val="22"/>
          <w:szCs w:val="21"/>
        </w:rPr>
        <w:t>10、我方将严格遵守《中华人民共和国政府采购法》第七十七条的规定，即供应商有下列情形之一的，处以采购金额千分之五以上千分之十</w:t>
      </w:r>
      <w:r>
        <w:rPr>
          <w:rFonts w:hint="eastAsia" w:ascii="宋体" w:hAnsi="宋体"/>
          <w:sz w:val="22"/>
          <w:szCs w:val="21"/>
        </w:rPr>
        <w:t>以下的罚款，列入不良行为记录名单，在一至三年内禁止参加政府采购活动，有违法所得的，并处没收违法所得，情节严重的，由工商行政管理机关吊销营业执照；构成犯罪的，依法追究刑事责任：</w:t>
      </w:r>
    </w:p>
    <w:p w14:paraId="1DDDC856">
      <w:pPr>
        <w:numPr>
          <w:ilvl w:val="0"/>
          <w:numId w:val="2"/>
        </w:numPr>
        <w:tabs>
          <w:tab w:val="left" w:pos="945"/>
        </w:tabs>
        <w:spacing w:line="360" w:lineRule="auto"/>
        <w:ind w:firstLine="420"/>
        <w:rPr>
          <w:rFonts w:ascii="宋体" w:hAnsi="宋体"/>
          <w:sz w:val="22"/>
          <w:szCs w:val="21"/>
        </w:rPr>
      </w:pPr>
      <w:r>
        <w:rPr>
          <w:rFonts w:hint="eastAsia" w:ascii="宋体" w:hAnsi="宋体"/>
          <w:sz w:val="22"/>
          <w:szCs w:val="21"/>
        </w:rPr>
        <w:t>提供虚假材料谋取中标、成交的；</w:t>
      </w:r>
    </w:p>
    <w:p w14:paraId="0BD26B76">
      <w:pPr>
        <w:numPr>
          <w:ilvl w:val="0"/>
          <w:numId w:val="2"/>
        </w:numPr>
        <w:tabs>
          <w:tab w:val="left" w:pos="945"/>
        </w:tabs>
        <w:spacing w:line="360" w:lineRule="auto"/>
        <w:ind w:firstLine="420"/>
        <w:rPr>
          <w:rFonts w:ascii="宋体" w:hAnsi="宋体"/>
          <w:sz w:val="22"/>
          <w:szCs w:val="21"/>
        </w:rPr>
      </w:pPr>
      <w:r>
        <w:rPr>
          <w:rFonts w:hint="eastAsia" w:ascii="宋体" w:hAnsi="宋体"/>
          <w:sz w:val="22"/>
          <w:szCs w:val="21"/>
        </w:rPr>
        <w:t>采取不正当手段诋毁、排挤其他供应商的；</w:t>
      </w:r>
    </w:p>
    <w:p w14:paraId="1A4A74F9">
      <w:pPr>
        <w:numPr>
          <w:ilvl w:val="0"/>
          <w:numId w:val="2"/>
        </w:numPr>
        <w:tabs>
          <w:tab w:val="left" w:pos="945"/>
        </w:tabs>
        <w:spacing w:line="360" w:lineRule="auto"/>
        <w:ind w:firstLine="420"/>
        <w:rPr>
          <w:rFonts w:ascii="宋体" w:hAnsi="Courier New"/>
          <w:sz w:val="22"/>
          <w:szCs w:val="20"/>
        </w:rPr>
      </w:pPr>
      <w:r>
        <w:rPr>
          <w:rFonts w:hint="eastAsia" w:ascii="宋体" w:hAnsi="宋体"/>
          <w:sz w:val="22"/>
          <w:szCs w:val="20"/>
        </w:rPr>
        <w:t>与采购人、其他供应商或者采购代理机构恶意串通的；</w:t>
      </w:r>
    </w:p>
    <w:p w14:paraId="7C6BE1D0">
      <w:pPr>
        <w:numPr>
          <w:ilvl w:val="0"/>
          <w:numId w:val="2"/>
        </w:numPr>
        <w:tabs>
          <w:tab w:val="left" w:pos="945"/>
        </w:tabs>
        <w:spacing w:line="360" w:lineRule="auto"/>
        <w:ind w:firstLine="420"/>
        <w:rPr>
          <w:rFonts w:ascii="宋体" w:hAnsi="Courier New"/>
          <w:sz w:val="22"/>
          <w:szCs w:val="20"/>
        </w:rPr>
      </w:pPr>
      <w:r>
        <w:rPr>
          <w:rFonts w:hint="eastAsia" w:ascii="宋体" w:hAnsi="宋体"/>
          <w:sz w:val="22"/>
          <w:szCs w:val="20"/>
        </w:rPr>
        <w:t>向采购人、采购代理机构行贿或者提供其他不正当利益的；</w:t>
      </w:r>
    </w:p>
    <w:p w14:paraId="17941B71">
      <w:pPr>
        <w:numPr>
          <w:ilvl w:val="0"/>
          <w:numId w:val="2"/>
        </w:numPr>
        <w:tabs>
          <w:tab w:val="left" w:pos="945"/>
        </w:tabs>
        <w:spacing w:line="360" w:lineRule="auto"/>
        <w:ind w:firstLine="420"/>
        <w:rPr>
          <w:rFonts w:ascii="宋体" w:hAnsi="Courier New"/>
          <w:sz w:val="22"/>
          <w:szCs w:val="20"/>
        </w:rPr>
      </w:pPr>
      <w:r>
        <w:rPr>
          <w:rFonts w:hint="eastAsia" w:ascii="宋体" w:hAnsi="宋体"/>
          <w:sz w:val="22"/>
          <w:szCs w:val="20"/>
        </w:rPr>
        <w:t>在采购过程中与采购人进行协商谈判的；</w:t>
      </w:r>
    </w:p>
    <w:p w14:paraId="3D3CF56B">
      <w:pPr>
        <w:numPr>
          <w:ilvl w:val="0"/>
          <w:numId w:val="2"/>
        </w:numPr>
        <w:tabs>
          <w:tab w:val="left" w:pos="945"/>
        </w:tabs>
        <w:spacing w:line="360" w:lineRule="auto"/>
        <w:ind w:firstLine="420"/>
        <w:rPr>
          <w:rFonts w:ascii="宋体" w:hAnsi="Courier New"/>
          <w:sz w:val="22"/>
          <w:szCs w:val="20"/>
        </w:rPr>
      </w:pPr>
      <w:r>
        <w:rPr>
          <w:rFonts w:hint="eastAsia" w:ascii="宋体" w:hAnsi="宋体"/>
          <w:sz w:val="22"/>
          <w:szCs w:val="20"/>
        </w:rPr>
        <w:t>拒绝有关部门监督检查或提供虚假情况的。</w:t>
      </w:r>
    </w:p>
    <w:p w14:paraId="1F908510">
      <w:pPr>
        <w:spacing w:line="360" w:lineRule="auto"/>
        <w:ind w:firstLine="420"/>
        <w:rPr>
          <w:rFonts w:ascii="宋体" w:hAnsi="Courier New"/>
          <w:sz w:val="22"/>
          <w:szCs w:val="20"/>
        </w:rPr>
      </w:pPr>
      <w:r>
        <w:rPr>
          <w:rFonts w:hint="eastAsia" w:ascii="宋体" w:hAnsi="宋体" w:cs="宋体"/>
          <w:sz w:val="22"/>
          <w:szCs w:val="20"/>
        </w:rPr>
        <w:t>11.与本谈判有关的一切正式往来信函请寄</w:t>
      </w:r>
      <w:r>
        <w:rPr>
          <w:rFonts w:hint="eastAsia" w:ascii="宋体" w:hAnsi="Courier New"/>
          <w:sz w:val="22"/>
          <w:szCs w:val="20"/>
        </w:rPr>
        <w:t>：</w:t>
      </w:r>
    </w:p>
    <w:p w14:paraId="51EC60ED">
      <w:pPr>
        <w:spacing w:line="360" w:lineRule="auto"/>
        <w:ind w:firstLine="420"/>
        <w:rPr>
          <w:rFonts w:ascii="宋体" w:hAnsi="Courier New"/>
          <w:sz w:val="22"/>
          <w:szCs w:val="21"/>
        </w:rPr>
      </w:pPr>
      <w:r>
        <w:rPr>
          <w:rFonts w:hint="eastAsia" w:ascii="宋体" w:hAnsi="Courier New"/>
          <w:sz w:val="22"/>
          <w:szCs w:val="21"/>
        </w:rPr>
        <w:t>地址：</w:t>
      </w:r>
    </w:p>
    <w:p w14:paraId="7913C46D">
      <w:pPr>
        <w:spacing w:line="360" w:lineRule="auto"/>
        <w:ind w:firstLine="420"/>
        <w:rPr>
          <w:rFonts w:ascii="宋体" w:hAnsi="Courier New"/>
          <w:sz w:val="22"/>
          <w:szCs w:val="21"/>
          <w:u w:val="single"/>
        </w:rPr>
      </w:pPr>
      <w:r>
        <w:rPr>
          <w:rFonts w:hint="eastAsia" w:ascii="宋体" w:hAnsi="Courier New"/>
          <w:sz w:val="22"/>
          <w:szCs w:val="21"/>
        </w:rPr>
        <w:t>电话：</w:t>
      </w:r>
      <w:r>
        <w:rPr>
          <w:rFonts w:hint="eastAsia" w:ascii="宋体" w:hAnsi="Courier New"/>
          <w:sz w:val="22"/>
          <w:szCs w:val="21"/>
          <w:u w:val="single"/>
        </w:rPr>
        <w:t>　　　　　　　　　</w:t>
      </w:r>
    </w:p>
    <w:p w14:paraId="5BE29BFE">
      <w:pPr>
        <w:spacing w:line="360" w:lineRule="auto"/>
        <w:ind w:firstLine="420"/>
        <w:rPr>
          <w:rFonts w:ascii="宋体" w:hAnsi="Courier New"/>
          <w:sz w:val="22"/>
          <w:szCs w:val="21"/>
        </w:rPr>
      </w:pPr>
      <w:r>
        <w:rPr>
          <w:rFonts w:hint="eastAsia" w:ascii="宋体" w:hAnsi="Courier New"/>
          <w:sz w:val="22"/>
          <w:szCs w:val="21"/>
        </w:rPr>
        <w:t>传真：</w:t>
      </w:r>
      <w:r>
        <w:rPr>
          <w:rFonts w:hint="eastAsia" w:ascii="宋体" w:hAnsi="Courier New"/>
          <w:sz w:val="22"/>
          <w:szCs w:val="21"/>
          <w:u w:val="single"/>
        </w:rPr>
        <w:t>　　　　　　　　　　　　　　　　　　　　　　　　　　　　</w:t>
      </w:r>
    </w:p>
    <w:p w14:paraId="43257953">
      <w:pPr>
        <w:spacing w:line="360" w:lineRule="auto"/>
        <w:ind w:firstLine="420"/>
        <w:rPr>
          <w:rFonts w:ascii="宋体" w:hAnsi="Courier New"/>
          <w:sz w:val="22"/>
          <w:szCs w:val="21"/>
          <w:u w:val="single"/>
        </w:rPr>
      </w:pPr>
      <w:r>
        <w:rPr>
          <w:rFonts w:hint="eastAsia" w:ascii="宋体" w:hAnsi="Courier New"/>
          <w:sz w:val="22"/>
          <w:szCs w:val="21"/>
        </w:rPr>
        <w:t>邮政编码：</w:t>
      </w:r>
    </w:p>
    <w:p w14:paraId="597D7D0F">
      <w:pPr>
        <w:spacing w:line="360" w:lineRule="auto"/>
        <w:ind w:firstLine="420"/>
        <w:rPr>
          <w:rFonts w:ascii="宋体" w:hAnsi="Courier New"/>
          <w:sz w:val="22"/>
          <w:szCs w:val="21"/>
          <w:u w:val="single"/>
        </w:rPr>
      </w:pPr>
      <w:r>
        <w:rPr>
          <w:rFonts w:hint="eastAsia" w:ascii="宋体" w:hAnsi="Courier New"/>
          <w:sz w:val="22"/>
          <w:szCs w:val="21"/>
        </w:rPr>
        <w:t>开户名称：</w:t>
      </w:r>
    </w:p>
    <w:p w14:paraId="736F3992">
      <w:pPr>
        <w:spacing w:line="360" w:lineRule="auto"/>
        <w:ind w:firstLine="420"/>
        <w:rPr>
          <w:rFonts w:ascii="宋体" w:hAnsi="Courier New"/>
          <w:sz w:val="22"/>
          <w:szCs w:val="21"/>
          <w:u w:val="single"/>
        </w:rPr>
      </w:pPr>
      <w:r>
        <w:rPr>
          <w:rFonts w:hint="eastAsia" w:ascii="宋体" w:hAnsi="Courier New"/>
          <w:sz w:val="22"/>
          <w:szCs w:val="21"/>
        </w:rPr>
        <w:t>开户银行：</w:t>
      </w:r>
    </w:p>
    <w:p w14:paraId="600B5E51">
      <w:pPr>
        <w:spacing w:line="360" w:lineRule="auto"/>
        <w:ind w:firstLine="420"/>
        <w:rPr>
          <w:rFonts w:ascii="宋体" w:hAnsi="Courier New"/>
          <w:sz w:val="22"/>
          <w:szCs w:val="21"/>
          <w:u w:val="single"/>
        </w:rPr>
      </w:pPr>
      <w:r>
        <w:rPr>
          <w:rFonts w:hint="eastAsia" w:ascii="宋体" w:hAnsi="Courier New"/>
          <w:sz w:val="22"/>
          <w:szCs w:val="21"/>
        </w:rPr>
        <w:t>银行账号：</w:t>
      </w:r>
    </w:p>
    <w:p w14:paraId="1AA5C89A">
      <w:pPr>
        <w:tabs>
          <w:tab w:val="left" w:pos="939"/>
        </w:tabs>
        <w:spacing w:line="360" w:lineRule="auto"/>
        <w:ind w:left="141" w:firstLine="360"/>
        <w:contextualSpacing/>
        <w:rPr>
          <w:rFonts w:ascii="宋体" w:hAnsi="宋体" w:cs="宋体"/>
          <w:sz w:val="24"/>
          <w:szCs w:val="21"/>
        </w:rPr>
      </w:pPr>
      <w:r>
        <w:rPr>
          <w:rFonts w:hint="eastAsia" w:ascii="宋体" w:hAnsi="宋体" w:cs="宋体"/>
          <w:sz w:val="24"/>
          <w:szCs w:val="21"/>
        </w:rPr>
        <w:t>特此承诺。</w:t>
      </w:r>
    </w:p>
    <w:p w14:paraId="78AA8CD5">
      <w:pPr>
        <w:spacing w:line="360" w:lineRule="auto"/>
        <w:ind w:left="4375" w:hanging="280"/>
        <w:rPr>
          <w:rFonts w:ascii="仿宋_GB2312" w:hAnsi="仿宋" w:eastAsia="仿宋_GB2312" w:cs="仿宋_GB2312"/>
          <w:sz w:val="28"/>
        </w:rPr>
      </w:pPr>
      <w:r>
        <w:rPr>
          <w:rFonts w:hint="eastAsia" w:ascii="仿宋_GB2312" w:hAnsi="仿宋" w:eastAsia="仿宋_GB2312" w:cs="仿宋_GB2312"/>
          <w:sz w:val="28"/>
        </w:rPr>
        <w:t>供应商名称（电子签章）：</w:t>
      </w:r>
    </w:p>
    <w:p w14:paraId="57D4DCA3">
      <w:pPr>
        <w:ind w:firstLine="6000"/>
        <w:rPr>
          <w:rFonts w:ascii="仿宋_GB2312" w:hAnsi="仿宋" w:eastAsia="仿宋_GB2312" w:cs="仿宋_GB2312"/>
          <w:sz w:val="24"/>
          <w:lang w:val="zh-CN"/>
        </w:rPr>
      </w:pPr>
      <w:r>
        <w:rPr>
          <w:rFonts w:hint="eastAsia" w:ascii="仿宋_GB2312" w:hAnsi="仿宋" w:eastAsia="仿宋_GB2312" w:cs="仿宋_GB2312"/>
          <w:sz w:val="24"/>
          <w:lang w:val="zh-CN"/>
        </w:rPr>
        <w:t>日期：年月日</w:t>
      </w:r>
    </w:p>
    <w:p w14:paraId="4D014F21">
      <w:pPr>
        <w:widowControl/>
        <w:jc w:val="left"/>
        <w:rPr>
          <w:rFonts w:ascii="仿宋_GB2312" w:hAnsi="仿宋" w:eastAsia="仿宋_GB2312" w:cs="仿宋_GB2312"/>
          <w:sz w:val="24"/>
          <w:lang w:val="zh-CN"/>
        </w:rPr>
        <w:sectPr>
          <w:pgSz w:w="11906" w:h="16838"/>
          <w:pgMar w:top="1134" w:right="1134" w:bottom="1134" w:left="1134" w:header="720" w:footer="720" w:gutter="0"/>
          <w:cols w:space="1701" w:num="1"/>
        </w:sectPr>
      </w:pPr>
    </w:p>
    <w:p w14:paraId="77191CCC">
      <w:pPr>
        <w:ind w:firstLine="5250"/>
      </w:pPr>
    </w:p>
    <w:p w14:paraId="09DF9120">
      <w:pPr>
        <w:spacing w:line="500" w:lineRule="exact"/>
        <w:ind w:firstLine="602"/>
        <w:rPr>
          <w:rFonts w:ascii="仿宋" w:hAnsi="仿宋" w:eastAsia="仿宋" w:cs="仿宋_GB2312"/>
          <w:b/>
          <w:sz w:val="30"/>
          <w:szCs w:val="30"/>
        </w:rPr>
      </w:pPr>
      <w:r>
        <w:rPr>
          <w:rFonts w:hint="eastAsia" w:ascii="仿宋" w:hAnsi="仿宋" w:eastAsia="仿宋" w:cs="仿宋_GB2312"/>
          <w:b/>
          <w:sz w:val="30"/>
          <w:szCs w:val="30"/>
        </w:rPr>
        <w:t>二、响应报价表</w:t>
      </w:r>
    </w:p>
    <w:p w14:paraId="49C24690">
      <w:pPr>
        <w:spacing w:before="50" w:after="50" w:line="360" w:lineRule="auto"/>
        <w:jc w:val="center"/>
        <w:rPr>
          <w:rFonts w:ascii="宋体" w:hAnsi="宋体"/>
          <w:sz w:val="24"/>
        </w:rPr>
      </w:pPr>
      <w:r>
        <w:rPr>
          <w:rFonts w:hint="eastAsia" w:ascii="仿宋" w:hAnsi="仿宋" w:eastAsia="仿宋" w:cs="仿宋_GB2312"/>
          <w:b/>
          <w:sz w:val="36"/>
          <w:szCs w:val="30"/>
        </w:rPr>
        <w:t>响应报价表</w:t>
      </w:r>
    </w:p>
    <w:p w14:paraId="36E381F0">
      <w:pPr>
        <w:spacing w:before="50" w:after="50" w:line="360" w:lineRule="auto"/>
        <w:rPr>
          <w:rFonts w:ascii="宋体" w:hAnsi="宋体"/>
          <w:sz w:val="24"/>
        </w:rPr>
      </w:pPr>
      <w:r>
        <w:rPr>
          <w:rFonts w:hint="eastAsia" w:ascii="宋体" w:hAnsi="宋体"/>
          <w:sz w:val="24"/>
        </w:rPr>
        <w:t>项目名称：</w:t>
      </w:r>
      <w:bookmarkStart w:id="92" w:name="PO_3000001871_PM002_10"/>
      <w:r>
        <w:rPr>
          <w:rFonts w:hint="eastAsia" w:ascii="宋体" w:hAnsi="宋体"/>
          <w:sz w:val="24"/>
          <w:u w:val="single"/>
        </w:rPr>
        <w:t>[项目采购-项目名称_]</w:t>
      </w:r>
      <w:bookmarkEnd w:id="92"/>
      <w:r>
        <w:rPr>
          <w:rFonts w:hint="eastAsia" w:ascii="宋体" w:hAnsi="宋体"/>
          <w:sz w:val="24"/>
        </w:rPr>
        <w:t>项目编号：</w:t>
      </w:r>
      <w:bookmarkStart w:id="93" w:name="PO_3000001871_PM001_7"/>
      <w:r>
        <w:rPr>
          <w:rFonts w:hint="eastAsia" w:ascii="宋体" w:hAnsi="宋体"/>
          <w:sz w:val="24"/>
          <w:u w:val="single"/>
        </w:rPr>
        <w:t>[项目采购-项目编号_]</w:t>
      </w:r>
      <w:bookmarkEnd w:id="93"/>
    </w:p>
    <w:p w14:paraId="27B1CA9D">
      <w:pPr>
        <w:spacing w:before="50" w:after="50" w:line="360" w:lineRule="auto"/>
        <w:rPr>
          <w:rFonts w:ascii="宋体" w:hAnsi="宋体"/>
          <w:sz w:val="24"/>
          <w:u w:val="single"/>
        </w:rPr>
      </w:pPr>
      <w:r>
        <w:rPr>
          <w:rFonts w:hint="eastAsia" w:hAnsi="宋体"/>
          <w:sz w:val="24"/>
        </w:rPr>
        <w:t>供应商名称：</w:t>
      </w:r>
    </w:p>
    <w:tbl>
      <w:tblPr>
        <w:tblStyle w:val="32"/>
        <w:tblW w:w="967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7"/>
        <w:gridCol w:w="1364"/>
        <w:gridCol w:w="1901"/>
        <w:gridCol w:w="1199"/>
        <w:gridCol w:w="1065"/>
        <w:gridCol w:w="941"/>
        <w:gridCol w:w="1549"/>
        <w:gridCol w:w="1070"/>
      </w:tblGrid>
      <w:tr w14:paraId="5AF6D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6" w:hRule="atLeast"/>
        </w:trPr>
        <w:tc>
          <w:tcPr>
            <w:tcW w:w="587" w:type="dxa"/>
            <w:tcBorders>
              <w:top w:val="single" w:color="auto" w:sz="4" w:space="0"/>
              <w:left w:val="single" w:color="auto" w:sz="4" w:space="0"/>
              <w:bottom w:val="single" w:color="auto" w:sz="4" w:space="0"/>
              <w:right w:val="single" w:color="auto" w:sz="4" w:space="0"/>
            </w:tcBorders>
            <w:noWrap/>
            <w:vAlign w:val="center"/>
          </w:tcPr>
          <w:p w14:paraId="05493695">
            <w:pPr>
              <w:rPr>
                <w:rFonts w:ascii="宋体" w:hAnsi="宋体"/>
                <w:szCs w:val="22"/>
              </w:rPr>
            </w:pPr>
            <w:r>
              <w:rPr>
                <w:rFonts w:hint="eastAsia" w:ascii="宋体" w:hAnsi="宋体"/>
                <w:szCs w:val="22"/>
              </w:rPr>
              <w:t>序号</w:t>
            </w:r>
          </w:p>
        </w:tc>
        <w:tc>
          <w:tcPr>
            <w:tcW w:w="1364" w:type="dxa"/>
            <w:tcBorders>
              <w:top w:val="single" w:color="auto" w:sz="4" w:space="0"/>
              <w:left w:val="single" w:color="auto" w:sz="4" w:space="0"/>
              <w:bottom w:val="single" w:color="auto" w:sz="4" w:space="0"/>
              <w:right w:val="single" w:color="auto" w:sz="4" w:space="0"/>
            </w:tcBorders>
            <w:noWrap/>
            <w:vAlign w:val="center"/>
          </w:tcPr>
          <w:p w14:paraId="077C7C31">
            <w:pPr>
              <w:rPr>
                <w:rFonts w:ascii="宋体" w:hAnsi="宋体"/>
                <w:szCs w:val="22"/>
              </w:rPr>
            </w:pPr>
            <w:r>
              <w:rPr>
                <w:rFonts w:hint="eastAsia" w:ascii="宋体" w:hAnsi="宋体"/>
                <w:szCs w:val="22"/>
              </w:rPr>
              <w:t>标的名称</w:t>
            </w:r>
          </w:p>
        </w:tc>
        <w:tc>
          <w:tcPr>
            <w:tcW w:w="1901" w:type="dxa"/>
            <w:tcBorders>
              <w:top w:val="single" w:color="auto" w:sz="4" w:space="0"/>
              <w:left w:val="single" w:color="auto" w:sz="4" w:space="0"/>
              <w:bottom w:val="single" w:color="auto" w:sz="4" w:space="0"/>
              <w:right w:val="single" w:color="auto" w:sz="4" w:space="0"/>
            </w:tcBorders>
            <w:noWrap/>
            <w:vAlign w:val="center"/>
          </w:tcPr>
          <w:p w14:paraId="6236E025">
            <w:pPr>
              <w:jc w:val="center"/>
              <w:rPr>
                <w:rFonts w:ascii="宋体" w:hAnsi="宋体"/>
                <w:szCs w:val="22"/>
              </w:rPr>
            </w:pPr>
            <w:r>
              <w:rPr>
                <w:rFonts w:hint="eastAsia" w:ascii="宋体" w:hAnsi="宋体"/>
                <w:szCs w:val="22"/>
              </w:rPr>
              <w:t>货物规格型号</w:t>
            </w:r>
          </w:p>
        </w:tc>
        <w:tc>
          <w:tcPr>
            <w:tcW w:w="1199" w:type="dxa"/>
            <w:tcBorders>
              <w:top w:val="single" w:color="auto" w:sz="4" w:space="0"/>
              <w:left w:val="single" w:color="auto" w:sz="4" w:space="0"/>
              <w:bottom w:val="single" w:color="auto" w:sz="4" w:space="0"/>
              <w:right w:val="single" w:color="auto" w:sz="4" w:space="0"/>
            </w:tcBorders>
            <w:noWrap/>
            <w:vAlign w:val="center"/>
          </w:tcPr>
          <w:p w14:paraId="0E93CF65">
            <w:pPr>
              <w:jc w:val="center"/>
              <w:rPr>
                <w:rFonts w:ascii="宋体" w:hAnsi="宋体"/>
                <w:szCs w:val="22"/>
              </w:rPr>
            </w:pPr>
            <w:r>
              <w:rPr>
                <w:rFonts w:hint="eastAsia" w:ascii="宋体" w:hAnsi="宋体"/>
                <w:szCs w:val="22"/>
              </w:rPr>
              <w:t>品牌（如有）</w:t>
            </w:r>
          </w:p>
        </w:tc>
        <w:tc>
          <w:tcPr>
            <w:tcW w:w="1065" w:type="dxa"/>
            <w:tcBorders>
              <w:top w:val="single" w:color="auto" w:sz="4" w:space="0"/>
              <w:left w:val="single" w:color="auto" w:sz="4" w:space="0"/>
              <w:bottom w:val="single" w:color="auto" w:sz="4" w:space="0"/>
              <w:right w:val="single" w:color="auto" w:sz="4" w:space="0"/>
            </w:tcBorders>
            <w:noWrap/>
            <w:vAlign w:val="center"/>
          </w:tcPr>
          <w:p w14:paraId="3754BD2C">
            <w:pPr>
              <w:jc w:val="center"/>
              <w:rPr>
                <w:rFonts w:ascii="宋体" w:hAnsi="宋体"/>
                <w:szCs w:val="22"/>
              </w:rPr>
            </w:pPr>
            <w:r>
              <w:rPr>
                <w:rFonts w:hint="eastAsia" w:ascii="宋体" w:hAnsi="宋体"/>
                <w:szCs w:val="22"/>
              </w:rPr>
              <w:t>数量①</w:t>
            </w:r>
          </w:p>
        </w:tc>
        <w:tc>
          <w:tcPr>
            <w:tcW w:w="941" w:type="dxa"/>
            <w:tcBorders>
              <w:top w:val="single" w:color="auto" w:sz="4" w:space="0"/>
              <w:left w:val="single" w:color="auto" w:sz="4" w:space="0"/>
              <w:bottom w:val="single" w:color="auto" w:sz="4" w:space="0"/>
              <w:right w:val="single" w:color="auto" w:sz="4" w:space="0"/>
            </w:tcBorders>
            <w:noWrap/>
            <w:vAlign w:val="center"/>
          </w:tcPr>
          <w:p w14:paraId="14E6F0FB">
            <w:pPr>
              <w:rPr>
                <w:rFonts w:ascii="宋体" w:hAnsi="宋体"/>
                <w:szCs w:val="22"/>
              </w:rPr>
            </w:pPr>
            <w:r>
              <w:rPr>
                <w:rFonts w:hint="eastAsia" w:ascii="宋体" w:hAnsi="宋体"/>
                <w:szCs w:val="22"/>
              </w:rPr>
              <w:t>单价(元)②</w:t>
            </w:r>
          </w:p>
        </w:tc>
        <w:tc>
          <w:tcPr>
            <w:tcW w:w="1549" w:type="dxa"/>
            <w:tcBorders>
              <w:top w:val="single" w:color="auto" w:sz="4" w:space="0"/>
              <w:left w:val="single" w:color="auto" w:sz="4" w:space="0"/>
              <w:bottom w:val="single" w:color="auto" w:sz="4" w:space="0"/>
              <w:right w:val="single" w:color="auto" w:sz="4" w:space="0"/>
            </w:tcBorders>
            <w:noWrap/>
            <w:vAlign w:val="center"/>
          </w:tcPr>
          <w:p w14:paraId="25294E62">
            <w:pPr>
              <w:rPr>
                <w:rFonts w:ascii="宋体" w:hAnsi="宋体"/>
                <w:szCs w:val="22"/>
              </w:rPr>
            </w:pPr>
            <w:r>
              <w:rPr>
                <w:rFonts w:hint="eastAsia" w:ascii="宋体" w:hAnsi="宋体"/>
                <w:szCs w:val="22"/>
              </w:rPr>
              <w:t>单项合价（元）</w:t>
            </w:r>
          </w:p>
          <w:p w14:paraId="61E4803E">
            <w:pPr>
              <w:rPr>
                <w:rFonts w:ascii="宋体" w:hAnsi="宋体"/>
                <w:szCs w:val="22"/>
              </w:rPr>
            </w:pPr>
            <w:r>
              <w:rPr>
                <w:rFonts w:hint="eastAsia" w:ascii="宋体" w:hAnsi="宋体"/>
                <w:szCs w:val="22"/>
              </w:rPr>
              <w:t>③＝①×②</w:t>
            </w:r>
          </w:p>
        </w:tc>
        <w:tc>
          <w:tcPr>
            <w:tcW w:w="1070" w:type="dxa"/>
            <w:tcBorders>
              <w:top w:val="single" w:color="auto" w:sz="4" w:space="0"/>
              <w:left w:val="single" w:color="auto" w:sz="4" w:space="0"/>
              <w:bottom w:val="single" w:color="auto" w:sz="4" w:space="0"/>
              <w:right w:val="single" w:color="auto" w:sz="4" w:space="0"/>
            </w:tcBorders>
            <w:noWrap/>
            <w:vAlign w:val="center"/>
          </w:tcPr>
          <w:p w14:paraId="36445D46">
            <w:pPr>
              <w:jc w:val="center"/>
              <w:rPr>
                <w:rFonts w:ascii="宋体" w:hAnsi="宋体"/>
                <w:szCs w:val="22"/>
              </w:rPr>
            </w:pPr>
            <w:r>
              <w:rPr>
                <w:rFonts w:hint="eastAsia" w:ascii="宋体" w:hAnsi="宋体"/>
                <w:szCs w:val="22"/>
              </w:rPr>
              <w:t>备注</w:t>
            </w:r>
          </w:p>
        </w:tc>
      </w:tr>
      <w:tr w14:paraId="299E7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587" w:type="dxa"/>
            <w:tcBorders>
              <w:top w:val="single" w:color="auto" w:sz="4" w:space="0"/>
              <w:left w:val="single" w:color="auto" w:sz="4" w:space="0"/>
              <w:bottom w:val="single" w:color="auto" w:sz="4" w:space="0"/>
              <w:right w:val="single" w:color="auto" w:sz="4" w:space="0"/>
            </w:tcBorders>
            <w:noWrap/>
            <w:vAlign w:val="center"/>
          </w:tcPr>
          <w:p w14:paraId="48F99C07">
            <w:pPr>
              <w:rPr>
                <w:rFonts w:ascii="宋体" w:hAnsi="宋体"/>
                <w:szCs w:val="22"/>
              </w:rPr>
            </w:pPr>
            <w:r>
              <w:rPr>
                <w:rFonts w:hint="eastAsia" w:ascii="宋体" w:hAnsi="宋体"/>
                <w:szCs w:val="22"/>
              </w:rPr>
              <w:t>1</w:t>
            </w:r>
          </w:p>
        </w:tc>
        <w:tc>
          <w:tcPr>
            <w:tcW w:w="1364" w:type="dxa"/>
            <w:tcBorders>
              <w:top w:val="single" w:color="auto" w:sz="4" w:space="0"/>
              <w:left w:val="single" w:color="auto" w:sz="4" w:space="0"/>
              <w:bottom w:val="single" w:color="auto" w:sz="4" w:space="0"/>
              <w:right w:val="single" w:color="auto" w:sz="4" w:space="0"/>
            </w:tcBorders>
            <w:noWrap/>
            <w:vAlign w:val="center"/>
          </w:tcPr>
          <w:p w14:paraId="1C5CAAD5">
            <w:pPr>
              <w:rPr>
                <w:rFonts w:ascii="宋体" w:hAnsi="宋体"/>
                <w:szCs w:val="22"/>
              </w:rPr>
            </w:pPr>
          </w:p>
        </w:tc>
        <w:tc>
          <w:tcPr>
            <w:tcW w:w="1901" w:type="dxa"/>
            <w:tcBorders>
              <w:top w:val="single" w:color="auto" w:sz="4" w:space="0"/>
              <w:left w:val="single" w:color="auto" w:sz="4" w:space="0"/>
              <w:bottom w:val="single" w:color="auto" w:sz="4" w:space="0"/>
              <w:right w:val="single" w:color="auto" w:sz="4" w:space="0"/>
            </w:tcBorders>
            <w:noWrap/>
            <w:vAlign w:val="center"/>
          </w:tcPr>
          <w:p w14:paraId="7FD232AE">
            <w:pPr>
              <w:rPr>
                <w:rFonts w:ascii="宋体" w:hAnsi="宋体"/>
                <w:szCs w:val="22"/>
              </w:rPr>
            </w:pPr>
          </w:p>
        </w:tc>
        <w:tc>
          <w:tcPr>
            <w:tcW w:w="1199" w:type="dxa"/>
            <w:tcBorders>
              <w:top w:val="single" w:color="auto" w:sz="4" w:space="0"/>
              <w:left w:val="single" w:color="auto" w:sz="4" w:space="0"/>
              <w:bottom w:val="single" w:color="auto" w:sz="4" w:space="0"/>
              <w:right w:val="single" w:color="auto" w:sz="4" w:space="0"/>
            </w:tcBorders>
            <w:noWrap/>
            <w:vAlign w:val="center"/>
          </w:tcPr>
          <w:p w14:paraId="1C4F4C30">
            <w:pPr>
              <w:rPr>
                <w:rFonts w:ascii="宋体" w:hAnsi="宋体"/>
                <w:szCs w:val="22"/>
              </w:rPr>
            </w:pPr>
          </w:p>
        </w:tc>
        <w:tc>
          <w:tcPr>
            <w:tcW w:w="1065" w:type="dxa"/>
            <w:tcBorders>
              <w:top w:val="single" w:color="auto" w:sz="4" w:space="0"/>
              <w:left w:val="single" w:color="auto" w:sz="4" w:space="0"/>
              <w:bottom w:val="single" w:color="auto" w:sz="4" w:space="0"/>
              <w:right w:val="single" w:color="auto" w:sz="4" w:space="0"/>
            </w:tcBorders>
            <w:noWrap/>
            <w:vAlign w:val="center"/>
          </w:tcPr>
          <w:p w14:paraId="32FB6FBB">
            <w:pPr>
              <w:rPr>
                <w:rFonts w:ascii="宋体" w:hAnsi="宋体"/>
                <w:szCs w:val="22"/>
              </w:rPr>
            </w:pPr>
          </w:p>
        </w:tc>
        <w:tc>
          <w:tcPr>
            <w:tcW w:w="941" w:type="dxa"/>
            <w:tcBorders>
              <w:top w:val="single" w:color="auto" w:sz="4" w:space="0"/>
              <w:left w:val="single" w:color="auto" w:sz="4" w:space="0"/>
              <w:bottom w:val="single" w:color="auto" w:sz="4" w:space="0"/>
              <w:right w:val="single" w:color="auto" w:sz="4" w:space="0"/>
            </w:tcBorders>
            <w:noWrap/>
            <w:vAlign w:val="center"/>
          </w:tcPr>
          <w:p w14:paraId="5624FAE9">
            <w:pPr>
              <w:rPr>
                <w:rFonts w:ascii="宋体" w:hAnsi="宋体"/>
                <w:szCs w:val="22"/>
              </w:rPr>
            </w:pPr>
          </w:p>
        </w:tc>
        <w:tc>
          <w:tcPr>
            <w:tcW w:w="1549" w:type="dxa"/>
            <w:tcBorders>
              <w:top w:val="single" w:color="auto" w:sz="4" w:space="0"/>
              <w:left w:val="single" w:color="auto" w:sz="4" w:space="0"/>
              <w:bottom w:val="single" w:color="auto" w:sz="4" w:space="0"/>
              <w:right w:val="single" w:color="auto" w:sz="4" w:space="0"/>
            </w:tcBorders>
            <w:noWrap/>
            <w:vAlign w:val="center"/>
          </w:tcPr>
          <w:p w14:paraId="66BE3FB0">
            <w:pPr>
              <w:rPr>
                <w:rFonts w:ascii="宋体" w:hAnsi="宋体"/>
                <w:szCs w:val="22"/>
              </w:rPr>
            </w:pPr>
          </w:p>
        </w:tc>
        <w:tc>
          <w:tcPr>
            <w:tcW w:w="1070" w:type="dxa"/>
            <w:tcBorders>
              <w:top w:val="single" w:color="auto" w:sz="4" w:space="0"/>
              <w:left w:val="single" w:color="auto" w:sz="4" w:space="0"/>
              <w:bottom w:val="single" w:color="auto" w:sz="4" w:space="0"/>
              <w:right w:val="single" w:color="auto" w:sz="4" w:space="0"/>
            </w:tcBorders>
            <w:noWrap/>
          </w:tcPr>
          <w:p w14:paraId="0502BFAC">
            <w:pPr>
              <w:rPr>
                <w:rFonts w:ascii="宋体" w:hAnsi="宋体"/>
                <w:szCs w:val="22"/>
              </w:rPr>
            </w:pPr>
          </w:p>
        </w:tc>
      </w:tr>
      <w:tr w14:paraId="2FB62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atLeast"/>
        </w:trPr>
        <w:tc>
          <w:tcPr>
            <w:tcW w:w="587" w:type="dxa"/>
            <w:tcBorders>
              <w:top w:val="single" w:color="auto" w:sz="4" w:space="0"/>
              <w:left w:val="single" w:color="auto" w:sz="4" w:space="0"/>
              <w:bottom w:val="single" w:color="auto" w:sz="4" w:space="0"/>
              <w:right w:val="single" w:color="auto" w:sz="4" w:space="0"/>
            </w:tcBorders>
            <w:noWrap/>
            <w:vAlign w:val="center"/>
          </w:tcPr>
          <w:p w14:paraId="24347A5A">
            <w:pPr>
              <w:rPr>
                <w:rFonts w:ascii="宋体" w:hAnsi="宋体"/>
                <w:szCs w:val="22"/>
              </w:rPr>
            </w:pPr>
            <w:r>
              <w:rPr>
                <w:rFonts w:hint="eastAsia" w:ascii="宋体" w:hAnsi="宋体"/>
                <w:szCs w:val="22"/>
              </w:rPr>
              <w:t>2</w:t>
            </w:r>
          </w:p>
        </w:tc>
        <w:tc>
          <w:tcPr>
            <w:tcW w:w="1364" w:type="dxa"/>
            <w:tcBorders>
              <w:top w:val="single" w:color="auto" w:sz="4" w:space="0"/>
              <w:left w:val="single" w:color="auto" w:sz="4" w:space="0"/>
              <w:bottom w:val="single" w:color="auto" w:sz="4" w:space="0"/>
              <w:right w:val="single" w:color="auto" w:sz="4" w:space="0"/>
            </w:tcBorders>
            <w:noWrap/>
            <w:vAlign w:val="center"/>
          </w:tcPr>
          <w:p w14:paraId="53B38EB0">
            <w:pPr>
              <w:rPr>
                <w:rFonts w:ascii="宋体" w:hAnsi="宋体"/>
                <w:szCs w:val="22"/>
              </w:rPr>
            </w:pPr>
          </w:p>
        </w:tc>
        <w:tc>
          <w:tcPr>
            <w:tcW w:w="1901" w:type="dxa"/>
            <w:tcBorders>
              <w:top w:val="single" w:color="auto" w:sz="4" w:space="0"/>
              <w:left w:val="single" w:color="auto" w:sz="4" w:space="0"/>
              <w:bottom w:val="single" w:color="auto" w:sz="4" w:space="0"/>
              <w:right w:val="single" w:color="auto" w:sz="4" w:space="0"/>
            </w:tcBorders>
            <w:noWrap/>
            <w:vAlign w:val="center"/>
          </w:tcPr>
          <w:p w14:paraId="4A5B15BB">
            <w:pPr>
              <w:rPr>
                <w:rFonts w:ascii="宋体" w:hAnsi="宋体"/>
                <w:szCs w:val="22"/>
              </w:rPr>
            </w:pPr>
          </w:p>
        </w:tc>
        <w:tc>
          <w:tcPr>
            <w:tcW w:w="1199" w:type="dxa"/>
            <w:tcBorders>
              <w:top w:val="single" w:color="auto" w:sz="4" w:space="0"/>
              <w:left w:val="single" w:color="auto" w:sz="4" w:space="0"/>
              <w:bottom w:val="single" w:color="auto" w:sz="4" w:space="0"/>
              <w:right w:val="single" w:color="auto" w:sz="4" w:space="0"/>
            </w:tcBorders>
            <w:noWrap/>
            <w:vAlign w:val="center"/>
          </w:tcPr>
          <w:p w14:paraId="4E6214A7">
            <w:pPr>
              <w:rPr>
                <w:rFonts w:ascii="宋体" w:hAnsi="宋体"/>
                <w:szCs w:val="22"/>
              </w:rPr>
            </w:pPr>
          </w:p>
        </w:tc>
        <w:tc>
          <w:tcPr>
            <w:tcW w:w="1065" w:type="dxa"/>
            <w:tcBorders>
              <w:top w:val="single" w:color="auto" w:sz="4" w:space="0"/>
              <w:left w:val="single" w:color="auto" w:sz="4" w:space="0"/>
              <w:bottom w:val="single" w:color="auto" w:sz="4" w:space="0"/>
              <w:right w:val="single" w:color="auto" w:sz="4" w:space="0"/>
            </w:tcBorders>
            <w:noWrap/>
            <w:vAlign w:val="center"/>
          </w:tcPr>
          <w:p w14:paraId="1F180D91">
            <w:pPr>
              <w:rPr>
                <w:rFonts w:ascii="宋体" w:hAnsi="宋体"/>
                <w:szCs w:val="22"/>
              </w:rPr>
            </w:pPr>
          </w:p>
        </w:tc>
        <w:tc>
          <w:tcPr>
            <w:tcW w:w="941" w:type="dxa"/>
            <w:tcBorders>
              <w:top w:val="single" w:color="auto" w:sz="4" w:space="0"/>
              <w:left w:val="single" w:color="auto" w:sz="4" w:space="0"/>
              <w:bottom w:val="single" w:color="auto" w:sz="4" w:space="0"/>
              <w:right w:val="single" w:color="auto" w:sz="4" w:space="0"/>
            </w:tcBorders>
            <w:noWrap/>
            <w:vAlign w:val="center"/>
          </w:tcPr>
          <w:p w14:paraId="1804E100">
            <w:pPr>
              <w:rPr>
                <w:rFonts w:ascii="宋体" w:hAnsi="宋体"/>
                <w:szCs w:val="22"/>
              </w:rPr>
            </w:pPr>
          </w:p>
        </w:tc>
        <w:tc>
          <w:tcPr>
            <w:tcW w:w="1549" w:type="dxa"/>
            <w:tcBorders>
              <w:top w:val="single" w:color="auto" w:sz="4" w:space="0"/>
              <w:left w:val="single" w:color="auto" w:sz="4" w:space="0"/>
              <w:bottom w:val="single" w:color="auto" w:sz="4" w:space="0"/>
              <w:right w:val="single" w:color="auto" w:sz="4" w:space="0"/>
            </w:tcBorders>
            <w:noWrap/>
            <w:vAlign w:val="center"/>
          </w:tcPr>
          <w:p w14:paraId="23EFF704">
            <w:pPr>
              <w:rPr>
                <w:rFonts w:ascii="宋体" w:hAnsi="宋体"/>
                <w:szCs w:val="22"/>
              </w:rPr>
            </w:pPr>
          </w:p>
        </w:tc>
        <w:tc>
          <w:tcPr>
            <w:tcW w:w="1070" w:type="dxa"/>
            <w:tcBorders>
              <w:top w:val="single" w:color="auto" w:sz="4" w:space="0"/>
              <w:left w:val="single" w:color="auto" w:sz="4" w:space="0"/>
              <w:bottom w:val="single" w:color="auto" w:sz="4" w:space="0"/>
              <w:right w:val="single" w:color="auto" w:sz="4" w:space="0"/>
            </w:tcBorders>
            <w:noWrap/>
          </w:tcPr>
          <w:p w14:paraId="56B48283">
            <w:pPr>
              <w:rPr>
                <w:rFonts w:ascii="宋体" w:hAnsi="宋体"/>
                <w:szCs w:val="22"/>
              </w:rPr>
            </w:pPr>
          </w:p>
        </w:tc>
      </w:tr>
      <w:tr w14:paraId="2BEF1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atLeast"/>
        </w:trPr>
        <w:tc>
          <w:tcPr>
            <w:tcW w:w="587" w:type="dxa"/>
            <w:tcBorders>
              <w:top w:val="single" w:color="auto" w:sz="4" w:space="0"/>
              <w:left w:val="single" w:color="auto" w:sz="4" w:space="0"/>
              <w:bottom w:val="single" w:color="auto" w:sz="4" w:space="0"/>
              <w:right w:val="single" w:color="auto" w:sz="4" w:space="0"/>
            </w:tcBorders>
            <w:noWrap/>
            <w:vAlign w:val="center"/>
          </w:tcPr>
          <w:p w14:paraId="279EE4C1">
            <w:pPr>
              <w:rPr>
                <w:rFonts w:ascii="宋体" w:hAnsi="宋体"/>
                <w:szCs w:val="22"/>
              </w:rPr>
            </w:pPr>
            <w:r>
              <w:rPr>
                <w:rFonts w:hint="eastAsia" w:ascii="宋体" w:hAnsi="宋体"/>
                <w:szCs w:val="22"/>
              </w:rPr>
              <w:t>...</w:t>
            </w:r>
          </w:p>
        </w:tc>
        <w:tc>
          <w:tcPr>
            <w:tcW w:w="1364" w:type="dxa"/>
            <w:tcBorders>
              <w:top w:val="single" w:color="auto" w:sz="4" w:space="0"/>
              <w:left w:val="single" w:color="auto" w:sz="4" w:space="0"/>
              <w:bottom w:val="single" w:color="auto" w:sz="4" w:space="0"/>
              <w:right w:val="single" w:color="auto" w:sz="4" w:space="0"/>
            </w:tcBorders>
            <w:noWrap/>
            <w:vAlign w:val="center"/>
          </w:tcPr>
          <w:p w14:paraId="3C40595F">
            <w:pPr>
              <w:rPr>
                <w:rFonts w:ascii="宋体" w:hAnsi="宋体"/>
                <w:szCs w:val="22"/>
              </w:rPr>
            </w:pPr>
          </w:p>
        </w:tc>
        <w:tc>
          <w:tcPr>
            <w:tcW w:w="1901" w:type="dxa"/>
            <w:tcBorders>
              <w:top w:val="single" w:color="auto" w:sz="4" w:space="0"/>
              <w:left w:val="single" w:color="auto" w:sz="4" w:space="0"/>
              <w:bottom w:val="single" w:color="auto" w:sz="4" w:space="0"/>
              <w:right w:val="single" w:color="auto" w:sz="4" w:space="0"/>
            </w:tcBorders>
            <w:noWrap/>
            <w:vAlign w:val="center"/>
          </w:tcPr>
          <w:p w14:paraId="5A8373B6">
            <w:pPr>
              <w:rPr>
                <w:rFonts w:ascii="宋体" w:hAnsi="宋体"/>
                <w:szCs w:val="22"/>
              </w:rPr>
            </w:pPr>
          </w:p>
        </w:tc>
        <w:tc>
          <w:tcPr>
            <w:tcW w:w="1199" w:type="dxa"/>
            <w:tcBorders>
              <w:top w:val="single" w:color="auto" w:sz="4" w:space="0"/>
              <w:left w:val="single" w:color="auto" w:sz="4" w:space="0"/>
              <w:bottom w:val="single" w:color="auto" w:sz="4" w:space="0"/>
              <w:right w:val="single" w:color="auto" w:sz="4" w:space="0"/>
            </w:tcBorders>
            <w:noWrap/>
            <w:vAlign w:val="center"/>
          </w:tcPr>
          <w:p w14:paraId="7653A164">
            <w:pPr>
              <w:rPr>
                <w:rFonts w:ascii="宋体" w:hAnsi="宋体"/>
                <w:szCs w:val="22"/>
              </w:rPr>
            </w:pPr>
          </w:p>
        </w:tc>
        <w:tc>
          <w:tcPr>
            <w:tcW w:w="1065" w:type="dxa"/>
            <w:tcBorders>
              <w:top w:val="single" w:color="auto" w:sz="4" w:space="0"/>
              <w:left w:val="single" w:color="auto" w:sz="4" w:space="0"/>
              <w:bottom w:val="single" w:color="auto" w:sz="4" w:space="0"/>
              <w:right w:val="single" w:color="auto" w:sz="4" w:space="0"/>
            </w:tcBorders>
            <w:noWrap/>
            <w:vAlign w:val="center"/>
          </w:tcPr>
          <w:p w14:paraId="32AAF313">
            <w:pPr>
              <w:rPr>
                <w:rFonts w:ascii="宋体" w:hAnsi="宋体"/>
                <w:szCs w:val="22"/>
              </w:rPr>
            </w:pPr>
          </w:p>
        </w:tc>
        <w:tc>
          <w:tcPr>
            <w:tcW w:w="941" w:type="dxa"/>
            <w:tcBorders>
              <w:top w:val="single" w:color="auto" w:sz="4" w:space="0"/>
              <w:left w:val="single" w:color="auto" w:sz="4" w:space="0"/>
              <w:bottom w:val="single" w:color="auto" w:sz="4" w:space="0"/>
              <w:right w:val="single" w:color="auto" w:sz="4" w:space="0"/>
            </w:tcBorders>
            <w:noWrap/>
            <w:vAlign w:val="center"/>
          </w:tcPr>
          <w:p w14:paraId="417D9B37">
            <w:pPr>
              <w:rPr>
                <w:rFonts w:ascii="宋体" w:hAnsi="宋体"/>
                <w:szCs w:val="22"/>
              </w:rPr>
            </w:pPr>
          </w:p>
        </w:tc>
        <w:tc>
          <w:tcPr>
            <w:tcW w:w="1549" w:type="dxa"/>
            <w:tcBorders>
              <w:top w:val="single" w:color="auto" w:sz="4" w:space="0"/>
              <w:left w:val="single" w:color="auto" w:sz="4" w:space="0"/>
              <w:bottom w:val="single" w:color="auto" w:sz="4" w:space="0"/>
              <w:right w:val="single" w:color="auto" w:sz="4" w:space="0"/>
            </w:tcBorders>
            <w:noWrap/>
            <w:vAlign w:val="center"/>
          </w:tcPr>
          <w:p w14:paraId="138E9705">
            <w:pPr>
              <w:rPr>
                <w:rFonts w:ascii="宋体" w:hAnsi="宋体"/>
                <w:szCs w:val="22"/>
              </w:rPr>
            </w:pPr>
          </w:p>
        </w:tc>
        <w:tc>
          <w:tcPr>
            <w:tcW w:w="1070" w:type="dxa"/>
            <w:tcBorders>
              <w:top w:val="single" w:color="auto" w:sz="4" w:space="0"/>
              <w:left w:val="single" w:color="auto" w:sz="4" w:space="0"/>
              <w:bottom w:val="single" w:color="auto" w:sz="4" w:space="0"/>
              <w:right w:val="single" w:color="auto" w:sz="4" w:space="0"/>
            </w:tcBorders>
            <w:noWrap/>
          </w:tcPr>
          <w:p w14:paraId="210A3306">
            <w:pPr>
              <w:rPr>
                <w:rFonts w:ascii="宋体" w:hAnsi="宋体"/>
                <w:szCs w:val="22"/>
              </w:rPr>
            </w:pPr>
          </w:p>
        </w:tc>
      </w:tr>
      <w:tr w14:paraId="780C1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3" w:hRule="atLeast"/>
        </w:trPr>
        <w:tc>
          <w:tcPr>
            <w:tcW w:w="9676" w:type="dxa"/>
            <w:gridSpan w:val="8"/>
            <w:tcBorders>
              <w:top w:val="single" w:color="auto" w:sz="4" w:space="0"/>
              <w:left w:val="single" w:color="auto" w:sz="4" w:space="0"/>
              <w:bottom w:val="single" w:color="auto" w:sz="4" w:space="0"/>
              <w:right w:val="single" w:color="auto" w:sz="4" w:space="0"/>
            </w:tcBorders>
            <w:noWrap/>
          </w:tcPr>
          <w:p w14:paraId="6929BFBF">
            <w:pPr>
              <w:rPr>
                <w:rFonts w:ascii="宋体" w:hAnsi="宋体"/>
                <w:szCs w:val="22"/>
              </w:rPr>
            </w:pPr>
            <w:r>
              <w:rPr>
                <w:rFonts w:hint="eastAsia" w:ascii="宋体" w:hAnsi="宋体"/>
                <w:szCs w:val="22"/>
              </w:rPr>
              <w:t xml:space="preserve">报价合计（包含税费等所有费用）：（大写）人民币 </w:t>
            </w:r>
            <w:r>
              <w:rPr>
                <w:rFonts w:ascii="宋体" w:hAnsi="宋体"/>
                <w:szCs w:val="22"/>
              </w:rPr>
              <w:t xml:space="preserve">      </w:t>
            </w:r>
            <w:r>
              <w:rPr>
                <w:rFonts w:hint="eastAsia" w:ascii="宋体" w:hAnsi="宋体"/>
                <w:szCs w:val="22"/>
              </w:rPr>
              <w:t xml:space="preserve">（￥ </w:t>
            </w:r>
            <w:r>
              <w:rPr>
                <w:rFonts w:ascii="宋体" w:hAnsi="宋体"/>
                <w:szCs w:val="22"/>
              </w:rPr>
              <w:t xml:space="preserve">       </w:t>
            </w:r>
            <w:r>
              <w:rPr>
                <w:rFonts w:hint="eastAsia" w:ascii="宋体" w:hAnsi="宋体"/>
                <w:szCs w:val="22"/>
              </w:rPr>
              <w:t>元）</w:t>
            </w:r>
          </w:p>
        </w:tc>
      </w:tr>
      <w:tr w14:paraId="59974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3" w:hRule="atLeast"/>
        </w:trPr>
        <w:tc>
          <w:tcPr>
            <w:tcW w:w="9676" w:type="dxa"/>
            <w:gridSpan w:val="8"/>
            <w:tcBorders>
              <w:top w:val="single" w:color="auto" w:sz="4" w:space="0"/>
              <w:left w:val="single" w:color="auto" w:sz="4" w:space="0"/>
              <w:bottom w:val="single" w:color="auto" w:sz="4" w:space="0"/>
              <w:right w:val="single" w:color="auto" w:sz="4" w:space="0"/>
            </w:tcBorders>
            <w:noWrap/>
          </w:tcPr>
          <w:p w14:paraId="25098E0F">
            <w:pPr>
              <w:rPr>
                <w:rFonts w:ascii="宋体" w:hAnsi="宋体"/>
                <w:szCs w:val="22"/>
              </w:rPr>
            </w:pPr>
            <w:r>
              <w:rPr>
                <w:rFonts w:hint="eastAsia" w:ascii="宋体" w:hAnsi="宋体"/>
                <w:szCs w:val="21"/>
                <w:u w:val="single"/>
              </w:rPr>
              <w:t>　　</w:t>
            </w:r>
            <w:r>
              <w:rPr>
                <w:rFonts w:hint="eastAsia" w:ascii="宋体" w:hAnsi="宋体"/>
                <w:szCs w:val="21"/>
              </w:rPr>
              <w:t>分标（此处有分标时填写具体分标号，无分标时填写“无”）</w:t>
            </w:r>
          </w:p>
        </w:tc>
      </w:tr>
      <w:tr w14:paraId="61A4A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3" w:hRule="atLeast"/>
        </w:trPr>
        <w:tc>
          <w:tcPr>
            <w:tcW w:w="9676" w:type="dxa"/>
            <w:gridSpan w:val="8"/>
            <w:tcBorders>
              <w:top w:val="single" w:color="auto" w:sz="4" w:space="0"/>
              <w:left w:val="single" w:color="auto" w:sz="4" w:space="0"/>
              <w:bottom w:val="single" w:color="auto" w:sz="4" w:space="0"/>
              <w:right w:val="single" w:color="auto" w:sz="4" w:space="0"/>
            </w:tcBorders>
            <w:noWrap/>
          </w:tcPr>
          <w:p w14:paraId="5E9AF962">
            <w:pPr>
              <w:rPr>
                <w:rFonts w:ascii="宋体" w:hAnsi="宋体"/>
                <w:szCs w:val="22"/>
              </w:rPr>
            </w:pPr>
            <w:r>
              <w:rPr>
                <w:rFonts w:hint="eastAsia" w:ascii="宋体" w:hAnsi="宋体"/>
                <w:szCs w:val="22"/>
              </w:rPr>
              <w:t>验收标准：</w:t>
            </w:r>
          </w:p>
        </w:tc>
      </w:tr>
      <w:tr w14:paraId="2923F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3" w:hRule="atLeast"/>
        </w:trPr>
        <w:tc>
          <w:tcPr>
            <w:tcW w:w="9676" w:type="dxa"/>
            <w:gridSpan w:val="8"/>
            <w:tcBorders>
              <w:top w:val="single" w:color="auto" w:sz="4" w:space="0"/>
              <w:left w:val="single" w:color="auto" w:sz="4" w:space="0"/>
              <w:bottom w:val="single" w:color="auto" w:sz="4" w:space="0"/>
              <w:right w:val="single" w:color="auto" w:sz="4" w:space="0"/>
            </w:tcBorders>
            <w:noWrap/>
          </w:tcPr>
          <w:p w14:paraId="0D5F2C1C">
            <w:pPr>
              <w:rPr>
                <w:rFonts w:ascii="宋体" w:hAnsi="宋体"/>
                <w:szCs w:val="22"/>
              </w:rPr>
            </w:pPr>
            <w:r>
              <w:rPr>
                <w:rFonts w:hint="eastAsia" w:ascii="宋体" w:hAnsi="宋体"/>
                <w:szCs w:val="22"/>
              </w:rPr>
              <w:t>优惠及其它：</w:t>
            </w:r>
          </w:p>
        </w:tc>
      </w:tr>
      <w:tr w14:paraId="6F2C5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1" w:hRule="atLeast"/>
        </w:trPr>
        <w:tc>
          <w:tcPr>
            <w:tcW w:w="9676" w:type="dxa"/>
            <w:gridSpan w:val="8"/>
            <w:tcBorders>
              <w:top w:val="single" w:color="auto" w:sz="4" w:space="0"/>
              <w:left w:val="single" w:color="auto" w:sz="4" w:space="0"/>
              <w:bottom w:val="single" w:color="auto" w:sz="4" w:space="0"/>
              <w:right w:val="single" w:color="auto" w:sz="4" w:space="0"/>
            </w:tcBorders>
            <w:noWrap/>
          </w:tcPr>
          <w:p w14:paraId="1012E50B">
            <w:pPr>
              <w:rPr>
                <w:rFonts w:ascii="宋体" w:hAnsi="宋体"/>
                <w:szCs w:val="22"/>
              </w:rPr>
            </w:pPr>
            <w:r>
              <w:rPr>
                <w:rFonts w:hint="eastAsia" w:ascii="宋体" w:hAnsi="宋体"/>
                <w:szCs w:val="22"/>
              </w:rPr>
              <w:t>响应产品中，属于本国产品总值为¥       （具体明细详见附表，附表格式自拟），占响应产品的比例为    %。</w:t>
            </w:r>
          </w:p>
        </w:tc>
      </w:tr>
    </w:tbl>
    <w:p w14:paraId="43FF8279">
      <w:pPr>
        <w:spacing w:before="50" w:after="50" w:line="360" w:lineRule="auto"/>
        <w:ind w:firstLine="480"/>
        <w:jc w:val="left"/>
        <w:rPr>
          <w:rFonts w:ascii="仿宋_GB2312" w:hAnsi="仿宋" w:eastAsia="仿宋_GB2312" w:cs="仿宋_GB2312"/>
          <w:sz w:val="24"/>
          <w:lang w:val="zh-CN"/>
        </w:rPr>
      </w:pPr>
      <w:r>
        <w:rPr>
          <w:rFonts w:hint="eastAsia" w:ascii="仿宋_GB2312" w:hAnsi="仿宋" w:eastAsia="仿宋_GB2312" w:cs="仿宋_GB2312"/>
          <w:sz w:val="24"/>
          <w:lang w:val="zh-CN"/>
        </w:rPr>
        <w:t>注：</w:t>
      </w:r>
    </w:p>
    <w:p w14:paraId="2B24C93E">
      <w:pPr>
        <w:spacing w:before="50" w:after="50" w:line="360" w:lineRule="auto"/>
        <w:ind w:firstLine="480"/>
        <w:jc w:val="left"/>
        <w:rPr>
          <w:rFonts w:ascii="仿宋_GB2312" w:hAnsi="仿宋" w:eastAsia="仿宋_GB2312" w:cs="仿宋_GB2312"/>
          <w:sz w:val="24"/>
          <w:lang w:val="zh-CN"/>
        </w:rPr>
      </w:pPr>
      <w:r>
        <w:rPr>
          <w:rFonts w:hint="eastAsia" w:ascii="仿宋_GB2312" w:hAnsi="仿宋" w:eastAsia="仿宋_GB2312" w:cs="仿宋_GB2312"/>
          <w:sz w:val="24"/>
          <w:lang w:val="zh-CN"/>
        </w:rPr>
        <w:t>1、供应商需按本表格式填写，不得自行更改，也不得留空, 如有多分标，按分标分别提供响应报价表</w:t>
      </w:r>
      <w:r>
        <w:rPr>
          <w:rFonts w:hint="eastAsia" w:ascii="仿宋_GB2312" w:hAnsi="仿宋" w:eastAsia="仿宋_GB2312" w:cs="仿宋_GB2312"/>
          <w:b/>
          <w:sz w:val="24"/>
          <w:lang w:val="zh-CN"/>
        </w:rPr>
        <w:t>。</w:t>
      </w:r>
    </w:p>
    <w:p w14:paraId="6CBA37AE">
      <w:pPr>
        <w:spacing w:before="50" w:after="50" w:line="360" w:lineRule="auto"/>
        <w:ind w:firstLine="480"/>
        <w:jc w:val="left"/>
        <w:rPr>
          <w:rFonts w:ascii="仿宋_GB2312" w:hAnsi="仿宋" w:eastAsia="仿宋_GB2312" w:cs="仿宋_GB2312"/>
          <w:b/>
          <w:sz w:val="24"/>
          <w:lang w:val="zh-CN"/>
        </w:rPr>
      </w:pPr>
      <w:r>
        <w:rPr>
          <w:rFonts w:hint="eastAsia" w:ascii="仿宋_GB2312" w:hAnsi="仿宋" w:eastAsia="仿宋_GB2312" w:cs="仿宋_GB2312"/>
          <w:sz w:val="24"/>
          <w:lang w:val="zh-CN"/>
        </w:rPr>
        <w:t>2、如为联合体响应的，“供应商名称”处必须列明联合体各方名称，并标注联合体牵头人名称，且盖章处须加盖联合体各方公章，</w:t>
      </w:r>
      <w:r>
        <w:rPr>
          <w:rFonts w:hint="eastAsia" w:ascii="仿宋_GB2312" w:hAnsi="仿宋" w:eastAsia="仿宋_GB2312" w:cs="仿宋_GB2312"/>
          <w:b/>
          <w:sz w:val="24"/>
          <w:lang w:val="zh-CN"/>
        </w:rPr>
        <w:t>否则其响应作无效响应处理。</w:t>
      </w:r>
    </w:p>
    <w:p w14:paraId="72E606DF">
      <w:pPr>
        <w:spacing w:before="50" w:after="50" w:line="360" w:lineRule="auto"/>
        <w:ind w:firstLine="480"/>
        <w:jc w:val="left"/>
        <w:rPr>
          <w:rFonts w:ascii="仿宋_GB2312" w:hAnsi="仿宋" w:eastAsia="仿宋_GB2312" w:cs="仿宋_GB2312"/>
          <w:b/>
          <w:sz w:val="24"/>
          <w:lang w:val="zh-CN"/>
        </w:rPr>
      </w:pPr>
      <w:r>
        <w:rPr>
          <w:rFonts w:hint="eastAsia" w:ascii="仿宋_GB2312" w:hAnsi="仿宋" w:eastAsia="仿宋_GB2312" w:cs="仿宋_GB2312"/>
          <w:sz w:val="24"/>
          <w:lang w:val="zh-CN"/>
        </w:rPr>
        <w:t>3、以上表格 “标的名称”一栏中，填写具体货物（详见第二章采购需求），</w:t>
      </w:r>
      <w:r>
        <w:rPr>
          <w:rFonts w:hint="eastAsia" w:ascii="仿宋_GB2312" w:hAnsi="仿宋" w:eastAsia="仿宋_GB2312" w:cs="仿宋_GB2312"/>
          <w:b/>
          <w:sz w:val="24"/>
          <w:lang w:val="zh-CN"/>
        </w:rPr>
        <w:t>否则其响应作无效响应处理。</w:t>
      </w:r>
    </w:p>
    <w:p w14:paraId="0D42BB5B">
      <w:pPr>
        <w:spacing w:line="360" w:lineRule="auto"/>
        <w:ind w:firstLine="480"/>
        <w:jc w:val="left"/>
        <w:rPr>
          <w:rFonts w:ascii="仿宋_GB2312" w:hAnsi="仿宋" w:eastAsia="仿宋_GB2312" w:cs="仿宋_GB2312"/>
          <w:sz w:val="24"/>
          <w:lang w:val="zh-CN"/>
        </w:rPr>
      </w:pPr>
      <w:r>
        <w:rPr>
          <w:rFonts w:hint="eastAsia" w:ascii="仿宋_GB2312" w:hAnsi="仿宋" w:eastAsia="仿宋_GB2312" w:cs="仿宋_GB2312"/>
          <w:sz w:val="24"/>
          <w:lang w:val="zh-CN"/>
        </w:rPr>
        <w:t>4、特别提示：采购机构将对项目名称和项目编号，成交供应商名称、地址和成交金额，主要成交标的的名称、规格型号、数量、单价、货物要求等予以公示。</w:t>
      </w:r>
    </w:p>
    <w:p w14:paraId="47D86976">
      <w:pPr>
        <w:spacing w:line="360" w:lineRule="auto"/>
        <w:ind w:firstLine="480"/>
        <w:jc w:val="left"/>
        <w:rPr>
          <w:rFonts w:ascii="仿宋_GB2312" w:hAnsi="仿宋" w:eastAsia="仿宋_GB2312" w:cs="仿宋_GB2312"/>
          <w:sz w:val="24"/>
          <w:lang w:val="zh-CN"/>
        </w:rPr>
      </w:pPr>
      <w:r>
        <w:rPr>
          <w:rFonts w:hint="eastAsia" w:ascii="仿宋_GB2312" w:hAnsi="仿宋" w:eastAsia="仿宋_GB2312" w:cs="仿宋_GB2312"/>
          <w:sz w:val="24"/>
          <w:szCs w:val="22"/>
          <w:lang w:val="zh-CN"/>
        </w:rPr>
        <w:t>5、</w:t>
      </w:r>
      <w:r>
        <w:rPr>
          <w:rFonts w:hint="eastAsia" w:ascii="仿宋_GB2312" w:hAnsi="仿宋" w:eastAsia="仿宋_GB2312" w:cs="仿宋_GB2312"/>
          <w:sz w:val="24"/>
          <w:lang w:val="zh-CN"/>
        </w:rPr>
        <w:t>符合采购文件中列明的可享受中小企业扶持政策的供应商，请填写中小企业声明函。注：供应商提供的中小企业声明函内容不实的，属于提供虚假材料谋取成交，依照《中华人民共和国政府采购法》等国家有关规定追究相应责任。</w:t>
      </w:r>
    </w:p>
    <w:p w14:paraId="5D25ACEA">
      <w:pPr>
        <w:spacing w:line="360" w:lineRule="auto"/>
        <w:ind w:left="4335" w:hanging="240"/>
        <w:rPr>
          <w:rFonts w:ascii="仿宋_GB2312" w:hAnsi="仿宋" w:eastAsia="仿宋_GB2312" w:cs="仿宋_GB2312"/>
          <w:sz w:val="24"/>
        </w:rPr>
      </w:pPr>
      <w:r>
        <w:rPr>
          <w:rFonts w:hint="eastAsia" w:ascii="仿宋_GB2312" w:hAnsi="仿宋" w:eastAsia="仿宋_GB2312" w:cs="仿宋_GB2312"/>
          <w:sz w:val="24"/>
        </w:rPr>
        <w:t>供应商名称（电子签章）：</w:t>
      </w:r>
    </w:p>
    <w:p w14:paraId="69CC7EAF">
      <w:pPr>
        <w:spacing w:line="360" w:lineRule="auto"/>
        <w:ind w:firstLine="6480"/>
        <w:rPr>
          <w:rFonts w:ascii="仿宋_GB2312" w:hAnsi="仿宋" w:eastAsia="仿宋_GB2312" w:cs="仿宋_GB2312"/>
          <w:sz w:val="24"/>
          <w:lang w:val="zh-CN"/>
        </w:rPr>
      </w:pPr>
      <w:r>
        <w:rPr>
          <w:rFonts w:hint="eastAsia" w:ascii="仿宋_GB2312" w:hAnsi="仿宋" w:eastAsia="仿宋_GB2312" w:cs="仿宋_GB2312"/>
          <w:sz w:val="24"/>
          <w:lang w:val="zh-CN"/>
        </w:rPr>
        <w:t>日期：年月日</w:t>
      </w:r>
    </w:p>
    <w:p w14:paraId="30AB5B66">
      <w:pPr>
        <w:spacing w:line="500" w:lineRule="exact"/>
        <w:ind w:firstLine="602"/>
        <w:rPr>
          <w:rFonts w:ascii="仿宋" w:hAnsi="仿宋" w:eastAsia="仿宋" w:cs="仿宋_GB2312"/>
          <w:b/>
          <w:sz w:val="30"/>
          <w:szCs w:val="30"/>
        </w:rPr>
      </w:pPr>
    </w:p>
    <w:p w14:paraId="043D65A2">
      <w:pPr>
        <w:spacing w:line="500" w:lineRule="exact"/>
        <w:ind w:firstLine="602"/>
        <w:rPr>
          <w:rFonts w:ascii="仿宋" w:hAnsi="仿宋" w:eastAsia="仿宋" w:cs="仿宋_GB2312"/>
          <w:b/>
          <w:sz w:val="30"/>
          <w:szCs w:val="30"/>
        </w:rPr>
      </w:pPr>
      <w:r>
        <w:rPr>
          <w:rFonts w:hint="eastAsia" w:ascii="仿宋" w:hAnsi="仿宋" w:eastAsia="仿宋" w:cs="仿宋_GB2312"/>
          <w:b/>
          <w:sz w:val="30"/>
          <w:szCs w:val="30"/>
        </w:rPr>
        <w:t>三、中小企业声明函</w:t>
      </w:r>
    </w:p>
    <w:p w14:paraId="68E0443B">
      <w:pPr>
        <w:spacing w:line="300" w:lineRule="auto"/>
        <w:ind w:firstLine="2200"/>
        <w:rPr>
          <w:rFonts w:ascii="方正小标宋简体" w:hAnsi="方正小标宋简体" w:eastAsia="方正小标宋简体" w:cs="方正小标宋简体"/>
          <w:sz w:val="44"/>
          <w:szCs w:val="44"/>
        </w:rPr>
      </w:pPr>
    </w:p>
    <w:p w14:paraId="4B0A204F">
      <w:pPr>
        <w:spacing w:line="300" w:lineRule="auto"/>
        <w:ind w:firstLine="2200"/>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中小企业声明函（货物）</w:t>
      </w:r>
    </w:p>
    <w:p w14:paraId="04BF1022">
      <w:pPr>
        <w:spacing w:line="360" w:lineRule="auto"/>
        <w:ind w:left="-426" w:right="142" w:firstLine="640"/>
        <w:contextualSpacing/>
        <w:rPr>
          <w:rFonts w:ascii="宋体" w:hAnsi="宋体"/>
          <w:sz w:val="24"/>
        </w:rPr>
      </w:pPr>
      <w:r>
        <w:rPr>
          <w:rFonts w:hint="eastAsia" w:ascii="宋体" w:hAnsi="宋体"/>
          <w:sz w:val="24"/>
        </w:rPr>
        <w:t>本公司（联合体）郑重声明，根据《政府采购促进中小企业发展管理办法》（财库﹝2020﹞46号）的规定，本公司（联合体）参加</w:t>
      </w:r>
      <w:bookmarkStart w:id="94" w:name="PO_3000001871_PM026_3"/>
      <w:r>
        <w:rPr>
          <w:rFonts w:hint="eastAsia" w:ascii="宋体" w:hAnsi="宋体"/>
          <w:sz w:val="24"/>
          <w:u w:val="single"/>
        </w:rPr>
        <w:t>[项目采购-采购人_]</w:t>
      </w:r>
      <w:bookmarkEnd w:id="94"/>
      <w:r>
        <w:rPr>
          <w:rFonts w:ascii="宋体" w:hAnsi="宋体"/>
          <w:sz w:val="24"/>
          <w:u w:val="single"/>
        </w:rPr>
        <w:t xml:space="preserve">   </w:t>
      </w:r>
      <w:r>
        <w:rPr>
          <w:rFonts w:hint="eastAsia" w:ascii="宋体" w:hAnsi="宋体"/>
          <w:sz w:val="24"/>
        </w:rPr>
        <w:t>的</w:t>
      </w:r>
      <w:bookmarkStart w:id="95" w:name="PO_3000001871_PM002_11"/>
      <w:r>
        <w:rPr>
          <w:rFonts w:hint="eastAsia" w:ascii="宋体" w:hAnsi="宋体"/>
          <w:sz w:val="24"/>
          <w:u w:val="single"/>
        </w:rPr>
        <w:t>[项目采购-项目名称_]</w:t>
      </w:r>
      <w:bookmarkEnd w:id="95"/>
      <w:r>
        <w:rPr>
          <w:rFonts w:ascii="宋体" w:hAnsi="宋体"/>
          <w:sz w:val="24"/>
          <w:u w:val="single"/>
        </w:rPr>
        <w:t xml:space="preserve">    </w:t>
      </w:r>
      <w:r>
        <w:rPr>
          <w:rFonts w:hint="eastAsia" w:ascii="宋体" w:hAnsi="宋体"/>
          <w:sz w:val="24"/>
        </w:rPr>
        <w:t>采购活动，提供的货物全部由符合政策要求的中小企业制造。相关企业（含联合体中的中小企业、签订分包意向协议的中小企业）的具体情况如下：</w:t>
      </w:r>
    </w:p>
    <w:p w14:paraId="1B7216C5">
      <w:pPr>
        <w:tabs>
          <w:tab w:val="left" w:pos="1384"/>
          <w:tab w:val="left" w:pos="4562"/>
          <w:tab w:val="left" w:pos="6803"/>
        </w:tabs>
        <w:spacing w:line="360" w:lineRule="auto"/>
        <w:ind w:left="-426" w:right="-58" w:firstLine="655"/>
        <w:contextualSpacing/>
        <w:rPr>
          <w:rFonts w:ascii="宋体" w:hAnsi="宋体"/>
          <w:sz w:val="24"/>
        </w:rPr>
      </w:pPr>
      <w:r>
        <w:rPr>
          <w:rFonts w:hint="eastAsia" w:ascii="宋体" w:hAnsi="宋体"/>
          <w:sz w:val="24"/>
        </w:rPr>
        <w:t>1.</w:t>
      </w:r>
      <w:r>
        <w:rPr>
          <w:rFonts w:hint="eastAsia" w:ascii="宋体" w:hAnsi="宋体"/>
          <w:sz w:val="24"/>
          <w:u w:val="single"/>
        </w:rPr>
        <w:t>（标的名称）</w:t>
      </w:r>
      <w:r>
        <w:rPr>
          <w:rFonts w:hint="eastAsia" w:ascii="宋体" w:hAnsi="宋体"/>
          <w:sz w:val="24"/>
        </w:rPr>
        <w:t>，属于</w:t>
      </w:r>
      <w:r>
        <w:rPr>
          <w:rFonts w:hint="eastAsia" w:ascii="宋体" w:hAnsi="宋体"/>
          <w:sz w:val="24"/>
          <w:u w:val="single"/>
        </w:rPr>
        <w:t>（采购文件中明确的所属行业）</w:t>
      </w:r>
      <w:r>
        <w:rPr>
          <w:rFonts w:hint="eastAsia" w:ascii="宋体" w:hAnsi="宋体"/>
          <w:sz w:val="24"/>
        </w:rPr>
        <w:t>行业；制造商为</w:t>
      </w:r>
      <w:r>
        <w:rPr>
          <w:rFonts w:hint="eastAsia" w:ascii="宋体" w:hAnsi="宋体"/>
          <w:sz w:val="24"/>
          <w:u w:val="single"/>
        </w:rPr>
        <w:t>（企业名称）</w:t>
      </w:r>
      <w:r>
        <w:rPr>
          <w:rFonts w:hint="eastAsia" w:ascii="宋体" w:hAnsi="宋体"/>
          <w:sz w:val="24"/>
        </w:rPr>
        <w:t>，从业人员</w:t>
      </w:r>
      <w:r>
        <w:rPr>
          <w:rFonts w:hint="eastAsia" w:ascii="宋体" w:hAnsi="宋体"/>
          <w:sz w:val="24"/>
          <w:u w:val="single"/>
        </w:rPr>
        <w:t xml:space="preserve"> </w:t>
      </w:r>
      <w:r>
        <w:rPr>
          <w:rFonts w:ascii="宋体" w:hAnsi="宋体"/>
          <w:sz w:val="24"/>
          <w:u w:val="single"/>
        </w:rPr>
        <w:t xml:space="preserve">    </w:t>
      </w:r>
      <w:r>
        <w:rPr>
          <w:rFonts w:hint="eastAsia" w:ascii="宋体" w:hAnsi="宋体"/>
          <w:sz w:val="24"/>
        </w:rPr>
        <w:t>人，营业收入为</w:t>
      </w:r>
      <w:r>
        <w:rPr>
          <w:rFonts w:hint="eastAsia" w:ascii="宋体" w:hAnsi="宋体"/>
          <w:sz w:val="24"/>
          <w:u w:val="single"/>
        </w:rPr>
        <w:t xml:space="preserve"> </w:t>
      </w:r>
      <w:r>
        <w:rPr>
          <w:rFonts w:ascii="宋体" w:hAnsi="宋体"/>
          <w:sz w:val="24"/>
          <w:u w:val="single"/>
        </w:rPr>
        <w:t xml:space="preserve">    </w:t>
      </w:r>
      <w:r>
        <w:rPr>
          <w:rFonts w:hint="eastAsia" w:ascii="宋体" w:hAnsi="宋体"/>
          <w:sz w:val="24"/>
        </w:rPr>
        <w:t>万元，资产总额为</w:t>
      </w:r>
      <w:r>
        <w:rPr>
          <w:rFonts w:hint="eastAsia" w:ascii="宋体" w:hAnsi="宋体"/>
          <w:sz w:val="24"/>
          <w:u w:val="single"/>
        </w:rPr>
        <w:t xml:space="preserve"> </w:t>
      </w:r>
      <w:r>
        <w:rPr>
          <w:rFonts w:ascii="宋体" w:hAnsi="宋体"/>
          <w:sz w:val="24"/>
          <w:u w:val="single"/>
        </w:rPr>
        <w:t xml:space="preserve">    </w:t>
      </w:r>
      <w:r>
        <w:rPr>
          <w:rFonts w:hint="eastAsia" w:ascii="宋体" w:hAnsi="宋体"/>
          <w:sz w:val="24"/>
        </w:rPr>
        <w:t>万元，属于</w:t>
      </w:r>
      <w:r>
        <w:rPr>
          <w:rFonts w:hint="eastAsia" w:ascii="宋体" w:hAnsi="宋体"/>
          <w:sz w:val="24"/>
          <w:u w:val="single"/>
        </w:rPr>
        <w:t>（中型企业、小型企业、微型企业）</w:t>
      </w:r>
      <w:r>
        <w:rPr>
          <w:rFonts w:hint="eastAsia" w:ascii="宋体" w:hAnsi="宋体"/>
          <w:sz w:val="24"/>
        </w:rPr>
        <w:t>；</w:t>
      </w:r>
    </w:p>
    <w:p w14:paraId="119B68E7">
      <w:pPr>
        <w:tabs>
          <w:tab w:val="left" w:pos="1065"/>
          <w:tab w:val="left" w:pos="6477"/>
        </w:tabs>
        <w:spacing w:line="360" w:lineRule="auto"/>
        <w:ind w:left="-426" w:right="-58" w:firstLine="655"/>
        <w:contextualSpacing/>
        <w:rPr>
          <w:rFonts w:ascii="宋体" w:hAnsi="宋体"/>
          <w:sz w:val="24"/>
        </w:rPr>
      </w:pPr>
      <w:r>
        <w:rPr>
          <w:rFonts w:hint="eastAsia" w:ascii="宋体" w:hAnsi="宋体"/>
          <w:sz w:val="24"/>
        </w:rPr>
        <w:t>2.</w:t>
      </w:r>
      <w:r>
        <w:rPr>
          <w:rFonts w:hint="eastAsia" w:ascii="宋体" w:hAnsi="宋体"/>
          <w:sz w:val="24"/>
          <w:u w:val="single"/>
        </w:rPr>
        <w:t>（标的名称）</w:t>
      </w:r>
      <w:r>
        <w:rPr>
          <w:rFonts w:hint="eastAsia" w:ascii="宋体" w:hAnsi="宋体"/>
          <w:sz w:val="24"/>
        </w:rPr>
        <w:t>，属于</w:t>
      </w:r>
      <w:r>
        <w:rPr>
          <w:rFonts w:hint="eastAsia" w:ascii="宋体" w:hAnsi="宋体"/>
          <w:sz w:val="24"/>
          <w:u w:val="single"/>
        </w:rPr>
        <w:t>（采购文件中明确的所属行业）</w:t>
      </w:r>
      <w:r>
        <w:rPr>
          <w:rFonts w:hint="eastAsia" w:ascii="宋体" w:hAnsi="宋体"/>
          <w:sz w:val="24"/>
        </w:rPr>
        <w:t>行业；制造商为</w:t>
      </w:r>
      <w:r>
        <w:rPr>
          <w:rFonts w:hint="eastAsia" w:ascii="宋体" w:hAnsi="宋体"/>
          <w:sz w:val="24"/>
          <w:u w:val="single"/>
        </w:rPr>
        <w:t>（企业名称）</w:t>
      </w:r>
      <w:r>
        <w:rPr>
          <w:rFonts w:hint="eastAsia" w:ascii="宋体" w:hAnsi="宋体"/>
          <w:sz w:val="24"/>
        </w:rPr>
        <w:t>，从业人员</w:t>
      </w:r>
      <w:r>
        <w:rPr>
          <w:rFonts w:hint="eastAsia" w:ascii="宋体" w:hAnsi="宋体"/>
          <w:sz w:val="24"/>
          <w:u w:val="single"/>
        </w:rPr>
        <w:t xml:space="preserve"> </w:t>
      </w:r>
      <w:r>
        <w:rPr>
          <w:rFonts w:ascii="宋体" w:hAnsi="宋体"/>
          <w:sz w:val="24"/>
          <w:u w:val="single"/>
        </w:rPr>
        <w:t xml:space="preserve">    </w:t>
      </w:r>
      <w:r>
        <w:rPr>
          <w:rFonts w:hint="eastAsia" w:ascii="宋体" w:hAnsi="宋体"/>
          <w:sz w:val="24"/>
        </w:rPr>
        <w:t>人，营业收入为</w:t>
      </w:r>
      <w:r>
        <w:rPr>
          <w:rFonts w:hint="eastAsia" w:ascii="宋体" w:hAnsi="宋体"/>
          <w:sz w:val="24"/>
          <w:u w:val="single"/>
        </w:rPr>
        <w:t xml:space="preserve"> </w:t>
      </w:r>
      <w:r>
        <w:rPr>
          <w:rFonts w:ascii="宋体" w:hAnsi="宋体"/>
          <w:sz w:val="24"/>
          <w:u w:val="single"/>
        </w:rPr>
        <w:t xml:space="preserve">    </w:t>
      </w:r>
      <w:r>
        <w:rPr>
          <w:rFonts w:hint="eastAsia" w:ascii="宋体" w:hAnsi="宋体"/>
          <w:sz w:val="24"/>
        </w:rPr>
        <w:t>万元，资产总额为</w:t>
      </w:r>
      <w:r>
        <w:rPr>
          <w:rFonts w:hint="eastAsia" w:ascii="宋体" w:hAnsi="宋体"/>
          <w:sz w:val="24"/>
          <w:u w:val="single"/>
        </w:rPr>
        <w:t xml:space="preserve"> </w:t>
      </w:r>
      <w:r>
        <w:rPr>
          <w:rFonts w:ascii="宋体" w:hAnsi="宋体"/>
          <w:sz w:val="24"/>
          <w:u w:val="single"/>
        </w:rPr>
        <w:t xml:space="preserve">    </w:t>
      </w:r>
      <w:r>
        <w:rPr>
          <w:rFonts w:hint="eastAsia" w:ascii="宋体" w:hAnsi="宋体"/>
          <w:sz w:val="24"/>
        </w:rPr>
        <w:t>万元，属于</w:t>
      </w:r>
      <w:r>
        <w:rPr>
          <w:rFonts w:hint="eastAsia" w:ascii="宋体" w:hAnsi="宋体"/>
          <w:sz w:val="24"/>
          <w:u w:val="single"/>
        </w:rPr>
        <w:t>（中型企业、小型企业、微型企业）</w:t>
      </w:r>
      <w:r>
        <w:rPr>
          <w:rFonts w:hint="eastAsia" w:ascii="宋体" w:hAnsi="宋体"/>
          <w:sz w:val="24"/>
        </w:rPr>
        <w:t>；</w:t>
      </w:r>
    </w:p>
    <w:p w14:paraId="1B4196D1">
      <w:pPr>
        <w:spacing w:line="360" w:lineRule="auto"/>
        <w:ind w:left="142" w:right="142"/>
        <w:contextualSpacing/>
        <w:rPr>
          <w:rFonts w:ascii="宋体" w:hAnsi="宋体"/>
          <w:sz w:val="24"/>
        </w:rPr>
      </w:pPr>
      <w:r>
        <w:rPr>
          <w:rFonts w:hint="eastAsia" w:ascii="宋体" w:hAnsi="宋体"/>
          <w:sz w:val="24"/>
        </w:rPr>
        <w:t>……</w:t>
      </w:r>
    </w:p>
    <w:p w14:paraId="45860239">
      <w:pPr>
        <w:spacing w:line="360" w:lineRule="auto"/>
        <w:ind w:left="-405" w:right="142" w:firstLine="455"/>
        <w:contextualSpacing/>
        <w:rPr>
          <w:rFonts w:ascii="宋体" w:hAnsi="宋体"/>
          <w:b/>
          <w:sz w:val="24"/>
        </w:rPr>
      </w:pPr>
      <w:r>
        <w:rPr>
          <w:rFonts w:hint="eastAsia" w:ascii="宋体" w:hAnsi="宋体"/>
          <w:b/>
          <w:sz w:val="24"/>
        </w:rPr>
        <w:t>以上企业，不属于大企业的分支机构，不存在控股股东为大企业的情形，也不存在与大企业的负责人为同一人的情形。</w:t>
      </w:r>
    </w:p>
    <w:p w14:paraId="49C211DB">
      <w:pPr>
        <w:spacing w:line="360" w:lineRule="auto"/>
        <w:ind w:left="-426" w:right="142" w:firstLine="567"/>
        <w:contextualSpacing/>
        <w:rPr>
          <w:rFonts w:ascii="宋体" w:hAnsi="宋体"/>
          <w:sz w:val="24"/>
        </w:rPr>
      </w:pPr>
      <w:r>
        <w:rPr>
          <w:rFonts w:hint="eastAsia" w:ascii="宋体" w:hAnsi="宋体"/>
          <w:sz w:val="24"/>
        </w:rPr>
        <w:t>本企业对上述声明内容的真实性负责。如有虚假，将依法承担相应责任。</w:t>
      </w:r>
    </w:p>
    <w:p w14:paraId="1F8A77B7">
      <w:pPr>
        <w:spacing w:line="360" w:lineRule="auto"/>
        <w:ind w:left="3960" w:right="1808"/>
        <w:contextualSpacing/>
        <w:rPr>
          <w:rFonts w:ascii="宋体" w:hAnsi="宋体"/>
          <w:sz w:val="24"/>
        </w:rPr>
      </w:pPr>
    </w:p>
    <w:p w14:paraId="384836E5">
      <w:pPr>
        <w:spacing w:line="360" w:lineRule="auto"/>
        <w:ind w:left="4335" w:hanging="240"/>
        <w:rPr>
          <w:rFonts w:ascii="仿宋_GB2312" w:hAnsi="仿宋" w:eastAsia="仿宋_GB2312" w:cs="仿宋_GB2312"/>
          <w:sz w:val="24"/>
        </w:rPr>
      </w:pPr>
      <w:r>
        <w:rPr>
          <w:rFonts w:hint="eastAsia" w:ascii="仿宋_GB2312" w:hAnsi="仿宋" w:eastAsia="仿宋_GB2312" w:cs="仿宋_GB2312"/>
          <w:sz w:val="24"/>
        </w:rPr>
        <w:t>供应商名称（电子签章）：</w:t>
      </w:r>
    </w:p>
    <w:p w14:paraId="6FDDBD6F">
      <w:pPr>
        <w:spacing w:line="360" w:lineRule="auto"/>
        <w:ind w:firstLine="6480"/>
        <w:rPr>
          <w:rFonts w:ascii="仿宋_GB2312" w:hAnsi="仿宋" w:eastAsia="仿宋_GB2312" w:cs="仿宋_GB2312"/>
          <w:sz w:val="24"/>
          <w:lang w:val="zh-CN"/>
        </w:rPr>
      </w:pPr>
      <w:r>
        <w:rPr>
          <w:rFonts w:hint="eastAsia" w:ascii="仿宋_GB2312" w:hAnsi="仿宋" w:eastAsia="仿宋_GB2312" w:cs="仿宋_GB2312"/>
          <w:sz w:val="24"/>
          <w:lang w:val="zh-CN"/>
        </w:rPr>
        <w:t>日期：年月日</w:t>
      </w:r>
    </w:p>
    <w:p w14:paraId="6FE7F75C">
      <w:pPr>
        <w:spacing w:line="360" w:lineRule="auto"/>
        <w:ind w:left="3960" w:right="1808"/>
        <w:contextualSpacing/>
      </w:pPr>
    </w:p>
    <w:p w14:paraId="71CD86E9">
      <w:pPr>
        <w:spacing w:line="360" w:lineRule="auto"/>
        <w:jc w:val="left"/>
        <w:rPr>
          <w:rFonts w:ascii="宋体" w:hAnsi="宋体" w:cs="仿宋_GB2312"/>
          <w:sz w:val="24"/>
        </w:rPr>
      </w:pPr>
      <w:r>
        <w:rPr>
          <w:rFonts w:hint="eastAsia" w:ascii="宋体" w:hAnsi="宋体" w:cs="仿宋_GB2312"/>
          <w:sz w:val="24"/>
        </w:rPr>
        <w:t>注：享受《政府采购促进中小企业发展管理办法》（财库〔2020〕46号）规定的中小企业扶持政策的，采购人、采购代理机构应当随成交结果公开成交供应商的《中小企业声明函》。从业人员、营业收入、资产总额填报上一年度数据，无上一年度数据的新成立企业可不填报。</w:t>
      </w:r>
    </w:p>
    <w:p w14:paraId="0DE08F4E">
      <w:pPr>
        <w:spacing w:before="50" w:after="50" w:line="360" w:lineRule="auto"/>
        <w:ind w:right="-817"/>
        <w:rPr>
          <w:rFonts w:ascii="仿宋_GB2312" w:hAnsi="仿宋_GB2312" w:eastAsia="仿宋_GB2312" w:cs="仿宋_GB2312"/>
          <w:b/>
          <w:sz w:val="32"/>
          <w:szCs w:val="32"/>
        </w:rPr>
      </w:pPr>
      <w:r>
        <w:rPr>
          <w:rFonts w:hint="eastAsia" w:ascii="仿宋_GB2312" w:hAnsi="仿宋_GB2312" w:eastAsia="仿宋_GB2312" w:cs="仿宋_GB2312"/>
          <w:b/>
          <w:sz w:val="32"/>
          <w:szCs w:val="32"/>
        </w:rPr>
        <w:t>(温馨提醒：以上“标的名称”一栏中，填写具体货物名称（详见第二章采购需求），逐条明确每个货物对应的声明内容</w:t>
      </w:r>
      <w:r>
        <w:rPr>
          <w:rFonts w:ascii="仿宋_GB2312" w:hAnsi="仿宋_GB2312" w:eastAsia="仿宋_GB2312" w:cs="仿宋_GB2312"/>
          <w:b/>
          <w:sz w:val="32"/>
          <w:szCs w:val="32"/>
        </w:rPr>
        <w:t>)</w:t>
      </w:r>
    </w:p>
    <w:p w14:paraId="2AB986E6">
      <w:pPr>
        <w:keepNext/>
        <w:keepLines/>
        <w:spacing w:before="260" w:after="260" w:line="415" w:lineRule="auto"/>
        <w:jc w:val="center"/>
        <w:outlineLvl w:val="1"/>
        <w:rPr>
          <w:rFonts w:ascii="宋体" w:hAnsi="宋体" w:cs="宋体"/>
          <w:bCs/>
          <w:sz w:val="32"/>
          <w:szCs w:val="32"/>
        </w:rPr>
      </w:pPr>
      <w:r>
        <w:rPr>
          <w:rFonts w:hint="eastAsia" w:ascii="宋体" w:hAnsi="宋体" w:cs="宋体"/>
          <w:b/>
          <w:bCs/>
          <w:sz w:val="24"/>
          <w:szCs w:val="32"/>
        </w:rPr>
        <w:br w:type="page" w:clear="all"/>
      </w:r>
      <w:bookmarkStart w:id="96" w:name="_Toc173510409"/>
      <w:r>
        <w:rPr>
          <w:rFonts w:hint="eastAsia" w:ascii="宋体" w:hAnsi="宋体" w:cs="宋体"/>
          <w:b/>
          <w:bCs/>
          <w:sz w:val="32"/>
          <w:szCs w:val="32"/>
        </w:rPr>
        <w:t>第五节其他文书、文件格式</w:t>
      </w:r>
      <w:bookmarkEnd w:id="96"/>
    </w:p>
    <w:p w14:paraId="518CCFD8">
      <w:pPr>
        <w:jc w:val="center"/>
        <w:rPr>
          <w:rFonts w:ascii="宋体" w:hAnsi="宋体" w:cs="宋体"/>
          <w:b/>
          <w:bCs/>
          <w:sz w:val="32"/>
          <w:szCs w:val="32"/>
        </w:rPr>
      </w:pPr>
      <w:r>
        <w:rPr>
          <w:rFonts w:hint="eastAsia" w:ascii="宋体" w:hAnsi="宋体" w:cs="宋体"/>
          <w:b/>
          <w:bCs/>
          <w:sz w:val="32"/>
          <w:szCs w:val="32"/>
        </w:rPr>
        <w:t>知识产权合规性声明</w:t>
      </w:r>
    </w:p>
    <w:p w14:paraId="390A63DC">
      <w:pPr>
        <w:ind w:firstLine="600"/>
        <w:rPr>
          <w:rFonts w:ascii="仿宋_GB2312" w:hAnsi="仿宋_GB2312" w:eastAsia="仿宋_GB2312" w:cs="仿宋_GB2312"/>
          <w:sz w:val="30"/>
          <w:szCs w:val="30"/>
        </w:rPr>
      </w:pPr>
    </w:p>
    <w:p w14:paraId="57649706">
      <w:pPr>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本企业（单位）</w:t>
      </w:r>
      <w:r>
        <w:rPr>
          <w:rFonts w:hint="eastAsia" w:ascii="仿宋_GB2312" w:hAnsi="仿宋_GB2312" w:eastAsia="仿宋_GB2312" w:cs="仿宋_GB2312"/>
          <w:sz w:val="30"/>
          <w:szCs w:val="30"/>
          <w:u w:val="single"/>
        </w:rPr>
        <w:t xml:space="preserve"> </w:t>
      </w:r>
      <w:r>
        <w:rPr>
          <w:rFonts w:ascii="仿宋_GB2312" w:hAnsi="仿宋_GB2312" w:eastAsia="仿宋_GB2312" w:cs="仿宋_GB2312"/>
          <w:sz w:val="30"/>
          <w:szCs w:val="30"/>
          <w:u w:val="single"/>
        </w:rPr>
        <w:t xml:space="preserve">                  </w:t>
      </w:r>
      <w:r>
        <w:rPr>
          <w:rFonts w:hint="eastAsia" w:ascii="仿宋_GB2312" w:hAnsi="仿宋_GB2312" w:eastAsia="仿宋_GB2312" w:cs="仿宋_GB2312"/>
          <w:sz w:val="30"/>
          <w:szCs w:val="30"/>
        </w:rPr>
        <w:t>自愿参与政府投资政府采购的</w:t>
      </w:r>
      <w:bookmarkStart w:id="97" w:name="PO_3000001871_PM002_12"/>
      <w:r>
        <w:rPr>
          <w:rFonts w:hint="eastAsia" w:ascii="仿宋_GB2312" w:hAnsi="仿宋_GB2312" w:eastAsia="仿宋_GB2312" w:cs="仿宋_GB2312"/>
          <w:sz w:val="30"/>
          <w:szCs w:val="30"/>
          <w:u w:val="single"/>
        </w:rPr>
        <w:t>[项目采购-项目名称_]</w:t>
      </w:r>
      <w:bookmarkEnd w:id="97"/>
      <w:r>
        <w:rPr>
          <w:rFonts w:hint="eastAsia" w:ascii="仿宋_GB2312" w:hAnsi="仿宋_GB2312" w:eastAsia="仿宋_GB2312" w:cs="仿宋_GB2312"/>
          <w:sz w:val="30"/>
          <w:szCs w:val="30"/>
        </w:rPr>
        <w:t>项目，</w:t>
      </w:r>
      <w:r>
        <w:rPr>
          <w:rFonts w:hint="eastAsia" w:ascii="仿宋_GB2312" w:hAnsi="仿宋_GB2312" w:eastAsia="仿宋_GB2312" w:cs="仿宋_GB2312"/>
          <w:b/>
          <w:bCs/>
          <w:sz w:val="30"/>
          <w:szCs w:val="30"/>
        </w:rPr>
        <w:t>在此郑重承诺：</w:t>
      </w:r>
      <w:r>
        <w:rPr>
          <w:rFonts w:hint="eastAsia" w:ascii="仿宋_GB2312" w:hAnsi="仿宋_GB2312" w:eastAsia="仿宋_GB2312" w:cs="仿宋_GB2312"/>
          <w:sz w:val="30"/>
          <w:szCs w:val="30"/>
        </w:rPr>
        <w:t>遵守中国知识产权法律、法规、规章、规范性文件及在中国适用的与知识产权有关的国际公约，所参与项目的知识产权明晰无争议，归属或技术来源正当合法。近三年在知识产权领域不存在违反法律、法规、规章及其他规范性文件的失信行为。所参与的项目不对其他单位及个人的知识产权构成侵权。如经核查确有违反上述承诺应遵守的行为，本企业（单位）将承担由此产生的全部责任。</w:t>
      </w:r>
    </w:p>
    <w:p w14:paraId="23478FA6">
      <w:pPr>
        <w:spacing w:line="360" w:lineRule="auto"/>
        <w:ind w:left="5137" w:hanging="1491"/>
        <w:rPr>
          <w:b/>
          <w:sz w:val="18"/>
          <w:szCs w:val="18"/>
        </w:rPr>
      </w:pPr>
    </w:p>
    <w:p w14:paraId="2CF466AE">
      <w:pPr>
        <w:spacing w:line="360" w:lineRule="auto"/>
        <w:ind w:left="5137" w:hanging="1491"/>
        <w:rPr>
          <w:b/>
          <w:sz w:val="18"/>
          <w:szCs w:val="18"/>
        </w:rPr>
      </w:pPr>
    </w:p>
    <w:p w14:paraId="78D0E036">
      <w:pPr>
        <w:spacing w:line="360" w:lineRule="auto"/>
        <w:ind w:left="5137" w:hanging="1491"/>
        <w:rPr>
          <w:b/>
          <w:sz w:val="18"/>
          <w:szCs w:val="18"/>
        </w:rPr>
      </w:pPr>
    </w:p>
    <w:p w14:paraId="533E358A">
      <w:pPr>
        <w:spacing w:line="360" w:lineRule="auto"/>
        <w:ind w:left="5137" w:hanging="1491"/>
        <w:rPr>
          <w:b/>
          <w:sz w:val="18"/>
          <w:szCs w:val="18"/>
        </w:rPr>
      </w:pPr>
    </w:p>
    <w:p w14:paraId="3C830E50">
      <w:pPr>
        <w:spacing w:line="360" w:lineRule="auto"/>
        <w:ind w:left="5626" w:hanging="1980"/>
        <w:rPr>
          <w:rFonts w:ascii="仿宋_GB2312" w:hAnsi="仿宋" w:eastAsia="仿宋_GB2312" w:cs="仿宋_GB2312"/>
          <w:sz w:val="24"/>
        </w:rPr>
      </w:pPr>
      <w:r>
        <w:rPr>
          <w:rFonts w:hint="eastAsia" w:ascii="仿宋_GB2312" w:hAnsi="仿宋" w:eastAsia="仿宋_GB2312" w:cs="仿宋_GB2312"/>
          <w:sz w:val="24"/>
        </w:rPr>
        <w:t>供应商</w:t>
      </w:r>
      <w:r>
        <w:rPr>
          <w:rFonts w:hint="eastAsia" w:ascii="仿宋_GB2312" w:hAnsi="仿宋" w:eastAsia="仿宋_GB2312" w:cs="仿宋_GB2312"/>
          <w:sz w:val="24"/>
          <w:lang w:val="zh-CN"/>
        </w:rPr>
        <w:t>名称(电子签章)：</w:t>
      </w:r>
    </w:p>
    <w:p w14:paraId="203C71EF">
      <w:pPr>
        <w:spacing w:line="360" w:lineRule="auto"/>
        <w:ind w:firstLine="5160"/>
        <w:rPr>
          <w:rFonts w:ascii="仿宋_GB2312" w:hAnsi="仿宋" w:eastAsia="仿宋_GB2312" w:cs="仿宋_GB2312"/>
          <w:sz w:val="24"/>
          <w:lang w:val="zh-CN"/>
        </w:rPr>
      </w:pPr>
      <w:r>
        <w:rPr>
          <w:rFonts w:hint="eastAsia" w:ascii="仿宋_GB2312" w:hAnsi="仿宋" w:eastAsia="仿宋_GB2312" w:cs="仿宋_GB2312"/>
          <w:sz w:val="24"/>
          <w:lang w:val="zh-CN"/>
        </w:rPr>
        <w:t>日期</w:t>
      </w:r>
      <w:r>
        <w:rPr>
          <w:rFonts w:hint="eastAsia" w:ascii="仿宋_GB2312" w:hAnsi="仿宋" w:eastAsia="仿宋_GB2312" w:cs="仿宋_GB2312"/>
          <w:sz w:val="24"/>
        </w:rPr>
        <w:t>：年</w:t>
      </w:r>
      <w:r>
        <w:rPr>
          <w:rFonts w:hint="eastAsia" w:ascii="仿宋_GB2312" w:hAnsi="仿宋" w:eastAsia="仿宋_GB2312" w:cs="仿宋_GB2312"/>
          <w:sz w:val="24"/>
          <w:lang w:val="zh-CN"/>
        </w:rPr>
        <w:t>月日</w:t>
      </w:r>
    </w:p>
    <w:p w14:paraId="121ADCC1">
      <w:pPr>
        <w:widowControl/>
        <w:jc w:val="left"/>
        <w:rPr>
          <w:rFonts w:ascii="宋体" w:hAnsi="宋体" w:cs="仿宋_GB2312"/>
          <w:sz w:val="24"/>
        </w:rPr>
        <w:sectPr>
          <w:pgSz w:w="11906" w:h="16838"/>
          <w:pgMar w:top="1134" w:right="1134" w:bottom="1134" w:left="1134" w:header="720" w:footer="720" w:gutter="0"/>
          <w:cols w:space="1701" w:num="1"/>
        </w:sectPr>
      </w:pPr>
    </w:p>
    <w:p w14:paraId="053165E7">
      <w:pPr>
        <w:spacing w:line="520" w:lineRule="exact"/>
        <w:rPr>
          <w:rFonts w:ascii="宋体" w:hAnsi="宋体" w:cs="仿宋_GB2312"/>
          <w:sz w:val="24"/>
        </w:rPr>
      </w:pPr>
    </w:p>
    <w:p w14:paraId="152178BD">
      <w:pPr>
        <w:spacing w:line="520" w:lineRule="exact"/>
        <w:jc w:val="center"/>
        <w:rPr>
          <w:rFonts w:ascii="仿宋_GB2312" w:hAnsi="仿宋_GB2312" w:eastAsia="仿宋_GB2312" w:cs="仿宋_GB2312"/>
          <w:sz w:val="32"/>
          <w:szCs w:val="32"/>
        </w:rPr>
      </w:pPr>
      <w:r>
        <w:rPr>
          <w:rFonts w:hint="eastAsia" w:ascii="方正小标宋简体" w:hAnsi="方正小标宋简体" w:eastAsia="方正小标宋简体" w:cs="方正小标宋简体"/>
          <w:sz w:val="44"/>
          <w:szCs w:val="44"/>
        </w:rPr>
        <w:t>残疾人福利性单位声明函</w:t>
      </w:r>
    </w:p>
    <w:p w14:paraId="64098ABE">
      <w:pPr>
        <w:spacing w:line="520" w:lineRule="exact"/>
        <w:rPr>
          <w:rFonts w:ascii="仿宋_GB2312" w:hAnsi="仿宋_GB2312" w:eastAsia="仿宋_GB2312" w:cs="仿宋_GB2312"/>
          <w:sz w:val="32"/>
          <w:szCs w:val="32"/>
        </w:rPr>
      </w:pPr>
    </w:p>
    <w:p w14:paraId="17AE5267">
      <w:pPr>
        <w:spacing w:line="360" w:lineRule="auto"/>
        <w:ind w:firstLine="480"/>
        <w:rPr>
          <w:rFonts w:ascii="宋体" w:hAnsi="宋体" w:cs="仿宋_GB2312"/>
          <w:sz w:val="24"/>
        </w:rPr>
      </w:pPr>
      <w:r>
        <w:rPr>
          <w:rFonts w:hint="eastAsia" w:ascii="宋体" w:hAnsi="宋体" w:cs="仿宋_GB2312"/>
          <w:sz w:val="24"/>
        </w:rPr>
        <w:t>本单位郑重声明，根据《财政部民政部中国残疾人联合会关于促进残疾人就业政府采购政策的通知》（财库〔2017〕141号）的规定，本单位为符合条件的残疾人福利性单位，且本单位参加</w:t>
      </w:r>
      <w:bookmarkStart w:id="98" w:name="PO_3000001871_PM026_4"/>
      <w:r>
        <w:rPr>
          <w:rFonts w:hint="eastAsia" w:ascii="宋体" w:hAnsi="宋体" w:cs="仿宋_GB2312"/>
          <w:sz w:val="24"/>
          <w:u w:val="single"/>
        </w:rPr>
        <w:t>[项目采购-采购人_]</w:t>
      </w:r>
      <w:bookmarkEnd w:id="98"/>
      <w:r>
        <w:rPr>
          <w:rFonts w:hint="eastAsia" w:ascii="宋体" w:hAnsi="宋体" w:cs="仿宋_GB2312"/>
          <w:sz w:val="24"/>
        </w:rPr>
        <w:t>单位的</w:t>
      </w:r>
      <w:bookmarkStart w:id="99" w:name="PO_3000001871_PM002_13"/>
      <w:r>
        <w:rPr>
          <w:rFonts w:hint="eastAsia" w:ascii="宋体" w:hAnsi="宋体" w:cs="仿宋_GB2312"/>
          <w:sz w:val="24"/>
          <w:u w:val="single"/>
        </w:rPr>
        <w:t>[项目采购-项目名称_]</w:t>
      </w:r>
      <w:bookmarkEnd w:id="99"/>
      <w:r>
        <w:rPr>
          <w:rFonts w:hint="eastAsia" w:ascii="宋体" w:hAnsi="宋体" w:cs="仿宋_GB2312"/>
          <w:sz w:val="24"/>
        </w:rPr>
        <w:t>项目采购活动提供本单位制造的货物（由本单位承担工程/提供服务），或者提供其他残疾人福利性单位制造的货物（不包括使用非残疾人福利性单位注册商标的货物）。</w:t>
      </w:r>
    </w:p>
    <w:p w14:paraId="4F81F085">
      <w:pPr>
        <w:spacing w:line="360" w:lineRule="auto"/>
        <w:ind w:firstLine="480"/>
        <w:rPr>
          <w:rFonts w:ascii="宋体" w:hAnsi="宋体" w:cs="仿宋_GB2312"/>
          <w:sz w:val="24"/>
        </w:rPr>
      </w:pPr>
      <w:r>
        <w:rPr>
          <w:rFonts w:hint="eastAsia" w:ascii="宋体" w:hAnsi="宋体" w:cs="仿宋_GB2312"/>
          <w:sz w:val="24"/>
        </w:rPr>
        <w:t>本单位对上述声明的真实性负责。如有虚假，将依法承担相应责任。</w:t>
      </w:r>
    </w:p>
    <w:p w14:paraId="630A5FF6">
      <w:pPr>
        <w:spacing w:line="360" w:lineRule="auto"/>
        <w:rPr>
          <w:rFonts w:ascii="宋体" w:hAnsi="宋体" w:cs="仿宋_GB2312"/>
          <w:sz w:val="24"/>
        </w:rPr>
      </w:pPr>
    </w:p>
    <w:p w14:paraId="5098664C">
      <w:pPr>
        <w:spacing w:line="360" w:lineRule="auto"/>
        <w:rPr>
          <w:rFonts w:ascii="宋体" w:hAnsi="宋体" w:cs="仿宋_GB2312"/>
          <w:sz w:val="24"/>
        </w:rPr>
      </w:pPr>
    </w:p>
    <w:p w14:paraId="4313EAE2">
      <w:pPr>
        <w:spacing w:line="360" w:lineRule="auto"/>
        <w:rPr>
          <w:rFonts w:ascii="宋体" w:hAnsi="宋体" w:cs="仿宋_GB2312"/>
          <w:sz w:val="24"/>
        </w:rPr>
      </w:pPr>
    </w:p>
    <w:p w14:paraId="5A62EDB2">
      <w:pPr>
        <w:spacing w:line="360" w:lineRule="auto"/>
        <w:ind w:firstLine="2400"/>
        <w:rPr>
          <w:rFonts w:ascii="宋体" w:hAnsi="宋体" w:cs="仿宋_GB2312"/>
          <w:sz w:val="24"/>
        </w:rPr>
      </w:pPr>
      <w:r>
        <w:rPr>
          <w:rFonts w:hint="eastAsia" w:ascii="宋体" w:hAnsi="宋体" w:cs="仿宋_GB2312"/>
          <w:sz w:val="24"/>
        </w:rPr>
        <w:t>供应商名称（电子签章）：</w:t>
      </w:r>
    </w:p>
    <w:p w14:paraId="556DECDE">
      <w:pPr>
        <w:spacing w:line="360" w:lineRule="auto"/>
        <w:ind w:firstLine="4320"/>
        <w:rPr>
          <w:rFonts w:ascii="宋体" w:hAnsi="宋体" w:cs="仿宋_GB2312"/>
          <w:sz w:val="24"/>
        </w:rPr>
      </w:pPr>
      <w:r>
        <w:rPr>
          <w:rFonts w:hint="eastAsia" w:ascii="宋体" w:hAnsi="宋体" w:cs="仿宋_GB2312"/>
          <w:sz w:val="24"/>
        </w:rPr>
        <w:t>日期：年月日</w:t>
      </w:r>
    </w:p>
    <w:p w14:paraId="7AF59EF0">
      <w:pPr>
        <w:spacing w:line="360" w:lineRule="auto"/>
        <w:rPr>
          <w:rFonts w:ascii="宋体" w:hAnsi="宋体" w:cs="仿宋_GB2312"/>
          <w:sz w:val="24"/>
        </w:rPr>
      </w:pPr>
    </w:p>
    <w:p w14:paraId="2D0F1BD2">
      <w:pPr>
        <w:spacing w:line="360" w:lineRule="auto"/>
        <w:rPr>
          <w:rFonts w:ascii="宋体" w:hAnsi="宋体" w:cs="仿宋_GB2312"/>
          <w:sz w:val="24"/>
        </w:rPr>
      </w:pPr>
    </w:p>
    <w:p w14:paraId="5326AEC9">
      <w:pPr>
        <w:spacing w:line="360" w:lineRule="auto"/>
        <w:rPr>
          <w:rFonts w:ascii="宋体" w:hAnsi="宋体" w:cs="仿宋_GB2312"/>
          <w:sz w:val="24"/>
        </w:rPr>
      </w:pPr>
    </w:p>
    <w:p w14:paraId="042DDEB1">
      <w:pPr>
        <w:spacing w:line="360" w:lineRule="auto"/>
        <w:rPr>
          <w:rFonts w:ascii="宋体" w:hAnsi="宋体" w:cs="仿宋_GB2312"/>
          <w:sz w:val="24"/>
        </w:rPr>
      </w:pPr>
      <w:r>
        <w:rPr>
          <w:rFonts w:hint="eastAsia" w:ascii="宋体" w:hAnsi="宋体" w:cs="仿宋_GB2312"/>
          <w:sz w:val="24"/>
        </w:rPr>
        <w:t>注：请根据自己的真实情况出具《残疾人福利性单位声明函》。依法享受中小企业优惠政策的，采购人或者采购代理机构在公告中标结果时，同时公告其《残疾人福利性单位声明函》，接受社会监督；根据《关于政府采购支持监狱企业发展有关问题的通知》（财库[2014]68号）的规定，供应商提供由省级以上监狱管理局、戒毒管理局（含新疆生产建设兵团）出具的属于监狱企业证明文件的，视同为小型和微型企业。</w:t>
      </w:r>
    </w:p>
    <w:p w14:paraId="2664B9DE">
      <w:pPr>
        <w:spacing w:line="520" w:lineRule="exact"/>
        <w:jc w:val="center"/>
        <w:rPr>
          <w:rFonts w:ascii="宋体" w:hAnsi="宋体"/>
          <w:sz w:val="24"/>
        </w:rPr>
      </w:pPr>
    </w:p>
    <w:p w14:paraId="7536CC77">
      <w:pPr>
        <w:spacing w:line="520" w:lineRule="exact"/>
        <w:jc w:val="center"/>
        <w:rPr>
          <w:rFonts w:ascii="宋体" w:hAnsi="宋体"/>
          <w:sz w:val="24"/>
        </w:rPr>
      </w:pPr>
    </w:p>
    <w:p w14:paraId="6C311B31">
      <w:pPr>
        <w:spacing w:line="520" w:lineRule="exact"/>
        <w:jc w:val="center"/>
        <w:rPr>
          <w:rFonts w:ascii="宋体" w:hAnsi="宋体"/>
          <w:sz w:val="24"/>
        </w:rPr>
      </w:pPr>
    </w:p>
    <w:p w14:paraId="752DA70F">
      <w:pPr>
        <w:spacing w:line="520" w:lineRule="exact"/>
        <w:jc w:val="center"/>
        <w:rPr>
          <w:rFonts w:ascii="宋体" w:hAnsi="宋体"/>
          <w:sz w:val="24"/>
        </w:rPr>
      </w:pPr>
    </w:p>
    <w:p w14:paraId="68706762">
      <w:pPr>
        <w:spacing w:line="520" w:lineRule="exact"/>
        <w:jc w:val="center"/>
        <w:rPr>
          <w:rFonts w:ascii="宋体" w:hAnsi="宋体"/>
          <w:sz w:val="24"/>
        </w:rPr>
      </w:pPr>
    </w:p>
    <w:p w14:paraId="71E0F568">
      <w:pPr>
        <w:spacing w:line="520" w:lineRule="exact"/>
        <w:jc w:val="center"/>
        <w:rPr>
          <w:rFonts w:ascii="宋体" w:hAnsi="宋体"/>
          <w:sz w:val="24"/>
        </w:rPr>
      </w:pPr>
    </w:p>
    <w:p w14:paraId="14ED9741">
      <w:pPr>
        <w:spacing w:line="520" w:lineRule="exact"/>
        <w:jc w:val="center"/>
        <w:rPr>
          <w:rFonts w:ascii="宋体" w:hAnsi="宋体"/>
          <w:sz w:val="24"/>
        </w:rPr>
      </w:pPr>
    </w:p>
    <w:p w14:paraId="33D1D15A">
      <w:pPr>
        <w:spacing w:line="360" w:lineRule="auto"/>
        <w:jc w:val="center"/>
        <w:rPr>
          <w:rFonts w:ascii="宋体" w:hAnsi="宋体"/>
          <w:b/>
          <w:bCs/>
          <w:sz w:val="44"/>
          <w:szCs w:val="44"/>
        </w:rPr>
      </w:pPr>
    </w:p>
    <w:p w14:paraId="4FFD2E36">
      <w:pPr>
        <w:widowControl/>
        <w:shd w:val="clear" w:color="auto" w:fill="FFFFFF"/>
        <w:jc w:val="center"/>
        <w:rPr>
          <w:rFonts w:ascii="宋体" w:hAnsi="宋体" w:cs="宋体"/>
          <w:sz w:val="36"/>
          <w:szCs w:val="36"/>
        </w:rPr>
      </w:pPr>
      <w:r>
        <w:rPr>
          <w:rFonts w:hint="eastAsia" w:ascii="宋体" w:hAnsi="宋体" w:cs="宋体"/>
          <w:b/>
          <w:bCs/>
          <w:sz w:val="36"/>
          <w:szCs w:val="36"/>
        </w:rPr>
        <w:t>关于符合本国产品标准的声明函</w:t>
      </w:r>
    </w:p>
    <w:p w14:paraId="10F34278">
      <w:pPr>
        <w:widowControl/>
        <w:shd w:val="clear" w:color="auto" w:fill="FFFFFF"/>
        <w:spacing w:before="30" w:after="30"/>
        <w:ind w:firstLine="480"/>
        <w:jc w:val="left"/>
        <w:rPr>
          <w:rFonts w:ascii="宋体" w:hAnsi="宋体" w:cs="宋体"/>
          <w:sz w:val="24"/>
        </w:rPr>
      </w:pPr>
      <w:r>
        <w:rPr>
          <w:rFonts w:hint="eastAsia" w:ascii="宋体" w:hAnsi="宋体" w:cs="宋体"/>
          <w:sz w:val="24"/>
        </w:rPr>
        <w:t> </w:t>
      </w:r>
    </w:p>
    <w:p w14:paraId="5BC31ACA">
      <w:pPr>
        <w:widowControl/>
        <w:shd w:val="clear" w:color="auto" w:fill="FFFFFF"/>
        <w:spacing w:before="30" w:after="30"/>
        <w:ind w:firstLine="480"/>
        <w:jc w:val="left"/>
        <w:rPr>
          <w:rFonts w:ascii="宋体" w:hAnsi="宋体" w:cs="宋体"/>
          <w:sz w:val="24"/>
        </w:rPr>
      </w:pPr>
      <w:r>
        <w:rPr>
          <w:rFonts w:hint="eastAsia" w:ascii="宋体" w:hAnsi="宋体" w:cs="宋体"/>
          <w:sz w:val="24"/>
        </w:rPr>
        <w:t>本公司（单位）郑重声明，根据《国务院办公厅关于在政府采购中实施本国产品标准及相关政策的通知》（国办发〔2025〕34号）的规定，本公司（单位）提供的以下产品属于本国产品。具体情况如下：</w:t>
      </w:r>
    </w:p>
    <w:p w14:paraId="1D378049">
      <w:pPr>
        <w:widowControl/>
        <w:shd w:val="clear" w:color="auto" w:fill="FFFFFF"/>
        <w:ind w:firstLine="480"/>
        <w:jc w:val="left"/>
        <w:rPr>
          <w:rFonts w:ascii="宋体" w:hAnsi="宋体" w:cs="宋体"/>
          <w:sz w:val="24"/>
        </w:rPr>
      </w:pPr>
      <w:r>
        <w:rPr>
          <w:rFonts w:hint="eastAsia" w:ascii="宋体" w:hAnsi="宋体" w:cs="宋体"/>
          <w:sz w:val="24"/>
        </w:rPr>
        <w:t>1.</w:t>
      </w:r>
      <w:r>
        <w:rPr>
          <w:rFonts w:hint="eastAsia" w:ascii="宋体" w:hAnsi="宋体" w:cs="宋体"/>
          <w:i/>
          <w:iCs/>
          <w:sz w:val="24"/>
        </w:rPr>
        <w:t>（产品名称1）</w:t>
      </w:r>
      <w:r>
        <w:rPr>
          <w:rFonts w:hint="eastAsia" w:ascii="宋体" w:hAnsi="宋体" w:cs="宋体"/>
          <w:i/>
          <w:iCs/>
          <w:sz w:val="18"/>
          <w:szCs w:val="18"/>
          <w:vertAlign w:val="superscript"/>
        </w:rPr>
        <w:t>1</w:t>
      </w:r>
      <w:r>
        <w:rPr>
          <w:rFonts w:hint="eastAsia" w:ascii="宋体" w:hAnsi="宋体" w:cs="宋体"/>
          <w:sz w:val="24"/>
        </w:rPr>
        <w:t>，生产厂为</w:t>
      </w:r>
      <w:r>
        <w:rPr>
          <w:rFonts w:hint="eastAsia" w:ascii="宋体" w:hAnsi="宋体" w:cs="宋体"/>
          <w:i/>
          <w:iCs/>
          <w:sz w:val="24"/>
        </w:rPr>
        <w:t>（厂名）</w:t>
      </w:r>
      <w:r>
        <w:rPr>
          <w:rFonts w:hint="eastAsia" w:ascii="宋体" w:hAnsi="宋体" w:cs="宋体"/>
          <w:i/>
          <w:iCs/>
          <w:sz w:val="18"/>
          <w:szCs w:val="18"/>
          <w:vertAlign w:val="superscript"/>
        </w:rPr>
        <w:t>2</w:t>
      </w:r>
      <w:r>
        <w:rPr>
          <w:rFonts w:hint="eastAsia" w:ascii="宋体" w:hAnsi="宋体" w:cs="宋体"/>
          <w:sz w:val="24"/>
        </w:rPr>
        <w:t>，厂址为</w:t>
      </w:r>
      <w:r>
        <w:rPr>
          <w:rFonts w:hint="eastAsia" w:ascii="宋体" w:hAnsi="宋体" w:cs="宋体"/>
          <w:i/>
          <w:iCs/>
          <w:sz w:val="24"/>
        </w:rPr>
        <w:t>（生产厂址）</w:t>
      </w:r>
      <w:r>
        <w:rPr>
          <w:rFonts w:hint="eastAsia" w:ascii="宋体" w:hAnsi="宋体" w:cs="宋体"/>
          <w:sz w:val="24"/>
        </w:rPr>
        <w:t>。</w:t>
      </w:r>
      <w:r>
        <w:rPr>
          <w:rFonts w:hint="eastAsia" w:ascii="宋体" w:hAnsi="宋体" w:cs="宋体"/>
          <w:i/>
          <w:iCs/>
          <w:sz w:val="24"/>
        </w:rPr>
        <w:t>（产品名称1）</w:t>
      </w:r>
      <w:r>
        <w:rPr>
          <w:rFonts w:hint="eastAsia" w:ascii="宋体" w:hAnsi="宋体" w:cs="宋体"/>
          <w:sz w:val="24"/>
        </w:rPr>
        <w:t>的中国境内生产的组件成本占比≥</w:t>
      </w:r>
      <w:r>
        <w:rPr>
          <w:rFonts w:hint="eastAsia" w:ascii="宋体" w:hAnsi="宋体" w:cs="宋体"/>
          <w:i/>
          <w:iCs/>
          <w:sz w:val="24"/>
        </w:rPr>
        <w:t>（规定比例）</w:t>
      </w:r>
      <w:r>
        <w:rPr>
          <w:rFonts w:hint="eastAsia" w:ascii="宋体" w:hAnsi="宋体" w:cs="宋体"/>
          <w:i/>
          <w:iCs/>
          <w:sz w:val="18"/>
          <w:szCs w:val="18"/>
          <w:vertAlign w:val="superscript"/>
        </w:rPr>
        <w:t>3</w:t>
      </w:r>
      <w:r>
        <w:rPr>
          <w:rFonts w:hint="eastAsia" w:ascii="宋体" w:hAnsi="宋体" w:cs="宋体"/>
          <w:sz w:val="24"/>
        </w:rPr>
        <w:t>。</w:t>
      </w:r>
      <w:r>
        <w:rPr>
          <w:rFonts w:hint="eastAsia" w:ascii="宋体" w:hAnsi="宋体" w:cs="宋体"/>
          <w:i/>
          <w:iCs/>
          <w:sz w:val="24"/>
        </w:rPr>
        <w:t>（产品名称1）</w:t>
      </w:r>
      <w:r>
        <w:rPr>
          <w:rFonts w:hint="eastAsia" w:ascii="宋体" w:hAnsi="宋体" w:cs="宋体"/>
          <w:sz w:val="24"/>
        </w:rPr>
        <w:t>的</w:t>
      </w:r>
      <w:r>
        <w:rPr>
          <w:rFonts w:hint="eastAsia" w:ascii="宋体" w:hAnsi="宋体" w:cs="宋体"/>
          <w:i/>
          <w:iCs/>
          <w:sz w:val="24"/>
        </w:rPr>
        <w:t>（关键组件）</w:t>
      </w:r>
      <w:r>
        <w:rPr>
          <w:rFonts w:hint="eastAsia" w:ascii="宋体" w:hAnsi="宋体" w:cs="宋体"/>
          <w:i/>
          <w:iCs/>
          <w:sz w:val="18"/>
          <w:szCs w:val="18"/>
          <w:vertAlign w:val="superscript"/>
        </w:rPr>
        <w:t>4</w:t>
      </w:r>
      <w:r>
        <w:rPr>
          <w:rFonts w:hint="eastAsia" w:ascii="宋体" w:hAnsi="宋体" w:cs="宋体"/>
          <w:sz w:val="24"/>
        </w:rPr>
        <w:t>在中国境内生产。</w:t>
      </w:r>
      <w:r>
        <w:rPr>
          <w:rFonts w:hint="eastAsia" w:ascii="宋体" w:hAnsi="宋体" w:cs="宋体"/>
          <w:i/>
          <w:iCs/>
          <w:sz w:val="24"/>
        </w:rPr>
        <w:t>（产品名称1）</w:t>
      </w:r>
      <w:r>
        <w:rPr>
          <w:rFonts w:hint="eastAsia" w:ascii="宋体" w:hAnsi="宋体" w:cs="宋体"/>
          <w:sz w:val="24"/>
        </w:rPr>
        <w:t>的</w:t>
      </w:r>
      <w:r>
        <w:rPr>
          <w:rFonts w:hint="eastAsia" w:ascii="宋体" w:hAnsi="宋体" w:cs="宋体"/>
          <w:i/>
          <w:iCs/>
          <w:sz w:val="24"/>
        </w:rPr>
        <w:t>（关键工序）</w:t>
      </w:r>
      <w:r>
        <w:rPr>
          <w:rFonts w:hint="eastAsia" w:ascii="宋体" w:hAnsi="宋体" w:cs="宋体"/>
          <w:i/>
          <w:iCs/>
          <w:sz w:val="18"/>
          <w:szCs w:val="18"/>
          <w:vertAlign w:val="superscript"/>
        </w:rPr>
        <w:t>5</w:t>
      </w:r>
      <w:r>
        <w:rPr>
          <w:rFonts w:hint="eastAsia" w:ascii="宋体" w:hAnsi="宋体" w:cs="宋体"/>
          <w:sz w:val="24"/>
        </w:rPr>
        <w:t>在中国境内完成。</w:t>
      </w:r>
    </w:p>
    <w:p w14:paraId="2D8D47C9">
      <w:pPr>
        <w:widowControl/>
        <w:shd w:val="clear" w:color="auto" w:fill="FFFFFF"/>
        <w:ind w:firstLine="480"/>
        <w:jc w:val="left"/>
        <w:rPr>
          <w:rFonts w:ascii="宋体" w:hAnsi="宋体" w:cs="宋体"/>
          <w:sz w:val="24"/>
        </w:rPr>
      </w:pPr>
      <w:r>
        <w:rPr>
          <w:rFonts w:hint="eastAsia" w:ascii="宋体" w:hAnsi="宋体" w:cs="宋体"/>
          <w:sz w:val="24"/>
        </w:rPr>
        <w:t>2.</w:t>
      </w:r>
      <w:r>
        <w:rPr>
          <w:rFonts w:hint="eastAsia" w:ascii="宋体" w:hAnsi="宋体" w:cs="宋体"/>
          <w:i/>
          <w:iCs/>
          <w:sz w:val="24"/>
        </w:rPr>
        <w:t>（产品名称2）</w:t>
      </w:r>
      <w:r>
        <w:rPr>
          <w:rFonts w:hint="eastAsia" w:ascii="宋体" w:hAnsi="宋体" w:cs="宋体"/>
          <w:sz w:val="24"/>
        </w:rPr>
        <w:t>，生产厂为</w:t>
      </w:r>
      <w:r>
        <w:rPr>
          <w:rFonts w:hint="eastAsia" w:ascii="宋体" w:hAnsi="宋体" w:cs="宋体"/>
          <w:i/>
          <w:iCs/>
          <w:sz w:val="24"/>
        </w:rPr>
        <w:t>（厂名）</w:t>
      </w:r>
      <w:r>
        <w:rPr>
          <w:rFonts w:hint="eastAsia" w:ascii="宋体" w:hAnsi="宋体" w:cs="宋体"/>
          <w:sz w:val="24"/>
        </w:rPr>
        <w:t>，厂址为</w:t>
      </w:r>
      <w:r>
        <w:rPr>
          <w:rFonts w:hint="eastAsia" w:ascii="宋体" w:hAnsi="宋体" w:cs="宋体"/>
          <w:i/>
          <w:iCs/>
          <w:sz w:val="24"/>
        </w:rPr>
        <w:t>（生产厂址）</w:t>
      </w:r>
      <w:r>
        <w:rPr>
          <w:rFonts w:hint="eastAsia" w:ascii="宋体" w:hAnsi="宋体" w:cs="宋体"/>
          <w:sz w:val="24"/>
        </w:rPr>
        <w:t>。</w:t>
      </w:r>
      <w:r>
        <w:rPr>
          <w:rFonts w:hint="eastAsia" w:ascii="宋体" w:hAnsi="宋体" w:cs="宋体"/>
          <w:i/>
          <w:iCs/>
          <w:sz w:val="24"/>
        </w:rPr>
        <w:t>（产品名称2）</w:t>
      </w:r>
      <w:r>
        <w:rPr>
          <w:rFonts w:hint="eastAsia" w:ascii="宋体" w:hAnsi="宋体" w:cs="宋体"/>
          <w:sz w:val="24"/>
        </w:rPr>
        <w:t>的中国境内生产的组件成本占比≥</w:t>
      </w:r>
      <w:r>
        <w:rPr>
          <w:rFonts w:hint="eastAsia" w:ascii="宋体" w:hAnsi="宋体" w:cs="宋体"/>
          <w:i/>
          <w:iCs/>
          <w:sz w:val="24"/>
        </w:rPr>
        <w:t>（规定比例）</w:t>
      </w:r>
      <w:r>
        <w:rPr>
          <w:rFonts w:hint="eastAsia" w:ascii="宋体" w:hAnsi="宋体" w:cs="宋体"/>
          <w:sz w:val="24"/>
        </w:rPr>
        <w:t>。</w:t>
      </w:r>
      <w:r>
        <w:rPr>
          <w:rFonts w:hint="eastAsia" w:ascii="宋体" w:hAnsi="宋体" w:cs="宋体"/>
          <w:i/>
          <w:iCs/>
          <w:sz w:val="24"/>
        </w:rPr>
        <w:t>（产品名称2）</w:t>
      </w:r>
      <w:r>
        <w:rPr>
          <w:rFonts w:hint="eastAsia" w:ascii="宋体" w:hAnsi="宋体" w:cs="宋体"/>
          <w:sz w:val="24"/>
        </w:rPr>
        <w:t>的</w:t>
      </w:r>
      <w:r>
        <w:rPr>
          <w:rFonts w:hint="eastAsia" w:ascii="宋体" w:hAnsi="宋体" w:cs="宋体"/>
          <w:i/>
          <w:iCs/>
          <w:sz w:val="24"/>
        </w:rPr>
        <w:t>（关键组件）</w:t>
      </w:r>
      <w:r>
        <w:rPr>
          <w:rFonts w:hint="eastAsia" w:ascii="宋体" w:hAnsi="宋体" w:cs="宋体"/>
          <w:sz w:val="24"/>
        </w:rPr>
        <w:t>在中国境内生产。</w:t>
      </w:r>
      <w:r>
        <w:rPr>
          <w:rFonts w:hint="eastAsia" w:ascii="宋体" w:hAnsi="宋体" w:cs="宋体"/>
          <w:i/>
          <w:iCs/>
          <w:sz w:val="24"/>
        </w:rPr>
        <w:t>（产品名称2）</w:t>
      </w:r>
      <w:r>
        <w:rPr>
          <w:rFonts w:hint="eastAsia" w:ascii="宋体" w:hAnsi="宋体" w:cs="宋体"/>
          <w:sz w:val="24"/>
        </w:rPr>
        <w:t>的</w:t>
      </w:r>
      <w:r>
        <w:rPr>
          <w:rFonts w:hint="eastAsia" w:ascii="宋体" w:hAnsi="宋体" w:cs="宋体"/>
          <w:i/>
          <w:iCs/>
          <w:sz w:val="24"/>
        </w:rPr>
        <w:t>（关键工序）</w:t>
      </w:r>
      <w:r>
        <w:rPr>
          <w:rFonts w:hint="eastAsia" w:ascii="宋体" w:hAnsi="宋体" w:cs="宋体"/>
          <w:sz w:val="24"/>
        </w:rPr>
        <w:t>在中国境内完成。</w:t>
      </w:r>
    </w:p>
    <w:p w14:paraId="756FE68E">
      <w:pPr>
        <w:widowControl/>
        <w:shd w:val="clear" w:color="auto" w:fill="FFFFFF"/>
        <w:spacing w:before="30" w:after="30"/>
        <w:ind w:firstLine="480"/>
        <w:jc w:val="left"/>
        <w:rPr>
          <w:rFonts w:ascii="宋体" w:hAnsi="宋体" w:cs="宋体"/>
          <w:sz w:val="24"/>
        </w:rPr>
      </w:pPr>
      <w:r>
        <w:rPr>
          <w:rFonts w:hint="eastAsia" w:ascii="宋体" w:hAnsi="宋体" w:cs="宋体"/>
          <w:sz w:val="24"/>
        </w:rPr>
        <w:t>……</w:t>
      </w:r>
    </w:p>
    <w:p w14:paraId="1D3BF05D">
      <w:pPr>
        <w:widowControl/>
        <w:shd w:val="clear" w:color="auto" w:fill="FFFFFF"/>
        <w:spacing w:before="30" w:after="30"/>
        <w:ind w:firstLine="480"/>
        <w:jc w:val="left"/>
        <w:rPr>
          <w:rFonts w:ascii="宋体" w:hAnsi="宋体" w:cs="宋体"/>
          <w:sz w:val="24"/>
        </w:rPr>
      </w:pPr>
      <w:r>
        <w:rPr>
          <w:rFonts w:hint="eastAsia" w:ascii="宋体" w:hAnsi="宋体" w:cs="宋体"/>
          <w:sz w:val="24"/>
        </w:rPr>
        <w:t>本公司（单位）对上述声明内容的真实性负责。如有虚假，愿承担相应法律责任。</w:t>
      </w:r>
    </w:p>
    <w:p w14:paraId="6BD9DDDA">
      <w:pPr>
        <w:widowControl/>
        <w:shd w:val="clear" w:color="auto" w:fill="FFFFFF"/>
        <w:spacing w:before="30" w:after="30"/>
        <w:jc w:val="left"/>
        <w:rPr>
          <w:rFonts w:ascii="宋体" w:hAnsi="宋体" w:cs="宋体"/>
          <w:sz w:val="24"/>
        </w:rPr>
      </w:pPr>
      <w:r>
        <w:rPr>
          <w:rFonts w:hint="eastAsia" w:ascii="宋体" w:hAnsi="宋体" w:cs="宋体"/>
          <w:sz w:val="24"/>
        </w:rPr>
        <w:t> </w:t>
      </w:r>
    </w:p>
    <w:p w14:paraId="268A5C48">
      <w:pPr>
        <w:widowControl/>
        <w:shd w:val="clear" w:color="auto" w:fill="FFFFFF"/>
        <w:spacing w:before="30" w:after="30"/>
        <w:jc w:val="right"/>
        <w:rPr>
          <w:rFonts w:ascii="宋体" w:hAnsi="宋体" w:cs="宋体"/>
          <w:sz w:val="24"/>
        </w:rPr>
      </w:pPr>
      <w:r>
        <w:rPr>
          <w:rFonts w:hint="eastAsia" w:ascii="宋体" w:hAnsi="宋体" w:cs="宋体"/>
          <w:sz w:val="24"/>
        </w:rPr>
        <w:t>公司（单位）名称（盖章）：　        </w:t>
      </w:r>
    </w:p>
    <w:p w14:paraId="2C91B85D">
      <w:pPr>
        <w:widowControl/>
        <w:shd w:val="clear" w:color="auto" w:fill="FFFFFF"/>
        <w:jc w:val="right"/>
        <w:rPr>
          <w:rFonts w:ascii="宋体" w:hAnsi="宋体" w:cs="宋体"/>
          <w:sz w:val="24"/>
        </w:rPr>
      </w:pPr>
      <w:r>
        <w:rPr>
          <w:rFonts w:hint="eastAsia" w:ascii="宋体" w:hAnsi="宋体" w:cs="宋体"/>
          <w:sz w:val="24"/>
        </w:rPr>
        <w:t>日期：　     年　  月　  日         </w:t>
      </w:r>
    </w:p>
    <w:p w14:paraId="1E25BA0F">
      <w:pPr>
        <w:widowControl/>
        <w:shd w:val="clear" w:color="auto" w:fill="FFFFFF"/>
        <w:spacing w:before="30" w:after="30"/>
        <w:jc w:val="left"/>
        <w:rPr>
          <w:rFonts w:ascii="宋体" w:hAnsi="宋体" w:cs="宋体"/>
          <w:sz w:val="24"/>
        </w:rPr>
      </w:pPr>
      <w:r>
        <w:rPr>
          <w:rFonts w:hint="eastAsia" w:ascii="宋体" w:hAnsi="宋体" w:cs="宋体"/>
          <w:sz w:val="24"/>
        </w:rPr>
        <w:t>__________________</w:t>
      </w:r>
    </w:p>
    <w:p w14:paraId="584EB85A">
      <w:pPr>
        <w:widowControl/>
        <w:shd w:val="clear" w:color="auto" w:fill="FFFFFF"/>
        <w:ind w:firstLine="480"/>
        <w:jc w:val="left"/>
        <w:rPr>
          <w:rFonts w:ascii="宋体" w:hAnsi="宋体" w:cs="宋体"/>
          <w:szCs w:val="21"/>
        </w:rPr>
      </w:pPr>
      <w:r>
        <w:rPr>
          <w:rFonts w:hint="eastAsia" w:ascii="宋体" w:hAnsi="宋体" w:cs="宋体"/>
          <w:szCs w:val="21"/>
        </w:rPr>
        <w:t>1.产品如有型号，请在“产品名称”栏一并填写。</w:t>
      </w:r>
    </w:p>
    <w:p w14:paraId="61E30D02">
      <w:pPr>
        <w:widowControl/>
        <w:shd w:val="clear" w:color="auto" w:fill="FFFFFF"/>
        <w:ind w:firstLine="480"/>
        <w:jc w:val="left"/>
        <w:rPr>
          <w:rFonts w:ascii="宋体" w:hAnsi="宋体" w:cs="宋体"/>
          <w:szCs w:val="21"/>
        </w:rPr>
      </w:pPr>
      <w:r>
        <w:rPr>
          <w:rFonts w:hint="eastAsia" w:ascii="宋体" w:hAnsi="宋体" w:cs="宋体"/>
          <w:szCs w:val="21"/>
        </w:rPr>
        <w:t>2.生产厂名与厂址应与生产厂营业执照载明的相关信息保持一致。</w:t>
      </w:r>
    </w:p>
    <w:p w14:paraId="4571C1E7">
      <w:pPr>
        <w:widowControl/>
        <w:shd w:val="clear" w:color="auto" w:fill="FFFFFF"/>
        <w:ind w:firstLine="480"/>
        <w:jc w:val="left"/>
        <w:rPr>
          <w:rFonts w:ascii="宋体" w:hAnsi="宋体" w:cs="宋体"/>
          <w:szCs w:val="21"/>
        </w:rPr>
      </w:pPr>
      <w:r>
        <w:rPr>
          <w:rFonts w:hint="eastAsia" w:ascii="宋体" w:hAnsi="宋体" w:cs="宋体"/>
          <w:szCs w:val="21"/>
        </w:rPr>
        <w:t>3.该产品的中国境内生产的组件成本占比相关要求实施前，“规定比例”栏可不填，下同。</w:t>
      </w:r>
    </w:p>
    <w:p w14:paraId="44E93621">
      <w:pPr>
        <w:widowControl/>
        <w:shd w:val="clear" w:color="auto" w:fill="FFFFFF"/>
        <w:ind w:firstLine="480"/>
        <w:jc w:val="left"/>
        <w:rPr>
          <w:rFonts w:ascii="宋体" w:hAnsi="宋体" w:cs="宋体"/>
          <w:szCs w:val="21"/>
        </w:rPr>
      </w:pPr>
      <w:r>
        <w:rPr>
          <w:rFonts w:hint="eastAsia" w:ascii="宋体" w:hAnsi="宋体" w:cs="宋体"/>
          <w:szCs w:val="21"/>
        </w:rPr>
        <w:t>4.该产品的关键组件要求实施前，“关键组件”栏可不填，下同。</w:t>
      </w:r>
    </w:p>
    <w:p w14:paraId="38607F42">
      <w:pPr>
        <w:widowControl/>
        <w:shd w:val="clear" w:color="auto" w:fill="FFFFFF"/>
        <w:ind w:firstLine="480"/>
        <w:jc w:val="left"/>
        <w:rPr>
          <w:rFonts w:ascii="宋体" w:hAnsi="宋体" w:cs="宋体"/>
          <w:szCs w:val="21"/>
        </w:rPr>
      </w:pPr>
      <w:r>
        <w:rPr>
          <w:rFonts w:hint="eastAsia" w:ascii="宋体" w:hAnsi="宋体" w:cs="宋体"/>
          <w:szCs w:val="21"/>
        </w:rPr>
        <w:t>5.该产品的关键工序要求实施前，“关键工序”栏可不填，下同。</w:t>
      </w:r>
    </w:p>
    <w:p w14:paraId="245A9AFA">
      <w:pPr>
        <w:spacing w:line="360" w:lineRule="auto"/>
        <w:contextualSpacing/>
        <w:rPr>
          <w:rFonts w:ascii="宋体" w:hAnsi="宋体" w:cs="仿宋_GB2312"/>
          <w:sz w:val="24"/>
        </w:rPr>
      </w:pPr>
    </w:p>
    <w:p w14:paraId="3809D703">
      <w:pPr>
        <w:spacing w:line="360" w:lineRule="auto"/>
        <w:jc w:val="center"/>
        <w:rPr>
          <w:rFonts w:ascii="宋体" w:hAnsi="宋体"/>
          <w:b/>
          <w:bCs/>
          <w:sz w:val="44"/>
          <w:szCs w:val="44"/>
        </w:rPr>
      </w:pPr>
      <w:r>
        <w:rPr>
          <w:rFonts w:ascii="宋体" w:hAnsi="宋体" w:cs="仿宋_GB2312"/>
          <w:sz w:val="24"/>
        </w:rPr>
        <w:br w:type="page"/>
      </w:r>
    </w:p>
    <w:p w14:paraId="7D1B97E5">
      <w:pPr>
        <w:spacing w:line="360" w:lineRule="auto"/>
        <w:jc w:val="center"/>
        <w:rPr>
          <w:rFonts w:ascii="宋体" w:hAnsi="宋体"/>
          <w:b/>
          <w:bCs/>
          <w:sz w:val="44"/>
          <w:szCs w:val="44"/>
        </w:rPr>
      </w:pPr>
    </w:p>
    <w:p w14:paraId="7AF3D64B">
      <w:pPr>
        <w:spacing w:line="360" w:lineRule="auto"/>
        <w:jc w:val="center"/>
        <w:rPr>
          <w:rFonts w:ascii="宋体" w:hAnsi="宋体"/>
          <w:b/>
          <w:bCs/>
          <w:sz w:val="44"/>
          <w:szCs w:val="44"/>
        </w:rPr>
      </w:pPr>
    </w:p>
    <w:p w14:paraId="6B581051">
      <w:pPr>
        <w:spacing w:line="360" w:lineRule="auto"/>
        <w:jc w:val="center"/>
        <w:rPr>
          <w:rFonts w:ascii="宋体" w:hAnsi="宋体"/>
          <w:b/>
          <w:bCs/>
          <w:sz w:val="44"/>
          <w:szCs w:val="44"/>
        </w:rPr>
      </w:pPr>
    </w:p>
    <w:p w14:paraId="0B487D72">
      <w:pPr>
        <w:spacing w:line="360" w:lineRule="auto"/>
        <w:jc w:val="center"/>
        <w:rPr>
          <w:rFonts w:ascii="宋体" w:hAnsi="宋体"/>
          <w:b/>
          <w:bCs/>
          <w:sz w:val="44"/>
          <w:szCs w:val="44"/>
        </w:rPr>
      </w:pPr>
    </w:p>
    <w:p w14:paraId="1F101099">
      <w:pPr>
        <w:keepNext/>
        <w:keepLines/>
        <w:spacing w:before="340" w:after="330" w:line="576" w:lineRule="auto"/>
        <w:jc w:val="center"/>
        <w:outlineLvl w:val="0"/>
        <w:rPr>
          <w:rFonts w:ascii="仿宋_GB2312" w:hAnsi="楷体" w:eastAsia="仿宋_GB2312"/>
          <w:b/>
          <w:bCs/>
          <w:sz w:val="24"/>
          <w:szCs w:val="44"/>
          <w:u w:val="single"/>
        </w:rPr>
      </w:pPr>
      <w:bookmarkStart w:id="100" w:name="_Toc173510410"/>
      <w:r>
        <w:rPr>
          <w:rFonts w:hint="eastAsia" w:ascii="宋体" w:hAnsi="宋体"/>
          <w:sz w:val="44"/>
          <w:szCs w:val="44"/>
        </w:rPr>
        <w:t>第六章合同文本</w:t>
      </w:r>
      <w:bookmarkEnd w:id="100"/>
      <w:r>
        <w:rPr>
          <w:rFonts w:hint="eastAsia" w:ascii="宋体" w:hAnsi="宋体"/>
          <w:sz w:val="44"/>
          <w:szCs w:val="44"/>
        </w:rPr>
        <w:br w:type="page" w:clear="all"/>
      </w:r>
    </w:p>
    <w:p w14:paraId="779941E7">
      <w:pPr>
        <w:spacing w:line="360" w:lineRule="auto"/>
        <w:rPr>
          <w:rFonts w:ascii="宋体" w:hAnsi="宋体"/>
          <w:b/>
          <w:bCs/>
        </w:rPr>
      </w:pPr>
      <w:r>
        <w:rPr>
          <w:rFonts w:hint="eastAsia" w:ascii="仿宋_GB2312" w:hAnsi="楷体" w:eastAsia="仿宋_GB2312"/>
          <w:sz w:val="24"/>
        </w:rPr>
        <w:t>广西政府采购云平台合同编号：</w:t>
      </w:r>
    </w:p>
    <w:p w14:paraId="0DB67DA9">
      <w:pPr>
        <w:spacing w:line="360" w:lineRule="auto"/>
        <w:jc w:val="center"/>
        <w:rPr>
          <w:rFonts w:ascii="宋体"/>
          <w:b/>
          <w:bCs/>
          <w:sz w:val="52"/>
        </w:rPr>
      </w:pPr>
      <w:r>
        <w:rPr>
          <w:rFonts w:hint="eastAsia" w:ascii="宋体"/>
          <w:b/>
          <w:bCs/>
          <w:sz w:val="52"/>
        </w:rPr>
        <w:t>南宁市政府采购</w:t>
      </w:r>
    </w:p>
    <w:p w14:paraId="50E0BD73">
      <w:pPr>
        <w:spacing w:line="360" w:lineRule="auto"/>
        <w:ind w:firstLine="420"/>
        <w:rPr>
          <w:rFonts w:ascii="宋体"/>
        </w:rPr>
      </w:pPr>
    </w:p>
    <w:p w14:paraId="21C41A39">
      <w:pPr>
        <w:spacing w:line="360" w:lineRule="auto"/>
        <w:ind w:firstLine="420"/>
        <w:rPr>
          <w:rFonts w:ascii="宋体"/>
        </w:rPr>
      </w:pPr>
    </w:p>
    <w:p w14:paraId="71534F24">
      <w:pPr>
        <w:spacing w:line="360" w:lineRule="auto"/>
        <w:jc w:val="center"/>
        <w:rPr>
          <w:rFonts w:ascii="宋体"/>
          <w:b/>
          <w:bCs/>
          <w:sz w:val="44"/>
        </w:rPr>
      </w:pPr>
      <w:bookmarkStart w:id="101" w:name="PO_3000001871_PM002_14"/>
      <w:r>
        <w:rPr>
          <w:rFonts w:hint="eastAsia" w:ascii="宋体"/>
          <w:b/>
          <w:bCs/>
          <w:sz w:val="44"/>
          <w:u w:val="single"/>
        </w:rPr>
        <w:t>[项目采购-项目名称_]</w:t>
      </w:r>
      <w:bookmarkEnd w:id="101"/>
      <w:r>
        <w:rPr>
          <w:rFonts w:hint="eastAsia" w:ascii="宋体"/>
          <w:b/>
          <w:bCs/>
          <w:sz w:val="44"/>
        </w:rPr>
        <w:t>合同</w:t>
      </w:r>
    </w:p>
    <w:p w14:paraId="58125DCE">
      <w:pPr>
        <w:spacing w:line="360" w:lineRule="auto"/>
        <w:jc w:val="center"/>
        <w:rPr>
          <w:rFonts w:ascii="宋体"/>
          <w:b/>
          <w:bCs/>
          <w:sz w:val="44"/>
        </w:rPr>
      </w:pPr>
    </w:p>
    <w:p w14:paraId="72C73C53">
      <w:pPr>
        <w:spacing w:line="360" w:lineRule="auto"/>
        <w:ind w:firstLine="3507"/>
        <w:rPr>
          <w:rFonts w:ascii="宋体"/>
          <w:b/>
          <w:bCs/>
          <w:sz w:val="44"/>
        </w:rPr>
      </w:pPr>
    </w:p>
    <w:p w14:paraId="725EA4CB">
      <w:pPr>
        <w:spacing w:line="360" w:lineRule="auto"/>
        <w:ind w:firstLine="3507"/>
        <w:rPr>
          <w:rFonts w:ascii="宋体"/>
          <w:b/>
          <w:bCs/>
          <w:sz w:val="44"/>
        </w:rPr>
      </w:pPr>
    </w:p>
    <w:p w14:paraId="384155F0">
      <w:pPr>
        <w:ind w:firstLine="1995"/>
        <w:rPr>
          <w:rFonts w:ascii="宋体" w:hAnsi="宋体"/>
          <w:b/>
          <w:sz w:val="36"/>
          <w:szCs w:val="36"/>
        </w:rPr>
      </w:pPr>
      <w:r>
        <w:rPr>
          <w:rFonts w:hint="eastAsia" w:ascii="宋体" w:hAnsi="宋体"/>
          <w:b/>
          <w:sz w:val="36"/>
          <w:szCs w:val="36"/>
        </w:rPr>
        <w:t>采购项目编号：</w:t>
      </w:r>
      <w:bookmarkStart w:id="102" w:name="PO_3000001871_PM001_8"/>
      <w:r>
        <w:rPr>
          <w:rFonts w:hint="eastAsia" w:ascii="宋体" w:hAnsi="宋体"/>
          <w:b/>
          <w:sz w:val="36"/>
          <w:szCs w:val="36"/>
          <w:u w:val="single"/>
        </w:rPr>
        <w:t>[项目采购-项目编号_]</w:t>
      </w:r>
      <w:bookmarkEnd w:id="102"/>
    </w:p>
    <w:p w14:paraId="3AACB7EA">
      <w:pPr>
        <w:ind w:firstLine="1995"/>
        <w:rPr>
          <w:rFonts w:ascii="宋体" w:hAnsi="宋体"/>
          <w:b/>
          <w:sz w:val="36"/>
          <w:szCs w:val="36"/>
        </w:rPr>
      </w:pPr>
      <w:r>
        <w:rPr>
          <w:rFonts w:hint="eastAsia" w:ascii="宋体" w:hAnsi="宋体"/>
          <w:b/>
          <w:sz w:val="36"/>
          <w:szCs w:val="36"/>
        </w:rPr>
        <w:t>采购计划编号：</w:t>
      </w:r>
      <w:bookmarkStart w:id="103" w:name="PO_3000001871_PM001WMC001"/>
      <w:r>
        <w:rPr>
          <w:rFonts w:hint="eastAsia" w:ascii="宋体" w:hAnsi="宋体"/>
          <w:b/>
          <w:sz w:val="36"/>
          <w:szCs w:val="36"/>
          <w:u w:val="single"/>
        </w:rPr>
        <w:t>[采购计划文号]</w:t>
      </w:r>
      <w:bookmarkEnd w:id="103"/>
    </w:p>
    <w:p w14:paraId="3DFB3E31">
      <w:pPr>
        <w:ind w:firstLine="1308"/>
        <w:rPr>
          <w:rFonts w:ascii="宋体" w:hAnsi="宋体" w:cs="宋体"/>
          <w:sz w:val="24"/>
        </w:rPr>
      </w:pPr>
    </w:p>
    <w:p w14:paraId="6698CDED">
      <w:pPr>
        <w:ind w:firstLine="1995"/>
        <w:rPr>
          <w:rFonts w:ascii="宋体" w:hAnsi="宋体"/>
          <w:b/>
          <w:sz w:val="36"/>
          <w:szCs w:val="36"/>
          <w:u w:val="single"/>
        </w:rPr>
      </w:pPr>
    </w:p>
    <w:p w14:paraId="7779BA17">
      <w:pPr>
        <w:ind w:firstLine="1995"/>
        <w:rPr>
          <w:rFonts w:ascii="宋体" w:hAnsi="宋体"/>
          <w:b/>
          <w:sz w:val="36"/>
          <w:szCs w:val="36"/>
          <w:u w:val="single"/>
        </w:rPr>
      </w:pPr>
    </w:p>
    <w:p w14:paraId="41619613">
      <w:pPr>
        <w:tabs>
          <w:tab w:val="left" w:pos="7200"/>
        </w:tabs>
        <w:spacing w:line="360" w:lineRule="auto"/>
        <w:ind w:firstLine="1995"/>
        <w:rPr>
          <w:rFonts w:ascii="宋体" w:hAnsi="宋体"/>
          <w:b/>
          <w:sz w:val="36"/>
          <w:szCs w:val="36"/>
          <w:u w:val="single"/>
        </w:rPr>
      </w:pPr>
      <w:r>
        <w:rPr>
          <w:rFonts w:hint="eastAsia" w:ascii="宋体" w:hAnsi="宋体"/>
          <w:b/>
          <w:sz w:val="36"/>
          <w:szCs w:val="36"/>
        </w:rPr>
        <w:t>采购人：</w:t>
      </w:r>
      <w:bookmarkStart w:id="104" w:name="PO_3000001871_PM026_5"/>
      <w:r>
        <w:rPr>
          <w:rFonts w:hint="eastAsia" w:ascii="宋体" w:hAnsi="宋体"/>
          <w:b/>
          <w:sz w:val="36"/>
          <w:szCs w:val="36"/>
          <w:u w:val="single"/>
        </w:rPr>
        <w:t>[项目采购-采购人_]</w:t>
      </w:r>
      <w:bookmarkEnd w:id="104"/>
    </w:p>
    <w:p w14:paraId="085CE54B">
      <w:pPr>
        <w:tabs>
          <w:tab w:val="left" w:pos="7380"/>
        </w:tabs>
        <w:spacing w:line="360" w:lineRule="auto"/>
        <w:ind w:firstLine="1995"/>
        <w:rPr>
          <w:rFonts w:ascii="宋体"/>
          <w:b/>
          <w:bCs/>
          <w:sz w:val="44"/>
        </w:rPr>
      </w:pPr>
      <w:r>
        <w:rPr>
          <w:rFonts w:hint="eastAsia" w:ascii="宋体" w:hAnsi="宋体"/>
          <w:b/>
          <w:sz w:val="36"/>
          <w:szCs w:val="36"/>
        </w:rPr>
        <w:t>成交供应商：</w:t>
      </w:r>
    </w:p>
    <w:p w14:paraId="36AC3E41">
      <w:pPr>
        <w:tabs>
          <w:tab w:val="left" w:pos="7380"/>
        </w:tabs>
        <w:spacing w:line="360" w:lineRule="auto"/>
        <w:rPr>
          <w:rFonts w:ascii="宋体"/>
          <w:b/>
          <w:bCs/>
          <w:sz w:val="44"/>
        </w:rPr>
      </w:pPr>
    </w:p>
    <w:p w14:paraId="4B24065D">
      <w:pPr>
        <w:tabs>
          <w:tab w:val="left" w:pos="7380"/>
        </w:tabs>
        <w:spacing w:line="360" w:lineRule="auto"/>
        <w:ind w:firstLine="3920"/>
        <w:rPr>
          <w:rFonts w:ascii="仿宋_GB2312" w:hAnsi="楷体" w:eastAsia="仿宋_GB2312"/>
          <w:sz w:val="28"/>
          <w:lang w:val="zh-CN"/>
        </w:rPr>
      </w:pPr>
      <w:r>
        <w:rPr>
          <w:rFonts w:hint="eastAsia" w:ascii="仿宋_GB2312" w:hAnsi="楷体" w:eastAsia="仿宋_GB2312"/>
          <w:sz w:val="28"/>
          <w:lang w:val="zh-CN"/>
        </w:rPr>
        <w:t xml:space="preserve">签订时间： 年 </w:t>
      </w:r>
      <w:r>
        <w:rPr>
          <w:rFonts w:ascii="仿宋_GB2312" w:hAnsi="楷体" w:eastAsia="仿宋_GB2312"/>
          <w:sz w:val="28"/>
          <w:lang w:val="zh-CN"/>
        </w:rPr>
        <w:t xml:space="preserve"> </w:t>
      </w:r>
      <w:r>
        <w:rPr>
          <w:rFonts w:hint="eastAsia" w:ascii="仿宋_GB2312" w:hAnsi="楷体" w:eastAsia="仿宋_GB2312"/>
          <w:sz w:val="28"/>
          <w:lang w:val="zh-CN"/>
        </w:rPr>
        <w:t xml:space="preserve">月 </w:t>
      </w:r>
      <w:r>
        <w:rPr>
          <w:rFonts w:ascii="仿宋_GB2312" w:hAnsi="楷体" w:eastAsia="仿宋_GB2312"/>
          <w:sz w:val="28"/>
          <w:lang w:val="zh-CN"/>
        </w:rPr>
        <w:t xml:space="preserve"> </w:t>
      </w:r>
      <w:r>
        <w:rPr>
          <w:rFonts w:hint="eastAsia" w:ascii="仿宋_GB2312" w:hAnsi="楷体" w:eastAsia="仿宋_GB2312"/>
          <w:sz w:val="28"/>
          <w:lang w:val="zh-CN"/>
        </w:rPr>
        <w:t>日</w:t>
      </w:r>
    </w:p>
    <w:p w14:paraId="5E879738">
      <w:pPr>
        <w:spacing w:line="360" w:lineRule="auto"/>
        <w:jc w:val="center"/>
        <w:rPr>
          <w:rFonts w:ascii="仿宋_GB2312" w:hAnsi="楷体" w:eastAsia="仿宋_GB2312"/>
          <w:b/>
          <w:sz w:val="24"/>
        </w:rPr>
      </w:pPr>
      <w:r>
        <w:rPr>
          <w:rFonts w:hint="eastAsia" w:ascii="宋体"/>
          <w:b/>
          <w:bCs/>
          <w:sz w:val="44"/>
        </w:rPr>
        <w:br w:type="page" w:clear="all"/>
      </w:r>
      <w:r>
        <w:rPr>
          <w:rFonts w:hint="eastAsia" w:ascii="仿宋_GB2312" w:hAnsi="楷体" w:eastAsia="仿宋_GB2312"/>
          <w:b/>
          <w:sz w:val="24"/>
        </w:rPr>
        <w:t>合同目录</w:t>
      </w:r>
    </w:p>
    <w:p w14:paraId="4395AD27">
      <w:pPr>
        <w:spacing w:line="360" w:lineRule="auto"/>
        <w:jc w:val="center"/>
        <w:rPr>
          <w:rFonts w:ascii="宋体"/>
          <w:b/>
          <w:bCs/>
          <w:sz w:val="44"/>
        </w:rPr>
      </w:pPr>
    </w:p>
    <w:p w14:paraId="3E51AE70">
      <w:pPr>
        <w:spacing w:line="360" w:lineRule="auto"/>
        <w:rPr>
          <w:rFonts w:ascii="仿宋_GB2312" w:hAnsi="仿宋" w:eastAsia="仿宋_GB2312" w:cs="仿宋_GB2312"/>
          <w:sz w:val="24"/>
        </w:rPr>
      </w:pPr>
      <w:r>
        <w:rPr>
          <w:rFonts w:hint="eastAsia" w:ascii="仿宋_GB2312" w:hAnsi="仿宋" w:eastAsia="仿宋_GB2312" w:cs="仿宋_GB2312"/>
          <w:sz w:val="24"/>
        </w:rPr>
        <w:t>一、</w:t>
      </w:r>
      <w:r>
        <w:rPr>
          <w:rFonts w:hint="eastAsia" w:ascii="仿宋_GB2312" w:hAnsi="仿宋" w:eastAsia="仿宋_GB2312"/>
          <w:sz w:val="24"/>
        </w:rPr>
        <w:t>第一部分合同书</w:t>
      </w:r>
      <w:r>
        <w:rPr>
          <w:rFonts w:hint="eastAsia" w:ascii="仿宋_GB2312" w:hAnsi="仿宋" w:eastAsia="仿宋_GB2312" w:cs="仿宋_GB2312"/>
          <w:sz w:val="24"/>
        </w:rPr>
        <w:t>……………………………………………………………（页码）</w:t>
      </w:r>
    </w:p>
    <w:p w14:paraId="7B3A6789">
      <w:pPr>
        <w:spacing w:line="360" w:lineRule="auto"/>
        <w:rPr>
          <w:rFonts w:ascii="仿宋_GB2312" w:hAnsi="仿宋" w:eastAsia="仿宋_GB2312" w:cs="仿宋_GB2312"/>
          <w:sz w:val="24"/>
        </w:rPr>
      </w:pPr>
      <w:r>
        <w:rPr>
          <w:rFonts w:hint="eastAsia" w:ascii="仿宋_GB2312" w:hAnsi="仿宋" w:eastAsia="仿宋_GB2312" w:cs="仿宋_GB2312"/>
          <w:sz w:val="24"/>
        </w:rPr>
        <w:t>二、第二部分合同一般条款……………………………………………………（页码）</w:t>
      </w:r>
    </w:p>
    <w:p w14:paraId="776E91E9">
      <w:pPr>
        <w:spacing w:line="360" w:lineRule="auto"/>
        <w:rPr>
          <w:rFonts w:ascii="仿宋_GB2312" w:hAnsi="仿宋" w:eastAsia="仿宋_GB2312" w:cs="仿宋_GB2312"/>
          <w:sz w:val="24"/>
        </w:rPr>
      </w:pPr>
      <w:r>
        <w:rPr>
          <w:rFonts w:hint="eastAsia" w:ascii="仿宋_GB2312" w:hAnsi="仿宋" w:eastAsia="仿宋_GB2312" w:cs="仿宋_GB2312"/>
          <w:sz w:val="24"/>
        </w:rPr>
        <w:t>三、第三部分合同专用条款……………………………………………………（页码）</w:t>
      </w:r>
    </w:p>
    <w:p w14:paraId="00762D89">
      <w:pPr>
        <w:spacing w:line="360" w:lineRule="auto"/>
        <w:rPr>
          <w:rFonts w:ascii="仿宋_GB2312" w:hAnsi="仿宋" w:eastAsia="仿宋_GB2312" w:cs="仿宋_GB2312"/>
          <w:sz w:val="24"/>
        </w:rPr>
      </w:pPr>
      <w:r>
        <w:rPr>
          <w:rFonts w:hint="eastAsia" w:ascii="仿宋_GB2312" w:hAnsi="仿宋" w:eastAsia="仿宋_GB2312" w:cs="仿宋_GB2312"/>
          <w:sz w:val="24"/>
        </w:rPr>
        <w:t>四、</w:t>
      </w:r>
      <w:r>
        <w:rPr>
          <w:rFonts w:hint="eastAsia" w:ascii="仿宋_GB2312" w:hAnsi="仿宋" w:eastAsia="仿宋_GB2312"/>
          <w:sz w:val="24"/>
        </w:rPr>
        <w:t>第四部分合同附件</w:t>
      </w:r>
      <w:r>
        <w:rPr>
          <w:rFonts w:hint="eastAsia" w:ascii="仿宋_GB2312" w:hAnsi="仿宋" w:eastAsia="仿宋_GB2312" w:cs="仿宋_GB2312"/>
          <w:sz w:val="24"/>
        </w:rPr>
        <w:t>…………………………………………………………（页码）</w:t>
      </w:r>
    </w:p>
    <w:p w14:paraId="494A2C61">
      <w:pPr>
        <w:spacing w:line="360" w:lineRule="auto"/>
        <w:rPr>
          <w:rFonts w:ascii="仿宋_GB2312" w:hAnsi="仿宋" w:eastAsia="仿宋_GB2312" w:cs="仿宋_GB2312"/>
          <w:sz w:val="24"/>
        </w:rPr>
      </w:pPr>
      <w:r>
        <w:rPr>
          <w:rFonts w:hint="eastAsia" w:ascii="仿宋_GB2312" w:hAnsi="仿宋" w:eastAsia="仿宋_GB2312" w:cs="仿宋_GB2312"/>
          <w:sz w:val="24"/>
        </w:rPr>
        <w:t>4.1成交通知书…………………………………………………………………（页码）</w:t>
      </w:r>
    </w:p>
    <w:p w14:paraId="4B293859">
      <w:pPr>
        <w:spacing w:line="360" w:lineRule="auto"/>
        <w:rPr>
          <w:rFonts w:ascii="仿宋_GB2312" w:hAnsi="仿宋" w:eastAsia="仿宋_GB2312" w:cs="仿宋_GB2312"/>
          <w:sz w:val="24"/>
        </w:rPr>
      </w:pPr>
      <w:r>
        <w:rPr>
          <w:rFonts w:hint="eastAsia" w:ascii="仿宋_GB2312" w:hAnsi="仿宋" w:eastAsia="仿宋_GB2312" w:cs="仿宋_GB2312"/>
          <w:sz w:val="24"/>
        </w:rPr>
        <w:t>4.2采购文件货物需求一览表…………………………………………………（页码）</w:t>
      </w:r>
    </w:p>
    <w:p w14:paraId="25CEED62">
      <w:pPr>
        <w:spacing w:line="360" w:lineRule="auto"/>
        <w:rPr>
          <w:rFonts w:ascii="仿宋_GB2312" w:hAnsi="仿宋" w:eastAsia="仿宋_GB2312" w:cs="仿宋_GB2312"/>
          <w:sz w:val="24"/>
        </w:rPr>
      </w:pPr>
      <w:r>
        <w:rPr>
          <w:rFonts w:hint="eastAsia" w:ascii="仿宋_GB2312" w:hAnsi="仿宋" w:eastAsia="仿宋_GB2312" w:cs="仿宋_GB2312"/>
          <w:sz w:val="24"/>
        </w:rPr>
        <w:t>4.3采购文件的更改通知（如有）……………………………………………（页码）</w:t>
      </w:r>
    </w:p>
    <w:p w14:paraId="399B54BD">
      <w:pPr>
        <w:spacing w:line="360" w:lineRule="auto"/>
        <w:rPr>
          <w:rFonts w:ascii="仿宋_GB2312" w:hAnsi="仿宋" w:eastAsia="仿宋_GB2312" w:cs="仿宋_GB2312"/>
          <w:sz w:val="24"/>
        </w:rPr>
      </w:pPr>
      <w:r>
        <w:rPr>
          <w:rFonts w:hint="eastAsia" w:ascii="仿宋_GB2312" w:hAnsi="仿宋" w:eastAsia="仿宋_GB2312" w:cs="仿宋_GB2312"/>
          <w:sz w:val="24"/>
        </w:rPr>
        <w:t>4.4响应函………………………………………………………………………（页码）</w:t>
      </w:r>
    </w:p>
    <w:p w14:paraId="7A5A4517">
      <w:pPr>
        <w:spacing w:line="360" w:lineRule="auto"/>
        <w:rPr>
          <w:rFonts w:ascii="仿宋_GB2312" w:hAnsi="仿宋" w:eastAsia="仿宋_GB2312" w:cs="仿宋_GB2312"/>
          <w:sz w:val="24"/>
        </w:rPr>
      </w:pPr>
      <w:r>
        <w:rPr>
          <w:rFonts w:hint="eastAsia" w:ascii="仿宋_GB2312" w:hAnsi="仿宋" w:eastAsia="仿宋_GB2312" w:cs="仿宋_GB2312"/>
          <w:sz w:val="24"/>
        </w:rPr>
        <w:t>4.5响应报价表…………………………………………………………………（页码）</w:t>
      </w:r>
    </w:p>
    <w:p w14:paraId="22685156">
      <w:pPr>
        <w:spacing w:line="360" w:lineRule="auto"/>
        <w:rPr>
          <w:rFonts w:ascii="仿宋_GB2312" w:hAnsi="仿宋" w:eastAsia="仿宋_GB2312" w:cs="仿宋_GB2312"/>
          <w:sz w:val="24"/>
        </w:rPr>
      </w:pPr>
      <w:r>
        <w:rPr>
          <w:rFonts w:hint="eastAsia" w:ascii="仿宋_GB2312" w:hAnsi="仿宋" w:eastAsia="仿宋_GB2312" w:cs="仿宋_GB2312"/>
          <w:sz w:val="24"/>
        </w:rPr>
        <w:t>4.6响应货物技术资料表………………………………………………………（页码）</w:t>
      </w:r>
    </w:p>
    <w:p w14:paraId="5BFBA756">
      <w:pPr>
        <w:spacing w:line="360" w:lineRule="auto"/>
        <w:rPr>
          <w:rFonts w:ascii="仿宋_GB2312" w:hAnsi="仿宋" w:eastAsia="仿宋_GB2312" w:cs="仿宋_GB2312"/>
          <w:sz w:val="24"/>
        </w:rPr>
      </w:pPr>
      <w:r>
        <w:rPr>
          <w:rFonts w:hint="eastAsia" w:ascii="仿宋_GB2312" w:hAnsi="仿宋" w:eastAsia="仿宋_GB2312" w:cs="仿宋_GB2312"/>
          <w:sz w:val="24"/>
        </w:rPr>
        <w:t>4.7商务条款偏离表……………………………………………………………（页码）</w:t>
      </w:r>
    </w:p>
    <w:p w14:paraId="7D8C2A19">
      <w:pPr>
        <w:spacing w:line="360" w:lineRule="auto"/>
        <w:rPr>
          <w:rFonts w:ascii="仿宋_GB2312" w:hAnsi="仿宋" w:eastAsia="仿宋_GB2312" w:cs="仿宋_GB2312"/>
          <w:sz w:val="24"/>
        </w:rPr>
      </w:pPr>
      <w:r>
        <w:rPr>
          <w:rFonts w:hint="eastAsia" w:ascii="仿宋_GB2312" w:hAnsi="仿宋" w:eastAsia="仿宋_GB2312" w:cs="仿宋_GB2312"/>
          <w:sz w:val="24"/>
        </w:rPr>
        <w:t>4.8成交供应商澄清函（如有请提供）………………………………………（页码）</w:t>
      </w:r>
    </w:p>
    <w:p w14:paraId="24C62583">
      <w:pPr>
        <w:spacing w:line="360" w:lineRule="auto"/>
        <w:rPr>
          <w:rFonts w:ascii="仿宋_GB2312" w:hAnsi="仿宋" w:eastAsia="仿宋_GB2312" w:cs="仿宋_GB2312"/>
          <w:sz w:val="24"/>
        </w:rPr>
      </w:pPr>
      <w:r>
        <w:rPr>
          <w:rFonts w:hint="eastAsia" w:ascii="仿宋_GB2312" w:hAnsi="仿宋" w:eastAsia="仿宋_GB2312" w:cs="仿宋_GB2312"/>
          <w:sz w:val="24"/>
        </w:rPr>
        <w:t>4.9其他与本合同相关的资料（如有请提供）………………………………（页码）</w:t>
      </w:r>
    </w:p>
    <w:p w14:paraId="79C1B971">
      <w:pPr>
        <w:spacing w:line="360" w:lineRule="auto"/>
        <w:rPr>
          <w:rFonts w:ascii="仿宋_GB2312" w:hAnsi="仿宋" w:eastAsia="仿宋_GB2312" w:cs="仿宋_GB2312"/>
          <w:sz w:val="24"/>
        </w:rPr>
      </w:pPr>
    </w:p>
    <w:p w14:paraId="1DD027D4">
      <w:pPr>
        <w:widowControl/>
        <w:jc w:val="left"/>
        <w:rPr>
          <w:rFonts w:ascii="仿宋_GB2312" w:eastAsia="仿宋_GB2312"/>
          <w:sz w:val="32"/>
          <w:szCs w:val="20"/>
        </w:rPr>
        <w:sectPr>
          <w:pgSz w:w="11906" w:h="16838"/>
          <w:pgMar w:top="1134" w:right="1134" w:bottom="1134" w:left="1134" w:header="720" w:footer="720" w:gutter="0"/>
          <w:cols w:space="1701" w:num="1"/>
        </w:sectPr>
      </w:pPr>
    </w:p>
    <w:p w14:paraId="1E5D5A22">
      <w:pPr>
        <w:spacing w:after="120" w:line="360" w:lineRule="auto"/>
        <w:ind w:left="420" w:firstLine="562"/>
        <w:jc w:val="center"/>
        <w:outlineLvl w:val="1"/>
        <w:rPr>
          <w:rFonts w:ascii="仿宋_GB2312" w:hAnsi="楷体" w:eastAsia="仿宋_GB2312"/>
          <w:b/>
          <w:sz w:val="28"/>
          <w:szCs w:val="28"/>
        </w:rPr>
      </w:pPr>
      <w:bookmarkStart w:id="105" w:name="_Toc173510411"/>
      <w:r>
        <w:rPr>
          <w:rFonts w:hint="eastAsia" w:ascii="仿宋_GB2312" w:hAnsi="楷体" w:eastAsia="仿宋_GB2312"/>
          <w:b/>
          <w:sz w:val="28"/>
          <w:szCs w:val="28"/>
        </w:rPr>
        <w:t>第一部分合同书</w:t>
      </w:r>
      <w:bookmarkEnd w:id="105"/>
    </w:p>
    <w:p w14:paraId="649FBA02">
      <w:pPr>
        <w:spacing w:line="360" w:lineRule="auto"/>
        <w:ind w:firstLine="480"/>
        <w:rPr>
          <w:rFonts w:ascii="仿宋_GB2312" w:hAnsi="楷体" w:eastAsia="仿宋_GB2312"/>
          <w:sz w:val="24"/>
        </w:rPr>
      </w:pPr>
      <w:r>
        <w:rPr>
          <w:rFonts w:hint="eastAsia" w:ascii="仿宋_GB2312" w:hAnsi="楷体" w:eastAsia="仿宋_GB2312"/>
          <w:sz w:val="24"/>
          <w:lang w:val="zh-CN"/>
        </w:rPr>
        <w:t>年月日</w:t>
      </w:r>
      <w:r>
        <w:rPr>
          <w:rFonts w:hint="eastAsia" w:ascii="仿宋_GB2312" w:hAnsi="楷体" w:eastAsia="仿宋_GB2312"/>
          <w:sz w:val="24"/>
        </w:rPr>
        <w:t>，</w:t>
      </w:r>
      <w:bookmarkStart w:id="106" w:name="PO_3000001871_PM026_6"/>
      <w:r>
        <w:rPr>
          <w:rFonts w:hint="eastAsia" w:ascii="仿宋_GB2312" w:hAnsi="仿宋" w:eastAsia="仿宋_GB2312"/>
          <w:sz w:val="24"/>
          <w:u w:val="single"/>
        </w:rPr>
        <w:t>[项目采购-采购人]</w:t>
      </w:r>
      <w:bookmarkEnd w:id="106"/>
      <w:r>
        <w:rPr>
          <w:rFonts w:hint="eastAsia" w:ascii="仿宋_GB2312" w:hAnsi="仿宋" w:eastAsia="仿宋_GB2312"/>
          <w:sz w:val="24"/>
        </w:rPr>
        <w:t>以</w:t>
      </w:r>
      <w:r>
        <w:rPr>
          <w:rFonts w:hint="eastAsia" w:ascii="仿宋_GB2312" w:hAnsi="仿宋" w:eastAsia="仿宋_GB2312"/>
          <w:sz w:val="24"/>
          <w:u w:val="single"/>
        </w:rPr>
        <w:t>竞争性谈判方式</w:t>
      </w:r>
      <w:r>
        <w:rPr>
          <w:rFonts w:hint="eastAsia" w:ascii="仿宋_GB2312" w:hAnsi="仿宋" w:eastAsia="仿宋_GB2312"/>
          <w:sz w:val="24"/>
        </w:rPr>
        <w:t>对</w:t>
      </w:r>
      <w:r>
        <w:rPr>
          <w:rFonts w:hint="eastAsia" w:ascii="仿宋_GB2312" w:hAnsi="楷体" w:eastAsia="仿宋_GB2312"/>
          <w:sz w:val="24"/>
        </w:rPr>
        <w:t>项目进行了采购。经</w:t>
      </w:r>
      <w:r>
        <w:rPr>
          <w:rFonts w:hint="eastAsia" w:ascii="仿宋_GB2312" w:hAnsi="楷体" w:eastAsia="仿宋_GB2312"/>
          <w:sz w:val="24"/>
          <w:u w:val="single"/>
        </w:rPr>
        <w:t>（相关评定主体名称）</w:t>
      </w:r>
      <w:r>
        <w:rPr>
          <w:rFonts w:hint="eastAsia" w:ascii="仿宋_GB2312" w:hAnsi="楷体" w:eastAsia="仿宋_GB2312"/>
          <w:sz w:val="24"/>
        </w:rPr>
        <w:t>评定，</w:t>
      </w:r>
      <w:r>
        <w:rPr>
          <w:rFonts w:hint="eastAsia" w:ascii="仿宋_GB2312" w:hAnsi="楷体" w:eastAsia="仿宋_GB2312"/>
          <w:sz w:val="24"/>
          <w:u w:val="single"/>
        </w:rPr>
        <w:t>（供应商名称）</w:t>
      </w:r>
      <w:r>
        <w:rPr>
          <w:rFonts w:hint="eastAsia" w:ascii="仿宋_GB2312" w:hAnsi="楷体" w:eastAsia="仿宋_GB2312"/>
          <w:sz w:val="24"/>
        </w:rPr>
        <w:t>为该项目成交供应商。现于成交通知书发出之日起</w:t>
      </w:r>
      <w:r>
        <w:rPr>
          <w:rFonts w:hint="eastAsia" w:ascii="仿宋_GB2312" w:hAnsi="楷体" w:eastAsia="仿宋_GB2312"/>
          <w:sz w:val="24"/>
          <w:u w:val="single"/>
        </w:rPr>
        <w:t xml:space="preserve"> </w:t>
      </w:r>
      <w:r>
        <w:rPr>
          <w:rFonts w:ascii="仿宋_GB2312" w:hAnsi="楷体" w:eastAsia="仿宋_GB2312"/>
          <w:sz w:val="24"/>
          <w:u w:val="single"/>
        </w:rPr>
        <w:t xml:space="preserve">  </w:t>
      </w:r>
      <w:r>
        <w:rPr>
          <w:rFonts w:hint="eastAsia" w:ascii="仿宋_GB2312" w:hAnsi="楷体" w:eastAsia="仿宋_GB2312"/>
          <w:sz w:val="24"/>
        </w:rPr>
        <w:t>日（时限根据项目情况而定，不得超过25日）内，按照采购文件确定的事项签订本合同。</w:t>
      </w:r>
    </w:p>
    <w:p w14:paraId="7E5F9466">
      <w:pPr>
        <w:spacing w:line="360" w:lineRule="auto"/>
        <w:ind w:firstLine="480"/>
        <w:rPr>
          <w:rFonts w:ascii="仿宋_GB2312" w:hAnsi="楷体" w:eastAsia="仿宋_GB2312"/>
          <w:sz w:val="24"/>
        </w:rPr>
      </w:pPr>
      <w:r>
        <w:rPr>
          <w:rFonts w:hint="eastAsia" w:ascii="仿宋_GB2312" w:hAnsi="楷体" w:eastAsia="仿宋_GB2312"/>
          <w:sz w:val="24"/>
          <w:lang w:val="zh-CN"/>
        </w:rPr>
        <w:t>根据《中华人民共和国民法典》、《中华人民共和国政府采购法》等相关法律法规之规定，按照平等、自愿、公平和诚实信用的原则，经</w:t>
      </w:r>
      <w:bookmarkStart w:id="107" w:name="PO_3000001871_PM026_7"/>
      <w:r>
        <w:rPr>
          <w:rFonts w:hint="eastAsia" w:ascii="仿宋_GB2312" w:hAnsi="楷体" w:eastAsia="仿宋_GB2312"/>
          <w:sz w:val="24"/>
          <w:u w:val="single"/>
        </w:rPr>
        <w:t>[项目采购-采购人]</w:t>
      </w:r>
      <w:bookmarkEnd w:id="107"/>
      <w:r>
        <w:rPr>
          <w:rFonts w:hint="eastAsia" w:ascii="仿宋_GB2312" w:hAnsi="楷体" w:eastAsia="仿宋_GB2312"/>
          <w:sz w:val="24"/>
          <w:lang w:val="zh-CN"/>
        </w:rPr>
        <w:t>(以下简称：甲方)和</w:t>
      </w:r>
      <w:r>
        <w:rPr>
          <w:rFonts w:hint="eastAsia" w:ascii="仿宋_GB2312" w:hAnsi="楷体" w:eastAsia="仿宋_GB2312"/>
          <w:sz w:val="24"/>
          <w:u w:val="single"/>
        </w:rPr>
        <w:t xml:space="preserve">（成交人名称） </w:t>
      </w:r>
      <w:r>
        <w:rPr>
          <w:rFonts w:ascii="仿宋_GB2312" w:hAnsi="楷体" w:eastAsia="仿宋_GB2312"/>
          <w:sz w:val="24"/>
          <w:u w:val="single"/>
        </w:rPr>
        <w:t xml:space="preserve">  </w:t>
      </w:r>
      <w:r>
        <w:rPr>
          <w:rFonts w:hint="eastAsia" w:ascii="仿宋_GB2312" w:hAnsi="楷体" w:eastAsia="仿宋_GB2312"/>
          <w:sz w:val="24"/>
          <w:lang w:val="zh-CN"/>
        </w:rPr>
        <w:t>(以下简称：乙方)协商一致，约定以下合同</w:t>
      </w:r>
      <w:r>
        <w:rPr>
          <w:rFonts w:hint="eastAsia" w:ascii="仿宋_GB2312" w:hAnsi="楷体" w:eastAsia="仿宋_GB2312"/>
          <w:sz w:val="24"/>
        </w:rPr>
        <w:t>条款，以兹共同遵守、全面履行。</w:t>
      </w:r>
    </w:p>
    <w:p w14:paraId="51D47355">
      <w:pPr>
        <w:spacing w:line="360" w:lineRule="auto"/>
        <w:ind w:firstLine="482"/>
        <w:rPr>
          <w:rFonts w:ascii="仿宋_GB2312" w:hAnsi="楷体" w:eastAsia="仿宋_GB2312"/>
          <w:b/>
          <w:sz w:val="24"/>
        </w:rPr>
      </w:pPr>
      <w:bookmarkStart w:id="108" w:name="_Toc2232"/>
      <w:bookmarkStart w:id="109" w:name="_Toc24059"/>
      <w:bookmarkStart w:id="110" w:name="_Toc3029"/>
      <w:r>
        <w:rPr>
          <w:rFonts w:hint="eastAsia" w:ascii="仿宋_GB2312" w:hAnsi="楷体" w:eastAsia="仿宋_GB2312"/>
          <w:b/>
          <w:sz w:val="24"/>
        </w:rPr>
        <w:t>1.1 合同组成部分</w:t>
      </w:r>
      <w:bookmarkEnd w:id="108"/>
      <w:bookmarkEnd w:id="109"/>
      <w:bookmarkEnd w:id="110"/>
    </w:p>
    <w:p w14:paraId="52F3ADFF">
      <w:pPr>
        <w:spacing w:line="360" w:lineRule="auto"/>
        <w:ind w:firstLine="480"/>
        <w:rPr>
          <w:rFonts w:ascii="仿宋_GB2312" w:hAnsi="楷体" w:eastAsia="仿宋_GB2312"/>
          <w:sz w:val="24"/>
        </w:rPr>
      </w:pPr>
      <w:r>
        <w:rPr>
          <w:rFonts w:hint="eastAsia" w:ascii="仿宋_GB2312" w:hAnsi="楷体" w:eastAsia="仿宋_GB2312"/>
          <w:sz w:val="24"/>
        </w:rPr>
        <w:t>下列文件为本合同的组成部分，并构成一个整体，需综合解释、相互补充。如果下列文件内容出现不一致的情形，在保证按照采购文件确定的事项的前提下，组成本合同的多个文件的优先适用顺序如下：</w:t>
      </w:r>
    </w:p>
    <w:p w14:paraId="1D7318C9">
      <w:pPr>
        <w:spacing w:line="360" w:lineRule="auto"/>
        <w:ind w:firstLine="480"/>
        <w:rPr>
          <w:rFonts w:ascii="仿宋_GB2312" w:hAnsi="楷体" w:eastAsia="仿宋_GB2312"/>
          <w:sz w:val="24"/>
        </w:rPr>
      </w:pPr>
      <w:r>
        <w:rPr>
          <w:rFonts w:hint="eastAsia" w:ascii="仿宋_GB2312" w:hAnsi="楷体" w:eastAsia="仿宋_GB2312"/>
          <w:sz w:val="24"/>
        </w:rPr>
        <w:t>1.1.1 本合同及其补充合同、变更协议；</w:t>
      </w:r>
    </w:p>
    <w:p w14:paraId="71515577">
      <w:pPr>
        <w:spacing w:line="360" w:lineRule="auto"/>
        <w:ind w:firstLine="480"/>
        <w:rPr>
          <w:rFonts w:ascii="仿宋_GB2312" w:hAnsi="楷体" w:eastAsia="仿宋_GB2312"/>
          <w:sz w:val="24"/>
        </w:rPr>
      </w:pPr>
      <w:r>
        <w:rPr>
          <w:rFonts w:hint="eastAsia" w:ascii="仿宋_GB2312" w:hAnsi="楷体" w:eastAsia="仿宋_GB2312"/>
          <w:sz w:val="24"/>
        </w:rPr>
        <w:t>1.1.2 成交通知书；</w:t>
      </w:r>
    </w:p>
    <w:p w14:paraId="2FA1BF2E">
      <w:pPr>
        <w:spacing w:line="360" w:lineRule="auto"/>
        <w:ind w:firstLine="480"/>
        <w:rPr>
          <w:rFonts w:ascii="仿宋_GB2312" w:hAnsi="楷体" w:eastAsia="仿宋_GB2312"/>
          <w:sz w:val="24"/>
        </w:rPr>
      </w:pPr>
      <w:r>
        <w:rPr>
          <w:rFonts w:hint="eastAsia" w:ascii="仿宋_GB2312" w:hAnsi="楷体" w:eastAsia="仿宋_GB2312"/>
          <w:sz w:val="24"/>
        </w:rPr>
        <w:t>1.1.3 采购文件及“响应报价”（含澄清或者说明文件）；</w:t>
      </w:r>
    </w:p>
    <w:p w14:paraId="7AC21797">
      <w:pPr>
        <w:spacing w:line="360" w:lineRule="auto"/>
        <w:ind w:firstLine="480"/>
        <w:rPr>
          <w:rFonts w:ascii="仿宋_GB2312" w:hAnsi="楷体" w:eastAsia="仿宋_GB2312"/>
          <w:sz w:val="24"/>
        </w:rPr>
      </w:pPr>
      <w:r>
        <w:rPr>
          <w:rFonts w:hint="eastAsia" w:ascii="仿宋_GB2312" w:hAnsi="楷体" w:eastAsia="仿宋_GB2312"/>
          <w:sz w:val="24"/>
        </w:rPr>
        <w:t>1.1.4 采购文件（含澄清或者修改文件）；</w:t>
      </w:r>
    </w:p>
    <w:p w14:paraId="7B9F9865">
      <w:pPr>
        <w:spacing w:line="360" w:lineRule="auto"/>
        <w:ind w:firstLine="480"/>
        <w:rPr>
          <w:rFonts w:ascii="仿宋_GB2312" w:hAnsi="楷体" w:eastAsia="仿宋_GB2312"/>
          <w:sz w:val="24"/>
        </w:rPr>
      </w:pPr>
      <w:r>
        <w:rPr>
          <w:rFonts w:hint="eastAsia" w:ascii="仿宋_GB2312" w:hAnsi="楷体" w:eastAsia="仿宋_GB2312"/>
          <w:sz w:val="24"/>
        </w:rPr>
        <w:t>1.1.5 其他相关采购文件。</w:t>
      </w:r>
    </w:p>
    <w:p w14:paraId="39623695">
      <w:pPr>
        <w:spacing w:line="360" w:lineRule="auto"/>
        <w:ind w:firstLine="482"/>
        <w:rPr>
          <w:rFonts w:ascii="仿宋_GB2312" w:hAnsi="楷体" w:eastAsia="仿宋_GB2312"/>
          <w:b/>
          <w:sz w:val="24"/>
        </w:rPr>
      </w:pPr>
      <w:bookmarkStart w:id="111" w:name="_Toc21295"/>
      <w:bookmarkStart w:id="112" w:name="_Toc24300"/>
      <w:bookmarkStart w:id="113" w:name="_Toc27126"/>
      <w:r>
        <w:rPr>
          <w:rFonts w:hint="eastAsia" w:ascii="仿宋_GB2312" w:hAnsi="楷体" w:eastAsia="仿宋_GB2312"/>
          <w:b/>
          <w:sz w:val="24"/>
        </w:rPr>
        <w:t>1.2 标的物</w:t>
      </w:r>
      <w:bookmarkEnd w:id="111"/>
      <w:bookmarkEnd w:id="112"/>
      <w:bookmarkEnd w:id="113"/>
    </w:p>
    <w:p w14:paraId="05E36FF7">
      <w:pPr>
        <w:spacing w:line="360" w:lineRule="auto"/>
        <w:ind w:firstLine="480"/>
        <w:rPr>
          <w:rFonts w:ascii="仿宋_GB2312" w:hAnsi="楷体" w:eastAsia="仿宋_GB2312"/>
          <w:sz w:val="24"/>
        </w:rPr>
      </w:pPr>
      <w:r>
        <w:rPr>
          <w:rFonts w:hint="eastAsia" w:ascii="仿宋_GB2312" w:hAnsi="楷体" w:eastAsia="仿宋_GB2312"/>
          <w:sz w:val="24"/>
        </w:rPr>
        <w:t>1.2.1 标的物1信息</w:t>
      </w:r>
    </w:p>
    <w:p w14:paraId="34E33370">
      <w:pPr>
        <w:spacing w:line="360" w:lineRule="auto"/>
        <w:ind w:firstLine="480"/>
        <w:rPr>
          <w:rFonts w:ascii="仿宋_GB2312" w:hAnsi="楷体" w:eastAsia="仿宋_GB2312"/>
          <w:sz w:val="24"/>
          <w:u w:val="single"/>
        </w:rPr>
      </w:pPr>
      <w:r>
        <w:rPr>
          <w:rFonts w:hint="eastAsia" w:ascii="仿宋_GB2312" w:hAnsi="楷体" w:eastAsia="仿宋_GB2312"/>
          <w:sz w:val="24"/>
        </w:rPr>
        <w:t>1.2.1.1名称：</w:t>
      </w:r>
      <w:r>
        <w:rPr>
          <w:rFonts w:hint="eastAsia" w:ascii="仿宋_GB2312" w:hAnsi="楷体" w:eastAsia="仿宋_GB2312"/>
          <w:sz w:val="24"/>
          <w:u w:val="single"/>
        </w:rPr>
        <w:t>　</w:t>
      </w:r>
      <w:r>
        <w:rPr>
          <w:rFonts w:hint="eastAsia" w:ascii="仿宋_GB2312" w:hAnsi="楷体" w:eastAsia="仿宋_GB2312"/>
          <w:sz w:val="24"/>
        </w:rPr>
        <w:t>；</w:t>
      </w:r>
    </w:p>
    <w:p w14:paraId="6B257511">
      <w:pPr>
        <w:spacing w:line="360" w:lineRule="auto"/>
        <w:ind w:firstLine="480"/>
        <w:rPr>
          <w:rFonts w:ascii="仿宋_GB2312" w:hAnsi="楷体" w:eastAsia="仿宋_GB2312"/>
          <w:sz w:val="24"/>
          <w:u w:val="single"/>
        </w:rPr>
      </w:pPr>
      <w:r>
        <w:rPr>
          <w:rFonts w:hint="eastAsia" w:ascii="仿宋_GB2312" w:hAnsi="楷体" w:eastAsia="仿宋_GB2312"/>
          <w:sz w:val="24"/>
        </w:rPr>
        <w:t>1.2.1.2数量：</w:t>
      </w:r>
      <w:r>
        <w:rPr>
          <w:rFonts w:hint="eastAsia" w:ascii="仿宋_GB2312" w:hAnsi="楷体" w:eastAsia="仿宋_GB2312"/>
          <w:sz w:val="24"/>
          <w:u w:val="single"/>
        </w:rPr>
        <w:t>　</w:t>
      </w:r>
      <w:r>
        <w:rPr>
          <w:rFonts w:hint="eastAsia" w:ascii="仿宋_GB2312" w:hAnsi="楷体" w:eastAsia="仿宋_GB2312"/>
          <w:sz w:val="24"/>
        </w:rPr>
        <w:t>；</w:t>
      </w:r>
    </w:p>
    <w:p w14:paraId="42FD8CCD">
      <w:pPr>
        <w:spacing w:line="360" w:lineRule="auto"/>
        <w:ind w:firstLine="480"/>
        <w:rPr>
          <w:rFonts w:ascii="仿宋_GB2312" w:hAnsi="楷体" w:eastAsia="仿宋_GB2312"/>
          <w:sz w:val="24"/>
        </w:rPr>
      </w:pPr>
      <w:r>
        <w:rPr>
          <w:rFonts w:hint="eastAsia" w:ascii="仿宋_GB2312" w:hAnsi="楷体" w:eastAsia="仿宋_GB2312"/>
          <w:sz w:val="24"/>
        </w:rPr>
        <w:t>1.2.1.3质量：</w:t>
      </w:r>
      <w:r>
        <w:rPr>
          <w:rFonts w:hint="eastAsia" w:ascii="仿宋_GB2312" w:hAnsi="楷体" w:eastAsia="仿宋_GB2312"/>
          <w:sz w:val="24"/>
          <w:u w:val="single"/>
        </w:rPr>
        <w:t>　</w:t>
      </w:r>
      <w:r>
        <w:rPr>
          <w:rFonts w:hint="eastAsia" w:ascii="仿宋_GB2312" w:hAnsi="楷体" w:eastAsia="仿宋_GB2312"/>
          <w:sz w:val="24"/>
        </w:rPr>
        <w:t>。</w:t>
      </w:r>
    </w:p>
    <w:p w14:paraId="3CCF46C6">
      <w:pPr>
        <w:spacing w:line="360" w:lineRule="auto"/>
        <w:ind w:firstLine="480"/>
        <w:rPr>
          <w:rFonts w:ascii="仿宋_GB2312" w:hAnsi="楷体" w:eastAsia="仿宋_GB2312"/>
          <w:sz w:val="24"/>
        </w:rPr>
      </w:pPr>
      <w:r>
        <w:rPr>
          <w:rFonts w:hint="eastAsia" w:ascii="仿宋_GB2312" w:hAnsi="楷体" w:eastAsia="仿宋_GB2312"/>
          <w:sz w:val="24"/>
        </w:rPr>
        <w:t>……</w:t>
      </w:r>
    </w:p>
    <w:p w14:paraId="24671475">
      <w:pPr>
        <w:spacing w:line="360" w:lineRule="auto"/>
        <w:ind w:firstLine="482"/>
        <w:rPr>
          <w:rFonts w:ascii="仿宋_GB2312" w:hAnsi="楷体" w:eastAsia="仿宋_GB2312"/>
          <w:b/>
          <w:sz w:val="24"/>
        </w:rPr>
      </w:pPr>
      <w:bookmarkStart w:id="114" w:name="_Toc21631"/>
      <w:bookmarkStart w:id="115" w:name="_Toc23292"/>
      <w:bookmarkStart w:id="116" w:name="_Toc21551"/>
      <w:r>
        <w:rPr>
          <w:rFonts w:hint="eastAsia" w:ascii="仿宋_GB2312" w:hAnsi="楷体" w:eastAsia="仿宋_GB2312"/>
          <w:b/>
          <w:sz w:val="24"/>
        </w:rPr>
        <w:t>1.3 价款</w:t>
      </w:r>
      <w:bookmarkEnd w:id="114"/>
      <w:bookmarkEnd w:id="115"/>
      <w:bookmarkEnd w:id="116"/>
    </w:p>
    <w:p w14:paraId="077EA847">
      <w:pPr>
        <w:spacing w:line="360" w:lineRule="auto"/>
        <w:ind w:firstLine="480"/>
        <w:rPr>
          <w:rFonts w:ascii="仿宋_GB2312" w:hAnsi="楷体" w:eastAsia="仿宋_GB2312"/>
          <w:sz w:val="24"/>
        </w:rPr>
      </w:pPr>
      <w:r>
        <w:rPr>
          <w:rFonts w:hint="eastAsia" w:ascii="仿宋_GB2312" w:hAnsi="楷体" w:eastAsia="仿宋_GB2312"/>
          <w:sz w:val="24"/>
        </w:rPr>
        <w:t>本合同总价为：人民币</w:t>
      </w:r>
      <w:r>
        <w:rPr>
          <w:rFonts w:hint="eastAsia" w:ascii="仿宋_GB2312" w:hAnsi="楷体" w:eastAsia="仿宋_GB2312"/>
          <w:sz w:val="24"/>
          <w:u w:val="single"/>
        </w:rPr>
        <w:t>　</w:t>
      </w:r>
      <w:r>
        <w:rPr>
          <w:rFonts w:hint="eastAsia" w:ascii="仿宋_GB2312" w:hAnsi="楷体" w:eastAsia="仿宋_GB2312"/>
          <w:sz w:val="24"/>
        </w:rPr>
        <w:t>元（大写：元人民币，含税）。</w:t>
      </w:r>
    </w:p>
    <w:p w14:paraId="2ABE802C">
      <w:pPr>
        <w:spacing w:line="360" w:lineRule="auto"/>
        <w:ind w:firstLine="480"/>
        <w:rPr>
          <w:rFonts w:ascii="仿宋_GB2312" w:hAnsi="楷体" w:eastAsia="仿宋_GB2312"/>
          <w:sz w:val="24"/>
          <w:u w:val="single"/>
        </w:rPr>
      </w:pPr>
      <w:r>
        <w:rPr>
          <w:rFonts w:hint="eastAsia" w:ascii="仿宋_GB2312" w:hAnsi="楷体" w:eastAsia="仿宋_GB2312"/>
          <w:sz w:val="24"/>
        </w:rPr>
        <w:t>分项价格：</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6BF7B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ign w:val="center"/>
          </w:tcPr>
          <w:p w14:paraId="71944605">
            <w:pPr>
              <w:spacing w:line="360" w:lineRule="auto"/>
              <w:ind w:firstLine="480"/>
              <w:rPr>
                <w:rFonts w:ascii="仿宋_GB2312" w:hAnsi="楷体" w:eastAsia="仿宋_GB2312"/>
                <w:sz w:val="24"/>
              </w:rPr>
            </w:pPr>
            <w:r>
              <w:rPr>
                <w:rFonts w:hint="eastAsia" w:ascii="仿宋_GB2312" w:hAnsi="楷体" w:eastAsia="仿宋_GB2312"/>
                <w:sz w:val="24"/>
              </w:rPr>
              <w:t>序号</w:t>
            </w:r>
          </w:p>
        </w:tc>
        <w:tc>
          <w:tcPr>
            <w:tcW w:w="3402" w:type="dxa"/>
            <w:tcBorders>
              <w:top w:val="single" w:color="auto" w:sz="4" w:space="0"/>
              <w:left w:val="single" w:color="auto" w:sz="4" w:space="0"/>
              <w:bottom w:val="single" w:color="auto" w:sz="4" w:space="0"/>
              <w:right w:val="single" w:color="auto" w:sz="4" w:space="0"/>
            </w:tcBorders>
            <w:noWrap/>
            <w:vAlign w:val="center"/>
          </w:tcPr>
          <w:p w14:paraId="47F9460D">
            <w:pPr>
              <w:spacing w:line="360" w:lineRule="auto"/>
              <w:ind w:firstLine="480"/>
              <w:rPr>
                <w:rFonts w:ascii="仿宋_GB2312" w:hAnsi="楷体" w:eastAsia="仿宋_GB2312"/>
                <w:sz w:val="24"/>
              </w:rPr>
            </w:pPr>
            <w:r>
              <w:rPr>
                <w:rFonts w:hint="eastAsia" w:ascii="仿宋_GB2312" w:hAnsi="楷体" w:eastAsia="仿宋_GB2312"/>
                <w:sz w:val="24"/>
              </w:rPr>
              <w:t>分项名称</w:t>
            </w:r>
          </w:p>
        </w:tc>
        <w:tc>
          <w:tcPr>
            <w:tcW w:w="2552" w:type="dxa"/>
            <w:tcBorders>
              <w:top w:val="single" w:color="auto" w:sz="4" w:space="0"/>
              <w:left w:val="single" w:color="auto" w:sz="4" w:space="0"/>
              <w:bottom w:val="single" w:color="auto" w:sz="4" w:space="0"/>
              <w:right w:val="single" w:color="auto" w:sz="4" w:space="0"/>
            </w:tcBorders>
            <w:noWrap/>
            <w:vAlign w:val="center"/>
          </w:tcPr>
          <w:p w14:paraId="55E2CDBD">
            <w:pPr>
              <w:spacing w:line="360" w:lineRule="auto"/>
              <w:ind w:firstLine="480"/>
              <w:rPr>
                <w:rFonts w:ascii="仿宋_GB2312" w:hAnsi="楷体" w:eastAsia="仿宋_GB2312"/>
                <w:sz w:val="24"/>
              </w:rPr>
            </w:pPr>
            <w:r>
              <w:rPr>
                <w:rFonts w:hint="eastAsia" w:ascii="仿宋_GB2312" w:hAnsi="楷体" w:eastAsia="仿宋_GB2312"/>
                <w:sz w:val="24"/>
              </w:rPr>
              <w:t>分项价格</w:t>
            </w:r>
          </w:p>
        </w:tc>
      </w:tr>
      <w:tr w14:paraId="05FDF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ign w:val="center"/>
          </w:tcPr>
          <w:p w14:paraId="05BF2856">
            <w:pPr>
              <w:spacing w:line="360" w:lineRule="auto"/>
              <w:ind w:firstLine="480"/>
              <w:rPr>
                <w:rFonts w:ascii="仿宋_GB2312" w:hAnsi="楷体" w:eastAsia="仿宋_GB2312"/>
                <w:sz w:val="24"/>
              </w:rPr>
            </w:pPr>
          </w:p>
        </w:tc>
        <w:tc>
          <w:tcPr>
            <w:tcW w:w="3402" w:type="dxa"/>
            <w:tcBorders>
              <w:top w:val="single" w:color="auto" w:sz="4" w:space="0"/>
              <w:left w:val="single" w:color="auto" w:sz="4" w:space="0"/>
              <w:bottom w:val="single" w:color="auto" w:sz="4" w:space="0"/>
              <w:right w:val="single" w:color="auto" w:sz="4" w:space="0"/>
            </w:tcBorders>
            <w:noWrap/>
            <w:vAlign w:val="center"/>
          </w:tcPr>
          <w:p w14:paraId="08A053F3">
            <w:pPr>
              <w:spacing w:line="360" w:lineRule="auto"/>
              <w:ind w:firstLine="480"/>
              <w:rPr>
                <w:rFonts w:ascii="仿宋_GB2312" w:hAnsi="楷体" w:eastAsia="仿宋_GB2312"/>
                <w:sz w:val="24"/>
              </w:rPr>
            </w:pPr>
          </w:p>
        </w:tc>
        <w:tc>
          <w:tcPr>
            <w:tcW w:w="2552" w:type="dxa"/>
            <w:tcBorders>
              <w:top w:val="single" w:color="auto" w:sz="4" w:space="0"/>
              <w:left w:val="single" w:color="auto" w:sz="4" w:space="0"/>
              <w:bottom w:val="single" w:color="auto" w:sz="4" w:space="0"/>
              <w:right w:val="single" w:color="auto" w:sz="4" w:space="0"/>
            </w:tcBorders>
            <w:noWrap/>
            <w:vAlign w:val="center"/>
          </w:tcPr>
          <w:p w14:paraId="46F5D1C7">
            <w:pPr>
              <w:spacing w:line="360" w:lineRule="auto"/>
              <w:ind w:firstLine="480"/>
              <w:rPr>
                <w:rFonts w:ascii="仿宋_GB2312" w:hAnsi="楷体" w:eastAsia="仿宋_GB2312"/>
                <w:sz w:val="24"/>
              </w:rPr>
            </w:pPr>
          </w:p>
        </w:tc>
      </w:tr>
      <w:tr w14:paraId="6055A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ign w:val="center"/>
          </w:tcPr>
          <w:p w14:paraId="66CCDA5A">
            <w:pPr>
              <w:spacing w:line="360" w:lineRule="auto"/>
              <w:ind w:firstLine="480"/>
              <w:rPr>
                <w:rFonts w:ascii="仿宋_GB2312" w:hAnsi="楷体" w:eastAsia="仿宋_GB2312"/>
                <w:sz w:val="24"/>
              </w:rPr>
            </w:pPr>
          </w:p>
        </w:tc>
        <w:tc>
          <w:tcPr>
            <w:tcW w:w="3402" w:type="dxa"/>
            <w:tcBorders>
              <w:top w:val="single" w:color="auto" w:sz="4" w:space="0"/>
              <w:left w:val="single" w:color="auto" w:sz="4" w:space="0"/>
              <w:bottom w:val="single" w:color="auto" w:sz="4" w:space="0"/>
              <w:right w:val="single" w:color="auto" w:sz="4" w:space="0"/>
            </w:tcBorders>
            <w:noWrap/>
            <w:vAlign w:val="center"/>
          </w:tcPr>
          <w:p w14:paraId="2CAA1C49">
            <w:pPr>
              <w:spacing w:line="360" w:lineRule="auto"/>
              <w:ind w:firstLine="480"/>
              <w:rPr>
                <w:rFonts w:ascii="仿宋_GB2312" w:hAnsi="楷体" w:eastAsia="仿宋_GB2312"/>
                <w:sz w:val="24"/>
              </w:rPr>
            </w:pPr>
          </w:p>
        </w:tc>
        <w:tc>
          <w:tcPr>
            <w:tcW w:w="2552" w:type="dxa"/>
            <w:tcBorders>
              <w:top w:val="single" w:color="auto" w:sz="4" w:space="0"/>
              <w:left w:val="single" w:color="auto" w:sz="4" w:space="0"/>
              <w:bottom w:val="single" w:color="auto" w:sz="4" w:space="0"/>
              <w:right w:val="single" w:color="auto" w:sz="4" w:space="0"/>
            </w:tcBorders>
            <w:noWrap/>
            <w:vAlign w:val="center"/>
          </w:tcPr>
          <w:p w14:paraId="1B762B6E">
            <w:pPr>
              <w:spacing w:line="360" w:lineRule="auto"/>
              <w:ind w:firstLine="480"/>
              <w:rPr>
                <w:rFonts w:ascii="仿宋_GB2312" w:hAnsi="楷体" w:eastAsia="仿宋_GB2312"/>
                <w:sz w:val="24"/>
              </w:rPr>
            </w:pPr>
          </w:p>
        </w:tc>
      </w:tr>
      <w:tr w14:paraId="18E65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ign w:val="center"/>
          </w:tcPr>
          <w:p w14:paraId="3AB0AE3B">
            <w:pPr>
              <w:spacing w:line="360" w:lineRule="auto"/>
              <w:ind w:firstLine="480"/>
              <w:rPr>
                <w:rFonts w:ascii="仿宋_GB2312" w:hAnsi="楷体" w:eastAsia="仿宋_GB2312"/>
                <w:sz w:val="24"/>
              </w:rPr>
            </w:pPr>
          </w:p>
        </w:tc>
        <w:tc>
          <w:tcPr>
            <w:tcW w:w="3402" w:type="dxa"/>
            <w:tcBorders>
              <w:top w:val="single" w:color="auto" w:sz="4" w:space="0"/>
              <w:left w:val="single" w:color="auto" w:sz="4" w:space="0"/>
              <w:bottom w:val="single" w:color="auto" w:sz="4" w:space="0"/>
              <w:right w:val="single" w:color="auto" w:sz="4" w:space="0"/>
            </w:tcBorders>
            <w:noWrap/>
            <w:vAlign w:val="center"/>
          </w:tcPr>
          <w:p w14:paraId="7B2B7C45">
            <w:pPr>
              <w:spacing w:line="360" w:lineRule="auto"/>
              <w:ind w:firstLine="480"/>
              <w:rPr>
                <w:rFonts w:ascii="仿宋_GB2312" w:hAnsi="楷体" w:eastAsia="仿宋_GB2312"/>
                <w:sz w:val="24"/>
              </w:rPr>
            </w:pPr>
          </w:p>
        </w:tc>
        <w:tc>
          <w:tcPr>
            <w:tcW w:w="2552" w:type="dxa"/>
            <w:tcBorders>
              <w:top w:val="single" w:color="auto" w:sz="4" w:space="0"/>
              <w:left w:val="single" w:color="auto" w:sz="4" w:space="0"/>
              <w:bottom w:val="single" w:color="auto" w:sz="4" w:space="0"/>
              <w:right w:val="single" w:color="auto" w:sz="4" w:space="0"/>
            </w:tcBorders>
            <w:noWrap/>
            <w:vAlign w:val="center"/>
          </w:tcPr>
          <w:p w14:paraId="237125CD">
            <w:pPr>
              <w:spacing w:line="360" w:lineRule="auto"/>
              <w:ind w:firstLine="480"/>
              <w:rPr>
                <w:rFonts w:ascii="仿宋_GB2312" w:hAnsi="楷体" w:eastAsia="仿宋_GB2312"/>
                <w:sz w:val="24"/>
              </w:rPr>
            </w:pPr>
          </w:p>
        </w:tc>
      </w:tr>
      <w:tr w14:paraId="7297A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noWrap/>
            <w:vAlign w:val="center"/>
          </w:tcPr>
          <w:p w14:paraId="0F344308">
            <w:pPr>
              <w:spacing w:line="360" w:lineRule="auto"/>
              <w:ind w:firstLine="480"/>
              <w:rPr>
                <w:rFonts w:ascii="仿宋_GB2312" w:hAnsi="楷体" w:eastAsia="仿宋_GB2312"/>
                <w:sz w:val="24"/>
              </w:rPr>
            </w:pPr>
            <w:r>
              <w:rPr>
                <w:rFonts w:hint="eastAsia" w:ascii="仿宋_GB2312" w:hAnsi="楷体" w:eastAsia="仿宋_GB2312"/>
                <w:sz w:val="24"/>
              </w:rPr>
              <w:t>总价</w:t>
            </w:r>
          </w:p>
        </w:tc>
        <w:tc>
          <w:tcPr>
            <w:tcW w:w="2552" w:type="dxa"/>
            <w:tcBorders>
              <w:top w:val="single" w:color="auto" w:sz="4" w:space="0"/>
              <w:left w:val="single" w:color="auto" w:sz="4" w:space="0"/>
              <w:bottom w:val="single" w:color="auto" w:sz="4" w:space="0"/>
              <w:right w:val="single" w:color="auto" w:sz="4" w:space="0"/>
            </w:tcBorders>
            <w:noWrap/>
            <w:vAlign w:val="center"/>
          </w:tcPr>
          <w:p w14:paraId="4B5B1D32">
            <w:pPr>
              <w:spacing w:line="360" w:lineRule="auto"/>
              <w:ind w:firstLine="480"/>
              <w:rPr>
                <w:rFonts w:ascii="仿宋_GB2312" w:hAnsi="楷体" w:eastAsia="仿宋_GB2312"/>
                <w:sz w:val="24"/>
              </w:rPr>
            </w:pPr>
          </w:p>
        </w:tc>
      </w:tr>
    </w:tbl>
    <w:p w14:paraId="1582AF19">
      <w:pPr>
        <w:spacing w:line="360" w:lineRule="auto"/>
        <w:ind w:firstLine="482"/>
        <w:rPr>
          <w:rFonts w:ascii="仿宋_GB2312" w:hAnsi="楷体" w:eastAsia="仿宋_GB2312"/>
          <w:b/>
          <w:sz w:val="24"/>
        </w:rPr>
      </w:pPr>
      <w:bookmarkStart w:id="117" w:name="_Toc10340"/>
      <w:bookmarkStart w:id="118" w:name="_Toc1814"/>
      <w:bookmarkStart w:id="119" w:name="_Toc22618"/>
      <w:r>
        <w:rPr>
          <w:rFonts w:hint="eastAsia" w:ascii="仿宋_GB2312" w:hAnsi="楷体" w:eastAsia="仿宋_GB2312"/>
          <w:b/>
          <w:sz w:val="24"/>
        </w:rPr>
        <w:t>1.4 付款方式和发票开具方式</w:t>
      </w:r>
      <w:bookmarkEnd w:id="117"/>
      <w:bookmarkEnd w:id="118"/>
      <w:bookmarkEnd w:id="119"/>
    </w:p>
    <w:p w14:paraId="4CBD1430">
      <w:pPr>
        <w:spacing w:line="360" w:lineRule="auto"/>
        <w:ind w:firstLine="480"/>
        <w:rPr>
          <w:rFonts w:ascii="仿宋_GB2312" w:hAnsi="楷体" w:eastAsia="仿宋_GB2312"/>
          <w:sz w:val="24"/>
        </w:rPr>
      </w:pPr>
      <w:r>
        <w:rPr>
          <w:rFonts w:hint="eastAsia" w:ascii="仿宋_GB2312" w:hAnsi="楷体" w:eastAsia="仿宋_GB2312"/>
          <w:sz w:val="24"/>
        </w:rPr>
        <w:t>1.4.1 付款方式：</w:t>
      </w:r>
      <w:r>
        <w:rPr>
          <w:rFonts w:hint="eastAsia" w:ascii="仿宋_GB2312" w:hAnsi="楷体" w:eastAsia="仿宋_GB2312"/>
          <w:sz w:val="24"/>
          <w:u w:val="single"/>
        </w:rPr>
        <w:t>本项目无预付款，货物经采购人书面验收合格后，乙方将发票交甲方向市财政局提交用款申请批复后，一次性支付合同款。鉴于本合同款项系使用财政资金支付，甲方在验收合格后向财政部门申请付款，即视甲方已履行支付义务，具体付款时间以财政部门批复并支付为准。</w:t>
      </w:r>
    </w:p>
    <w:p w14:paraId="00896F2B">
      <w:pPr>
        <w:spacing w:line="360" w:lineRule="auto"/>
        <w:ind w:firstLine="480"/>
        <w:rPr>
          <w:rFonts w:ascii="仿宋_GB2312" w:hAnsi="楷体" w:eastAsia="仿宋_GB2312"/>
          <w:sz w:val="24"/>
        </w:rPr>
      </w:pPr>
      <w:r>
        <w:rPr>
          <w:rFonts w:hint="eastAsia" w:ascii="仿宋_GB2312" w:hAnsi="楷体" w:eastAsia="仿宋_GB2312"/>
          <w:sz w:val="24"/>
        </w:rPr>
        <w:t>1.4.2 发票开具方式：</w:t>
      </w:r>
      <w:r>
        <w:rPr>
          <w:rFonts w:hint="eastAsia" w:ascii="仿宋_GB2312" w:hAnsi="楷体" w:eastAsia="仿宋_GB2312"/>
          <w:sz w:val="24"/>
          <w:u w:val="single"/>
        </w:rPr>
        <w:t xml:space="preserve">　 </w:t>
      </w:r>
      <w:r>
        <w:rPr>
          <w:rFonts w:ascii="仿宋_GB2312" w:hAnsi="楷体" w:eastAsia="仿宋_GB2312"/>
          <w:sz w:val="24"/>
          <w:u w:val="single"/>
        </w:rPr>
        <w:t xml:space="preserve">               </w:t>
      </w:r>
      <w:r>
        <w:rPr>
          <w:rFonts w:hint="eastAsia" w:ascii="仿宋_GB2312" w:hAnsi="楷体" w:eastAsia="仿宋_GB2312"/>
          <w:sz w:val="24"/>
        </w:rPr>
        <w:t>。</w:t>
      </w:r>
    </w:p>
    <w:p w14:paraId="0CA0AFC5">
      <w:pPr>
        <w:spacing w:line="360" w:lineRule="auto"/>
        <w:ind w:firstLine="482"/>
        <w:rPr>
          <w:rFonts w:ascii="仿宋_GB2312" w:hAnsi="楷体" w:eastAsia="仿宋_GB2312"/>
          <w:b/>
          <w:sz w:val="24"/>
        </w:rPr>
      </w:pPr>
      <w:bookmarkStart w:id="120" w:name="_Toc32071"/>
      <w:bookmarkStart w:id="121" w:name="_Toc2846"/>
      <w:bookmarkStart w:id="122" w:name="_Toc19304"/>
      <w:r>
        <w:rPr>
          <w:rFonts w:hint="eastAsia" w:ascii="仿宋_GB2312" w:hAnsi="楷体" w:eastAsia="仿宋_GB2312"/>
          <w:b/>
          <w:sz w:val="24"/>
        </w:rPr>
        <w:t>1.5 标的物交付期限、地点、方式</w:t>
      </w:r>
      <w:bookmarkEnd w:id="120"/>
      <w:bookmarkEnd w:id="121"/>
      <w:bookmarkEnd w:id="122"/>
      <w:r>
        <w:rPr>
          <w:rFonts w:hint="eastAsia" w:ascii="仿宋_GB2312" w:hAnsi="楷体" w:eastAsia="仿宋_GB2312"/>
          <w:b/>
          <w:sz w:val="24"/>
        </w:rPr>
        <w:t>和货物期限</w:t>
      </w:r>
    </w:p>
    <w:p w14:paraId="40187075">
      <w:pPr>
        <w:spacing w:line="360" w:lineRule="auto"/>
        <w:ind w:firstLine="480"/>
        <w:rPr>
          <w:rFonts w:ascii="仿宋_GB2312" w:hAnsi="楷体" w:eastAsia="仿宋_GB2312"/>
          <w:sz w:val="24"/>
          <w:u w:val="single"/>
        </w:rPr>
      </w:pPr>
      <w:r>
        <w:rPr>
          <w:rFonts w:hint="eastAsia" w:ascii="仿宋_GB2312" w:hAnsi="楷体" w:eastAsia="仿宋_GB2312"/>
          <w:sz w:val="24"/>
        </w:rPr>
        <w:t>1.5.1 交付期限：</w:t>
      </w:r>
      <w:r>
        <w:rPr>
          <w:rFonts w:hint="eastAsia" w:ascii="仿宋_GB2312" w:hAnsi="楷体" w:eastAsia="仿宋_GB2312"/>
          <w:sz w:val="24"/>
          <w:u w:val="single"/>
        </w:rPr>
        <w:t xml:space="preserve">　 </w:t>
      </w:r>
      <w:r>
        <w:rPr>
          <w:rFonts w:ascii="仿宋_GB2312" w:hAnsi="楷体" w:eastAsia="仿宋_GB2312"/>
          <w:sz w:val="24"/>
          <w:u w:val="single"/>
        </w:rPr>
        <w:t xml:space="preserve">               </w:t>
      </w:r>
      <w:r>
        <w:rPr>
          <w:rFonts w:hint="eastAsia" w:ascii="仿宋_GB2312" w:hAnsi="楷体" w:eastAsia="仿宋_GB2312"/>
          <w:sz w:val="24"/>
          <w:u w:val="single"/>
        </w:rPr>
        <w:t>；</w:t>
      </w:r>
    </w:p>
    <w:p w14:paraId="404F76A6">
      <w:pPr>
        <w:spacing w:line="360" w:lineRule="auto"/>
        <w:ind w:firstLine="480"/>
        <w:rPr>
          <w:rFonts w:ascii="仿宋_GB2312" w:hAnsi="楷体" w:eastAsia="仿宋_GB2312"/>
          <w:sz w:val="24"/>
        </w:rPr>
      </w:pPr>
      <w:r>
        <w:rPr>
          <w:rFonts w:hint="eastAsia" w:ascii="仿宋_GB2312" w:hAnsi="楷体" w:eastAsia="仿宋_GB2312"/>
          <w:sz w:val="24"/>
        </w:rPr>
        <w:t>1.5.2 交付地点：</w:t>
      </w:r>
      <w:r>
        <w:rPr>
          <w:rFonts w:hint="eastAsia" w:ascii="仿宋_GB2312" w:hAnsi="楷体" w:eastAsia="仿宋_GB2312"/>
          <w:sz w:val="24"/>
          <w:u w:val="single"/>
        </w:rPr>
        <w:t xml:space="preserve">　 </w:t>
      </w:r>
      <w:r>
        <w:rPr>
          <w:rFonts w:ascii="仿宋_GB2312" w:hAnsi="楷体" w:eastAsia="仿宋_GB2312"/>
          <w:sz w:val="24"/>
          <w:u w:val="single"/>
        </w:rPr>
        <w:t xml:space="preserve">               </w:t>
      </w:r>
      <w:r>
        <w:rPr>
          <w:rFonts w:hint="eastAsia" w:ascii="仿宋_GB2312" w:hAnsi="楷体" w:eastAsia="仿宋_GB2312"/>
          <w:sz w:val="24"/>
        </w:rPr>
        <w:t>；</w:t>
      </w:r>
    </w:p>
    <w:p w14:paraId="6EA4741D">
      <w:pPr>
        <w:spacing w:line="360" w:lineRule="auto"/>
        <w:ind w:firstLine="480"/>
        <w:rPr>
          <w:rFonts w:ascii="仿宋_GB2312" w:hAnsi="楷体" w:eastAsia="仿宋_GB2312"/>
          <w:sz w:val="24"/>
        </w:rPr>
      </w:pPr>
      <w:r>
        <w:rPr>
          <w:rFonts w:hint="eastAsia" w:ascii="仿宋_GB2312" w:hAnsi="楷体" w:eastAsia="仿宋_GB2312"/>
          <w:sz w:val="24"/>
        </w:rPr>
        <w:t>1.5.3 交付方式：</w:t>
      </w:r>
      <w:r>
        <w:rPr>
          <w:rFonts w:hint="eastAsia" w:ascii="仿宋_GB2312" w:hAnsi="楷体" w:eastAsia="仿宋_GB2312"/>
          <w:sz w:val="24"/>
          <w:u w:val="single"/>
        </w:rPr>
        <w:t xml:space="preserve">　 </w:t>
      </w:r>
      <w:r>
        <w:rPr>
          <w:rFonts w:ascii="仿宋_GB2312" w:hAnsi="楷体" w:eastAsia="仿宋_GB2312"/>
          <w:sz w:val="24"/>
          <w:u w:val="single"/>
        </w:rPr>
        <w:t xml:space="preserve">               </w:t>
      </w:r>
      <w:r>
        <w:rPr>
          <w:rFonts w:hint="eastAsia" w:ascii="仿宋_GB2312" w:hAnsi="楷体" w:eastAsia="仿宋_GB2312"/>
          <w:sz w:val="24"/>
          <w:u w:val="single"/>
        </w:rPr>
        <w:t>　</w:t>
      </w:r>
      <w:r>
        <w:rPr>
          <w:rFonts w:hint="eastAsia" w:ascii="仿宋_GB2312" w:hAnsi="楷体" w:eastAsia="仿宋_GB2312"/>
          <w:sz w:val="24"/>
        </w:rPr>
        <w:t>；</w:t>
      </w:r>
    </w:p>
    <w:p w14:paraId="38A1F732">
      <w:pPr>
        <w:spacing w:line="360" w:lineRule="auto"/>
        <w:ind w:firstLine="480"/>
        <w:rPr>
          <w:rFonts w:ascii="仿宋_GB2312" w:hAnsi="楷体" w:eastAsia="仿宋_GB2312"/>
          <w:sz w:val="24"/>
        </w:rPr>
      </w:pPr>
      <w:r>
        <w:rPr>
          <w:rFonts w:hint="eastAsia" w:ascii="仿宋_GB2312" w:hAnsi="楷体" w:eastAsia="仿宋_GB2312"/>
          <w:sz w:val="24"/>
        </w:rPr>
        <w:t>1.5.4 货物及质保期限：</w:t>
      </w:r>
      <w:r>
        <w:rPr>
          <w:rFonts w:hint="eastAsia" w:ascii="仿宋_GB2312" w:hAnsi="楷体" w:eastAsia="仿宋_GB2312"/>
          <w:sz w:val="24"/>
          <w:u w:val="single"/>
        </w:rPr>
        <w:t xml:space="preserve">　 </w:t>
      </w:r>
      <w:r>
        <w:rPr>
          <w:rFonts w:ascii="仿宋_GB2312" w:hAnsi="楷体" w:eastAsia="仿宋_GB2312"/>
          <w:sz w:val="24"/>
          <w:u w:val="single"/>
        </w:rPr>
        <w:t xml:space="preserve">               </w:t>
      </w:r>
      <w:r>
        <w:rPr>
          <w:rFonts w:hint="eastAsia" w:ascii="仿宋_GB2312" w:hAnsi="楷体" w:eastAsia="仿宋_GB2312"/>
          <w:sz w:val="24"/>
        </w:rPr>
        <w:t>。</w:t>
      </w:r>
    </w:p>
    <w:p w14:paraId="147D8986">
      <w:pPr>
        <w:spacing w:line="360" w:lineRule="auto"/>
        <w:ind w:firstLine="482"/>
        <w:rPr>
          <w:rFonts w:ascii="仿宋_GB2312" w:hAnsi="楷体" w:eastAsia="仿宋_GB2312"/>
          <w:b/>
          <w:sz w:val="24"/>
        </w:rPr>
      </w:pPr>
      <w:bookmarkStart w:id="123" w:name="_Toc27250"/>
      <w:bookmarkStart w:id="124" w:name="_Toc19554"/>
      <w:bookmarkStart w:id="125" w:name="_Toc21423"/>
      <w:r>
        <w:rPr>
          <w:rFonts w:hint="eastAsia" w:ascii="仿宋_GB2312" w:hAnsi="楷体" w:eastAsia="仿宋_GB2312"/>
          <w:b/>
          <w:sz w:val="24"/>
        </w:rPr>
        <w:t>1.6 违约责任</w:t>
      </w:r>
      <w:bookmarkEnd w:id="123"/>
      <w:bookmarkEnd w:id="124"/>
      <w:bookmarkEnd w:id="125"/>
    </w:p>
    <w:p w14:paraId="119D1885">
      <w:pPr>
        <w:spacing w:line="360" w:lineRule="auto"/>
        <w:ind w:firstLine="480"/>
        <w:rPr>
          <w:rFonts w:ascii="仿宋_GB2312" w:hAnsi="楷体" w:eastAsia="仿宋_GB2312"/>
          <w:sz w:val="24"/>
        </w:rPr>
      </w:pPr>
      <w:r>
        <w:rPr>
          <w:rFonts w:hint="eastAsia" w:ascii="仿宋_GB2312" w:hAnsi="楷体" w:eastAsia="仿宋_GB2312"/>
          <w:sz w:val="24"/>
        </w:rPr>
        <w:t>1.6.1 除不可抗力外，如果乙方没有按照本合同约定的期限、地点和方式交付标的物，甲方可要求乙方支付违约金，违约金按每迟延交付标的物一日的应交付而未交付标的物价格的</w:t>
      </w:r>
      <w:r>
        <w:rPr>
          <w:rFonts w:hint="eastAsia" w:ascii="仿宋_GB2312" w:hAnsi="楷体" w:eastAsia="仿宋_GB2312"/>
          <w:sz w:val="24"/>
          <w:u w:val="single"/>
        </w:rPr>
        <w:t>万分之五</w:t>
      </w:r>
      <w:r>
        <w:rPr>
          <w:rFonts w:hint="eastAsia" w:ascii="仿宋_GB2312" w:hAnsi="楷体" w:eastAsia="仿宋_GB2312"/>
          <w:sz w:val="24"/>
        </w:rPr>
        <w:t>（根据项目实际填写，一般为万分之五）计算，最高限额为本合同总价的</w:t>
      </w:r>
      <w:r>
        <w:rPr>
          <w:rFonts w:ascii="仿宋_GB2312" w:hAnsi="楷体" w:eastAsia="仿宋_GB2312"/>
          <w:sz w:val="24"/>
          <w:u w:val="single"/>
        </w:rPr>
        <w:t xml:space="preserve">    </w:t>
      </w:r>
      <w:r>
        <w:rPr>
          <w:rFonts w:hint="eastAsia" w:ascii="仿宋_GB2312" w:hAnsi="楷体" w:eastAsia="仿宋_GB2312"/>
          <w:sz w:val="24"/>
        </w:rPr>
        <w:t>%（根据项目实际填写，一般为20%）；迟延超过【3</w:t>
      </w:r>
      <w:r>
        <w:rPr>
          <w:rFonts w:ascii="仿宋_GB2312" w:hAnsi="楷体" w:eastAsia="仿宋_GB2312"/>
          <w:sz w:val="24"/>
        </w:rPr>
        <w:t>0</w:t>
      </w:r>
      <w:r>
        <w:rPr>
          <w:rFonts w:hint="eastAsia" w:ascii="仿宋_GB2312" w:hAnsi="楷体" w:eastAsia="仿宋_GB2312"/>
          <w:sz w:val="24"/>
        </w:rPr>
        <w:t>】日的，甲方有权在要求乙方支付违约金的同时，书面通知乙方解除本合同，乙方应退回全部已收取的合同价款并按合同总金额的</w:t>
      </w:r>
      <w:r>
        <w:rPr>
          <w:rFonts w:hint="eastAsia" w:ascii="仿宋_GB2312" w:hAnsi="楷体" w:eastAsia="仿宋_GB2312"/>
          <w:sz w:val="24"/>
          <w:u w:val="single"/>
        </w:rPr>
        <w:t xml:space="preserve">　 </w:t>
      </w:r>
      <w:r>
        <w:rPr>
          <w:rFonts w:ascii="仿宋_GB2312" w:hAnsi="楷体" w:eastAsia="仿宋_GB2312"/>
          <w:sz w:val="24"/>
          <w:u w:val="single"/>
        </w:rPr>
        <w:t xml:space="preserve"> </w:t>
      </w:r>
      <w:r>
        <w:rPr>
          <w:rFonts w:hint="eastAsia" w:ascii="仿宋_GB2312" w:hAnsi="楷体" w:eastAsia="仿宋_GB2312"/>
          <w:sz w:val="24"/>
        </w:rPr>
        <w:t>%（根据项目实际填写，一般为20%）向甲方支付违约金；</w:t>
      </w:r>
    </w:p>
    <w:p w14:paraId="6BAA8815">
      <w:pPr>
        <w:spacing w:line="360" w:lineRule="auto"/>
        <w:ind w:firstLine="480"/>
        <w:rPr>
          <w:rFonts w:ascii="仿宋_GB2312" w:hAnsi="楷体" w:eastAsia="仿宋_GB2312"/>
          <w:sz w:val="24"/>
        </w:rPr>
      </w:pPr>
      <w:r>
        <w:rPr>
          <w:rFonts w:hint="eastAsia" w:ascii="仿宋_GB2312" w:hAnsi="楷体" w:eastAsia="仿宋_GB2312"/>
          <w:sz w:val="24"/>
        </w:rPr>
        <w:t>1.6.2 除不可抗力外，如果甲方没有按照本合同约定的付款方式付款，乙方可要求甲方支付违约金，违约金按每迟延付款一日的应付而未付款的</w:t>
      </w:r>
      <w:r>
        <w:rPr>
          <w:rFonts w:hint="eastAsia" w:ascii="仿宋_GB2312" w:hAnsi="楷体" w:eastAsia="仿宋_GB2312"/>
          <w:sz w:val="24"/>
          <w:u w:val="single"/>
        </w:rPr>
        <w:t>万分之五</w:t>
      </w:r>
      <w:r>
        <w:rPr>
          <w:rFonts w:hint="eastAsia" w:ascii="仿宋_GB2312" w:hAnsi="楷体" w:eastAsia="仿宋_GB2312"/>
          <w:sz w:val="24"/>
        </w:rPr>
        <w:t>（根据项目实际填写，一般为万分之五）计算，最高限额为欠付金额的</w:t>
      </w:r>
      <w:r>
        <w:rPr>
          <w:rFonts w:hint="eastAsia" w:ascii="仿宋_GB2312" w:hAnsi="楷体" w:eastAsia="仿宋_GB2312"/>
          <w:sz w:val="24"/>
          <w:u w:val="single"/>
        </w:rPr>
        <w:t xml:space="preserve">　 </w:t>
      </w:r>
      <w:r>
        <w:rPr>
          <w:rFonts w:ascii="仿宋_GB2312" w:hAnsi="楷体" w:eastAsia="仿宋_GB2312"/>
          <w:sz w:val="24"/>
          <w:u w:val="single"/>
        </w:rPr>
        <w:t xml:space="preserve"> </w:t>
      </w:r>
      <w:r>
        <w:rPr>
          <w:rFonts w:hint="eastAsia" w:ascii="仿宋_GB2312" w:hAnsi="楷体" w:eastAsia="仿宋_GB2312"/>
          <w:sz w:val="24"/>
        </w:rPr>
        <w:t>%（根据项目实际填写，一般为20%）；迟延付款的违约金计算数额达到前述最高限额之日起，乙方有权在要求甲方支付违约金的同时，书面通知甲方解除本合同；</w:t>
      </w:r>
    </w:p>
    <w:p w14:paraId="6AAAAEE1">
      <w:pPr>
        <w:spacing w:line="360" w:lineRule="auto"/>
        <w:ind w:firstLine="480"/>
        <w:rPr>
          <w:rFonts w:ascii="仿宋_GB2312" w:hAnsi="楷体" w:eastAsia="仿宋_GB2312"/>
          <w:sz w:val="24"/>
        </w:rPr>
      </w:pPr>
      <w:r>
        <w:rPr>
          <w:rFonts w:hint="eastAsia" w:ascii="仿宋_GB2312" w:hAnsi="楷体" w:eastAsia="仿宋_GB2312"/>
          <w:sz w:val="24"/>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23AC759B">
      <w:pPr>
        <w:spacing w:line="360" w:lineRule="auto"/>
        <w:ind w:left="239" w:firstLine="240"/>
        <w:rPr>
          <w:rFonts w:ascii="仿宋_GB2312" w:hAnsi="楷体" w:eastAsia="仿宋_GB2312"/>
          <w:sz w:val="24"/>
        </w:rPr>
      </w:pPr>
      <w:r>
        <w:rPr>
          <w:rFonts w:hint="eastAsia" w:ascii="仿宋_GB2312" w:hAnsi="楷体" w:eastAsia="仿宋_GB2312"/>
          <w:sz w:val="24"/>
        </w:rPr>
        <w:t>1.6.4乙方在质保期内未按承诺提供售后等服务的，每发生一次向甲方支付</w:t>
      </w:r>
      <w:r>
        <w:rPr>
          <w:rFonts w:hint="eastAsia" w:ascii="仿宋_GB2312" w:hAnsi="楷体" w:eastAsia="仿宋_GB2312"/>
          <w:sz w:val="24"/>
          <w:u w:val="single"/>
        </w:rPr>
        <w:t xml:space="preserve"> </w:t>
      </w:r>
      <w:r>
        <w:rPr>
          <w:rFonts w:ascii="仿宋_GB2312" w:hAnsi="楷体" w:eastAsia="仿宋_GB2312"/>
          <w:sz w:val="24"/>
          <w:u w:val="single"/>
        </w:rPr>
        <w:t xml:space="preserve"> </w:t>
      </w:r>
      <w:r>
        <w:rPr>
          <w:rFonts w:hint="eastAsia" w:ascii="仿宋_GB2312" w:hAnsi="楷体" w:eastAsia="仿宋_GB2312"/>
          <w:sz w:val="24"/>
        </w:rPr>
        <w:t>元（根据项目实际填写，一般为2000元）的违约金。</w:t>
      </w:r>
    </w:p>
    <w:p w14:paraId="0410D2F9">
      <w:pPr>
        <w:spacing w:line="360" w:lineRule="auto"/>
        <w:ind w:firstLine="480"/>
        <w:rPr>
          <w:rFonts w:ascii="仿宋_GB2312" w:hAnsi="楷体" w:eastAsia="仿宋_GB2312"/>
          <w:sz w:val="24"/>
        </w:rPr>
      </w:pPr>
      <w:r>
        <w:rPr>
          <w:rFonts w:hint="eastAsia" w:ascii="仿宋_GB2312" w:hAnsi="楷体" w:eastAsia="仿宋_GB2312"/>
          <w:sz w:val="24"/>
        </w:rPr>
        <w:t>1.6.5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43FE5435">
      <w:pPr>
        <w:spacing w:line="360" w:lineRule="auto"/>
        <w:ind w:firstLine="480"/>
        <w:rPr>
          <w:rFonts w:ascii="仿宋_GB2312" w:hAnsi="楷体" w:eastAsia="仿宋_GB2312"/>
          <w:sz w:val="24"/>
        </w:rPr>
      </w:pPr>
      <w:r>
        <w:rPr>
          <w:rFonts w:hint="eastAsia" w:ascii="仿宋_GB2312" w:hAnsi="楷体" w:eastAsia="仿宋_GB2312"/>
          <w:sz w:val="24"/>
        </w:rPr>
        <w:t>1.6.6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446EA3FF">
      <w:pPr>
        <w:spacing w:line="360" w:lineRule="auto"/>
        <w:ind w:firstLine="480"/>
        <w:rPr>
          <w:rFonts w:ascii="仿宋_GB2312" w:hAnsi="楷体" w:eastAsia="仿宋_GB2312"/>
          <w:sz w:val="24"/>
        </w:rPr>
      </w:pPr>
      <w:r>
        <w:rPr>
          <w:rFonts w:hint="eastAsia" w:ascii="仿宋_GB2312" w:hAnsi="楷体" w:eastAsia="仿宋_GB2312"/>
          <w:sz w:val="24"/>
        </w:rPr>
        <w:t>1.6.7 如果出现政府采购监督管理部门在处理投诉事项期间，书面通知甲方暂停采购活动的情形，或者询问或质疑事项可能影响成交结果的，导致甲方中止履行合同的情形，均不视为甲方违约。</w:t>
      </w:r>
    </w:p>
    <w:p w14:paraId="72EB9013">
      <w:pPr>
        <w:spacing w:after="120" w:line="360" w:lineRule="auto"/>
        <w:ind w:firstLine="480"/>
        <w:contextualSpacing/>
        <w:rPr>
          <w:rFonts w:ascii="仿宋_GB2312" w:hAnsi="楷体" w:eastAsia="仿宋_GB2312"/>
          <w:sz w:val="24"/>
        </w:rPr>
      </w:pPr>
      <w:r>
        <w:rPr>
          <w:rFonts w:hint="eastAsia" w:ascii="仿宋_GB2312" w:hAnsi="楷体" w:eastAsia="仿宋_GB2312"/>
          <w:sz w:val="24"/>
        </w:rPr>
        <w:t>1.6.8因一方无法履行合同约定义务而违约的，需要承担另一方因维权而产生的所有费用，包括但不限于诉讼费、保全费、保全保险费、公告费、律师费、差旅费等。</w:t>
      </w:r>
    </w:p>
    <w:p w14:paraId="0EDBB7D4">
      <w:pPr>
        <w:spacing w:line="360" w:lineRule="auto"/>
        <w:ind w:firstLine="482"/>
        <w:rPr>
          <w:rFonts w:ascii="仿宋_GB2312" w:hAnsi="楷体" w:eastAsia="仿宋_GB2312"/>
          <w:b/>
          <w:sz w:val="24"/>
        </w:rPr>
      </w:pPr>
      <w:bookmarkStart w:id="126" w:name="_Toc15583"/>
      <w:bookmarkStart w:id="127" w:name="_Toc28375"/>
      <w:bookmarkStart w:id="128" w:name="_Toc16021"/>
      <w:r>
        <w:rPr>
          <w:rFonts w:hint="eastAsia" w:ascii="仿宋_GB2312" w:hAnsi="楷体" w:eastAsia="仿宋_GB2312"/>
          <w:b/>
          <w:sz w:val="24"/>
        </w:rPr>
        <w:t>1.7 合同争议的解决</w:t>
      </w:r>
      <w:bookmarkEnd w:id="126"/>
      <w:bookmarkEnd w:id="127"/>
      <w:bookmarkEnd w:id="128"/>
    </w:p>
    <w:p w14:paraId="519AAC49">
      <w:pPr>
        <w:spacing w:line="360" w:lineRule="auto"/>
        <w:ind w:firstLine="480"/>
        <w:rPr>
          <w:rFonts w:ascii="仿宋_GB2312" w:hAnsi="楷体" w:eastAsia="仿宋_GB2312"/>
          <w:sz w:val="24"/>
        </w:rPr>
      </w:pPr>
      <w:r>
        <w:rPr>
          <w:rFonts w:hint="eastAsia" w:ascii="仿宋_GB2312" w:hAnsi="楷体" w:eastAsia="仿宋_GB2312"/>
          <w:sz w:val="24"/>
        </w:rPr>
        <w:t>本合同履行过程中发生的任何争议，双方当事人均可通过和解或者调解解决；不愿和解、调解或者和解、调解不成的，可以选择下列第（2）种方式解决：</w:t>
      </w:r>
    </w:p>
    <w:p w14:paraId="6EF4324B">
      <w:pPr>
        <w:spacing w:line="360" w:lineRule="auto"/>
        <w:ind w:firstLine="480"/>
        <w:rPr>
          <w:rFonts w:ascii="仿宋_GB2312" w:hAnsi="楷体" w:eastAsia="仿宋_GB2312"/>
          <w:sz w:val="24"/>
        </w:rPr>
      </w:pPr>
      <w:r>
        <w:rPr>
          <w:rFonts w:hint="eastAsia" w:ascii="仿宋_GB2312" w:hAnsi="楷体" w:eastAsia="仿宋_GB2312"/>
          <w:sz w:val="24"/>
        </w:rPr>
        <w:t>1.7.1 将争议提交</w:t>
      </w:r>
      <w:r>
        <w:rPr>
          <w:rFonts w:hint="eastAsia" w:ascii="仿宋_GB2312" w:hAnsi="楷体" w:eastAsia="仿宋_GB2312"/>
          <w:sz w:val="24"/>
          <w:u w:val="single"/>
        </w:rPr>
        <w:t>南宁</w:t>
      </w:r>
      <w:r>
        <w:rPr>
          <w:rFonts w:hint="eastAsia" w:ascii="仿宋_GB2312" w:hAnsi="楷体" w:eastAsia="仿宋_GB2312"/>
          <w:sz w:val="24"/>
        </w:rPr>
        <w:t>仲裁委员会依申请仲裁时其现行有效的仲裁规则裁决；</w:t>
      </w:r>
    </w:p>
    <w:p w14:paraId="219FC9B8">
      <w:pPr>
        <w:spacing w:line="360" w:lineRule="auto"/>
        <w:ind w:firstLine="480"/>
        <w:rPr>
          <w:rFonts w:ascii="仿宋_GB2312" w:hAnsi="楷体" w:eastAsia="仿宋_GB2312"/>
          <w:sz w:val="24"/>
        </w:rPr>
      </w:pPr>
      <w:r>
        <w:rPr>
          <w:rFonts w:hint="eastAsia" w:ascii="仿宋_GB2312" w:hAnsi="楷体" w:eastAsia="仿宋_GB2312"/>
          <w:sz w:val="24"/>
        </w:rPr>
        <w:t>1.7.2 向</w:t>
      </w:r>
      <w:r>
        <w:rPr>
          <w:rFonts w:hint="eastAsia" w:ascii="仿宋_GB2312" w:hAnsi="楷体" w:eastAsia="仿宋_GB2312"/>
          <w:sz w:val="24"/>
          <w:u w:val="single"/>
        </w:rPr>
        <w:t>甲方所在地</w:t>
      </w:r>
      <w:r>
        <w:rPr>
          <w:rFonts w:hint="eastAsia" w:ascii="仿宋_GB2312" w:hAnsi="楷体" w:eastAsia="仿宋_GB2312"/>
          <w:sz w:val="24"/>
        </w:rPr>
        <w:t>人民法院起诉。</w:t>
      </w:r>
    </w:p>
    <w:p w14:paraId="4E57BB0F">
      <w:pPr>
        <w:spacing w:line="360" w:lineRule="auto"/>
        <w:ind w:firstLine="482"/>
        <w:rPr>
          <w:rFonts w:ascii="仿宋_GB2312" w:hAnsi="楷体" w:eastAsia="仿宋_GB2312"/>
          <w:b/>
          <w:sz w:val="24"/>
        </w:rPr>
      </w:pPr>
      <w:bookmarkStart w:id="129" w:name="_Toc7245"/>
      <w:bookmarkStart w:id="130" w:name="_Toc11173"/>
      <w:bookmarkStart w:id="131" w:name="_Toc15322"/>
      <w:r>
        <w:rPr>
          <w:rFonts w:hint="eastAsia" w:ascii="仿宋_GB2312" w:hAnsi="楷体" w:eastAsia="仿宋_GB2312"/>
          <w:b/>
          <w:sz w:val="24"/>
        </w:rPr>
        <w:t>1.8 合同生效</w:t>
      </w:r>
      <w:bookmarkEnd w:id="129"/>
      <w:bookmarkEnd w:id="130"/>
      <w:bookmarkEnd w:id="131"/>
    </w:p>
    <w:p w14:paraId="2CD86683">
      <w:pPr>
        <w:spacing w:line="360" w:lineRule="auto"/>
        <w:ind w:firstLine="480"/>
        <w:rPr>
          <w:rFonts w:ascii="仿宋_GB2312" w:hAnsi="楷体" w:eastAsia="仿宋_GB2312"/>
          <w:b/>
          <w:sz w:val="24"/>
        </w:rPr>
      </w:pPr>
      <w:r>
        <w:rPr>
          <w:rFonts w:hint="eastAsia" w:ascii="仿宋_GB2312" w:hAnsi="楷体" w:eastAsia="仿宋_GB2312"/>
          <w:sz w:val="24"/>
        </w:rPr>
        <w:t>本合同自双方当事人加盖有效公章时生效。</w:t>
      </w:r>
    </w:p>
    <w:p w14:paraId="76DF0412">
      <w:pPr>
        <w:spacing w:line="360" w:lineRule="auto"/>
        <w:ind w:firstLine="200"/>
        <w:rPr>
          <w:rFonts w:ascii="仿宋_GB2312" w:hAnsi="楷体" w:eastAsia="仿宋_GB2312"/>
          <w:sz w:val="24"/>
          <w:lang w:val="zh-CN"/>
        </w:rPr>
      </w:pPr>
      <w:r>
        <w:rPr>
          <w:rFonts w:hint="eastAsia" w:ascii="仿宋_GB2312" w:hAnsi="楷体" w:eastAsia="仿宋_GB2312"/>
          <w:sz w:val="24"/>
          <w:lang w:val="zh-CN"/>
        </w:rPr>
        <w:t xml:space="preserve">甲方： </w:t>
      </w:r>
      <w:r>
        <w:rPr>
          <w:rFonts w:ascii="仿宋_GB2312" w:hAnsi="楷体" w:eastAsia="仿宋_GB2312"/>
          <w:sz w:val="24"/>
          <w:lang w:val="zh-CN"/>
        </w:rPr>
        <w:t xml:space="preserve">                              </w:t>
      </w:r>
      <w:r>
        <w:rPr>
          <w:rFonts w:hint="eastAsia" w:ascii="仿宋_GB2312" w:hAnsi="楷体" w:eastAsia="仿宋_GB2312"/>
          <w:sz w:val="24"/>
          <w:lang w:val="zh-CN"/>
        </w:rPr>
        <w:t>乙方：</w:t>
      </w:r>
    </w:p>
    <w:p w14:paraId="56221EC8">
      <w:pPr>
        <w:spacing w:line="360" w:lineRule="auto"/>
        <w:ind w:firstLine="200"/>
        <w:rPr>
          <w:rFonts w:ascii="仿宋_GB2312" w:hAnsi="楷体" w:eastAsia="仿宋_GB2312"/>
          <w:sz w:val="24"/>
          <w:lang w:val="zh-CN"/>
        </w:rPr>
      </w:pPr>
      <w:r>
        <w:rPr>
          <w:rFonts w:hint="eastAsia" w:ascii="仿宋_GB2312" w:hAnsi="楷体" w:eastAsia="仿宋_GB2312"/>
          <w:sz w:val="24"/>
          <w:lang w:val="zh-CN"/>
        </w:rPr>
        <w:t xml:space="preserve">统一社会信用代码： </w:t>
      </w:r>
      <w:r>
        <w:rPr>
          <w:rFonts w:ascii="仿宋_GB2312" w:hAnsi="楷体" w:eastAsia="仿宋_GB2312"/>
          <w:sz w:val="24"/>
          <w:lang w:val="zh-CN"/>
        </w:rPr>
        <w:t xml:space="preserve">                   </w:t>
      </w:r>
      <w:r>
        <w:rPr>
          <w:rFonts w:hint="eastAsia" w:ascii="仿宋_GB2312" w:hAnsi="楷体" w:eastAsia="仿宋_GB2312"/>
          <w:sz w:val="24"/>
          <w:lang w:val="zh-CN"/>
        </w:rPr>
        <w:t>统一社会信用代码或身份证号码：</w:t>
      </w:r>
    </w:p>
    <w:p w14:paraId="1E5F4F02">
      <w:pPr>
        <w:spacing w:line="360" w:lineRule="auto"/>
        <w:ind w:firstLine="200"/>
        <w:rPr>
          <w:rFonts w:ascii="仿宋_GB2312" w:hAnsi="楷体" w:eastAsia="仿宋_GB2312"/>
          <w:sz w:val="24"/>
          <w:lang w:val="zh-CN"/>
        </w:rPr>
      </w:pPr>
    </w:p>
    <w:p w14:paraId="073B0AB0">
      <w:pPr>
        <w:spacing w:line="360" w:lineRule="auto"/>
        <w:ind w:firstLine="200"/>
        <w:rPr>
          <w:rFonts w:ascii="仿宋_GB2312" w:hAnsi="楷体" w:eastAsia="仿宋_GB2312"/>
          <w:sz w:val="24"/>
          <w:lang w:val="zh-CN"/>
        </w:rPr>
      </w:pPr>
      <w:r>
        <w:rPr>
          <w:rFonts w:hint="eastAsia" w:ascii="仿宋_GB2312" w:hAnsi="楷体" w:eastAsia="仿宋_GB2312"/>
          <w:sz w:val="24"/>
          <w:lang w:val="zh-CN"/>
        </w:rPr>
        <w:t xml:space="preserve">住所： </w:t>
      </w:r>
      <w:r>
        <w:rPr>
          <w:rFonts w:ascii="仿宋_GB2312" w:hAnsi="楷体" w:eastAsia="仿宋_GB2312"/>
          <w:sz w:val="24"/>
          <w:lang w:val="zh-CN"/>
        </w:rPr>
        <w:t xml:space="preserve">                                </w:t>
      </w:r>
      <w:r>
        <w:rPr>
          <w:rFonts w:hint="eastAsia" w:ascii="仿宋_GB2312" w:hAnsi="楷体" w:eastAsia="仿宋_GB2312"/>
          <w:sz w:val="24"/>
          <w:lang w:val="zh-CN"/>
        </w:rPr>
        <w:t>住所：</w:t>
      </w:r>
    </w:p>
    <w:p w14:paraId="29A77318">
      <w:pPr>
        <w:spacing w:line="360" w:lineRule="auto"/>
        <w:ind w:firstLine="200"/>
        <w:rPr>
          <w:rFonts w:ascii="仿宋_GB2312" w:hAnsi="楷体" w:eastAsia="仿宋_GB2312"/>
          <w:sz w:val="24"/>
          <w:lang w:val="zh-CN"/>
        </w:rPr>
      </w:pPr>
      <w:r>
        <w:rPr>
          <w:rFonts w:hint="eastAsia" w:ascii="仿宋_GB2312" w:hAnsi="楷体" w:eastAsia="仿宋_GB2312"/>
          <w:sz w:val="24"/>
          <w:lang w:val="zh-CN"/>
        </w:rPr>
        <w:t xml:space="preserve">法定代表人或 </w:t>
      </w:r>
      <w:r>
        <w:rPr>
          <w:rFonts w:ascii="仿宋_GB2312" w:hAnsi="楷体" w:eastAsia="仿宋_GB2312"/>
          <w:sz w:val="24"/>
          <w:lang w:val="zh-CN"/>
        </w:rPr>
        <w:t xml:space="preserve">                          </w:t>
      </w:r>
      <w:r>
        <w:rPr>
          <w:rFonts w:hint="eastAsia" w:ascii="仿宋_GB2312" w:hAnsi="楷体" w:eastAsia="仿宋_GB2312"/>
          <w:sz w:val="24"/>
          <w:lang w:val="zh-CN"/>
        </w:rPr>
        <w:t>法定代表人</w:t>
      </w:r>
    </w:p>
    <w:p w14:paraId="12EC58C9">
      <w:pPr>
        <w:spacing w:line="360" w:lineRule="auto"/>
        <w:ind w:firstLine="200"/>
        <w:rPr>
          <w:rFonts w:ascii="仿宋_GB2312" w:hAnsi="楷体" w:eastAsia="仿宋_GB2312"/>
          <w:sz w:val="24"/>
          <w:lang w:val="zh-CN"/>
        </w:rPr>
      </w:pPr>
      <w:r>
        <w:rPr>
          <w:rFonts w:hint="eastAsia" w:ascii="仿宋_GB2312" w:hAnsi="楷体" w:eastAsia="仿宋_GB2312"/>
          <w:sz w:val="24"/>
          <w:lang w:val="zh-CN"/>
        </w:rPr>
        <w:t xml:space="preserve">授权代表（签字）： </w:t>
      </w:r>
      <w:r>
        <w:rPr>
          <w:rFonts w:ascii="仿宋_GB2312" w:hAnsi="楷体" w:eastAsia="仿宋_GB2312"/>
          <w:sz w:val="24"/>
          <w:lang w:val="zh-CN"/>
        </w:rPr>
        <w:t xml:space="preserve">                    </w:t>
      </w:r>
      <w:r>
        <w:rPr>
          <w:rFonts w:hint="eastAsia" w:ascii="仿宋_GB2312" w:hAnsi="楷体" w:eastAsia="仿宋_GB2312"/>
          <w:sz w:val="24"/>
          <w:lang w:val="zh-CN"/>
        </w:rPr>
        <w:t xml:space="preserve">或授权代表（签字）: </w:t>
      </w:r>
    </w:p>
    <w:p w14:paraId="3F5DE7DD">
      <w:pPr>
        <w:spacing w:line="360" w:lineRule="auto"/>
        <w:ind w:firstLine="200"/>
        <w:rPr>
          <w:rFonts w:ascii="仿宋_GB2312" w:hAnsi="楷体" w:eastAsia="仿宋_GB2312"/>
          <w:sz w:val="24"/>
          <w:lang w:val="zh-CN"/>
        </w:rPr>
      </w:pPr>
      <w:r>
        <w:rPr>
          <w:rFonts w:hint="eastAsia" w:ascii="仿宋_GB2312" w:hAnsi="楷体" w:eastAsia="仿宋_GB2312"/>
          <w:sz w:val="24"/>
          <w:lang w:val="zh-CN"/>
        </w:rPr>
        <w:t xml:space="preserve">联系人： </w:t>
      </w:r>
      <w:r>
        <w:rPr>
          <w:rFonts w:ascii="仿宋_GB2312" w:hAnsi="楷体" w:eastAsia="仿宋_GB2312"/>
          <w:sz w:val="24"/>
          <w:lang w:val="zh-CN"/>
        </w:rPr>
        <w:t xml:space="preserve">                              </w:t>
      </w:r>
      <w:r>
        <w:rPr>
          <w:rFonts w:hint="eastAsia" w:ascii="仿宋_GB2312" w:hAnsi="楷体" w:eastAsia="仿宋_GB2312"/>
          <w:sz w:val="24"/>
          <w:lang w:val="zh-CN"/>
        </w:rPr>
        <w:t>联系人：</w:t>
      </w:r>
    </w:p>
    <w:p w14:paraId="63F7D35E">
      <w:pPr>
        <w:spacing w:line="360" w:lineRule="auto"/>
        <w:ind w:firstLine="200"/>
        <w:rPr>
          <w:rFonts w:ascii="仿宋_GB2312" w:hAnsi="楷体" w:eastAsia="仿宋_GB2312"/>
          <w:sz w:val="24"/>
          <w:lang w:val="zh-CN"/>
        </w:rPr>
      </w:pPr>
      <w:r>
        <w:rPr>
          <w:rFonts w:hint="eastAsia" w:ascii="仿宋_GB2312" w:hAnsi="楷体" w:eastAsia="仿宋_GB2312"/>
          <w:sz w:val="24"/>
          <w:lang w:val="zh-CN"/>
        </w:rPr>
        <w:t xml:space="preserve">约定送达地址： </w:t>
      </w:r>
      <w:r>
        <w:rPr>
          <w:rFonts w:ascii="仿宋_GB2312" w:hAnsi="楷体" w:eastAsia="仿宋_GB2312"/>
          <w:sz w:val="24"/>
          <w:lang w:val="zh-CN"/>
        </w:rPr>
        <w:t xml:space="preserve">                        </w:t>
      </w:r>
      <w:r>
        <w:rPr>
          <w:rFonts w:hint="eastAsia" w:ascii="仿宋_GB2312" w:hAnsi="楷体" w:eastAsia="仿宋_GB2312"/>
          <w:sz w:val="24"/>
          <w:lang w:val="zh-CN"/>
        </w:rPr>
        <w:t>约定送达地址：</w:t>
      </w:r>
    </w:p>
    <w:p w14:paraId="3D1F6664">
      <w:pPr>
        <w:spacing w:line="360" w:lineRule="auto"/>
        <w:ind w:firstLine="200"/>
        <w:rPr>
          <w:rFonts w:ascii="仿宋_GB2312" w:hAnsi="楷体" w:eastAsia="仿宋_GB2312"/>
          <w:sz w:val="24"/>
          <w:lang w:val="zh-CN"/>
        </w:rPr>
      </w:pPr>
      <w:r>
        <w:rPr>
          <w:rFonts w:hint="eastAsia" w:ascii="仿宋_GB2312" w:hAnsi="楷体" w:eastAsia="仿宋_GB2312"/>
          <w:sz w:val="24"/>
          <w:lang w:val="zh-CN"/>
        </w:rPr>
        <w:t xml:space="preserve">邮政编码： </w:t>
      </w:r>
      <w:r>
        <w:rPr>
          <w:rFonts w:ascii="仿宋_GB2312" w:hAnsi="楷体" w:eastAsia="仿宋_GB2312"/>
          <w:sz w:val="24"/>
          <w:lang w:val="zh-CN"/>
        </w:rPr>
        <w:t xml:space="preserve">                            </w:t>
      </w:r>
      <w:r>
        <w:rPr>
          <w:rFonts w:hint="eastAsia" w:ascii="仿宋_GB2312" w:hAnsi="楷体" w:eastAsia="仿宋_GB2312"/>
          <w:sz w:val="24"/>
          <w:lang w:val="zh-CN"/>
        </w:rPr>
        <w:t>邮政编码：</w:t>
      </w:r>
    </w:p>
    <w:p w14:paraId="2B19C64E">
      <w:pPr>
        <w:spacing w:line="360" w:lineRule="auto"/>
        <w:ind w:firstLine="200"/>
        <w:rPr>
          <w:rFonts w:ascii="仿宋_GB2312" w:hAnsi="楷体" w:eastAsia="仿宋_GB2312"/>
          <w:sz w:val="24"/>
          <w:lang w:val="zh-CN"/>
        </w:rPr>
      </w:pPr>
      <w:r>
        <w:rPr>
          <w:rFonts w:hint="eastAsia" w:ascii="仿宋_GB2312" w:hAnsi="楷体" w:eastAsia="仿宋_GB2312"/>
          <w:sz w:val="24"/>
          <w:lang w:val="zh-CN"/>
        </w:rPr>
        <w:t xml:space="preserve">电话:                                    电话: </w:t>
      </w:r>
    </w:p>
    <w:p w14:paraId="2AD5E92D">
      <w:pPr>
        <w:spacing w:line="360" w:lineRule="auto"/>
        <w:ind w:firstLine="200"/>
        <w:rPr>
          <w:rFonts w:ascii="仿宋_GB2312" w:hAnsi="楷体" w:eastAsia="仿宋_GB2312"/>
          <w:sz w:val="24"/>
          <w:lang w:val="zh-CN"/>
        </w:rPr>
      </w:pPr>
      <w:r>
        <w:rPr>
          <w:rFonts w:hint="eastAsia" w:ascii="仿宋_GB2312" w:hAnsi="楷体" w:eastAsia="仿宋_GB2312"/>
          <w:sz w:val="24"/>
          <w:lang w:val="zh-CN"/>
        </w:rPr>
        <w:t>传真:                                    传真:</w:t>
      </w:r>
    </w:p>
    <w:p w14:paraId="1F4AA70E">
      <w:pPr>
        <w:spacing w:line="360" w:lineRule="auto"/>
        <w:ind w:firstLine="200"/>
        <w:rPr>
          <w:rFonts w:ascii="仿宋_GB2312" w:hAnsi="楷体" w:eastAsia="仿宋_GB2312"/>
          <w:sz w:val="24"/>
        </w:rPr>
      </w:pPr>
      <w:r>
        <w:rPr>
          <w:rFonts w:hint="eastAsia" w:ascii="仿宋_GB2312" w:hAnsi="楷体" w:eastAsia="仿宋_GB2312"/>
          <w:sz w:val="24"/>
          <w:lang w:val="zh-CN"/>
        </w:rPr>
        <w:t xml:space="preserve">电子邮箱： </w:t>
      </w:r>
      <w:r>
        <w:rPr>
          <w:rFonts w:ascii="仿宋_GB2312" w:hAnsi="楷体" w:eastAsia="仿宋_GB2312"/>
          <w:sz w:val="24"/>
          <w:lang w:val="zh-CN"/>
        </w:rPr>
        <w:t xml:space="preserve">                              </w:t>
      </w:r>
      <w:r>
        <w:rPr>
          <w:rFonts w:hint="eastAsia" w:ascii="仿宋_GB2312" w:hAnsi="楷体" w:eastAsia="仿宋_GB2312"/>
          <w:sz w:val="24"/>
          <w:lang w:val="zh-CN"/>
        </w:rPr>
        <w:t>电子邮箱：</w:t>
      </w:r>
    </w:p>
    <w:p w14:paraId="79F7EEDD">
      <w:pPr>
        <w:spacing w:line="360" w:lineRule="auto"/>
        <w:ind w:firstLine="200"/>
        <w:rPr>
          <w:rFonts w:ascii="仿宋_GB2312" w:hAnsi="楷体" w:eastAsia="仿宋_GB2312"/>
          <w:sz w:val="24"/>
        </w:rPr>
      </w:pPr>
      <w:r>
        <w:rPr>
          <w:rFonts w:hint="eastAsia" w:ascii="仿宋_GB2312" w:hAnsi="楷体" w:eastAsia="仿宋_GB2312"/>
          <w:sz w:val="24"/>
        </w:rPr>
        <w:t xml:space="preserve">开户银行： </w:t>
      </w:r>
      <w:r>
        <w:rPr>
          <w:rFonts w:ascii="仿宋_GB2312" w:hAnsi="楷体" w:eastAsia="仿宋_GB2312"/>
          <w:sz w:val="24"/>
        </w:rPr>
        <w:t xml:space="preserve">                              </w:t>
      </w:r>
      <w:r>
        <w:rPr>
          <w:rFonts w:hint="eastAsia" w:ascii="仿宋_GB2312" w:hAnsi="楷体" w:eastAsia="仿宋_GB2312"/>
          <w:sz w:val="24"/>
        </w:rPr>
        <w:t>开户银行：</w:t>
      </w:r>
    </w:p>
    <w:p w14:paraId="5256B61B">
      <w:pPr>
        <w:spacing w:line="360" w:lineRule="auto"/>
        <w:ind w:firstLine="200"/>
        <w:rPr>
          <w:rFonts w:ascii="仿宋_GB2312" w:hAnsi="楷体" w:eastAsia="仿宋_GB2312"/>
          <w:sz w:val="24"/>
        </w:rPr>
      </w:pPr>
      <w:r>
        <w:rPr>
          <w:rFonts w:hint="eastAsia" w:ascii="仿宋_GB2312" w:hAnsi="楷体" w:eastAsia="仿宋_GB2312"/>
          <w:sz w:val="24"/>
        </w:rPr>
        <w:t xml:space="preserve">开户名称： </w:t>
      </w:r>
      <w:r>
        <w:rPr>
          <w:rFonts w:ascii="仿宋_GB2312" w:hAnsi="楷体" w:eastAsia="仿宋_GB2312"/>
          <w:sz w:val="24"/>
        </w:rPr>
        <w:t xml:space="preserve">                              </w:t>
      </w:r>
      <w:r>
        <w:rPr>
          <w:rFonts w:hint="eastAsia" w:ascii="仿宋_GB2312" w:hAnsi="楷体" w:eastAsia="仿宋_GB2312"/>
          <w:sz w:val="24"/>
        </w:rPr>
        <w:t>开户名称：</w:t>
      </w:r>
    </w:p>
    <w:p w14:paraId="66411E31">
      <w:pPr>
        <w:spacing w:line="360" w:lineRule="auto"/>
        <w:ind w:firstLine="200"/>
        <w:rPr>
          <w:rFonts w:ascii="仿宋_GB2312" w:hAnsi="楷体" w:eastAsia="仿宋_GB2312"/>
          <w:sz w:val="24"/>
        </w:rPr>
      </w:pPr>
      <w:r>
        <w:rPr>
          <w:rFonts w:hint="eastAsia" w:ascii="仿宋_GB2312" w:hAnsi="楷体" w:eastAsia="仿宋_GB2312"/>
          <w:sz w:val="24"/>
        </w:rPr>
        <w:t xml:space="preserve">开户账号： </w:t>
      </w:r>
      <w:r>
        <w:rPr>
          <w:rFonts w:ascii="仿宋_GB2312" w:hAnsi="楷体" w:eastAsia="仿宋_GB2312"/>
          <w:sz w:val="24"/>
        </w:rPr>
        <w:t xml:space="preserve">                              </w:t>
      </w:r>
      <w:r>
        <w:rPr>
          <w:rFonts w:hint="eastAsia" w:ascii="仿宋_GB2312" w:hAnsi="楷体" w:eastAsia="仿宋_GB2312"/>
          <w:sz w:val="24"/>
        </w:rPr>
        <w:t>开户账号：</w:t>
      </w:r>
    </w:p>
    <w:p w14:paraId="55CB1320">
      <w:pPr>
        <w:spacing w:after="120" w:line="360" w:lineRule="auto"/>
        <w:ind w:left="420" w:firstLine="482"/>
        <w:jc w:val="center"/>
        <w:outlineLvl w:val="1"/>
        <w:rPr>
          <w:rFonts w:ascii="仿宋_GB2312" w:hAnsi="楷体" w:eastAsia="仿宋_GB2312"/>
          <w:b/>
          <w:sz w:val="28"/>
          <w:szCs w:val="28"/>
        </w:rPr>
      </w:pPr>
      <w:r>
        <w:rPr>
          <w:rFonts w:hint="eastAsia" w:ascii="仿宋_GB2312" w:hAnsi="楷体" w:eastAsia="仿宋_GB2312"/>
          <w:b/>
          <w:sz w:val="24"/>
          <w:szCs w:val="21"/>
        </w:rPr>
        <w:br w:type="page" w:clear="all"/>
      </w:r>
      <w:bookmarkStart w:id="132" w:name="_Toc173510412"/>
      <w:bookmarkStart w:id="133" w:name="_Toc331685783"/>
      <w:r>
        <w:rPr>
          <w:rFonts w:hint="eastAsia" w:ascii="仿宋_GB2312" w:hAnsi="楷体" w:eastAsia="仿宋_GB2312"/>
          <w:b/>
          <w:sz w:val="28"/>
          <w:szCs w:val="28"/>
        </w:rPr>
        <w:t>第二部分合同一般条款</w:t>
      </w:r>
      <w:bookmarkEnd w:id="132"/>
      <w:bookmarkEnd w:id="133"/>
    </w:p>
    <w:p w14:paraId="2D126EEC">
      <w:pPr>
        <w:spacing w:line="360" w:lineRule="auto"/>
        <w:ind w:firstLine="482"/>
        <w:rPr>
          <w:rFonts w:ascii="仿宋_GB2312" w:hAnsi="楷体" w:eastAsia="仿宋_GB2312"/>
          <w:b/>
          <w:sz w:val="24"/>
        </w:rPr>
      </w:pPr>
      <w:bookmarkStart w:id="134" w:name="_Toc16917"/>
      <w:bookmarkStart w:id="135" w:name="_Toc279701240"/>
      <w:bookmarkStart w:id="136" w:name="_Ref467379205"/>
      <w:bookmarkStart w:id="137" w:name="_Ref467379094"/>
      <w:bookmarkStart w:id="138" w:name="_Ref467378499"/>
      <w:bookmarkStart w:id="139" w:name="_Toc259093669"/>
      <w:bookmarkStart w:id="140" w:name="_Toc19614"/>
      <w:bookmarkStart w:id="141" w:name="_Ref467379109"/>
      <w:bookmarkStart w:id="142" w:name="_Ref467378463"/>
      <w:bookmarkStart w:id="143" w:name="_Ref467378404"/>
      <w:bookmarkStart w:id="144" w:name="_Ref467379101"/>
      <w:bookmarkStart w:id="145" w:name="_Ref467379195"/>
      <w:bookmarkStart w:id="146" w:name="_Toc487900349"/>
      <w:bookmarkStart w:id="147" w:name="_Ref467379225"/>
      <w:bookmarkStart w:id="148" w:name="_Ref467379214"/>
      <w:bookmarkStart w:id="149" w:name="_Toc28763"/>
      <w:r>
        <w:rPr>
          <w:rFonts w:hint="eastAsia" w:ascii="仿宋_GB2312" w:hAnsi="楷体" w:eastAsia="仿宋_GB2312"/>
          <w:b/>
          <w:sz w:val="24"/>
        </w:rPr>
        <w:t>2.1 定义</w:t>
      </w:r>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p w14:paraId="128BBD67">
      <w:pPr>
        <w:spacing w:line="360" w:lineRule="auto"/>
        <w:ind w:firstLine="480"/>
        <w:rPr>
          <w:rFonts w:ascii="仿宋_GB2312" w:hAnsi="楷体" w:eastAsia="仿宋_GB2312"/>
          <w:sz w:val="24"/>
        </w:rPr>
      </w:pPr>
      <w:r>
        <w:rPr>
          <w:rFonts w:hint="eastAsia" w:ascii="仿宋_GB2312" w:hAnsi="楷体" w:eastAsia="仿宋_GB2312"/>
          <w:sz w:val="24"/>
        </w:rPr>
        <w:t>本合同中的下列词语应按以下内容进行解释：</w:t>
      </w:r>
    </w:p>
    <w:p w14:paraId="3F19EA7A">
      <w:pPr>
        <w:spacing w:line="360" w:lineRule="auto"/>
        <w:ind w:firstLine="480"/>
        <w:rPr>
          <w:rFonts w:ascii="仿宋_GB2312" w:hAnsi="楷体" w:eastAsia="仿宋_GB2312"/>
          <w:sz w:val="24"/>
        </w:rPr>
      </w:pPr>
      <w:r>
        <w:rPr>
          <w:rFonts w:hint="eastAsia" w:ascii="仿宋_GB2312" w:hAnsi="楷体" w:eastAsia="仿宋_GB2312"/>
          <w:sz w:val="24"/>
        </w:rPr>
        <w:t>2.1.1 “合同”系指采购人和成交人签订的载明双方当事人所达成的协议，并包括所有的附件、附录和构成合同的其他文件。</w:t>
      </w:r>
    </w:p>
    <w:p w14:paraId="72DA58F1">
      <w:pPr>
        <w:spacing w:line="360" w:lineRule="auto"/>
        <w:ind w:firstLine="480"/>
        <w:rPr>
          <w:rFonts w:ascii="仿宋_GB2312" w:hAnsi="楷体" w:eastAsia="仿宋_GB2312"/>
          <w:sz w:val="24"/>
        </w:rPr>
      </w:pPr>
      <w:r>
        <w:rPr>
          <w:rFonts w:hint="eastAsia" w:ascii="仿宋_GB2312" w:hAnsi="楷体" w:eastAsia="仿宋_GB2312"/>
          <w:sz w:val="24"/>
        </w:rPr>
        <w:t>2.1.2 “合同价”系指根据合同约定，成交人在完全履行合同义务后，采购人应支付给成交人的价格。</w:t>
      </w:r>
    </w:p>
    <w:p w14:paraId="5144A64B">
      <w:pPr>
        <w:spacing w:line="360" w:lineRule="auto"/>
        <w:ind w:firstLine="480"/>
        <w:rPr>
          <w:rFonts w:ascii="仿宋_GB2312" w:hAnsi="楷体" w:eastAsia="仿宋_GB2312"/>
          <w:sz w:val="24"/>
        </w:rPr>
      </w:pPr>
      <w:r>
        <w:rPr>
          <w:rFonts w:hint="eastAsia" w:ascii="仿宋_GB2312" w:hAnsi="楷体" w:eastAsia="仿宋_GB2312"/>
          <w:sz w:val="24"/>
        </w:rPr>
        <w:t>2.1.3 “标的物”系指成交人根据合同约定应向采购人交付的一切各种形态和种类的货物、货物和工程，包括但不限于原材料、燃料、设备、机械、仪表、备件、计算机软件、信息化系统、信息化维保、物业货物、产品等，并包括工具、手册等其他相关资料。</w:t>
      </w:r>
    </w:p>
    <w:p w14:paraId="6A12E87E">
      <w:pPr>
        <w:spacing w:line="360" w:lineRule="auto"/>
        <w:ind w:firstLine="480"/>
        <w:rPr>
          <w:rFonts w:ascii="仿宋_GB2312" w:hAnsi="楷体" w:eastAsia="仿宋_GB2312"/>
          <w:sz w:val="24"/>
        </w:rPr>
      </w:pPr>
      <w:bookmarkStart w:id="150" w:name="_Ref467378840"/>
      <w:r>
        <w:rPr>
          <w:rFonts w:hint="eastAsia" w:ascii="仿宋_GB2312" w:hAnsi="楷体" w:eastAsia="仿宋_GB2312"/>
          <w:sz w:val="24"/>
        </w:rPr>
        <w:t>2.1.4 “甲方”系指与成交人签署合同的采购人</w:t>
      </w:r>
      <w:bookmarkEnd w:id="150"/>
      <w:r>
        <w:rPr>
          <w:rFonts w:hint="eastAsia" w:ascii="仿宋_GB2312" w:hAnsi="楷体" w:eastAsia="仿宋_GB2312"/>
          <w:sz w:val="24"/>
        </w:rPr>
        <w:t>；采购人委托采购机构代表其与乙方签订合同的，采购人的授权委托书作为合同附件。</w:t>
      </w:r>
    </w:p>
    <w:p w14:paraId="6217D06B">
      <w:pPr>
        <w:spacing w:line="360" w:lineRule="auto"/>
        <w:ind w:firstLine="480"/>
        <w:rPr>
          <w:rFonts w:ascii="仿宋_GB2312" w:hAnsi="楷体" w:eastAsia="仿宋_GB2312"/>
          <w:sz w:val="24"/>
        </w:rPr>
      </w:pPr>
      <w:bookmarkStart w:id="151" w:name="_Ref467379400"/>
      <w:r>
        <w:rPr>
          <w:rFonts w:hint="eastAsia" w:ascii="仿宋_GB2312" w:hAnsi="楷体" w:eastAsia="仿宋_GB2312"/>
          <w:sz w:val="24"/>
        </w:rPr>
        <w:t>2.1.5 “乙方”系指根据合同约定交付标的物的</w:t>
      </w:r>
      <w:bookmarkEnd w:id="151"/>
      <w:r>
        <w:rPr>
          <w:rFonts w:hint="eastAsia" w:ascii="仿宋_GB2312" w:hAnsi="楷体" w:eastAsia="仿宋_GB2312"/>
          <w:sz w:val="24"/>
        </w:rPr>
        <w:t>成交人；两个以上的自然人、法人或者其他组织组成一个联合体，以一个供应商的身份共同参加政府采购的，联合体各方均应为乙方或者与乙方相同地位的合同当事人，并就合同约定的事项对甲方承担连带责任。</w:t>
      </w:r>
    </w:p>
    <w:p w14:paraId="065D521F">
      <w:pPr>
        <w:spacing w:line="360" w:lineRule="auto"/>
        <w:ind w:firstLine="480"/>
        <w:rPr>
          <w:rFonts w:ascii="仿宋_GB2312" w:hAnsi="楷体" w:eastAsia="仿宋_GB2312"/>
          <w:sz w:val="24"/>
        </w:rPr>
      </w:pPr>
      <w:bookmarkStart w:id="152" w:name="_Ref467379436"/>
      <w:r>
        <w:rPr>
          <w:rFonts w:hint="eastAsia" w:ascii="仿宋_GB2312" w:hAnsi="楷体" w:eastAsia="仿宋_GB2312"/>
          <w:sz w:val="24"/>
        </w:rPr>
        <w:t>2.1.6 “现场”系指合同约定标的物将要运至或者实施或者安装的地点。</w:t>
      </w:r>
      <w:bookmarkEnd w:id="152"/>
    </w:p>
    <w:p w14:paraId="0AA118A0">
      <w:pPr>
        <w:spacing w:line="360" w:lineRule="auto"/>
        <w:ind w:firstLine="482"/>
        <w:rPr>
          <w:rFonts w:ascii="仿宋_GB2312" w:hAnsi="楷体" w:eastAsia="仿宋_GB2312"/>
          <w:b/>
          <w:sz w:val="24"/>
        </w:rPr>
      </w:pPr>
      <w:bookmarkStart w:id="153" w:name="_Toc487900350"/>
      <w:bookmarkStart w:id="154" w:name="_Toc279701241"/>
      <w:bookmarkStart w:id="155" w:name="_Toc13336"/>
      <w:bookmarkStart w:id="156" w:name="_Toc27635"/>
      <w:bookmarkStart w:id="157" w:name="_Toc32504"/>
      <w:bookmarkStart w:id="158" w:name="_Toc259093670"/>
      <w:r>
        <w:rPr>
          <w:rFonts w:hint="eastAsia" w:ascii="仿宋_GB2312" w:hAnsi="楷体" w:eastAsia="仿宋_GB2312"/>
          <w:b/>
          <w:sz w:val="24"/>
        </w:rPr>
        <w:t>2.2 技术规范</w:t>
      </w:r>
      <w:bookmarkEnd w:id="153"/>
      <w:bookmarkEnd w:id="154"/>
      <w:bookmarkEnd w:id="155"/>
      <w:bookmarkEnd w:id="156"/>
      <w:bookmarkEnd w:id="157"/>
      <w:bookmarkEnd w:id="158"/>
    </w:p>
    <w:p w14:paraId="14CD7D9C">
      <w:pPr>
        <w:spacing w:line="360" w:lineRule="auto"/>
        <w:ind w:firstLine="480"/>
        <w:rPr>
          <w:rFonts w:ascii="仿宋_GB2312" w:hAnsi="楷体" w:eastAsia="仿宋_GB2312"/>
          <w:sz w:val="24"/>
        </w:rPr>
      </w:pPr>
      <w:r>
        <w:rPr>
          <w:rFonts w:hint="eastAsia" w:ascii="仿宋_GB2312" w:hAnsi="楷体" w:eastAsia="仿宋_GB2312"/>
          <w:sz w:val="24"/>
        </w:rPr>
        <w:t>标的物所应遵守的技术规范应与采购文件规定的技术规范和技术规范附件(如果有的话)及其技术规范偏差表(如果被甲方接受的话)相一致；如果采购文件中没有技术规范的相应说明，应以国家有关部门最新颁布的相应标准和规范为准。</w:t>
      </w:r>
    </w:p>
    <w:p w14:paraId="65B9381D">
      <w:pPr>
        <w:spacing w:line="360" w:lineRule="auto"/>
        <w:ind w:firstLine="482"/>
        <w:rPr>
          <w:rFonts w:ascii="仿宋_GB2312" w:hAnsi="楷体" w:eastAsia="仿宋_GB2312"/>
          <w:b/>
          <w:sz w:val="24"/>
        </w:rPr>
      </w:pPr>
      <w:bookmarkStart w:id="159" w:name="_Toc31634"/>
      <w:bookmarkStart w:id="160" w:name="_Toc9829"/>
      <w:bookmarkStart w:id="161" w:name="_Toc27853"/>
      <w:bookmarkStart w:id="162" w:name="_Toc259093671"/>
      <w:bookmarkStart w:id="163" w:name="_Toc487900351"/>
      <w:bookmarkStart w:id="164" w:name="_Toc279701242"/>
      <w:r>
        <w:rPr>
          <w:rFonts w:hint="eastAsia" w:ascii="仿宋_GB2312" w:hAnsi="楷体" w:eastAsia="仿宋_GB2312"/>
          <w:b/>
          <w:sz w:val="24"/>
        </w:rPr>
        <w:t>2.3 知识产权</w:t>
      </w:r>
      <w:bookmarkEnd w:id="159"/>
      <w:bookmarkEnd w:id="160"/>
      <w:bookmarkEnd w:id="161"/>
      <w:bookmarkEnd w:id="162"/>
      <w:bookmarkEnd w:id="163"/>
      <w:bookmarkEnd w:id="164"/>
    </w:p>
    <w:p w14:paraId="372EADF5">
      <w:pPr>
        <w:spacing w:line="360" w:lineRule="auto"/>
        <w:ind w:firstLine="480"/>
        <w:rPr>
          <w:rFonts w:ascii="仿宋_GB2312" w:hAnsi="楷体" w:eastAsia="仿宋_GB2312"/>
          <w:sz w:val="24"/>
        </w:rPr>
      </w:pPr>
      <w:r>
        <w:rPr>
          <w:rFonts w:hint="eastAsia" w:ascii="仿宋_GB2312" w:hAnsi="楷体" w:eastAsia="仿宋_GB2312"/>
          <w:sz w:val="24"/>
        </w:rPr>
        <w:t>2.3.1 乙方应保证甲方在使用该标的物或其任何一部分时不受任何第三方提出的侵犯其著作权、商标权、专利权等知识产权方面的起诉；如果任何第三方提出侵权指控，乙方须与该第三方交涉并承担由此发生的一切责任、费用和赔偿；</w:t>
      </w:r>
    </w:p>
    <w:p w14:paraId="7385F285">
      <w:pPr>
        <w:spacing w:line="360" w:lineRule="auto"/>
        <w:ind w:firstLine="480"/>
        <w:rPr>
          <w:rFonts w:ascii="仿宋_GB2312" w:hAnsi="楷体" w:eastAsia="仿宋_GB2312"/>
          <w:sz w:val="24"/>
        </w:rPr>
      </w:pPr>
      <w:r>
        <w:rPr>
          <w:rFonts w:hint="eastAsia" w:ascii="仿宋_GB2312" w:hAnsi="楷体" w:eastAsia="仿宋_GB2312"/>
          <w:sz w:val="24"/>
        </w:rPr>
        <w:t>2.3.2具有知识产权的计算机软件等标的物的知识产权归属，详见</w:t>
      </w:r>
      <w:r>
        <w:rPr>
          <w:rFonts w:hint="eastAsia" w:ascii="仿宋_GB2312" w:hAnsi="楷体" w:eastAsia="仿宋_GB2312"/>
          <w:b/>
          <w:i/>
          <w:sz w:val="24"/>
          <w:u w:val="single"/>
        </w:rPr>
        <w:t>合同专用条款</w:t>
      </w:r>
      <w:r>
        <w:rPr>
          <w:rFonts w:hint="eastAsia" w:ascii="仿宋_GB2312" w:hAnsi="楷体" w:eastAsia="仿宋_GB2312"/>
          <w:sz w:val="24"/>
        </w:rPr>
        <w:t>。</w:t>
      </w:r>
    </w:p>
    <w:p w14:paraId="27B2C592">
      <w:pPr>
        <w:spacing w:line="360" w:lineRule="auto"/>
        <w:ind w:firstLine="482"/>
        <w:rPr>
          <w:rFonts w:ascii="仿宋_GB2312" w:hAnsi="楷体" w:eastAsia="仿宋_GB2312"/>
          <w:b/>
          <w:sz w:val="24"/>
        </w:rPr>
      </w:pPr>
      <w:bookmarkStart w:id="165" w:name="_Toc29149"/>
      <w:bookmarkStart w:id="166" w:name="_Toc11932"/>
      <w:bookmarkStart w:id="167" w:name="_Toc4194"/>
      <w:r>
        <w:rPr>
          <w:rFonts w:hint="eastAsia" w:ascii="仿宋_GB2312" w:hAnsi="楷体" w:eastAsia="仿宋_GB2312"/>
          <w:b/>
          <w:sz w:val="24"/>
        </w:rPr>
        <w:t>2.4 包装和装运</w:t>
      </w:r>
      <w:bookmarkEnd w:id="165"/>
      <w:bookmarkEnd w:id="166"/>
      <w:bookmarkEnd w:id="167"/>
    </w:p>
    <w:p w14:paraId="0241AD89">
      <w:pPr>
        <w:spacing w:line="360" w:lineRule="auto"/>
        <w:ind w:firstLine="480"/>
        <w:rPr>
          <w:rFonts w:ascii="仿宋_GB2312" w:hAnsi="楷体" w:eastAsia="仿宋_GB2312"/>
          <w:sz w:val="24"/>
        </w:rPr>
      </w:pPr>
      <w:r>
        <w:rPr>
          <w:rFonts w:hint="eastAsia" w:ascii="仿宋_GB2312" w:hAnsi="楷体" w:eastAsia="仿宋_GB2312"/>
          <w:sz w:val="24"/>
        </w:rPr>
        <w:t>2.4.1除</w:t>
      </w:r>
      <w:r>
        <w:rPr>
          <w:rFonts w:hint="eastAsia" w:ascii="仿宋_GB2312" w:hAnsi="楷体" w:eastAsia="仿宋_GB2312"/>
          <w:b/>
          <w:i/>
          <w:sz w:val="24"/>
          <w:u w:val="single"/>
        </w:rPr>
        <w:t>合同专用条款</w:t>
      </w:r>
      <w:r>
        <w:rPr>
          <w:rFonts w:hint="eastAsia" w:ascii="仿宋_GB2312" w:hAnsi="楷体" w:eastAsia="仿宋_GB2312"/>
          <w:sz w:val="24"/>
        </w:rPr>
        <w:t>另有约定外,乙方交付的全部标的物,均应采用本行业通用的方式进行包装，没有通用方式的，应当采取足以保护标的物的包装方式，且该包装应符合国家有关包装的法律、法规的规定。如有必要，包装应适用于远距离运输、防潮、防震、防锈和防粗暴装卸，确保标的物安全无损地运抵现场。由于包装不善所引起的标的物锈蚀、损坏和损失等一切风险均由乙方承担。</w:t>
      </w:r>
    </w:p>
    <w:p w14:paraId="16563582">
      <w:pPr>
        <w:spacing w:line="360" w:lineRule="auto"/>
        <w:ind w:firstLine="480"/>
        <w:rPr>
          <w:rFonts w:ascii="仿宋_GB2312" w:hAnsi="楷体" w:eastAsia="仿宋_GB2312"/>
          <w:sz w:val="24"/>
        </w:rPr>
      </w:pPr>
      <w:r>
        <w:rPr>
          <w:rFonts w:hint="eastAsia" w:ascii="仿宋_GB2312" w:hAnsi="楷体" w:eastAsia="仿宋_GB2312"/>
          <w:sz w:val="24"/>
        </w:rPr>
        <w:t>2.4.2 装运标的物的要求和通知，详见</w:t>
      </w:r>
      <w:r>
        <w:rPr>
          <w:rFonts w:hint="eastAsia" w:ascii="仿宋_GB2312" w:hAnsi="楷体" w:eastAsia="仿宋_GB2312"/>
          <w:b/>
          <w:i/>
          <w:sz w:val="24"/>
          <w:u w:val="single"/>
        </w:rPr>
        <w:t>合同专用条款</w:t>
      </w:r>
      <w:r>
        <w:rPr>
          <w:rFonts w:hint="eastAsia" w:ascii="仿宋_GB2312" w:hAnsi="楷体" w:eastAsia="仿宋_GB2312"/>
          <w:sz w:val="24"/>
        </w:rPr>
        <w:t>。</w:t>
      </w:r>
    </w:p>
    <w:p w14:paraId="2264FB2E">
      <w:pPr>
        <w:spacing w:line="360" w:lineRule="auto"/>
        <w:ind w:firstLine="482"/>
        <w:rPr>
          <w:rFonts w:ascii="仿宋_GB2312" w:hAnsi="楷体" w:eastAsia="仿宋_GB2312"/>
          <w:b/>
          <w:sz w:val="24"/>
        </w:rPr>
      </w:pPr>
      <w:bookmarkStart w:id="168" w:name="_Toc279701245"/>
      <w:bookmarkStart w:id="169" w:name="_Toc259093674"/>
      <w:bookmarkStart w:id="170" w:name="_Ref467379527"/>
      <w:bookmarkStart w:id="171" w:name="_Ref467379542"/>
      <w:bookmarkStart w:id="172" w:name="_Ref467378591"/>
      <w:bookmarkStart w:id="173" w:name="_Toc487900354"/>
      <w:bookmarkStart w:id="174" w:name="_Ref467379536"/>
      <w:bookmarkStart w:id="175" w:name="_Ref467378541"/>
      <w:bookmarkStart w:id="176" w:name="_Toc30272"/>
      <w:bookmarkStart w:id="177" w:name="_Toc19074"/>
      <w:bookmarkStart w:id="178" w:name="_Toc26182"/>
      <w:r>
        <w:rPr>
          <w:rFonts w:hint="eastAsia" w:ascii="仿宋_GB2312" w:hAnsi="楷体" w:eastAsia="仿宋_GB2312"/>
          <w:b/>
          <w:sz w:val="24"/>
        </w:rPr>
        <w:t>2.</w:t>
      </w:r>
      <w:bookmarkEnd w:id="168"/>
      <w:bookmarkEnd w:id="169"/>
      <w:bookmarkEnd w:id="170"/>
      <w:bookmarkEnd w:id="171"/>
      <w:bookmarkEnd w:id="172"/>
      <w:bookmarkEnd w:id="173"/>
      <w:bookmarkEnd w:id="174"/>
      <w:bookmarkEnd w:id="175"/>
      <w:r>
        <w:rPr>
          <w:rFonts w:hint="eastAsia" w:ascii="仿宋_GB2312" w:hAnsi="楷体" w:eastAsia="仿宋_GB2312"/>
          <w:b/>
          <w:sz w:val="24"/>
        </w:rPr>
        <w:t>5 履约检查和问题反馈</w:t>
      </w:r>
      <w:bookmarkEnd w:id="176"/>
      <w:bookmarkEnd w:id="177"/>
      <w:bookmarkEnd w:id="178"/>
    </w:p>
    <w:p w14:paraId="469ECC90">
      <w:pPr>
        <w:spacing w:line="360" w:lineRule="auto"/>
        <w:ind w:firstLine="480"/>
        <w:rPr>
          <w:rFonts w:ascii="仿宋_GB2312" w:hAnsi="楷体" w:eastAsia="仿宋_GB2312"/>
          <w:sz w:val="24"/>
        </w:rPr>
      </w:pPr>
      <w:bookmarkStart w:id="179" w:name="_Ref467379657"/>
      <w:r>
        <w:rPr>
          <w:rFonts w:hint="eastAsia" w:ascii="仿宋_GB2312" w:hAnsi="楷体" w:eastAsia="仿宋_GB2312"/>
          <w:sz w:val="24"/>
        </w:rPr>
        <w:t>2.5.1</w:t>
      </w:r>
      <w:bookmarkEnd w:id="179"/>
      <w:bookmarkStart w:id="180" w:name="_Toc186431854"/>
      <w:bookmarkStart w:id="181" w:name="_Toc259093676"/>
      <w:bookmarkStart w:id="182" w:name="_Toc487900357"/>
      <w:bookmarkStart w:id="183" w:name="_Ref467379793"/>
      <w:bookmarkStart w:id="184" w:name="_Ref467379807"/>
      <w:bookmarkStart w:id="185" w:name="_Toc279701247"/>
      <w:r>
        <w:rPr>
          <w:rFonts w:hint="eastAsia" w:ascii="仿宋_GB2312" w:hAnsi="楷体" w:eastAsia="仿宋_GB2312"/>
          <w:sz w:val="24"/>
        </w:rPr>
        <w:t>甲方有权在其认为必要时，对乙方是否能够按照合同约定交付标的物进行履约检查，以确保乙方所交付的标的物能够依约满足甲方之项目需求，但不得因履约检查妨碍乙方的正常工作，乙方应予积极配合；</w:t>
      </w:r>
    </w:p>
    <w:p w14:paraId="0474C694">
      <w:pPr>
        <w:spacing w:line="360" w:lineRule="auto"/>
        <w:ind w:firstLine="480"/>
        <w:rPr>
          <w:rFonts w:ascii="仿宋_GB2312" w:hAnsi="楷体" w:eastAsia="仿宋_GB2312"/>
          <w:sz w:val="24"/>
        </w:rPr>
      </w:pPr>
      <w:r>
        <w:rPr>
          <w:rFonts w:hint="eastAsia" w:ascii="仿宋_GB2312" w:hAnsi="楷体" w:eastAsia="仿宋_GB2312"/>
          <w:sz w:val="24"/>
        </w:rPr>
        <w:t>2.5.2 合同履行期间，甲方有权将履行过程中出现的问题反馈给乙方，双方当事人应以书面形式约定需要完善和改进的内容</w:t>
      </w:r>
      <w:bookmarkEnd w:id="180"/>
      <w:bookmarkStart w:id="186" w:name="_Toc186431855"/>
      <w:r>
        <w:rPr>
          <w:rFonts w:hint="eastAsia" w:ascii="仿宋_GB2312" w:hAnsi="楷体" w:eastAsia="仿宋_GB2312"/>
          <w:sz w:val="24"/>
        </w:rPr>
        <w:t>。</w:t>
      </w:r>
    </w:p>
    <w:bookmarkEnd w:id="181"/>
    <w:p w14:paraId="591C90CA">
      <w:pPr>
        <w:spacing w:line="360" w:lineRule="auto"/>
        <w:ind w:firstLine="482"/>
        <w:rPr>
          <w:rFonts w:ascii="仿宋_GB2312" w:hAnsi="楷体" w:eastAsia="仿宋_GB2312"/>
          <w:b/>
          <w:sz w:val="24"/>
        </w:rPr>
      </w:pPr>
      <w:bookmarkStart w:id="187" w:name="_Toc28451"/>
      <w:bookmarkStart w:id="188" w:name="_Toc19219"/>
      <w:bookmarkStart w:id="189" w:name="_Toc7836"/>
      <w:r>
        <w:rPr>
          <w:rFonts w:hint="eastAsia" w:ascii="仿宋_GB2312" w:hAnsi="楷体" w:eastAsia="仿宋_GB2312"/>
          <w:b/>
          <w:sz w:val="24"/>
        </w:rPr>
        <w:t>2.6 结算方式和付款条件</w:t>
      </w:r>
      <w:bookmarkEnd w:id="182"/>
      <w:bookmarkEnd w:id="183"/>
      <w:bookmarkEnd w:id="184"/>
      <w:bookmarkEnd w:id="185"/>
      <w:bookmarkEnd w:id="186"/>
      <w:bookmarkEnd w:id="187"/>
      <w:bookmarkEnd w:id="188"/>
      <w:bookmarkEnd w:id="189"/>
    </w:p>
    <w:p w14:paraId="54D98481">
      <w:pPr>
        <w:spacing w:line="360" w:lineRule="auto"/>
        <w:ind w:firstLine="480"/>
        <w:rPr>
          <w:rFonts w:ascii="仿宋_GB2312" w:hAnsi="楷体" w:eastAsia="仿宋_GB2312"/>
          <w:sz w:val="24"/>
        </w:rPr>
      </w:pPr>
      <w:r>
        <w:rPr>
          <w:rFonts w:hint="eastAsia" w:ascii="仿宋_GB2312" w:hAnsi="楷体" w:eastAsia="仿宋_GB2312"/>
          <w:sz w:val="24"/>
        </w:rPr>
        <w:t>详见</w:t>
      </w:r>
      <w:r>
        <w:rPr>
          <w:rFonts w:hint="eastAsia" w:ascii="仿宋_GB2312" w:hAnsi="楷体" w:eastAsia="仿宋_GB2312"/>
          <w:b/>
          <w:i/>
          <w:sz w:val="24"/>
          <w:u w:val="single"/>
        </w:rPr>
        <w:t>合同专用条款</w:t>
      </w:r>
      <w:r>
        <w:rPr>
          <w:rFonts w:hint="eastAsia" w:ascii="仿宋_GB2312" w:hAnsi="楷体" w:eastAsia="仿宋_GB2312"/>
          <w:sz w:val="24"/>
        </w:rPr>
        <w:t>。</w:t>
      </w:r>
    </w:p>
    <w:p w14:paraId="56AF2AC6">
      <w:pPr>
        <w:spacing w:line="360" w:lineRule="auto"/>
        <w:ind w:firstLine="482"/>
        <w:rPr>
          <w:rFonts w:ascii="仿宋_GB2312" w:hAnsi="楷体" w:eastAsia="仿宋_GB2312"/>
          <w:b/>
          <w:sz w:val="24"/>
        </w:rPr>
      </w:pPr>
      <w:bookmarkStart w:id="190" w:name="_Toc259093677"/>
      <w:bookmarkStart w:id="191" w:name="_Ref467379923"/>
      <w:bookmarkStart w:id="192" w:name="_Ref467379852"/>
      <w:bookmarkStart w:id="193" w:name="_Ref467379863"/>
      <w:bookmarkStart w:id="194" w:name="_Toc487900358"/>
      <w:bookmarkStart w:id="195" w:name="_Toc279701248"/>
      <w:bookmarkStart w:id="196" w:name="_Toc16110"/>
      <w:bookmarkStart w:id="197" w:name="_Toc774"/>
      <w:bookmarkStart w:id="198" w:name="_Toc3225"/>
      <w:r>
        <w:rPr>
          <w:rFonts w:hint="eastAsia" w:ascii="仿宋_GB2312" w:hAnsi="楷体" w:eastAsia="仿宋_GB2312"/>
          <w:b/>
          <w:sz w:val="24"/>
        </w:rPr>
        <w:t>2.7 技术资料</w:t>
      </w:r>
      <w:bookmarkEnd w:id="190"/>
      <w:bookmarkEnd w:id="191"/>
      <w:bookmarkEnd w:id="192"/>
      <w:bookmarkEnd w:id="193"/>
      <w:bookmarkEnd w:id="194"/>
      <w:bookmarkEnd w:id="195"/>
      <w:r>
        <w:rPr>
          <w:rFonts w:hint="eastAsia" w:ascii="仿宋_GB2312" w:hAnsi="楷体" w:eastAsia="仿宋_GB2312"/>
          <w:b/>
          <w:sz w:val="24"/>
        </w:rPr>
        <w:t>和保密义务</w:t>
      </w:r>
      <w:bookmarkEnd w:id="196"/>
      <w:bookmarkEnd w:id="197"/>
      <w:bookmarkEnd w:id="198"/>
    </w:p>
    <w:p w14:paraId="1A69AE7B">
      <w:pPr>
        <w:spacing w:line="360" w:lineRule="auto"/>
        <w:ind w:firstLine="480"/>
        <w:rPr>
          <w:rFonts w:ascii="仿宋_GB2312" w:hAnsi="楷体" w:eastAsia="仿宋_GB2312"/>
          <w:sz w:val="24"/>
        </w:rPr>
      </w:pPr>
      <w:r>
        <w:rPr>
          <w:rFonts w:hint="eastAsia" w:ascii="仿宋_GB2312" w:hAnsi="楷体" w:eastAsia="仿宋_GB2312"/>
          <w:sz w:val="24"/>
        </w:rPr>
        <w:t>2.7.1乙方有权依据合同约定和项目需要，向甲方了解有关情况，调阅有关资料等，甲方应予积极配合；</w:t>
      </w:r>
    </w:p>
    <w:p w14:paraId="7A1D3501">
      <w:pPr>
        <w:spacing w:line="360" w:lineRule="auto"/>
        <w:ind w:firstLine="480"/>
        <w:rPr>
          <w:rFonts w:ascii="仿宋_GB2312" w:hAnsi="楷体" w:eastAsia="仿宋_GB2312"/>
          <w:sz w:val="24"/>
        </w:rPr>
      </w:pPr>
      <w:r>
        <w:rPr>
          <w:rFonts w:hint="eastAsia" w:ascii="仿宋_GB2312" w:hAnsi="楷体" w:eastAsia="仿宋_GB2312"/>
          <w:sz w:val="24"/>
        </w:rPr>
        <w:t>2.7.2 乙方有义务妥善保管和保护由甲方提供的前款信息和资料等；</w:t>
      </w:r>
    </w:p>
    <w:p w14:paraId="194CDFE8">
      <w:pPr>
        <w:spacing w:line="360" w:lineRule="auto"/>
        <w:ind w:firstLine="480"/>
        <w:rPr>
          <w:rFonts w:ascii="仿宋_GB2312" w:hAnsi="楷体" w:eastAsia="仿宋_GB2312"/>
          <w:sz w:val="24"/>
        </w:rPr>
      </w:pPr>
      <w:r>
        <w:rPr>
          <w:rFonts w:hint="eastAsia" w:ascii="仿宋_GB2312" w:hAnsi="楷体" w:eastAsia="仿宋_GB2312"/>
          <w:sz w:val="24"/>
        </w:rPr>
        <w:t>2.7.3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及方式防止任何第三方接触到对方当事人的上述保密信息和资料。</w:t>
      </w:r>
    </w:p>
    <w:p w14:paraId="1ED04588">
      <w:pPr>
        <w:spacing w:line="360" w:lineRule="auto"/>
        <w:ind w:firstLine="482"/>
        <w:rPr>
          <w:rFonts w:ascii="仿宋_GB2312" w:hAnsi="楷体" w:eastAsia="仿宋_GB2312"/>
          <w:b/>
          <w:sz w:val="24"/>
        </w:rPr>
      </w:pPr>
      <w:bookmarkStart w:id="199" w:name="_Toc7860"/>
      <w:r>
        <w:rPr>
          <w:rFonts w:hint="eastAsia" w:ascii="仿宋_GB2312" w:hAnsi="楷体" w:eastAsia="仿宋_GB2312"/>
          <w:b/>
          <w:sz w:val="24"/>
        </w:rPr>
        <w:t>2.8 质量保证</w:t>
      </w:r>
      <w:bookmarkEnd w:id="199"/>
    </w:p>
    <w:p w14:paraId="389914F1">
      <w:pPr>
        <w:spacing w:line="360" w:lineRule="auto"/>
        <w:ind w:firstLine="480"/>
        <w:rPr>
          <w:rFonts w:ascii="仿宋_GB2312" w:hAnsi="楷体" w:eastAsia="仿宋_GB2312"/>
          <w:sz w:val="24"/>
        </w:rPr>
      </w:pPr>
      <w:r>
        <w:rPr>
          <w:rFonts w:hint="eastAsia" w:ascii="仿宋_GB2312" w:hAnsi="楷体" w:eastAsia="仿宋_GB2312"/>
          <w:sz w:val="24"/>
        </w:rPr>
        <w:t>2.8.1 乙方应建立和完善履行合同的内部质量保证体系，并提供相关内部规章制度给甲方，以便甲方进行监督检查；</w:t>
      </w:r>
    </w:p>
    <w:p w14:paraId="1680BD8A">
      <w:pPr>
        <w:spacing w:line="360" w:lineRule="auto"/>
        <w:ind w:firstLine="480"/>
        <w:rPr>
          <w:rFonts w:ascii="仿宋_GB2312" w:hAnsi="楷体" w:eastAsia="仿宋_GB2312"/>
          <w:sz w:val="24"/>
        </w:rPr>
      </w:pPr>
      <w:r>
        <w:rPr>
          <w:rFonts w:hint="eastAsia" w:ascii="仿宋_GB2312" w:hAnsi="楷体" w:eastAsia="仿宋_GB2312"/>
          <w:sz w:val="24"/>
        </w:rPr>
        <w:t>2.8.2 乙方应保证履行合同的人员数量和素质、软件和硬件设备的配置、场地、环境和设施等满足全面履行合同的要求，并应接受甲方的监督检查。</w:t>
      </w:r>
    </w:p>
    <w:p w14:paraId="073BF8DD">
      <w:pPr>
        <w:spacing w:line="360" w:lineRule="auto"/>
        <w:ind w:firstLine="480"/>
        <w:rPr>
          <w:rFonts w:ascii="仿宋_GB2312" w:hAnsi="仿宋" w:eastAsia="仿宋_GB2312" w:cs="仿宋_GB2312"/>
          <w:sz w:val="24"/>
        </w:rPr>
      </w:pPr>
      <w:r>
        <w:rPr>
          <w:rFonts w:hint="eastAsia" w:ascii="仿宋_GB2312" w:hAnsi="仿宋" w:eastAsia="仿宋_GB2312"/>
          <w:sz w:val="24"/>
        </w:rPr>
        <w:t>2.8.3乙方应确保项目技术人员的数量和水平与响应文件一致。未经甲方书面同意，乙方不得擅自更换响应文件中注明的项目经理和技术负责人。否则</w:t>
      </w:r>
      <w:r>
        <w:rPr>
          <w:rFonts w:hint="eastAsia" w:ascii="仿宋_GB2312" w:hAnsi="仿宋" w:eastAsia="仿宋_GB2312" w:cs="仿宋_GB2312"/>
          <w:sz w:val="24"/>
        </w:rPr>
        <w:t>甲方有权放弃或终止合同。</w:t>
      </w:r>
    </w:p>
    <w:p w14:paraId="3C3D008F">
      <w:pPr>
        <w:spacing w:line="360" w:lineRule="auto"/>
        <w:ind w:firstLine="480"/>
        <w:rPr>
          <w:rFonts w:ascii="仿宋_GB2312" w:hAnsi="楷体" w:eastAsia="仿宋_GB2312"/>
          <w:sz w:val="24"/>
        </w:rPr>
      </w:pPr>
      <w:r>
        <w:rPr>
          <w:rFonts w:hint="eastAsia" w:ascii="仿宋_GB2312" w:hAnsi="仿宋" w:eastAsia="仿宋_GB2312"/>
          <w:sz w:val="24"/>
        </w:rPr>
        <w:t>2.8.4因乙方原因造成甲方其他系统不能正常运行，酿成重大事故（工作日系统中断一天以上）的，乙方应承担全部法律责任，并赔偿经济损失，赔偿金额为项目总价的</w:t>
      </w:r>
      <w:r>
        <w:rPr>
          <w:rFonts w:hint="eastAsia" w:ascii="仿宋_GB2312" w:hAnsi="仿宋" w:eastAsia="仿宋_GB2312"/>
          <w:sz w:val="24"/>
          <w:u w:val="single"/>
        </w:rPr>
        <w:t>30%</w:t>
      </w:r>
      <w:r>
        <w:rPr>
          <w:rFonts w:hint="eastAsia" w:ascii="仿宋_GB2312" w:hAnsi="仿宋" w:eastAsia="仿宋_GB2312"/>
          <w:sz w:val="24"/>
        </w:rPr>
        <w:t>（根据项目实际情况填写，一般为30%）。</w:t>
      </w:r>
    </w:p>
    <w:p w14:paraId="1085CA6B">
      <w:pPr>
        <w:spacing w:line="360" w:lineRule="auto"/>
        <w:ind w:firstLine="482"/>
        <w:rPr>
          <w:rFonts w:ascii="仿宋_GB2312" w:hAnsi="楷体" w:eastAsia="仿宋_GB2312"/>
          <w:b/>
          <w:sz w:val="24"/>
        </w:rPr>
      </w:pPr>
      <w:bookmarkStart w:id="200" w:name="_Toc17244"/>
      <w:bookmarkStart w:id="201" w:name="_Toc259093681"/>
      <w:bookmarkStart w:id="202" w:name="_Toc487900362"/>
      <w:bookmarkStart w:id="203" w:name="_Toc279701252"/>
      <w:r>
        <w:rPr>
          <w:rFonts w:hint="eastAsia" w:ascii="仿宋_GB2312" w:hAnsi="楷体" w:eastAsia="仿宋_GB2312"/>
          <w:b/>
          <w:sz w:val="24"/>
        </w:rPr>
        <w:t>2.9 标的物的风险负担</w:t>
      </w:r>
      <w:bookmarkEnd w:id="200"/>
    </w:p>
    <w:p w14:paraId="5E71C6FA">
      <w:pPr>
        <w:spacing w:line="360" w:lineRule="auto"/>
        <w:ind w:firstLine="480"/>
        <w:rPr>
          <w:rFonts w:ascii="仿宋_GB2312" w:hAnsi="楷体" w:eastAsia="仿宋_GB2312"/>
          <w:b/>
          <w:sz w:val="24"/>
        </w:rPr>
      </w:pPr>
      <w:r>
        <w:rPr>
          <w:rFonts w:hint="eastAsia" w:ascii="仿宋_GB2312" w:hAnsi="楷体" w:eastAsia="仿宋_GB2312"/>
          <w:sz w:val="24"/>
        </w:rPr>
        <w:t>标的物或者在途标的物或者交付给第一承运人后的标的物毁损、灭失的风险负担详见</w:t>
      </w:r>
      <w:r>
        <w:rPr>
          <w:rFonts w:hint="eastAsia" w:ascii="仿宋_GB2312" w:hAnsi="楷体" w:eastAsia="仿宋_GB2312"/>
          <w:b/>
          <w:i/>
          <w:sz w:val="24"/>
          <w:u w:val="single"/>
        </w:rPr>
        <w:t>合同专用条款</w:t>
      </w:r>
      <w:r>
        <w:rPr>
          <w:rFonts w:hint="eastAsia" w:ascii="仿宋_GB2312" w:hAnsi="楷体" w:eastAsia="仿宋_GB2312"/>
          <w:sz w:val="24"/>
        </w:rPr>
        <w:t>。</w:t>
      </w:r>
    </w:p>
    <w:p w14:paraId="55AD1489">
      <w:pPr>
        <w:spacing w:line="360" w:lineRule="auto"/>
        <w:ind w:firstLine="482"/>
        <w:rPr>
          <w:rFonts w:ascii="仿宋_GB2312" w:hAnsi="楷体" w:eastAsia="仿宋_GB2312"/>
          <w:b/>
          <w:sz w:val="24"/>
        </w:rPr>
      </w:pPr>
      <w:bookmarkStart w:id="204" w:name="_Toc14055"/>
      <w:r>
        <w:rPr>
          <w:rFonts w:hint="eastAsia" w:ascii="仿宋_GB2312" w:hAnsi="楷体" w:eastAsia="仿宋_GB2312"/>
          <w:b/>
          <w:sz w:val="24"/>
        </w:rPr>
        <w:t>2.10 延迟交货</w:t>
      </w:r>
      <w:bookmarkEnd w:id="201"/>
      <w:bookmarkEnd w:id="202"/>
      <w:bookmarkEnd w:id="203"/>
      <w:bookmarkEnd w:id="204"/>
      <w:r>
        <w:rPr>
          <w:rFonts w:hint="eastAsia" w:ascii="仿宋_GB2312" w:hAnsi="楷体" w:eastAsia="仿宋_GB2312"/>
          <w:b/>
          <w:sz w:val="24"/>
        </w:rPr>
        <w:t>/交付</w:t>
      </w:r>
    </w:p>
    <w:p w14:paraId="3612ADBE">
      <w:pPr>
        <w:spacing w:line="360" w:lineRule="auto"/>
        <w:ind w:firstLine="480"/>
        <w:rPr>
          <w:rFonts w:ascii="仿宋_GB2312" w:hAnsi="楷体" w:eastAsia="仿宋_GB2312"/>
          <w:sz w:val="24"/>
        </w:rPr>
      </w:pPr>
      <w:r>
        <w:rPr>
          <w:rFonts w:hint="eastAsia" w:ascii="仿宋_GB2312" w:hAnsi="楷体" w:eastAsia="仿宋_GB2312"/>
          <w:sz w:val="24"/>
        </w:rPr>
        <w:t>在合同履行过程中，如果乙方遇到不能按时交付标的物的情况，应及时以书面形式将不能按时交付标的物的理由、预期延误时间通知甲方；甲方收到乙方通知后，认为其理由正当的，可以书面形式酌情同意乙方可以延长交货的具体时间。</w:t>
      </w:r>
    </w:p>
    <w:p w14:paraId="3BC52E93">
      <w:pPr>
        <w:spacing w:line="360" w:lineRule="auto"/>
        <w:ind w:firstLine="482"/>
        <w:rPr>
          <w:rFonts w:ascii="仿宋_GB2312" w:hAnsi="楷体" w:eastAsia="仿宋_GB2312"/>
          <w:b/>
          <w:sz w:val="24"/>
        </w:rPr>
      </w:pPr>
      <w:bookmarkStart w:id="205" w:name="_Toc7502"/>
      <w:bookmarkStart w:id="206" w:name="_Toc487900364"/>
      <w:bookmarkStart w:id="207" w:name="_Ref467378121"/>
      <w:bookmarkStart w:id="208" w:name="_Toc259093683"/>
      <w:bookmarkStart w:id="209" w:name="_Toc279701254"/>
      <w:r>
        <w:rPr>
          <w:rFonts w:hint="eastAsia" w:ascii="仿宋_GB2312" w:hAnsi="楷体" w:eastAsia="仿宋_GB2312"/>
          <w:b/>
          <w:sz w:val="24"/>
        </w:rPr>
        <w:t>2.11 合同变更</w:t>
      </w:r>
      <w:bookmarkEnd w:id="205"/>
    </w:p>
    <w:p w14:paraId="122DAB65">
      <w:pPr>
        <w:spacing w:line="360" w:lineRule="auto"/>
        <w:ind w:firstLine="480"/>
        <w:rPr>
          <w:rFonts w:ascii="仿宋_GB2312" w:hAnsi="楷体" w:eastAsia="仿宋_GB2312"/>
          <w:sz w:val="24"/>
        </w:rPr>
      </w:pPr>
      <w:r>
        <w:rPr>
          <w:rFonts w:hint="eastAsia" w:ascii="仿宋_GB2312" w:hAnsi="楷体" w:eastAsia="仿宋_GB2312"/>
          <w:sz w:val="24"/>
        </w:rPr>
        <w:t>2.11.1双方当事人协商一致，可以签订书面补充合同的形式变更合同，但不得违背采购文件确定的事项。如果系追加与合同标的相同的标的物的，那么需经采购监督管理部门同意，且所有补充合同的采购金额不得超过原合同价的10%；</w:t>
      </w:r>
    </w:p>
    <w:p w14:paraId="46843C75">
      <w:pPr>
        <w:spacing w:line="360" w:lineRule="auto"/>
        <w:ind w:firstLine="480"/>
        <w:rPr>
          <w:rFonts w:ascii="仿宋_GB2312" w:hAnsi="楷体" w:eastAsia="仿宋_GB2312"/>
          <w:sz w:val="24"/>
        </w:rPr>
      </w:pPr>
      <w:r>
        <w:rPr>
          <w:rFonts w:hint="eastAsia" w:ascii="仿宋_GB2312" w:hAnsi="楷体" w:eastAsia="仿宋_GB2312"/>
          <w:sz w:val="24"/>
        </w:rPr>
        <w:t>2.11.2 合同继续履行将损害国家利益和社会公共利益的，双方当事人应当以书面形式变更合同。有过错的一方应当承担赔偿责任，双方当事人都有过错的，各自承担相应的责任。</w:t>
      </w:r>
      <w:bookmarkStart w:id="210" w:name="_Toc259093688"/>
      <w:bookmarkStart w:id="211" w:name="_Toc279701259"/>
      <w:bookmarkStart w:id="212" w:name="_Toc487900369"/>
    </w:p>
    <w:p w14:paraId="5F113CF3">
      <w:pPr>
        <w:spacing w:line="360" w:lineRule="auto"/>
        <w:ind w:firstLine="482"/>
        <w:rPr>
          <w:rFonts w:ascii="仿宋_GB2312" w:hAnsi="楷体" w:eastAsia="仿宋_GB2312"/>
          <w:b/>
          <w:sz w:val="24"/>
        </w:rPr>
      </w:pPr>
      <w:bookmarkStart w:id="213" w:name="_Toc10366"/>
      <w:bookmarkStart w:id="214" w:name="_Toc15237"/>
      <w:bookmarkStart w:id="215" w:name="_Toc22955"/>
      <w:r>
        <w:rPr>
          <w:rFonts w:hint="eastAsia" w:ascii="仿宋_GB2312" w:hAnsi="楷体" w:eastAsia="仿宋_GB2312"/>
          <w:b/>
          <w:sz w:val="24"/>
        </w:rPr>
        <w:t>2.12 合同转让</w:t>
      </w:r>
      <w:bookmarkEnd w:id="206"/>
      <w:bookmarkEnd w:id="207"/>
      <w:bookmarkEnd w:id="208"/>
      <w:r>
        <w:rPr>
          <w:rFonts w:hint="eastAsia" w:ascii="仿宋_GB2312" w:hAnsi="楷体" w:eastAsia="仿宋_GB2312"/>
          <w:b/>
          <w:sz w:val="24"/>
        </w:rPr>
        <w:t>和分包</w:t>
      </w:r>
      <w:bookmarkEnd w:id="209"/>
      <w:bookmarkEnd w:id="210"/>
      <w:bookmarkEnd w:id="211"/>
    </w:p>
    <w:p w14:paraId="4FC6D806">
      <w:pPr>
        <w:spacing w:line="360" w:lineRule="auto"/>
        <w:ind w:firstLine="480"/>
        <w:rPr>
          <w:rFonts w:ascii="仿宋_GB2312" w:hAnsi="楷体" w:eastAsia="仿宋_GB2312"/>
          <w:sz w:val="24"/>
        </w:rPr>
      </w:pPr>
      <w:r>
        <w:rPr>
          <w:rFonts w:hint="eastAsia" w:ascii="仿宋_GB2312" w:hAnsi="楷体" w:eastAsia="仿宋_GB2312"/>
          <w:sz w:val="24"/>
        </w:rPr>
        <w:t>合同的权利义务依法不得转让，但经甲方书面同意，乙方可以依法采取分包方式履行合同，即：依法可以将合同项下的部分非主体、非关键性工作分包给他人完成，接受分包的供应商应当具备相应的资格条件，并不得再次分包，且乙方应就分包项目向甲方负责，并与分包供应商就分包项目向甲方承担连带责任。</w:t>
      </w:r>
    </w:p>
    <w:p w14:paraId="77D4953C">
      <w:pPr>
        <w:spacing w:line="360" w:lineRule="auto"/>
        <w:ind w:firstLine="482"/>
        <w:rPr>
          <w:rFonts w:ascii="仿宋_GB2312" w:hAnsi="楷体" w:eastAsia="仿宋_GB2312"/>
          <w:b/>
          <w:sz w:val="24"/>
        </w:rPr>
      </w:pPr>
      <w:bookmarkStart w:id="216" w:name="_Toc16508"/>
      <w:bookmarkStart w:id="217" w:name="_Toc14066"/>
      <w:bookmarkStart w:id="218" w:name="_Toc13566"/>
      <w:r>
        <w:rPr>
          <w:rFonts w:hint="eastAsia" w:ascii="仿宋_GB2312" w:hAnsi="楷体" w:eastAsia="仿宋_GB2312"/>
          <w:b/>
          <w:sz w:val="24"/>
        </w:rPr>
        <w:t>2.13 不可抗力</w:t>
      </w:r>
      <w:bookmarkEnd w:id="212"/>
      <w:bookmarkEnd w:id="213"/>
      <w:bookmarkEnd w:id="214"/>
    </w:p>
    <w:p w14:paraId="5E5E6B58">
      <w:pPr>
        <w:spacing w:line="360" w:lineRule="auto"/>
        <w:ind w:firstLine="480"/>
        <w:rPr>
          <w:rFonts w:ascii="仿宋_GB2312" w:hAnsi="楷体" w:eastAsia="仿宋_GB2312"/>
          <w:sz w:val="24"/>
        </w:rPr>
      </w:pPr>
      <w:r>
        <w:rPr>
          <w:rFonts w:hint="eastAsia" w:ascii="仿宋_GB2312" w:hAnsi="楷体" w:eastAsia="仿宋_GB2312"/>
          <w:sz w:val="24"/>
        </w:rPr>
        <w:t>2.13.1如果任何一方遭遇法律规定的不可抗力，致使合同履行受阻时，履行合同的期限应予延长，延长的期限应相当于不可抗力所影响的时间；</w:t>
      </w:r>
    </w:p>
    <w:p w14:paraId="307C3336">
      <w:pPr>
        <w:spacing w:line="360" w:lineRule="auto"/>
        <w:ind w:firstLine="480"/>
        <w:rPr>
          <w:rFonts w:ascii="仿宋_GB2312" w:hAnsi="楷体" w:eastAsia="仿宋_GB2312"/>
          <w:sz w:val="24"/>
        </w:rPr>
      </w:pPr>
      <w:r>
        <w:rPr>
          <w:rFonts w:hint="eastAsia" w:ascii="仿宋_GB2312" w:hAnsi="楷体" w:eastAsia="仿宋_GB2312"/>
          <w:sz w:val="24"/>
        </w:rPr>
        <w:t>2.13.2受不可抗力影响的一方在不可抗力发生后，应在</w:t>
      </w:r>
      <w:r>
        <w:rPr>
          <w:rFonts w:hint="eastAsia" w:ascii="仿宋_GB2312" w:hAnsi="楷体" w:eastAsia="仿宋_GB2312"/>
          <w:b/>
          <w:i/>
          <w:sz w:val="24"/>
          <w:u w:val="single"/>
        </w:rPr>
        <w:t>合同专用条款</w:t>
      </w:r>
      <w:r>
        <w:rPr>
          <w:rFonts w:hint="eastAsia" w:ascii="仿宋_GB2312" w:hAnsi="楷体" w:eastAsia="仿宋_GB2312"/>
          <w:sz w:val="24"/>
        </w:rPr>
        <w:t>约定时间内以书面形式通知对方当事人，并在</w:t>
      </w:r>
      <w:r>
        <w:rPr>
          <w:rFonts w:hint="eastAsia" w:ascii="仿宋_GB2312" w:hAnsi="楷体" w:eastAsia="仿宋_GB2312"/>
          <w:b/>
          <w:i/>
          <w:sz w:val="24"/>
          <w:u w:val="single"/>
        </w:rPr>
        <w:t>合同专用条款</w:t>
      </w:r>
      <w:r>
        <w:rPr>
          <w:rFonts w:hint="eastAsia" w:ascii="仿宋_GB2312" w:hAnsi="楷体" w:eastAsia="仿宋_GB2312"/>
          <w:sz w:val="24"/>
        </w:rPr>
        <w:t>约定时间内，将有关部门出具的证明文件送达对方当事人。</w:t>
      </w:r>
    </w:p>
    <w:p w14:paraId="605296AB">
      <w:pPr>
        <w:spacing w:line="360" w:lineRule="auto"/>
        <w:ind w:firstLine="480"/>
        <w:rPr>
          <w:rFonts w:ascii="仿宋_GB2312" w:hAnsi="楷体" w:eastAsia="仿宋_GB2312"/>
          <w:sz w:val="24"/>
        </w:rPr>
      </w:pPr>
      <w:r>
        <w:rPr>
          <w:rFonts w:hint="eastAsia" w:ascii="仿宋_GB2312" w:hAnsi="楷体" w:eastAsia="仿宋_GB2312"/>
          <w:sz w:val="24"/>
        </w:rPr>
        <w:t>2.13.3 因不可抗力致使不能实现合同目的的，当事人可以解除合同；</w:t>
      </w:r>
    </w:p>
    <w:p w14:paraId="6DA26655">
      <w:pPr>
        <w:spacing w:line="360" w:lineRule="auto"/>
        <w:ind w:firstLine="480"/>
        <w:rPr>
          <w:rFonts w:ascii="仿宋_GB2312" w:hAnsi="楷体" w:eastAsia="仿宋_GB2312"/>
          <w:sz w:val="24"/>
        </w:rPr>
      </w:pPr>
      <w:r>
        <w:rPr>
          <w:rFonts w:hint="eastAsia" w:ascii="仿宋_GB2312" w:hAnsi="楷体" w:eastAsia="仿宋_GB2312"/>
          <w:sz w:val="24"/>
        </w:rPr>
        <w:t>2.13.4 因不可抗力致使合同有变更必要的，双方当事人应在</w:t>
      </w:r>
      <w:r>
        <w:rPr>
          <w:rFonts w:hint="eastAsia" w:ascii="仿宋_GB2312" w:hAnsi="楷体" w:eastAsia="仿宋_GB2312"/>
          <w:b/>
          <w:i/>
          <w:sz w:val="24"/>
          <w:u w:val="single"/>
        </w:rPr>
        <w:t>合同专用条款</w:t>
      </w:r>
      <w:r>
        <w:rPr>
          <w:rFonts w:hint="eastAsia" w:ascii="仿宋_GB2312" w:hAnsi="楷体" w:eastAsia="仿宋_GB2312"/>
          <w:sz w:val="24"/>
        </w:rPr>
        <w:t>约定时间内以书面形式变更合同；</w:t>
      </w:r>
    </w:p>
    <w:p w14:paraId="69E771F6">
      <w:pPr>
        <w:spacing w:line="360" w:lineRule="auto"/>
        <w:ind w:firstLine="482"/>
        <w:rPr>
          <w:rFonts w:ascii="仿宋_GB2312" w:hAnsi="楷体" w:eastAsia="仿宋_GB2312"/>
          <w:b/>
          <w:sz w:val="24"/>
        </w:rPr>
      </w:pPr>
      <w:bookmarkStart w:id="219" w:name="_Toc689"/>
      <w:bookmarkStart w:id="220" w:name="_Toc259093684"/>
      <w:bookmarkStart w:id="221" w:name="_Toc6969"/>
      <w:r>
        <w:rPr>
          <w:rFonts w:hint="eastAsia" w:ascii="仿宋_GB2312" w:hAnsi="楷体" w:eastAsia="仿宋_GB2312"/>
          <w:b/>
          <w:sz w:val="24"/>
        </w:rPr>
        <w:t>2.14 税费</w:t>
      </w:r>
      <w:bookmarkEnd w:id="215"/>
      <w:bookmarkEnd w:id="216"/>
      <w:bookmarkEnd w:id="217"/>
      <w:bookmarkEnd w:id="218"/>
      <w:bookmarkEnd w:id="219"/>
      <w:bookmarkEnd w:id="220"/>
    </w:p>
    <w:p w14:paraId="51BDF5A0">
      <w:pPr>
        <w:spacing w:line="360" w:lineRule="auto"/>
        <w:ind w:firstLine="480"/>
        <w:rPr>
          <w:rFonts w:ascii="仿宋_GB2312" w:hAnsi="楷体" w:eastAsia="仿宋_GB2312"/>
          <w:sz w:val="24"/>
        </w:rPr>
      </w:pPr>
      <w:r>
        <w:rPr>
          <w:rFonts w:hint="eastAsia" w:ascii="仿宋_GB2312" w:hAnsi="楷体" w:eastAsia="仿宋_GB2312"/>
          <w:sz w:val="24"/>
        </w:rPr>
        <w:t>与合同有关的一切税费，均按照中华人民共和国法律的相关规定执行。</w:t>
      </w:r>
    </w:p>
    <w:p w14:paraId="510E3132">
      <w:pPr>
        <w:spacing w:line="360" w:lineRule="auto"/>
        <w:ind w:firstLine="482"/>
        <w:rPr>
          <w:rFonts w:ascii="仿宋_GB2312" w:hAnsi="楷体" w:eastAsia="仿宋_GB2312"/>
          <w:b/>
          <w:sz w:val="24"/>
        </w:rPr>
      </w:pPr>
      <w:r>
        <w:rPr>
          <w:rFonts w:hint="eastAsia" w:ascii="仿宋_GB2312" w:hAnsi="楷体" w:eastAsia="仿宋_GB2312"/>
          <w:b/>
          <w:sz w:val="24"/>
        </w:rPr>
        <w:t>2.15 乙方破产</w:t>
      </w:r>
      <w:bookmarkEnd w:id="221"/>
    </w:p>
    <w:p w14:paraId="6F1FDFD4">
      <w:pPr>
        <w:spacing w:line="360" w:lineRule="auto"/>
        <w:ind w:firstLine="480"/>
        <w:rPr>
          <w:rFonts w:ascii="仿宋_GB2312" w:hAnsi="楷体" w:eastAsia="仿宋_GB2312"/>
          <w:sz w:val="24"/>
        </w:rPr>
      </w:pPr>
      <w:r>
        <w:rPr>
          <w:rFonts w:hint="eastAsia" w:ascii="仿宋_GB2312" w:hAnsi="楷体" w:eastAsia="仿宋_GB2312"/>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00186257">
      <w:pPr>
        <w:spacing w:line="360" w:lineRule="auto"/>
        <w:ind w:firstLine="482"/>
        <w:rPr>
          <w:rFonts w:ascii="仿宋_GB2312" w:hAnsi="楷体" w:eastAsia="仿宋_GB2312"/>
          <w:b/>
          <w:sz w:val="24"/>
        </w:rPr>
      </w:pPr>
      <w:r>
        <w:rPr>
          <w:rFonts w:hint="eastAsia" w:ascii="仿宋_GB2312" w:hAnsi="楷体" w:eastAsia="仿宋_GB2312"/>
          <w:b/>
          <w:sz w:val="24"/>
        </w:rPr>
        <w:t>2.16 合同中止、终止</w:t>
      </w:r>
    </w:p>
    <w:p w14:paraId="0AE0C8C3">
      <w:pPr>
        <w:spacing w:line="360" w:lineRule="auto"/>
        <w:ind w:firstLine="480"/>
        <w:rPr>
          <w:rFonts w:ascii="仿宋_GB2312" w:hAnsi="楷体" w:eastAsia="仿宋_GB2312"/>
          <w:sz w:val="24"/>
        </w:rPr>
      </w:pPr>
      <w:r>
        <w:rPr>
          <w:rFonts w:hint="eastAsia" w:ascii="仿宋_GB2312" w:hAnsi="楷体" w:eastAsia="仿宋_GB2312"/>
          <w:sz w:val="24"/>
        </w:rPr>
        <w:t>2.16.1 双方当事人不得擅自中止或者终止合同；</w:t>
      </w:r>
    </w:p>
    <w:p w14:paraId="31D0DED4">
      <w:pPr>
        <w:spacing w:line="360" w:lineRule="auto"/>
        <w:ind w:firstLine="480"/>
        <w:rPr>
          <w:rFonts w:ascii="仿宋_GB2312" w:hAnsi="楷体" w:eastAsia="仿宋_GB2312"/>
          <w:sz w:val="24"/>
        </w:rPr>
      </w:pPr>
      <w:r>
        <w:rPr>
          <w:rFonts w:hint="eastAsia" w:ascii="仿宋_GB2312" w:hAnsi="楷体" w:eastAsia="仿宋_GB2312"/>
          <w:sz w:val="24"/>
        </w:rPr>
        <w:t>2.16.2合同继续履行将损害国家利益和社会公共利益的，双方当事人应当中止或者终止合同。有过错的一方应当承担赔偿责任，双方当事人都有过错的，各自承担相应的责任。</w:t>
      </w:r>
    </w:p>
    <w:p w14:paraId="206BF496">
      <w:pPr>
        <w:spacing w:line="360" w:lineRule="auto"/>
        <w:ind w:firstLine="482"/>
        <w:rPr>
          <w:rFonts w:ascii="仿宋_GB2312" w:hAnsi="楷体" w:eastAsia="仿宋_GB2312"/>
          <w:b/>
          <w:sz w:val="24"/>
        </w:rPr>
      </w:pPr>
      <w:r>
        <w:rPr>
          <w:rFonts w:hint="eastAsia" w:ascii="仿宋_GB2312" w:hAnsi="楷体" w:eastAsia="仿宋_GB2312"/>
          <w:b/>
          <w:sz w:val="24"/>
        </w:rPr>
        <w:t>2.17 检验和验收</w:t>
      </w:r>
    </w:p>
    <w:p w14:paraId="14F21BD5">
      <w:pPr>
        <w:spacing w:line="360" w:lineRule="auto"/>
        <w:ind w:firstLine="480"/>
        <w:rPr>
          <w:rFonts w:ascii="仿宋_GB2312" w:hAnsi="楷体" w:eastAsia="仿宋_GB2312"/>
          <w:sz w:val="24"/>
        </w:rPr>
      </w:pPr>
      <w:r>
        <w:rPr>
          <w:rFonts w:hint="eastAsia" w:ascii="仿宋_GB2312" w:hAnsi="楷体" w:eastAsia="仿宋_GB2312"/>
          <w:sz w:val="24"/>
        </w:rPr>
        <w:t>2.17.1标的物交付前，乙方应对标的物的质量、数量等方面进行详细、全面的检验，并向甲方出具证明标的物符合合同约定的文件；标的物交付时，乙方在</w:t>
      </w:r>
      <w:r>
        <w:rPr>
          <w:rFonts w:hint="eastAsia" w:ascii="仿宋_GB2312" w:hAnsi="楷体" w:eastAsia="仿宋_GB2312"/>
          <w:b/>
          <w:i/>
          <w:sz w:val="24"/>
          <w:u w:val="single"/>
        </w:rPr>
        <w:t>合同专用条款</w:t>
      </w:r>
      <w:r>
        <w:rPr>
          <w:rFonts w:hint="eastAsia" w:ascii="仿宋_GB2312" w:hAnsi="楷体" w:eastAsia="仿宋_GB2312"/>
          <w:sz w:val="24"/>
        </w:rPr>
        <w:t>约定时间内组织验收，并可依法邀请相关方参加，验收应出具验收书。</w:t>
      </w:r>
    </w:p>
    <w:p w14:paraId="4BD06197">
      <w:pPr>
        <w:spacing w:line="360" w:lineRule="auto"/>
        <w:ind w:firstLine="480"/>
        <w:rPr>
          <w:rFonts w:ascii="仿宋_GB2312" w:hAnsi="楷体" w:eastAsia="仿宋_GB2312"/>
          <w:sz w:val="24"/>
        </w:rPr>
      </w:pPr>
      <w:r>
        <w:rPr>
          <w:rFonts w:hint="eastAsia" w:ascii="仿宋_GB2312" w:hAnsi="楷体" w:eastAsia="仿宋_GB2312"/>
          <w:sz w:val="24"/>
        </w:rPr>
        <w:t>2.17.2合同期满或者履行完毕后，甲方有权组织（包括依法邀请国家认可的质量检测机构参加）对乙方履约的验收，即：按照合同约定的技术、货物、安全标准，组织对每一项技术、货物、安全标准的履约情况的验收，并出具验收书。</w:t>
      </w:r>
    </w:p>
    <w:p w14:paraId="3BC32FAD">
      <w:pPr>
        <w:spacing w:line="360" w:lineRule="auto"/>
        <w:ind w:firstLine="480"/>
        <w:rPr>
          <w:rFonts w:ascii="仿宋_GB2312" w:hAnsi="楷体" w:eastAsia="仿宋_GB2312"/>
          <w:sz w:val="24"/>
        </w:rPr>
      </w:pPr>
      <w:r>
        <w:rPr>
          <w:rFonts w:hint="eastAsia" w:ascii="仿宋_GB2312" w:hAnsi="楷体" w:eastAsia="仿宋_GB2312"/>
          <w:sz w:val="24"/>
        </w:rPr>
        <w:t>2.17.3 检验和验收标准、程序等具体内容以及前述验收书的效力详见</w:t>
      </w:r>
      <w:r>
        <w:rPr>
          <w:rFonts w:hint="eastAsia" w:ascii="仿宋_GB2312" w:hAnsi="楷体" w:eastAsia="仿宋_GB2312"/>
          <w:b/>
          <w:i/>
          <w:sz w:val="24"/>
          <w:u w:val="single"/>
        </w:rPr>
        <w:t>合同专用条款</w:t>
      </w:r>
      <w:r>
        <w:rPr>
          <w:rFonts w:hint="eastAsia" w:ascii="仿宋_GB2312" w:hAnsi="楷体" w:eastAsia="仿宋_GB2312"/>
          <w:i/>
          <w:sz w:val="24"/>
        </w:rPr>
        <w:t>。</w:t>
      </w:r>
    </w:p>
    <w:p w14:paraId="36AA49E5">
      <w:pPr>
        <w:spacing w:line="360" w:lineRule="auto"/>
        <w:ind w:firstLine="482"/>
        <w:rPr>
          <w:rFonts w:ascii="仿宋_GB2312" w:hAnsi="楷体" w:eastAsia="仿宋_GB2312"/>
          <w:b/>
          <w:sz w:val="24"/>
        </w:rPr>
      </w:pPr>
      <w:r>
        <w:rPr>
          <w:rFonts w:hint="eastAsia" w:ascii="仿宋_GB2312" w:hAnsi="楷体" w:eastAsia="仿宋_GB2312"/>
          <w:b/>
          <w:sz w:val="24"/>
        </w:rPr>
        <w:t>2.18 通知和送达</w:t>
      </w:r>
    </w:p>
    <w:p w14:paraId="2E2F6824">
      <w:pPr>
        <w:spacing w:line="360" w:lineRule="auto"/>
        <w:ind w:firstLine="480"/>
        <w:rPr>
          <w:rFonts w:ascii="仿宋_GB2312" w:hAnsi="楷体" w:eastAsia="仿宋_GB2312"/>
          <w:sz w:val="24"/>
        </w:rPr>
      </w:pPr>
      <w:r>
        <w:rPr>
          <w:rFonts w:hint="eastAsia" w:ascii="仿宋_GB2312" w:hAnsi="楷体" w:eastAsia="仿宋_GB2312"/>
          <w:sz w:val="24"/>
        </w:rPr>
        <w:t>2.18.1 任何一方因履行合同而以合同第一部分尾部所列明的</w:t>
      </w:r>
      <w:r>
        <w:rPr>
          <w:rFonts w:hint="eastAsia" w:ascii="仿宋_GB2312" w:hAnsi="楷体" w:eastAsia="仿宋_GB2312"/>
          <w:sz w:val="24"/>
          <w:u w:val="single"/>
        </w:rPr>
        <w:t>“约定送达地址”</w:t>
      </w:r>
      <w:r>
        <w:rPr>
          <w:rFonts w:hint="eastAsia" w:ascii="仿宋_GB2312" w:hAnsi="楷体" w:eastAsia="仿宋_GB2312"/>
          <w:sz w:val="24"/>
        </w:rPr>
        <w:t>为收件地址的所有通知、文件、材料，均视为已向对方当事人送达；任何一方变更上述送达方式或者地址的，应于个工作日内书面通知对方当事人，在对方当事人收到有关变更通知之前，变更前的约定送达方式或者地址仍视为有效。</w:t>
      </w:r>
    </w:p>
    <w:p w14:paraId="4C8679A9">
      <w:pPr>
        <w:spacing w:line="360" w:lineRule="auto"/>
        <w:ind w:firstLine="480"/>
        <w:rPr>
          <w:rFonts w:ascii="仿宋_GB2312" w:hAnsi="楷体" w:eastAsia="仿宋_GB2312"/>
          <w:sz w:val="24"/>
        </w:rPr>
      </w:pPr>
      <w:r>
        <w:rPr>
          <w:rFonts w:hint="eastAsia" w:ascii="仿宋_GB2312" w:hAnsi="楷体" w:eastAsia="仿宋_GB2312"/>
          <w:sz w:val="24"/>
        </w:rPr>
        <w:t>2.18.2以当面交付方式送达的，交付之时视为送达；以电子邮件方式送达的，发出电子邮件之时视为送达；以传真方式送达的，发出传真之时视为送达；以邮寄方式送达的，邮件挂号寄出或者交邮之日之次日视为送达。</w:t>
      </w:r>
    </w:p>
    <w:p w14:paraId="18128645">
      <w:pPr>
        <w:spacing w:line="360" w:lineRule="auto"/>
        <w:ind w:firstLine="482"/>
        <w:rPr>
          <w:rFonts w:ascii="仿宋_GB2312" w:hAnsi="楷体" w:eastAsia="仿宋_GB2312"/>
          <w:b/>
          <w:sz w:val="24"/>
        </w:rPr>
      </w:pPr>
      <w:r>
        <w:rPr>
          <w:rFonts w:hint="eastAsia" w:ascii="仿宋_GB2312" w:hAnsi="楷体" w:eastAsia="仿宋_GB2312"/>
          <w:b/>
          <w:sz w:val="24"/>
        </w:rPr>
        <w:t>2.19 计量单位</w:t>
      </w:r>
    </w:p>
    <w:p w14:paraId="5BDCF8FA">
      <w:pPr>
        <w:spacing w:line="360" w:lineRule="auto"/>
        <w:ind w:firstLine="480"/>
        <w:rPr>
          <w:rFonts w:ascii="仿宋_GB2312" w:hAnsi="楷体" w:eastAsia="仿宋_GB2312"/>
          <w:sz w:val="24"/>
        </w:rPr>
      </w:pPr>
      <w:r>
        <w:rPr>
          <w:rFonts w:hint="eastAsia" w:ascii="仿宋_GB2312" w:hAnsi="楷体" w:eastAsia="仿宋_GB2312"/>
          <w:sz w:val="24"/>
        </w:rPr>
        <w:t>除技术规范中另有规定外,合同的计量单位均使用国家法定计量单位。</w:t>
      </w:r>
    </w:p>
    <w:p w14:paraId="78C2FFBD">
      <w:pPr>
        <w:spacing w:line="360" w:lineRule="auto"/>
        <w:ind w:firstLine="482"/>
        <w:rPr>
          <w:rFonts w:ascii="仿宋_GB2312" w:hAnsi="楷体" w:eastAsia="仿宋_GB2312"/>
          <w:b/>
          <w:sz w:val="24"/>
        </w:rPr>
      </w:pPr>
      <w:r>
        <w:rPr>
          <w:rFonts w:hint="eastAsia" w:ascii="仿宋_GB2312" w:hAnsi="楷体" w:eastAsia="仿宋_GB2312"/>
          <w:b/>
          <w:sz w:val="24"/>
        </w:rPr>
        <w:t>2.20 合同使用的文字和适用的法律</w:t>
      </w:r>
    </w:p>
    <w:p w14:paraId="615435F0">
      <w:pPr>
        <w:spacing w:line="360" w:lineRule="auto"/>
        <w:ind w:firstLine="480"/>
        <w:rPr>
          <w:rFonts w:ascii="仿宋_GB2312" w:hAnsi="楷体" w:eastAsia="仿宋_GB2312"/>
          <w:sz w:val="24"/>
        </w:rPr>
      </w:pPr>
      <w:r>
        <w:rPr>
          <w:rFonts w:hint="eastAsia" w:ascii="仿宋_GB2312" w:hAnsi="楷体" w:eastAsia="仿宋_GB2312"/>
          <w:sz w:val="24"/>
        </w:rPr>
        <w:t>2.20.1 合同使用汉语书就、变更和解释；</w:t>
      </w:r>
    </w:p>
    <w:p w14:paraId="0A19B44B">
      <w:pPr>
        <w:spacing w:line="360" w:lineRule="auto"/>
        <w:ind w:firstLine="480"/>
        <w:rPr>
          <w:rFonts w:ascii="仿宋_GB2312" w:hAnsi="楷体" w:eastAsia="仿宋_GB2312"/>
          <w:sz w:val="24"/>
        </w:rPr>
      </w:pPr>
      <w:r>
        <w:rPr>
          <w:rFonts w:hint="eastAsia" w:ascii="仿宋_GB2312" w:hAnsi="楷体" w:eastAsia="仿宋_GB2312"/>
          <w:sz w:val="24"/>
        </w:rPr>
        <w:t>2.20.2 合同适用中华人民共和国法律。</w:t>
      </w:r>
    </w:p>
    <w:p w14:paraId="3BE21CFA">
      <w:pPr>
        <w:spacing w:line="360" w:lineRule="auto"/>
        <w:ind w:firstLine="482"/>
        <w:rPr>
          <w:rFonts w:ascii="仿宋_GB2312" w:hAnsi="楷体" w:eastAsia="仿宋_GB2312"/>
          <w:b/>
          <w:sz w:val="24"/>
        </w:rPr>
      </w:pPr>
      <w:r>
        <w:rPr>
          <w:rFonts w:hint="eastAsia" w:ascii="仿宋_GB2312" w:hAnsi="楷体" w:eastAsia="仿宋_GB2312"/>
          <w:b/>
          <w:sz w:val="24"/>
        </w:rPr>
        <w:t>2.21 履约保证金</w:t>
      </w:r>
    </w:p>
    <w:p w14:paraId="2C746764">
      <w:pPr>
        <w:spacing w:line="360" w:lineRule="auto"/>
        <w:ind w:firstLine="480"/>
        <w:rPr>
          <w:rFonts w:ascii="仿宋_GB2312" w:hAnsi="楷体" w:eastAsia="仿宋_GB2312"/>
          <w:sz w:val="24"/>
        </w:rPr>
      </w:pPr>
      <w:r>
        <w:rPr>
          <w:rFonts w:hint="eastAsia" w:ascii="仿宋_GB2312" w:hAnsi="楷体" w:eastAsia="仿宋_GB2312"/>
          <w:sz w:val="24"/>
        </w:rPr>
        <w:t>合同金额的</w:t>
      </w:r>
      <w:r>
        <w:rPr>
          <w:rFonts w:ascii="仿宋_GB2312" w:hAnsi="楷体" w:eastAsia="仿宋_GB2312"/>
          <w:sz w:val="24"/>
          <w:u w:val="single"/>
        </w:rPr>
        <w:t xml:space="preserve"> / </w:t>
      </w:r>
      <w:r>
        <w:rPr>
          <w:rFonts w:hint="eastAsia" w:ascii="仿宋_GB2312" w:hAnsi="楷体" w:eastAsia="仿宋_GB2312"/>
          <w:sz w:val="24"/>
        </w:rPr>
        <w:t>%。履约保证金退付方式、时间及条件：乙方若不能完全履行合同，履约保证金不返还；履约保证金在质保期满后，由乙方申请，10个工作日内无息退还（除违约扣除部分外）。</w:t>
      </w:r>
    </w:p>
    <w:p w14:paraId="043B30CC">
      <w:pPr>
        <w:spacing w:line="360" w:lineRule="auto"/>
        <w:ind w:firstLine="482"/>
        <w:rPr>
          <w:rFonts w:ascii="仿宋_GB2312" w:hAnsi="仿宋" w:eastAsia="仿宋_GB2312"/>
          <w:sz w:val="24"/>
          <w:lang w:val="zh-CN"/>
        </w:rPr>
      </w:pPr>
      <w:r>
        <w:rPr>
          <w:rFonts w:hint="eastAsia" w:ascii="仿宋_GB2312" w:hAnsi="楷体" w:eastAsia="仿宋_GB2312"/>
          <w:b/>
          <w:sz w:val="24"/>
        </w:rPr>
        <w:t>2.22 中小企业政策</w:t>
      </w:r>
    </w:p>
    <w:p w14:paraId="6D0CE9AA">
      <w:pPr>
        <w:spacing w:line="360" w:lineRule="auto"/>
        <w:ind w:firstLine="480"/>
        <w:rPr>
          <w:rFonts w:ascii="仿宋_GB2312" w:hAnsi="仿宋" w:eastAsia="仿宋_GB2312"/>
          <w:sz w:val="24"/>
          <w:lang w:val="zh-CN"/>
        </w:rPr>
      </w:pPr>
      <w:r>
        <w:rPr>
          <w:rFonts w:hint="eastAsia" w:ascii="仿宋_GB2312" w:hAnsi="仿宋" w:eastAsia="仿宋_GB2312"/>
          <w:sz w:val="24"/>
          <w:lang w:val="zh-CN"/>
        </w:rPr>
        <w:t>2.22.1本合同（□是□否）为中小企业“政采贷”可融资合同，关于中小企业信用融资事项见采购文件“供应商须知正文”。</w:t>
      </w:r>
    </w:p>
    <w:p w14:paraId="26A7C206">
      <w:pPr>
        <w:spacing w:line="360" w:lineRule="auto"/>
        <w:ind w:firstLine="480"/>
        <w:rPr>
          <w:rFonts w:ascii="仿宋_GB2312" w:hAnsi="仿宋" w:eastAsia="仿宋_GB2312"/>
          <w:sz w:val="24"/>
          <w:lang w:val="zh-CN"/>
        </w:rPr>
      </w:pPr>
      <w:r>
        <w:rPr>
          <w:rFonts w:hint="eastAsia" w:ascii="仿宋_GB2312" w:hAnsi="仿宋" w:eastAsia="仿宋_GB2312"/>
          <w:sz w:val="24"/>
          <w:lang w:val="zh-CN"/>
        </w:rPr>
        <w:t>2.22.2本合同（□是□否）为中小企业预留合同。</w:t>
      </w:r>
    </w:p>
    <w:p w14:paraId="5170D361">
      <w:pPr>
        <w:spacing w:line="360" w:lineRule="auto"/>
        <w:ind w:firstLine="482"/>
        <w:rPr>
          <w:rFonts w:ascii="仿宋_GB2312" w:hAnsi="楷体" w:eastAsia="仿宋_GB2312"/>
          <w:b/>
          <w:sz w:val="24"/>
        </w:rPr>
      </w:pPr>
      <w:r>
        <w:rPr>
          <w:rFonts w:hint="eastAsia" w:ascii="仿宋_GB2312" w:hAnsi="楷体" w:eastAsia="仿宋_GB2312"/>
          <w:b/>
          <w:sz w:val="24"/>
        </w:rPr>
        <w:t>2.23 合同份数</w:t>
      </w:r>
    </w:p>
    <w:p w14:paraId="14B734A9">
      <w:pPr>
        <w:spacing w:line="360" w:lineRule="auto"/>
        <w:ind w:firstLine="480"/>
        <w:rPr>
          <w:rFonts w:ascii="仿宋_GB2312" w:hAnsi="楷体" w:eastAsia="仿宋_GB2312"/>
          <w:sz w:val="24"/>
        </w:rPr>
      </w:pPr>
      <w:r>
        <w:rPr>
          <w:rFonts w:hint="eastAsia" w:ascii="仿宋_GB2312" w:hAnsi="宋体" w:eastAsia="仿宋_GB2312"/>
          <w:sz w:val="24"/>
        </w:rPr>
        <w:t>本合同壹式</w:t>
      </w:r>
      <w:r>
        <w:rPr>
          <w:rFonts w:hint="eastAsia" w:ascii="仿宋_GB2312" w:hAnsi="宋体" w:eastAsia="仿宋_GB2312"/>
          <w:sz w:val="24"/>
          <w:u w:val="single"/>
        </w:rPr>
        <w:t xml:space="preserve"> </w:t>
      </w:r>
      <w:r>
        <w:rPr>
          <w:rFonts w:ascii="仿宋_GB2312" w:hAnsi="宋体" w:eastAsia="仿宋_GB2312"/>
          <w:sz w:val="24"/>
          <w:u w:val="single"/>
        </w:rPr>
        <w:t xml:space="preserve"> </w:t>
      </w:r>
      <w:r>
        <w:rPr>
          <w:rFonts w:hint="eastAsia" w:ascii="仿宋_GB2312" w:hAnsi="宋体" w:eastAsia="仿宋_GB2312"/>
          <w:sz w:val="24"/>
        </w:rPr>
        <w:t>份，甲方执</w:t>
      </w:r>
      <w:r>
        <w:rPr>
          <w:rFonts w:hint="eastAsia" w:ascii="仿宋_GB2312" w:hAnsi="宋体" w:eastAsia="仿宋_GB2312"/>
          <w:sz w:val="24"/>
          <w:u w:val="single"/>
        </w:rPr>
        <w:t xml:space="preserve"> </w:t>
      </w:r>
      <w:r>
        <w:rPr>
          <w:rFonts w:ascii="仿宋_GB2312" w:hAnsi="宋体" w:eastAsia="仿宋_GB2312"/>
          <w:sz w:val="24"/>
          <w:u w:val="single"/>
        </w:rPr>
        <w:t xml:space="preserve">  </w:t>
      </w:r>
      <w:r>
        <w:rPr>
          <w:rFonts w:hint="eastAsia" w:ascii="仿宋_GB2312" w:hAnsi="宋体" w:eastAsia="仿宋_GB2312"/>
          <w:sz w:val="24"/>
        </w:rPr>
        <w:t>份，乙方执</w:t>
      </w:r>
      <w:r>
        <w:rPr>
          <w:rFonts w:hint="eastAsia" w:ascii="仿宋_GB2312" w:hAnsi="楷体" w:eastAsia="仿宋_GB2312"/>
          <w:sz w:val="24"/>
          <w:u w:val="single"/>
        </w:rPr>
        <w:t xml:space="preserve">　  </w:t>
      </w:r>
      <w:r>
        <w:rPr>
          <w:rFonts w:hint="eastAsia" w:ascii="仿宋_GB2312" w:hAnsi="宋体" w:eastAsia="仿宋_GB2312"/>
          <w:sz w:val="24"/>
        </w:rPr>
        <w:t>份。</w:t>
      </w:r>
      <w:r>
        <w:rPr>
          <w:rFonts w:hint="eastAsia" w:ascii="仿宋_GB2312" w:hAnsi="楷体" w:eastAsia="仿宋_GB2312"/>
          <w:sz w:val="24"/>
        </w:rPr>
        <w:t>每份均具有同等法律效力。</w:t>
      </w:r>
    </w:p>
    <w:p w14:paraId="21A79AD0">
      <w:pPr>
        <w:spacing w:after="120" w:line="360" w:lineRule="auto"/>
        <w:ind w:left="420" w:firstLine="480"/>
        <w:jc w:val="center"/>
        <w:outlineLvl w:val="1"/>
        <w:rPr>
          <w:rFonts w:ascii="仿宋_GB2312" w:hAnsi="楷体" w:eastAsia="仿宋_GB2312"/>
          <w:b/>
          <w:sz w:val="28"/>
          <w:szCs w:val="28"/>
        </w:rPr>
      </w:pPr>
      <w:r>
        <w:rPr>
          <w:rFonts w:hint="eastAsia" w:ascii="仿宋_GB2312" w:hAnsi="楷体" w:eastAsia="仿宋_GB2312"/>
          <w:sz w:val="24"/>
          <w:szCs w:val="21"/>
        </w:rPr>
        <w:br w:type="page" w:clear="all"/>
      </w:r>
      <w:r>
        <w:rPr>
          <w:rFonts w:hint="eastAsia" w:ascii="仿宋_GB2312" w:hAnsi="楷体" w:eastAsia="仿宋_GB2312"/>
          <w:b/>
          <w:sz w:val="28"/>
          <w:szCs w:val="28"/>
        </w:rPr>
        <w:t>第三部分合同专用条款</w:t>
      </w:r>
    </w:p>
    <w:p w14:paraId="0E0D3580">
      <w:pPr>
        <w:spacing w:line="360" w:lineRule="auto"/>
        <w:ind w:firstLine="480"/>
        <w:rPr>
          <w:rFonts w:ascii="仿宋_GB2312" w:hAnsi="楷体" w:eastAsia="仿宋_GB2312"/>
          <w:sz w:val="24"/>
        </w:rPr>
      </w:pPr>
      <w:r>
        <w:rPr>
          <w:rFonts w:hint="eastAsia" w:ascii="仿宋_GB2312" w:hAnsi="楷体" w:eastAsia="仿宋_GB2312"/>
          <w:sz w:val="24"/>
        </w:rPr>
        <w:t>本部分是对前两部分的补充和修改，如果前两部分和本部分的约定不一致，应以本部分的约定为准。本部分的条款号应与前两部分的条款号保持对应；与前两部分无对应关系的内容可另行编制条款号。</w:t>
      </w:r>
    </w:p>
    <w:p w14:paraId="3A4E2B0F">
      <w:pPr>
        <w:spacing w:line="360" w:lineRule="auto"/>
        <w:ind w:firstLine="480"/>
        <w:rPr>
          <w:rFonts w:ascii="仿宋_GB2312" w:hAnsi="楷体" w:eastAsia="仿宋_GB2312"/>
          <w:sz w:val="24"/>
        </w:rPr>
      </w:pPr>
      <w:r>
        <w:rPr>
          <w:rFonts w:hint="eastAsia" w:ascii="仿宋_GB2312" w:hAnsi="楷体" w:eastAsia="仿宋_GB2312"/>
          <w:sz w:val="24"/>
        </w:rPr>
        <w:t>3.1具有知识产权的标的物知识产权归属：</w:t>
      </w:r>
    </w:p>
    <w:p w14:paraId="5BDEC5B1">
      <w:pPr>
        <w:spacing w:line="360" w:lineRule="auto"/>
        <w:ind w:firstLine="480"/>
        <w:rPr>
          <w:rFonts w:ascii="仿宋_GB2312" w:hAnsi="楷体" w:eastAsia="仿宋_GB2312"/>
          <w:sz w:val="24"/>
        </w:rPr>
      </w:pPr>
      <w:r>
        <w:rPr>
          <w:rFonts w:hint="eastAsia" w:ascii="仿宋_GB2312" w:hAnsi="楷体" w:eastAsia="仿宋_GB2312"/>
          <w:sz w:val="24"/>
          <w:u w:val="single"/>
        </w:rPr>
        <w:t xml:space="preserve">　  </w:t>
      </w:r>
    </w:p>
    <w:p w14:paraId="33DFDCE4">
      <w:pPr>
        <w:spacing w:line="360" w:lineRule="auto"/>
        <w:ind w:firstLine="480"/>
        <w:rPr>
          <w:rFonts w:ascii="仿宋_GB2312" w:hAnsi="楷体" w:eastAsia="仿宋_GB2312"/>
          <w:sz w:val="24"/>
        </w:rPr>
      </w:pPr>
      <w:r>
        <w:rPr>
          <w:rFonts w:hint="eastAsia" w:ascii="仿宋_GB2312" w:hAnsi="楷体" w:eastAsia="仿宋_GB2312"/>
          <w:sz w:val="24"/>
        </w:rPr>
        <w:t>3.2包装和装运专用条款（如果有）：</w:t>
      </w:r>
    </w:p>
    <w:p w14:paraId="7586A0C0">
      <w:pPr>
        <w:spacing w:line="360" w:lineRule="auto"/>
        <w:ind w:firstLine="480"/>
        <w:rPr>
          <w:rFonts w:ascii="仿宋_GB2312" w:hAnsi="楷体" w:eastAsia="仿宋_GB2312"/>
          <w:sz w:val="24"/>
          <w:u w:val="single"/>
        </w:rPr>
      </w:pPr>
      <w:r>
        <w:rPr>
          <w:rFonts w:hint="eastAsia" w:ascii="仿宋_GB2312" w:hAnsi="楷体" w:eastAsia="仿宋_GB2312"/>
          <w:sz w:val="24"/>
          <w:u w:val="single"/>
        </w:rPr>
        <w:t xml:space="preserve">　  </w:t>
      </w:r>
    </w:p>
    <w:p w14:paraId="3C8FA587">
      <w:pPr>
        <w:spacing w:line="360" w:lineRule="auto"/>
        <w:ind w:firstLine="480"/>
        <w:rPr>
          <w:rFonts w:ascii="仿宋_GB2312" w:hAnsi="楷体" w:eastAsia="仿宋_GB2312"/>
          <w:sz w:val="24"/>
        </w:rPr>
      </w:pPr>
      <w:r>
        <w:rPr>
          <w:rFonts w:hint="eastAsia" w:ascii="仿宋_GB2312" w:hAnsi="楷体" w:eastAsia="仿宋_GB2312"/>
          <w:sz w:val="24"/>
        </w:rPr>
        <w:t>3.3装运标的物的要求和通知：</w:t>
      </w:r>
    </w:p>
    <w:p w14:paraId="2F5C4A8E">
      <w:pPr>
        <w:spacing w:line="360" w:lineRule="auto"/>
        <w:ind w:firstLine="480"/>
        <w:rPr>
          <w:rFonts w:ascii="仿宋_GB2312" w:hAnsi="楷体" w:eastAsia="仿宋_GB2312"/>
          <w:sz w:val="24"/>
          <w:u w:val="single"/>
        </w:rPr>
      </w:pPr>
      <w:r>
        <w:rPr>
          <w:rFonts w:hint="eastAsia" w:ascii="仿宋_GB2312" w:hAnsi="楷体" w:eastAsia="仿宋_GB2312"/>
          <w:sz w:val="24"/>
          <w:u w:val="single"/>
        </w:rPr>
        <w:t xml:space="preserve">　  </w:t>
      </w:r>
    </w:p>
    <w:p w14:paraId="19812B78">
      <w:pPr>
        <w:spacing w:line="360" w:lineRule="auto"/>
        <w:ind w:firstLine="480"/>
        <w:rPr>
          <w:rFonts w:ascii="仿宋_GB2312" w:hAnsi="楷体" w:eastAsia="仿宋_GB2312"/>
          <w:b/>
          <w:sz w:val="24"/>
        </w:rPr>
      </w:pPr>
      <w:r>
        <w:rPr>
          <w:rFonts w:hint="eastAsia" w:ascii="仿宋_GB2312" w:hAnsi="楷体" w:eastAsia="仿宋_GB2312"/>
          <w:sz w:val="24"/>
        </w:rPr>
        <w:t>3.4</w:t>
      </w:r>
      <w:r>
        <w:rPr>
          <w:rFonts w:hint="eastAsia" w:ascii="仿宋_GB2312" w:hAnsi="楷体" w:eastAsia="仿宋_GB2312"/>
          <w:b/>
          <w:sz w:val="24"/>
        </w:rPr>
        <w:t>结算方式和付款条件</w:t>
      </w:r>
    </w:p>
    <w:p w14:paraId="6C464E4F">
      <w:pPr>
        <w:spacing w:line="360" w:lineRule="auto"/>
        <w:ind w:firstLine="480"/>
        <w:rPr>
          <w:rFonts w:ascii="仿宋_GB2312" w:hAnsi="仿宋_GB2312" w:eastAsia="仿宋_GB2312" w:cs="仿宋_GB2312"/>
          <w:sz w:val="24"/>
          <w:lang w:val="zh-CN"/>
        </w:rPr>
      </w:pPr>
      <w:r>
        <w:rPr>
          <w:rFonts w:hint="eastAsia" w:ascii="仿宋_GB2312" w:hAnsi="仿宋_GB2312" w:eastAsia="仿宋_GB2312" w:cs="仿宋_GB2312"/>
          <w:sz w:val="24"/>
          <w:lang w:val="zh-CN"/>
        </w:rPr>
        <w:t xml:space="preserve">本次项目合同总价为大写人民币 </w:t>
      </w:r>
      <w:r>
        <w:rPr>
          <w:rFonts w:hint="eastAsia" w:ascii="仿宋_GB2312" w:hAnsi="楷体" w:eastAsia="仿宋_GB2312"/>
          <w:sz w:val="24"/>
          <w:u w:val="single"/>
        </w:rPr>
        <w:t xml:space="preserve">　  </w:t>
      </w:r>
      <w:r>
        <w:rPr>
          <w:rFonts w:hint="eastAsia" w:ascii="仿宋_GB2312" w:hAnsi="仿宋_GB2312" w:eastAsia="仿宋_GB2312" w:cs="仿宋_GB2312"/>
          <w:sz w:val="24"/>
          <w:u w:val="single"/>
          <w:lang w:val="zh-CN"/>
        </w:rPr>
        <w:t>（</w:t>
      </w:r>
      <w:r>
        <w:rPr>
          <w:rFonts w:hint="eastAsia" w:ascii="仿宋_GB2312" w:hAnsi="仿宋_GB2312" w:eastAsia="仿宋_GB2312" w:cs="仿宋_GB2312"/>
          <w:sz w:val="24"/>
          <w:lang w:val="zh-CN"/>
        </w:rPr>
        <w:t>￥</w:t>
      </w:r>
      <w:r>
        <w:rPr>
          <w:rFonts w:hint="eastAsia" w:ascii="仿宋_GB2312" w:hAnsi="楷体" w:eastAsia="仿宋_GB2312"/>
          <w:sz w:val="24"/>
          <w:u w:val="single"/>
        </w:rPr>
        <w:t xml:space="preserve">　  </w:t>
      </w:r>
      <w:r>
        <w:rPr>
          <w:rFonts w:hint="eastAsia" w:ascii="仿宋_GB2312" w:hAnsi="仿宋_GB2312" w:eastAsia="仿宋_GB2312" w:cs="仿宋_GB2312"/>
          <w:sz w:val="24"/>
          <w:lang w:val="zh-CN"/>
        </w:rPr>
        <w:t>元）。本项目采用以下勾选结算方式进行支付：</w:t>
      </w:r>
    </w:p>
    <w:p w14:paraId="1EAD8327">
      <w:pPr>
        <w:spacing w:line="360" w:lineRule="auto"/>
        <w:ind w:firstLine="480"/>
        <w:rPr>
          <w:rFonts w:ascii="仿宋_GB2312" w:hAnsi="仿宋_GB2312" w:eastAsia="仿宋_GB2312" w:cs="仿宋_GB2312"/>
          <w:sz w:val="24"/>
        </w:rPr>
      </w:pPr>
      <w:r>
        <w:rPr>
          <w:rFonts w:hint="eastAsia" w:ascii="仿宋_GB2312" w:hAnsi="仿宋_GB2312" w:eastAsia="仿宋_GB2312" w:cs="仿宋_GB2312"/>
          <w:sz w:val="24"/>
          <w:lang w:val="zh-CN"/>
        </w:rPr>
        <w:t>采用一次性支付方式，付款条件为：本项目无预付款，货物经采购人书面验收合格后，乙方将发票交甲方向市财政局提交用款申请批复后，一次性支付合同款。鉴于本合同款项系使用财政资金支付，甲方在验收合格后向财政部门申请付款，既视为甲方已履行支付义务，具体付款时间以财政部门批复并支付为准。</w:t>
      </w:r>
    </w:p>
    <w:p w14:paraId="213A66F3">
      <w:pPr>
        <w:spacing w:line="360" w:lineRule="auto"/>
        <w:ind w:firstLine="480"/>
        <w:rPr>
          <w:rFonts w:ascii="仿宋_GB2312" w:hAnsi="仿宋" w:eastAsia="仿宋_GB2312"/>
          <w:sz w:val="24"/>
        </w:rPr>
      </w:pPr>
      <w:r>
        <w:rPr>
          <w:rFonts w:hint="eastAsia" w:ascii="仿宋_GB2312" w:hAnsi="仿宋" w:eastAsia="仿宋_GB2312"/>
          <w:sz w:val="24"/>
        </w:rPr>
        <w:t>甲方无故逾期支付货物费用的，按照每逾期一日支付欠付货物费额度的</w:t>
      </w:r>
      <w:r>
        <w:rPr>
          <w:rFonts w:hint="eastAsia" w:ascii="仿宋_GB2312" w:hAnsi="仿宋" w:eastAsia="仿宋_GB2312"/>
          <w:sz w:val="24"/>
          <w:u w:val="single"/>
        </w:rPr>
        <w:t>万分之五</w:t>
      </w:r>
      <w:r>
        <w:rPr>
          <w:rFonts w:hint="eastAsia" w:ascii="仿宋_GB2312" w:hAnsi="仿宋" w:eastAsia="仿宋_GB2312"/>
          <w:sz w:val="24"/>
        </w:rPr>
        <w:t>（</w:t>
      </w:r>
      <w:r>
        <w:rPr>
          <w:rFonts w:hint="eastAsia" w:ascii="仿宋_GB2312" w:hAnsi="楷体" w:eastAsia="仿宋_GB2312"/>
          <w:sz w:val="24"/>
        </w:rPr>
        <w:t>根据项目实际填写，一般为万分之五</w:t>
      </w:r>
      <w:r>
        <w:rPr>
          <w:rFonts w:hint="eastAsia" w:ascii="仿宋_GB2312" w:hAnsi="仿宋" w:eastAsia="仿宋_GB2312"/>
          <w:sz w:val="24"/>
        </w:rPr>
        <w:t>）承担违约责任，违约金上限按照《合同书》约定执行。</w:t>
      </w:r>
    </w:p>
    <w:p w14:paraId="7B1F4E3A">
      <w:pPr>
        <w:spacing w:line="360" w:lineRule="auto"/>
        <w:ind w:firstLine="480"/>
        <w:rPr>
          <w:rFonts w:ascii="仿宋_GB2312" w:hAnsi="楷体" w:eastAsia="仿宋_GB2312"/>
          <w:b/>
          <w:sz w:val="24"/>
        </w:rPr>
      </w:pPr>
      <w:r>
        <w:rPr>
          <w:rFonts w:hint="eastAsia" w:ascii="仿宋_GB2312" w:hAnsi="楷体" w:eastAsia="仿宋_GB2312"/>
          <w:sz w:val="24"/>
        </w:rPr>
        <w:t>3.5</w:t>
      </w:r>
      <w:r>
        <w:rPr>
          <w:rFonts w:hint="eastAsia" w:ascii="仿宋_GB2312" w:hAnsi="楷体" w:eastAsia="仿宋_GB2312"/>
          <w:b/>
          <w:sz w:val="24"/>
        </w:rPr>
        <w:t>标的物的风险负担</w:t>
      </w:r>
    </w:p>
    <w:p w14:paraId="63E009F8">
      <w:pPr>
        <w:spacing w:line="360" w:lineRule="auto"/>
        <w:ind w:firstLine="480"/>
        <w:rPr>
          <w:rFonts w:ascii="仿宋_GB2312" w:hAnsi="楷体" w:eastAsia="仿宋_GB2312"/>
          <w:sz w:val="24"/>
          <w:u w:val="single"/>
        </w:rPr>
      </w:pPr>
      <w:r>
        <w:rPr>
          <w:rFonts w:hint="eastAsia" w:ascii="仿宋_GB2312" w:hAnsi="楷体" w:eastAsia="仿宋_GB2312"/>
          <w:sz w:val="24"/>
        </w:rPr>
        <w:t>标的物或者在途标的物或者交付给第一承运人后的标的物毁损、灭失的风险负担：</w:t>
      </w:r>
      <w:r>
        <w:rPr>
          <w:rFonts w:hint="eastAsia" w:ascii="仿宋_GB2312" w:hAnsi="楷体" w:eastAsia="仿宋_GB2312"/>
          <w:sz w:val="24"/>
          <w:u w:val="single"/>
        </w:rPr>
        <w:t>乙方。</w:t>
      </w:r>
    </w:p>
    <w:p w14:paraId="46602C01">
      <w:pPr>
        <w:spacing w:line="360" w:lineRule="auto"/>
        <w:ind w:firstLine="480"/>
        <w:rPr>
          <w:rFonts w:ascii="仿宋_GB2312" w:hAnsi="楷体" w:eastAsia="仿宋_GB2312"/>
          <w:sz w:val="24"/>
        </w:rPr>
      </w:pPr>
      <w:r>
        <w:rPr>
          <w:rFonts w:hint="eastAsia" w:ascii="仿宋_GB2312" w:hAnsi="楷体" w:eastAsia="仿宋_GB2312"/>
          <w:sz w:val="24"/>
        </w:rPr>
        <w:t>3.5.1受不可抗力影响的一方在不可抗力发生后，应在日内以书面形式通知对方当事人，并在日内，将有关部门出具的证明文件送达对方当事人。</w:t>
      </w:r>
    </w:p>
    <w:p w14:paraId="02B110C9">
      <w:pPr>
        <w:spacing w:line="360" w:lineRule="auto"/>
        <w:ind w:firstLine="480"/>
        <w:rPr>
          <w:rFonts w:ascii="仿宋_GB2312" w:hAnsi="楷体" w:eastAsia="仿宋_GB2312"/>
          <w:sz w:val="24"/>
        </w:rPr>
      </w:pPr>
      <w:r>
        <w:rPr>
          <w:rFonts w:hint="eastAsia" w:ascii="仿宋_GB2312" w:hAnsi="楷体" w:eastAsia="仿宋_GB2312"/>
          <w:sz w:val="24"/>
        </w:rPr>
        <w:t>3.5.2因不可抗力致使合同有变更必要的，双方当事人应在日内以书面形式变更合同；</w:t>
      </w:r>
    </w:p>
    <w:p w14:paraId="2E75886C">
      <w:pPr>
        <w:spacing w:line="360" w:lineRule="auto"/>
        <w:ind w:firstLine="480"/>
        <w:rPr>
          <w:rFonts w:ascii="仿宋_GB2312" w:hAnsi="楷体" w:eastAsia="仿宋_GB2312"/>
          <w:sz w:val="24"/>
        </w:rPr>
      </w:pPr>
      <w:r>
        <w:rPr>
          <w:rFonts w:hint="eastAsia" w:ascii="仿宋_GB2312" w:hAnsi="楷体" w:eastAsia="仿宋_GB2312"/>
          <w:sz w:val="24"/>
        </w:rPr>
        <w:t>3.5.3标的物交付前，乙方应对标的物的质量、数量等方面进行详细、全面的检验，并向甲方出具证明标的物符合合同约定的文件；标的物交付时，乙方在日内发起验收，并可依法邀请相关方参加，验收应出具验收书。</w:t>
      </w:r>
    </w:p>
    <w:p w14:paraId="3E0B2CD6">
      <w:pPr>
        <w:spacing w:line="360" w:lineRule="auto"/>
        <w:ind w:firstLine="480"/>
        <w:rPr>
          <w:rFonts w:ascii="仿宋_GB2312" w:hAnsi="楷体" w:eastAsia="仿宋_GB2312"/>
          <w:sz w:val="24"/>
        </w:rPr>
      </w:pPr>
      <w:r>
        <w:rPr>
          <w:rFonts w:hint="eastAsia" w:ascii="仿宋_GB2312" w:hAnsi="楷体" w:eastAsia="仿宋_GB2312"/>
          <w:sz w:val="24"/>
        </w:rPr>
        <w:t>3.5.4 检验和验收标准、程序等具体内容以及前述验收书的效力：</w:t>
      </w:r>
    </w:p>
    <w:p w14:paraId="6612D975">
      <w:pPr>
        <w:spacing w:line="360" w:lineRule="auto"/>
        <w:ind w:firstLine="480"/>
        <w:rPr>
          <w:rFonts w:ascii="仿宋_GB2312" w:hAnsi="楷体" w:eastAsia="仿宋_GB2312"/>
          <w:sz w:val="24"/>
          <w:u w:val="single"/>
        </w:rPr>
      </w:pPr>
      <w:r>
        <w:rPr>
          <w:rFonts w:hint="eastAsia" w:ascii="仿宋_GB2312" w:hAnsi="楷体" w:eastAsia="仿宋_GB2312"/>
          <w:sz w:val="24"/>
          <w:u w:val="single"/>
        </w:rPr>
        <w:t xml:space="preserve">　 </w:t>
      </w:r>
      <w:r>
        <w:rPr>
          <w:rFonts w:ascii="仿宋_GB2312" w:hAnsi="楷体" w:eastAsia="仿宋_GB2312"/>
          <w:sz w:val="24"/>
          <w:u w:val="single"/>
        </w:rPr>
        <w:t xml:space="preserve">           </w:t>
      </w:r>
      <w:r>
        <w:rPr>
          <w:rFonts w:hint="eastAsia" w:ascii="仿宋_GB2312" w:hAnsi="楷体" w:eastAsia="仿宋_GB2312"/>
          <w:sz w:val="24"/>
          <w:u w:val="single"/>
        </w:rPr>
        <w:t xml:space="preserve">  。</w:t>
      </w:r>
    </w:p>
    <w:p w14:paraId="06744843">
      <w:pPr>
        <w:spacing w:line="360" w:lineRule="auto"/>
        <w:ind w:firstLine="480"/>
        <w:rPr>
          <w:rFonts w:ascii="仿宋_GB2312" w:hAnsi="楷体" w:eastAsia="仿宋_GB2312"/>
          <w:sz w:val="24"/>
        </w:rPr>
      </w:pPr>
      <w:r>
        <w:rPr>
          <w:rFonts w:hint="eastAsia" w:ascii="仿宋_GB2312" w:hAnsi="楷体" w:eastAsia="仿宋_GB2312"/>
          <w:sz w:val="24"/>
        </w:rPr>
        <w:t>3.5.5其他：</w:t>
      </w:r>
    </w:p>
    <w:p w14:paraId="54A7451A">
      <w:pPr>
        <w:spacing w:line="360" w:lineRule="auto"/>
        <w:ind w:firstLine="482"/>
        <w:rPr>
          <w:rFonts w:ascii="仿宋" w:hAnsi="仿宋" w:eastAsia="仿宋" w:cs="仿宋"/>
          <w:b/>
          <w:sz w:val="24"/>
        </w:rPr>
      </w:pPr>
      <w:r>
        <w:rPr>
          <w:rFonts w:hint="eastAsia" w:ascii="仿宋" w:hAnsi="仿宋" w:eastAsia="仿宋" w:cs="仿宋"/>
          <w:b/>
          <w:sz w:val="24"/>
        </w:rPr>
        <w:t>3.6项目验收：</w:t>
      </w:r>
    </w:p>
    <w:p w14:paraId="4053411C">
      <w:pPr>
        <w:spacing w:line="360" w:lineRule="auto"/>
        <w:ind w:firstLine="480"/>
        <w:rPr>
          <w:rFonts w:ascii="仿宋_GB2312" w:hAnsi="楷体" w:eastAsia="仿宋_GB2312"/>
          <w:sz w:val="24"/>
        </w:rPr>
      </w:pPr>
      <w:r>
        <w:rPr>
          <w:rFonts w:hint="eastAsia" w:ascii="仿宋_GB2312" w:hAnsi="楷体" w:eastAsia="仿宋_GB2312"/>
          <w:sz w:val="24"/>
        </w:rPr>
        <w:t>3.6.1甲方参照《南宁市政府采购供应商履约验收评价管理办法》（南财采[2019]217号）规定组织对乙方履约的验收。验收方成员应当在验收书上签字，并承担相应的法律责任。如果发现与合同中要求不符，乙方须承担由此发生的一切损失和费用，并接受相应的处理。</w:t>
      </w:r>
    </w:p>
    <w:p w14:paraId="6BEA0890">
      <w:pPr>
        <w:spacing w:line="360" w:lineRule="auto"/>
        <w:ind w:firstLine="480"/>
        <w:rPr>
          <w:rFonts w:ascii="仿宋_GB2312" w:hAnsi="楷体" w:eastAsia="仿宋_GB2312"/>
          <w:sz w:val="24"/>
        </w:rPr>
      </w:pPr>
      <w:r>
        <w:rPr>
          <w:rFonts w:hint="eastAsia" w:ascii="仿宋_GB2312" w:hAnsi="楷体" w:eastAsia="仿宋_GB2312"/>
          <w:sz w:val="24"/>
        </w:rPr>
        <w:t>3.6.2严格按照采购合同开展履约验收。甲方成立验收小组，按照采购合同的约定对供应商履约情况进行验收，验收时，按照采购合同的约定对每一项技术、货物、安全标准的履约情况进行确认，出具验收报告并经验收小组全体成员签字。甲方根据验收报告形成验收意见并经甲方与乙方签字盖章生效。验收结果与采购合同约定的资金支付条件挂钩。履约验收的各项资料应当存档备查。</w:t>
      </w:r>
    </w:p>
    <w:p w14:paraId="3A7C7629">
      <w:pPr>
        <w:spacing w:line="360" w:lineRule="auto"/>
        <w:ind w:firstLine="480"/>
        <w:rPr>
          <w:rFonts w:ascii="仿宋_GB2312" w:hAnsi="楷体" w:eastAsia="仿宋_GB2312"/>
          <w:sz w:val="24"/>
        </w:rPr>
      </w:pPr>
      <w:r>
        <w:rPr>
          <w:rFonts w:hint="eastAsia" w:ascii="仿宋_GB2312" w:hAnsi="楷体" w:eastAsia="仿宋_GB2312"/>
          <w:sz w:val="24"/>
        </w:rPr>
        <w:t>3.6.3验收合格的项目，甲方将根据采购合同的约定及时向供应商支付采购资金。验收不合格的项目，甲方将依法及时处理。采购合同的履行、违约责任和解决争议的方式等适用《中华人民共和国民法典》，并按照《合同书》约定执行。</w:t>
      </w:r>
    </w:p>
    <w:p w14:paraId="35E8E752">
      <w:pPr>
        <w:spacing w:line="360" w:lineRule="auto"/>
        <w:ind w:firstLine="480"/>
        <w:rPr>
          <w:rFonts w:ascii="仿宋_GB2312" w:hAnsi="楷体" w:eastAsia="仿宋_GB2312"/>
          <w:sz w:val="24"/>
        </w:rPr>
      </w:pPr>
      <w:r>
        <w:rPr>
          <w:rFonts w:hint="eastAsia" w:ascii="仿宋_GB2312" w:hAnsi="楷体" w:eastAsia="仿宋_GB2312"/>
          <w:sz w:val="24"/>
        </w:rPr>
        <w:t>3.6.4验收产生的费用首次验收费用由甲方承担，如首次验收不合格，后续验收费用由乙方支付。</w:t>
      </w:r>
    </w:p>
    <w:p w14:paraId="2579E6AA">
      <w:pPr>
        <w:spacing w:line="360" w:lineRule="auto"/>
        <w:ind w:firstLine="480"/>
        <w:rPr>
          <w:rFonts w:ascii="仿宋_GB2312" w:hAnsi="楷体" w:eastAsia="仿宋_GB2312"/>
          <w:sz w:val="24"/>
        </w:rPr>
      </w:pPr>
      <w:r>
        <w:rPr>
          <w:rFonts w:hint="eastAsia" w:ascii="仿宋_GB2312" w:hAnsi="楷体" w:eastAsia="仿宋_GB2312"/>
          <w:sz w:val="24"/>
        </w:rPr>
        <w:t>3.6.5验收内容及资料要求：</w:t>
      </w:r>
    </w:p>
    <w:p w14:paraId="3FEF6601">
      <w:pPr>
        <w:spacing w:line="360" w:lineRule="auto"/>
        <w:ind w:firstLine="480"/>
        <w:rPr>
          <w:rFonts w:ascii="仿宋_GB2312" w:hAnsi="楷体" w:eastAsia="仿宋_GB2312"/>
          <w:sz w:val="24"/>
        </w:rPr>
      </w:pPr>
      <w:r>
        <w:rPr>
          <w:rFonts w:hint="eastAsia" w:ascii="仿宋_GB2312" w:hAnsi="楷体" w:eastAsia="仿宋_GB2312"/>
          <w:sz w:val="24"/>
        </w:rPr>
        <w:t>根据采购文件确定的技术指标或者货物要求确定验收指标和标准。未进行相应约定的，应当符合国家强制性规定、政策要求、安全标准、行业或企业有关标准等。</w:t>
      </w:r>
    </w:p>
    <w:p w14:paraId="28096D87">
      <w:pPr>
        <w:tabs>
          <w:tab w:val="left" w:pos="904"/>
        </w:tabs>
        <w:spacing w:line="360" w:lineRule="auto"/>
        <w:ind w:firstLine="480"/>
        <w:jc w:val="left"/>
        <w:rPr>
          <w:rFonts w:ascii="仿宋_GB2312" w:hAnsi="楷体" w:eastAsia="仿宋_GB2312"/>
          <w:sz w:val="24"/>
        </w:rPr>
      </w:pPr>
      <w:r>
        <w:rPr>
          <w:rFonts w:hint="eastAsia" w:ascii="仿宋_GB2312" w:hAnsi="楷体" w:eastAsia="仿宋_GB2312"/>
          <w:sz w:val="24"/>
        </w:rPr>
        <w:t>3.6.6验收内容</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1914"/>
        <w:gridCol w:w="5930"/>
      </w:tblGrid>
      <w:tr w14:paraId="0E950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tcBorders>
              <w:top w:val="single" w:color="auto" w:sz="4" w:space="0"/>
              <w:left w:val="single" w:color="auto" w:sz="4" w:space="0"/>
              <w:bottom w:val="single" w:color="auto" w:sz="4" w:space="0"/>
              <w:right w:val="single" w:color="auto" w:sz="4" w:space="0"/>
            </w:tcBorders>
            <w:noWrap/>
            <w:vAlign w:val="center"/>
          </w:tcPr>
          <w:p w14:paraId="190A0F4D">
            <w:pPr>
              <w:widowControl/>
              <w:spacing w:line="360" w:lineRule="auto"/>
              <w:ind w:firstLine="200"/>
              <w:jc w:val="center"/>
              <w:rPr>
                <w:rFonts w:ascii="仿宋_GB2312" w:hAnsi="楷体" w:eastAsia="仿宋_GB2312"/>
                <w:sz w:val="24"/>
              </w:rPr>
            </w:pPr>
            <w:r>
              <w:rPr>
                <w:rFonts w:hint="eastAsia" w:ascii="仿宋_GB2312" w:hAnsi="楷体" w:eastAsia="仿宋_GB2312"/>
                <w:sz w:val="24"/>
              </w:rPr>
              <w:t>序号</w:t>
            </w:r>
          </w:p>
        </w:tc>
        <w:tc>
          <w:tcPr>
            <w:tcW w:w="1914" w:type="dxa"/>
            <w:tcBorders>
              <w:top w:val="single" w:color="auto" w:sz="4" w:space="0"/>
              <w:left w:val="single" w:color="auto" w:sz="4" w:space="0"/>
              <w:bottom w:val="single" w:color="auto" w:sz="4" w:space="0"/>
              <w:right w:val="single" w:color="auto" w:sz="4" w:space="0"/>
            </w:tcBorders>
            <w:noWrap/>
            <w:vAlign w:val="center"/>
          </w:tcPr>
          <w:p w14:paraId="0FA915A7">
            <w:pPr>
              <w:widowControl/>
              <w:spacing w:line="360" w:lineRule="auto"/>
              <w:ind w:firstLine="200"/>
              <w:jc w:val="center"/>
              <w:rPr>
                <w:rFonts w:ascii="仿宋_GB2312" w:hAnsi="楷体" w:eastAsia="仿宋_GB2312"/>
                <w:sz w:val="24"/>
              </w:rPr>
            </w:pPr>
            <w:r>
              <w:rPr>
                <w:rFonts w:hint="eastAsia" w:ascii="仿宋_GB2312" w:hAnsi="楷体" w:eastAsia="仿宋_GB2312"/>
                <w:sz w:val="24"/>
              </w:rPr>
              <w:t>验收内容</w:t>
            </w:r>
          </w:p>
        </w:tc>
        <w:tc>
          <w:tcPr>
            <w:tcW w:w="5930" w:type="dxa"/>
            <w:tcBorders>
              <w:top w:val="single" w:color="auto" w:sz="4" w:space="0"/>
              <w:left w:val="single" w:color="auto" w:sz="4" w:space="0"/>
              <w:bottom w:val="single" w:color="auto" w:sz="4" w:space="0"/>
              <w:right w:val="single" w:color="auto" w:sz="4" w:space="0"/>
            </w:tcBorders>
            <w:noWrap/>
            <w:vAlign w:val="center"/>
          </w:tcPr>
          <w:p w14:paraId="69023202">
            <w:pPr>
              <w:widowControl/>
              <w:spacing w:line="360" w:lineRule="auto"/>
              <w:ind w:firstLine="200"/>
              <w:jc w:val="center"/>
              <w:rPr>
                <w:rFonts w:ascii="仿宋_GB2312" w:hAnsi="楷体" w:eastAsia="仿宋_GB2312"/>
                <w:sz w:val="24"/>
              </w:rPr>
            </w:pPr>
            <w:r>
              <w:rPr>
                <w:rFonts w:hint="eastAsia" w:ascii="仿宋_GB2312" w:hAnsi="楷体" w:eastAsia="仿宋_GB2312"/>
                <w:sz w:val="24"/>
              </w:rPr>
              <w:t>验收标准</w:t>
            </w:r>
          </w:p>
        </w:tc>
      </w:tr>
      <w:tr w14:paraId="59697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673" w:type="dxa"/>
            <w:tcBorders>
              <w:top w:val="single" w:color="auto" w:sz="4" w:space="0"/>
              <w:left w:val="single" w:color="auto" w:sz="4" w:space="0"/>
              <w:bottom w:val="single" w:color="auto" w:sz="4" w:space="0"/>
              <w:right w:val="single" w:color="auto" w:sz="4" w:space="0"/>
            </w:tcBorders>
            <w:noWrap/>
            <w:vAlign w:val="center"/>
          </w:tcPr>
          <w:p w14:paraId="6473C278">
            <w:pPr>
              <w:widowControl/>
              <w:spacing w:line="360" w:lineRule="auto"/>
              <w:ind w:firstLine="200"/>
              <w:jc w:val="center"/>
              <w:rPr>
                <w:rFonts w:ascii="仿宋_GB2312" w:hAnsi="楷体" w:eastAsia="仿宋_GB2312"/>
                <w:sz w:val="24"/>
              </w:rPr>
            </w:pPr>
            <w:r>
              <w:rPr>
                <w:rFonts w:hint="eastAsia" w:ascii="仿宋_GB2312" w:hAnsi="楷体" w:eastAsia="仿宋_GB2312"/>
                <w:sz w:val="24"/>
              </w:rPr>
              <w:t>1</w:t>
            </w:r>
          </w:p>
        </w:tc>
        <w:tc>
          <w:tcPr>
            <w:tcW w:w="1914" w:type="dxa"/>
            <w:tcBorders>
              <w:top w:val="single" w:color="auto" w:sz="4" w:space="0"/>
              <w:left w:val="single" w:color="auto" w:sz="4" w:space="0"/>
              <w:bottom w:val="single" w:color="auto" w:sz="4" w:space="0"/>
              <w:right w:val="single" w:color="auto" w:sz="4" w:space="0"/>
            </w:tcBorders>
            <w:noWrap/>
            <w:vAlign w:val="center"/>
          </w:tcPr>
          <w:p w14:paraId="511749BC">
            <w:pPr>
              <w:widowControl/>
              <w:spacing w:line="360" w:lineRule="auto"/>
              <w:ind w:firstLine="200"/>
              <w:jc w:val="center"/>
              <w:rPr>
                <w:rFonts w:ascii="仿宋_GB2312" w:hAnsi="楷体" w:eastAsia="仿宋_GB2312"/>
                <w:sz w:val="24"/>
              </w:rPr>
            </w:pPr>
            <w:r>
              <w:rPr>
                <w:rFonts w:hint="eastAsia" w:ascii="仿宋_GB2312" w:hAnsi="楷体" w:eastAsia="仿宋_GB2312"/>
                <w:sz w:val="24"/>
              </w:rPr>
              <w:t>交货产品数量</w:t>
            </w:r>
          </w:p>
        </w:tc>
        <w:tc>
          <w:tcPr>
            <w:tcW w:w="5930" w:type="dxa"/>
            <w:tcBorders>
              <w:top w:val="single" w:color="auto" w:sz="4" w:space="0"/>
              <w:left w:val="single" w:color="auto" w:sz="4" w:space="0"/>
              <w:bottom w:val="single" w:color="auto" w:sz="4" w:space="0"/>
              <w:right w:val="single" w:color="auto" w:sz="4" w:space="0"/>
            </w:tcBorders>
            <w:noWrap/>
            <w:vAlign w:val="center"/>
          </w:tcPr>
          <w:p w14:paraId="00119FBF">
            <w:pPr>
              <w:widowControl/>
              <w:spacing w:line="360" w:lineRule="auto"/>
              <w:ind w:firstLine="200"/>
              <w:jc w:val="center"/>
              <w:rPr>
                <w:rFonts w:ascii="仿宋_GB2312" w:hAnsi="楷体" w:eastAsia="仿宋_GB2312"/>
                <w:sz w:val="24"/>
              </w:rPr>
            </w:pPr>
          </w:p>
        </w:tc>
      </w:tr>
      <w:tr w14:paraId="32D16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9" w:hRule="atLeast"/>
          <w:jc w:val="center"/>
        </w:trPr>
        <w:tc>
          <w:tcPr>
            <w:tcW w:w="673" w:type="dxa"/>
            <w:tcBorders>
              <w:top w:val="single" w:color="auto" w:sz="4" w:space="0"/>
              <w:left w:val="single" w:color="auto" w:sz="4" w:space="0"/>
              <w:bottom w:val="single" w:color="auto" w:sz="4" w:space="0"/>
              <w:right w:val="single" w:color="auto" w:sz="4" w:space="0"/>
            </w:tcBorders>
            <w:noWrap/>
            <w:vAlign w:val="center"/>
          </w:tcPr>
          <w:p w14:paraId="48CB4BF2">
            <w:pPr>
              <w:widowControl/>
              <w:spacing w:line="360" w:lineRule="auto"/>
              <w:ind w:firstLine="200"/>
              <w:jc w:val="center"/>
              <w:rPr>
                <w:rFonts w:ascii="仿宋_GB2312" w:hAnsi="楷体" w:eastAsia="仿宋_GB2312"/>
                <w:sz w:val="24"/>
              </w:rPr>
            </w:pPr>
            <w:r>
              <w:rPr>
                <w:rFonts w:hint="eastAsia" w:ascii="仿宋_GB2312" w:hAnsi="楷体" w:eastAsia="仿宋_GB2312"/>
                <w:sz w:val="24"/>
              </w:rPr>
              <w:t>2</w:t>
            </w:r>
          </w:p>
        </w:tc>
        <w:tc>
          <w:tcPr>
            <w:tcW w:w="1914" w:type="dxa"/>
            <w:tcBorders>
              <w:top w:val="single" w:color="auto" w:sz="4" w:space="0"/>
              <w:left w:val="single" w:color="auto" w:sz="4" w:space="0"/>
              <w:bottom w:val="single" w:color="auto" w:sz="4" w:space="0"/>
              <w:right w:val="single" w:color="auto" w:sz="4" w:space="0"/>
            </w:tcBorders>
            <w:noWrap/>
            <w:vAlign w:val="center"/>
          </w:tcPr>
          <w:p w14:paraId="39405FBB">
            <w:pPr>
              <w:widowControl/>
              <w:spacing w:line="360" w:lineRule="auto"/>
              <w:ind w:firstLine="200"/>
              <w:jc w:val="center"/>
              <w:rPr>
                <w:rFonts w:ascii="仿宋_GB2312" w:hAnsi="楷体" w:eastAsia="仿宋_GB2312"/>
                <w:sz w:val="24"/>
              </w:rPr>
            </w:pPr>
            <w:r>
              <w:rPr>
                <w:rFonts w:hint="eastAsia" w:ascii="仿宋_GB2312" w:hAnsi="楷体" w:eastAsia="仿宋_GB2312"/>
                <w:sz w:val="24"/>
              </w:rPr>
              <w:t>交货产品的质量文件</w:t>
            </w:r>
          </w:p>
        </w:tc>
        <w:tc>
          <w:tcPr>
            <w:tcW w:w="5930" w:type="dxa"/>
            <w:tcBorders>
              <w:top w:val="single" w:color="auto" w:sz="4" w:space="0"/>
              <w:left w:val="single" w:color="auto" w:sz="4" w:space="0"/>
              <w:bottom w:val="single" w:color="auto" w:sz="4" w:space="0"/>
              <w:right w:val="single" w:color="auto" w:sz="4" w:space="0"/>
            </w:tcBorders>
            <w:noWrap/>
            <w:vAlign w:val="center"/>
          </w:tcPr>
          <w:p w14:paraId="7914D233">
            <w:pPr>
              <w:widowControl/>
              <w:spacing w:line="360" w:lineRule="auto"/>
              <w:ind w:firstLine="200"/>
              <w:jc w:val="center"/>
              <w:rPr>
                <w:rFonts w:ascii="仿宋_GB2312" w:hAnsi="楷体" w:eastAsia="仿宋_GB2312"/>
                <w:sz w:val="24"/>
              </w:rPr>
            </w:pPr>
          </w:p>
        </w:tc>
      </w:tr>
      <w:tr w14:paraId="2A2DD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5" w:hRule="atLeast"/>
          <w:jc w:val="center"/>
        </w:trPr>
        <w:tc>
          <w:tcPr>
            <w:tcW w:w="673" w:type="dxa"/>
            <w:tcBorders>
              <w:top w:val="single" w:color="auto" w:sz="4" w:space="0"/>
              <w:left w:val="single" w:color="auto" w:sz="4" w:space="0"/>
              <w:bottom w:val="single" w:color="auto" w:sz="4" w:space="0"/>
              <w:right w:val="single" w:color="auto" w:sz="4" w:space="0"/>
            </w:tcBorders>
            <w:noWrap/>
            <w:vAlign w:val="center"/>
          </w:tcPr>
          <w:p w14:paraId="5915F9E0">
            <w:pPr>
              <w:widowControl/>
              <w:spacing w:line="360" w:lineRule="auto"/>
              <w:ind w:firstLine="200"/>
              <w:jc w:val="center"/>
              <w:rPr>
                <w:rFonts w:ascii="仿宋_GB2312" w:hAnsi="楷体" w:eastAsia="仿宋_GB2312"/>
                <w:sz w:val="24"/>
              </w:rPr>
            </w:pPr>
            <w:r>
              <w:rPr>
                <w:rFonts w:hint="eastAsia" w:ascii="仿宋_GB2312" w:hAnsi="楷体" w:eastAsia="仿宋_GB2312"/>
                <w:sz w:val="24"/>
              </w:rPr>
              <w:t>3</w:t>
            </w:r>
          </w:p>
        </w:tc>
        <w:tc>
          <w:tcPr>
            <w:tcW w:w="1914" w:type="dxa"/>
            <w:tcBorders>
              <w:top w:val="single" w:color="auto" w:sz="4" w:space="0"/>
              <w:left w:val="single" w:color="auto" w:sz="4" w:space="0"/>
              <w:bottom w:val="single" w:color="auto" w:sz="4" w:space="0"/>
              <w:right w:val="single" w:color="auto" w:sz="4" w:space="0"/>
            </w:tcBorders>
            <w:noWrap/>
            <w:vAlign w:val="center"/>
          </w:tcPr>
          <w:p w14:paraId="7B2BF975">
            <w:pPr>
              <w:spacing w:line="360" w:lineRule="auto"/>
              <w:ind w:firstLine="200"/>
              <w:jc w:val="center"/>
              <w:rPr>
                <w:rFonts w:ascii="仿宋_GB2312" w:hAnsi="楷体" w:eastAsia="仿宋_GB2312"/>
                <w:sz w:val="24"/>
              </w:rPr>
            </w:pPr>
            <w:r>
              <w:rPr>
                <w:rFonts w:hint="eastAsia" w:ascii="仿宋_GB2312" w:hAnsi="楷体" w:eastAsia="仿宋_GB2312"/>
                <w:sz w:val="24"/>
              </w:rPr>
              <w:t>交货产品技术、性能指标</w:t>
            </w:r>
          </w:p>
        </w:tc>
        <w:tc>
          <w:tcPr>
            <w:tcW w:w="5930" w:type="dxa"/>
            <w:tcBorders>
              <w:top w:val="single" w:color="auto" w:sz="4" w:space="0"/>
              <w:left w:val="single" w:color="auto" w:sz="4" w:space="0"/>
              <w:bottom w:val="single" w:color="auto" w:sz="4" w:space="0"/>
              <w:right w:val="single" w:color="auto" w:sz="4" w:space="0"/>
            </w:tcBorders>
            <w:noWrap/>
            <w:vAlign w:val="center"/>
          </w:tcPr>
          <w:p w14:paraId="3D6C4766">
            <w:pPr>
              <w:spacing w:line="360" w:lineRule="auto"/>
              <w:ind w:firstLine="200"/>
              <w:jc w:val="left"/>
              <w:rPr>
                <w:rFonts w:ascii="仿宋_GB2312" w:hAnsi="楷体" w:eastAsia="仿宋_GB2312"/>
                <w:sz w:val="24"/>
              </w:rPr>
            </w:pPr>
          </w:p>
        </w:tc>
      </w:tr>
      <w:tr w14:paraId="1F8E5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1" w:hRule="atLeast"/>
          <w:jc w:val="center"/>
        </w:trPr>
        <w:tc>
          <w:tcPr>
            <w:tcW w:w="673" w:type="dxa"/>
            <w:tcBorders>
              <w:top w:val="single" w:color="auto" w:sz="4" w:space="0"/>
              <w:left w:val="single" w:color="auto" w:sz="4" w:space="0"/>
              <w:bottom w:val="single" w:color="auto" w:sz="4" w:space="0"/>
              <w:right w:val="single" w:color="auto" w:sz="4" w:space="0"/>
            </w:tcBorders>
            <w:noWrap/>
            <w:vAlign w:val="center"/>
          </w:tcPr>
          <w:p w14:paraId="61571273">
            <w:pPr>
              <w:widowControl/>
              <w:spacing w:line="360" w:lineRule="auto"/>
              <w:ind w:firstLine="200"/>
              <w:jc w:val="center"/>
              <w:rPr>
                <w:rFonts w:ascii="仿宋_GB2312" w:hAnsi="楷体" w:eastAsia="仿宋_GB2312"/>
                <w:sz w:val="24"/>
              </w:rPr>
            </w:pPr>
            <w:r>
              <w:rPr>
                <w:rFonts w:hint="eastAsia" w:ascii="仿宋_GB2312" w:hAnsi="楷体" w:eastAsia="仿宋_GB2312"/>
                <w:sz w:val="24"/>
              </w:rPr>
              <w:t>4</w:t>
            </w:r>
          </w:p>
        </w:tc>
        <w:tc>
          <w:tcPr>
            <w:tcW w:w="1914" w:type="dxa"/>
            <w:tcBorders>
              <w:top w:val="single" w:color="auto" w:sz="4" w:space="0"/>
              <w:left w:val="single" w:color="auto" w:sz="4" w:space="0"/>
              <w:bottom w:val="single" w:color="auto" w:sz="4" w:space="0"/>
              <w:right w:val="single" w:color="auto" w:sz="4" w:space="0"/>
            </w:tcBorders>
            <w:noWrap/>
            <w:vAlign w:val="center"/>
          </w:tcPr>
          <w:p w14:paraId="63165FAA">
            <w:pPr>
              <w:spacing w:line="360" w:lineRule="auto"/>
              <w:ind w:firstLine="200"/>
              <w:jc w:val="center"/>
              <w:rPr>
                <w:rFonts w:ascii="仿宋_GB2312" w:hAnsi="楷体" w:eastAsia="仿宋_GB2312"/>
                <w:sz w:val="24"/>
              </w:rPr>
            </w:pPr>
            <w:r>
              <w:rPr>
                <w:rFonts w:hint="eastAsia" w:ascii="仿宋_GB2312" w:hAnsi="楷体" w:eastAsia="仿宋_GB2312"/>
                <w:sz w:val="24"/>
              </w:rPr>
              <w:t>售后服务</w:t>
            </w:r>
          </w:p>
          <w:p w14:paraId="68FC1B89">
            <w:pPr>
              <w:widowControl/>
              <w:spacing w:line="360" w:lineRule="auto"/>
              <w:ind w:firstLine="200"/>
              <w:jc w:val="center"/>
              <w:rPr>
                <w:rFonts w:ascii="仿宋_GB2312" w:hAnsi="楷体" w:eastAsia="仿宋_GB2312"/>
                <w:sz w:val="24"/>
              </w:rPr>
            </w:pPr>
            <w:r>
              <w:rPr>
                <w:rFonts w:hint="eastAsia" w:ascii="仿宋_GB2312" w:hAnsi="楷体" w:eastAsia="仿宋_GB2312"/>
                <w:sz w:val="24"/>
              </w:rPr>
              <w:t>承诺</w:t>
            </w:r>
          </w:p>
        </w:tc>
        <w:tc>
          <w:tcPr>
            <w:tcW w:w="5930" w:type="dxa"/>
            <w:tcBorders>
              <w:top w:val="single" w:color="auto" w:sz="4" w:space="0"/>
              <w:left w:val="single" w:color="auto" w:sz="4" w:space="0"/>
              <w:bottom w:val="single" w:color="auto" w:sz="4" w:space="0"/>
              <w:right w:val="single" w:color="auto" w:sz="4" w:space="0"/>
            </w:tcBorders>
            <w:noWrap/>
            <w:vAlign w:val="center"/>
          </w:tcPr>
          <w:p w14:paraId="5DF2A92C">
            <w:pPr>
              <w:widowControl/>
              <w:spacing w:line="360" w:lineRule="auto"/>
              <w:ind w:firstLine="200"/>
              <w:jc w:val="center"/>
              <w:rPr>
                <w:rFonts w:ascii="仿宋_GB2312" w:hAnsi="楷体" w:eastAsia="仿宋_GB2312"/>
                <w:sz w:val="24"/>
              </w:rPr>
            </w:pPr>
          </w:p>
        </w:tc>
      </w:tr>
      <w:tr w14:paraId="7B67A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9" w:hRule="atLeast"/>
          <w:jc w:val="center"/>
        </w:trPr>
        <w:tc>
          <w:tcPr>
            <w:tcW w:w="673" w:type="dxa"/>
            <w:tcBorders>
              <w:top w:val="single" w:color="auto" w:sz="4" w:space="0"/>
              <w:left w:val="single" w:color="auto" w:sz="4" w:space="0"/>
              <w:bottom w:val="single" w:color="auto" w:sz="4" w:space="0"/>
              <w:right w:val="single" w:color="auto" w:sz="4" w:space="0"/>
            </w:tcBorders>
            <w:noWrap/>
            <w:vAlign w:val="center"/>
          </w:tcPr>
          <w:p w14:paraId="42A0EC61">
            <w:pPr>
              <w:widowControl/>
              <w:spacing w:line="360" w:lineRule="auto"/>
              <w:ind w:firstLine="200"/>
              <w:jc w:val="center"/>
              <w:rPr>
                <w:rFonts w:ascii="仿宋_GB2312" w:hAnsi="楷体" w:eastAsia="仿宋_GB2312"/>
                <w:sz w:val="24"/>
              </w:rPr>
            </w:pPr>
            <w:r>
              <w:rPr>
                <w:rFonts w:hint="eastAsia" w:ascii="仿宋_GB2312" w:hAnsi="楷体" w:eastAsia="仿宋_GB2312"/>
                <w:sz w:val="24"/>
              </w:rPr>
              <w:t>5</w:t>
            </w:r>
          </w:p>
        </w:tc>
        <w:tc>
          <w:tcPr>
            <w:tcW w:w="1914" w:type="dxa"/>
            <w:tcBorders>
              <w:top w:val="single" w:color="auto" w:sz="4" w:space="0"/>
              <w:left w:val="single" w:color="auto" w:sz="4" w:space="0"/>
              <w:bottom w:val="single" w:color="auto" w:sz="4" w:space="0"/>
              <w:right w:val="single" w:color="auto" w:sz="4" w:space="0"/>
            </w:tcBorders>
            <w:noWrap/>
            <w:vAlign w:val="center"/>
          </w:tcPr>
          <w:p w14:paraId="538820E9">
            <w:pPr>
              <w:widowControl/>
              <w:spacing w:line="360" w:lineRule="auto"/>
              <w:ind w:firstLine="200"/>
              <w:jc w:val="center"/>
              <w:rPr>
                <w:rFonts w:ascii="仿宋_GB2312" w:hAnsi="楷体" w:eastAsia="仿宋_GB2312"/>
                <w:sz w:val="24"/>
              </w:rPr>
            </w:pPr>
            <w:r>
              <w:rPr>
                <w:rFonts w:hint="eastAsia" w:ascii="仿宋_GB2312" w:hAnsi="楷体" w:eastAsia="仿宋_GB2312"/>
                <w:sz w:val="24"/>
              </w:rPr>
              <w:t>其他工作</w:t>
            </w:r>
          </w:p>
        </w:tc>
        <w:tc>
          <w:tcPr>
            <w:tcW w:w="5930" w:type="dxa"/>
            <w:tcBorders>
              <w:top w:val="single" w:color="auto" w:sz="4" w:space="0"/>
              <w:left w:val="single" w:color="auto" w:sz="4" w:space="0"/>
              <w:bottom w:val="single" w:color="auto" w:sz="4" w:space="0"/>
              <w:right w:val="single" w:color="auto" w:sz="4" w:space="0"/>
            </w:tcBorders>
            <w:noWrap/>
            <w:vAlign w:val="center"/>
          </w:tcPr>
          <w:p w14:paraId="795D9A81">
            <w:pPr>
              <w:widowControl/>
              <w:spacing w:line="360" w:lineRule="auto"/>
              <w:ind w:firstLine="200"/>
              <w:jc w:val="left"/>
              <w:rPr>
                <w:rFonts w:ascii="仿宋_GB2312" w:hAnsi="楷体" w:eastAsia="仿宋_GB2312"/>
                <w:sz w:val="24"/>
              </w:rPr>
            </w:pPr>
          </w:p>
        </w:tc>
      </w:tr>
    </w:tbl>
    <w:p w14:paraId="46119E43">
      <w:pPr>
        <w:tabs>
          <w:tab w:val="left" w:pos="904"/>
        </w:tabs>
        <w:spacing w:line="360" w:lineRule="auto"/>
        <w:ind w:firstLine="480"/>
        <w:jc w:val="left"/>
        <w:rPr>
          <w:rFonts w:ascii="仿宋_GB2312" w:hAnsi="楷体" w:eastAsia="仿宋_GB2312"/>
          <w:sz w:val="24"/>
        </w:rPr>
      </w:pPr>
      <w:r>
        <w:rPr>
          <w:rFonts w:hint="eastAsia" w:ascii="仿宋_GB2312" w:hAnsi="楷体" w:eastAsia="仿宋_GB2312"/>
          <w:sz w:val="24"/>
        </w:rPr>
        <w:t>3.6.7验收资料要求</w:t>
      </w:r>
    </w:p>
    <w:p w14:paraId="10B5BA7B">
      <w:pPr>
        <w:tabs>
          <w:tab w:val="left" w:pos="904"/>
        </w:tabs>
        <w:spacing w:line="360" w:lineRule="auto"/>
        <w:ind w:firstLine="480"/>
        <w:jc w:val="left"/>
        <w:rPr>
          <w:rFonts w:ascii="仿宋_GB2312" w:hAnsi="楷体" w:eastAsia="仿宋_GB2312"/>
          <w:sz w:val="24"/>
        </w:rPr>
      </w:pPr>
      <w:r>
        <w:rPr>
          <w:rFonts w:hint="eastAsia" w:ascii="仿宋_GB2312" w:hAnsi="楷体" w:eastAsia="仿宋_GB2312"/>
          <w:sz w:val="24"/>
        </w:rPr>
        <w:t>验收资料要求包括（不限于）以下内容：</w:t>
      </w:r>
    </w:p>
    <w:p w14:paraId="6E4891E0">
      <w:pPr>
        <w:tabs>
          <w:tab w:val="left" w:pos="904"/>
        </w:tabs>
        <w:spacing w:line="360" w:lineRule="auto"/>
        <w:ind w:firstLine="240"/>
        <w:jc w:val="left"/>
        <w:rPr>
          <w:rFonts w:ascii="仿宋_GB2312" w:hAnsi="楷体" w:eastAsia="仿宋_GB2312"/>
          <w:sz w:val="24"/>
        </w:rPr>
      </w:pPr>
      <w:r>
        <w:rPr>
          <w:rFonts w:hint="eastAsia" w:ascii="仿宋_GB2312" w:hAnsi="楷体" w:eastAsia="仿宋_GB2312"/>
          <w:sz w:val="24"/>
        </w:rPr>
        <w:t>（1）采购文件；</w:t>
      </w:r>
    </w:p>
    <w:p w14:paraId="29CF37E7">
      <w:pPr>
        <w:tabs>
          <w:tab w:val="left" w:pos="904"/>
        </w:tabs>
        <w:spacing w:line="360" w:lineRule="auto"/>
        <w:ind w:firstLine="240"/>
        <w:jc w:val="left"/>
        <w:rPr>
          <w:rFonts w:ascii="仿宋_GB2312" w:hAnsi="楷体" w:eastAsia="仿宋_GB2312"/>
          <w:sz w:val="24"/>
        </w:rPr>
      </w:pPr>
      <w:r>
        <w:rPr>
          <w:rFonts w:hint="eastAsia" w:ascii="仿宋_GB2312" w:hAnsi="楷体" w:eastAsia="仿宋_GB2312"/>
          <w:sz w:val="24"/>
        </w:rPr>
        <w:t>（2）响应文件；</w:t>
      </w:r>
    </w:p>
    <w:p w14:paraId="093154F5">
      <w:pPr>
        <w:tabs>
          <w:tab w:val="left" w:pos="904"/>
        </w:tabs>
        <w:spacing w:line="360" w:lineRule="auto"/>
        <w:ind w:firstLine="240"/>
        <w:jc w:val="left"/>
        <w:rPr>
          <w:rFonts w:ascii="仿宋_GB2312" w:hAnsi="楷体" w:eastAsia="仿宋_GB2312"/>
          <w:sz w:val="24"/>
        </w:rPr>
      </w:pPr>
      <w:r>
        <w:rPr>
          <w:rFonts w:hint="eastAsia" w:ascii="仿宋_GB2312" w:hAnsi="楷体" w:eastAsia="仿宋_GB2312"/>
          <w:sz w:val="24"/>
        </w:rPr>
        <w:t>（3）采购合同；</w:t>
      </w:r>
    </w:p>
    <w:p w14:paraId="7D96BDAE">
      <w:pPr>
        <w:tabs>
          <w:tab w:val="left" w:pos="904"/>
        </w:tabs>
        <w:spacing w:line="360" w:lineRule="auto"/>
        <w:ind w:firstLine="240"/>
        <w:jc w:val="left"/>
        <w:rPr>
          <w:rFonts w:ascii="仿宋_GB2312" w:hAnsi="楷体" w:eastAsia="仿宋_GB2312"/>
          <w:sz w:val="24"/>
        </w:rPr>
      </w:pPr>
      <w:r>
        <w:rPr>
          <w:rFonts w:hint="eastAsia" w:ascii="仿宋_GB2312" w:hAnsi="楷体" w:eastAsia="仿宋_GB2312"/>
          <w:sz w:val="24"/>
        </w:rPr>
        <w:t>（4）到货核验单（需采购核验人、复核人及乙方交货人三方签字盖章）、产品拍照图片、产品说明书、产品合格证、质量保证书原件、三包凭证、产品的检测报告、原厂质保承诺函等；</w:t>
      </w:r>
    </w:p>
    <w:p w14:paraId="4906A99A">
      <w:pPr>
        <w:tabs>
          <w:tab w:val="left" w:pos="904"/>
        </w:tabs>
        <w:spacing w:line="360" w:lineRule="auto"/>
        <w:ind w:firstLine="240"/>
        <w:jc w:val="left"/>
        <w:rPr>
          <w:rFonts w:ascii="仿宋_GB2312" w:hAnsi="楷体" w:eastAsia="仿宋_GB2312"/>
          <w:sz w:val="24"/>
        </w:rPr>
      </w:pPr>
      <w:r>
        <w:rPr>
          <w:rFonts w:hint="eastAsia" w:ascii="仿宋_GB2312" w:hAnsi="楷体" w:eastAsia="仿宋_GB2312"/>
          <w:sz w:val="24"/>
        </w:rPr>
        <w:t>（5）其他需提供的相关材料。</w:t>
      </w:r>
    </w:p>
    <w:p w14:paraId="55D4C2DB">
      <w:pPr>
        <w:widowControl/>
        <w:ind w:firstLine="720"/>
        <w:jc w:val="left"/>
        <w:rPr>
          <w:rFonts w:ascii="仿宋_GB2312" w:hAnsi="楷体" w:eastAsia="仿宋_GB2312"/>
          <w:sz w:val="24"/>
        </w:rPr>
      </w:pPr>
    </w:p>
    <w:p w14:paraId="5E143E68">
      <w:pPr>
        <w:spacing w:line="360" w:lineRule="auto"/>
        <w:ind w:firstLine="480"/>
        <w:rPr>
          <w:rFonts w:ascii="仿宋_GB2312" w:hAnsi="楷体" w:eastAsia="仿宋_GB2312"/>
          <w:sz w:val="24"/>
        </w:rPr>
      </w:pPr>
    </w:p>
    <w:p w14:paraId="47AB517F">
      <w:pPr>
        <w:tabs>
          <w:tab w:val="left" w:pos="7380"/>
        </w:tabs>
        <w:spacing w:line="360" w:lineRule="auto"/>
        <w:jc w:val="center"/>
        <w:rPr>
          <w:rFonts w:ascii="仿宋_GB2312" w:hAnsi="楷体" w:eastAsia="仿宋_GB2312"/>
          <w:sz w:val="24"/>
        </w:rPr>
      </w:pPr>
    </w:p>
    <w:p w14:paraId="388A4F3E">
      <w:pPr>
        <w:tabs>
          <w:tab w:val="left" w:pos="3261"/>
        </w:tabs>
        <w:spacing w:line="360" w:lineRule="auto"/>
        <w:jc w:val="center"/>
        <w:rPr>
          <w:rFonts w:ascii="宋体" w:hAnsi="宋体" w:cs="仿宋_GB2312"/>
          <w:b/>
          <w:sz w:val="44"/>
          <w:szCs w:val="44"/>
        </w:rPr>
      </w:pPr>
    </w:p>
    <w:p w14:paraId="6B200A02">
      <w:pPr>
        <w:tabs>
          <w:tab w:val="left" w:pos="3261"/>
        </w:tabs>
        <w:spacing w:line="360" w:lineRule="auto"/>
        <w:jc w:val="center"/>
        <w:rPr>
          <w:rFonts w:ascii="宋体" w:hAnsi="宋体" w:cs="仿宋_GB2312"/>
          <w:b/>
          <w:sz w:val="44"/>
          <w:szCs w:val="44"/>
        </w:rPr>
      </w:pPr>
    </w:p>
    <w:p w14:paraId="359F718F">
      <w:pPr>
        <w:tabs>
          <w:tab w:val="left" w:pos="3261"/>
        </w:tabs>
        <w:spacing w:line="360" w:lineRule="auto"/>
        <w:jc w:val="center"/>
        <w:rPr>
          <w:rFonts w:ascii="宋体" w:hAnsi="宋体" w:cs="仿宋_GB2312"/>
          <w:b/>
          <w:sz w:val="44"/>
          <w:szCs w:val="44"/>
        </w:rPr>
      </w:pPr>
    </w:p>
    <w:p w14:paraId="4BD6A7E8">
      <w:pPr>
        <w:tabs>
          <w:tab w:val="left" w:pos="3261"/>
        </w:tabs>
        <w:spacing w:line="360" w:lineRule="auto"/>
        <w:jc w:val="center"/>
        <w:rPr>
          <w:rFonts w:ascii="宋体" w:hAnsi="宋体" w:cs="仿宋_GB2312"/>
          <w:b/>
          <w:sz w:val="44"/>
          <w:szCs w:val="44"/>
        </w:rPr>
      </w:pPr>
    </w:p>
    <w:p w14:paraId="6E3DFDFF">
      <w:pPr>
        <w:keepNext/>
        <w:keepLines/>
        <w:spacing w:before="340" w:after="330" w:line="576" w:lineRule="auto"/>
        <w:jc w:val="center"/>
        <w:outlineLvl w:val="0"/>
        <w:rPr>
          <w:rFonts w:ascii="宋体" w:hAnsi="宋体" w:cs="仿宋_GB2312"/>
          <w:bCs/>
          <w:sz w:val="44"/>
          <w:szCs w:val="44"/>
        </w:rPr>
      </w:pPr>
    </w:p>
    <w:p w14:paraId="4162D309">
      <w:pPr>
        <w:keepNext/>
        <w:keepLines/>
        <w:spacing w:before="340" w:after="330" w:line="576" w:lineRule="auto"/>
        <w:jc w:val="center"/>
        <w:outlineLvl w:val="0"/>
        <w:rPr>
          <w:rFonts w:ascii="宋体" w:hAnsi="宋体" w:cs="仿宋_GB2312"/>
          <w:bCs/>
          <w:sz w:val="44"/>
          <w:szCs w:val="44"/>
        </w:rPr>
      </w:pPr>
    </w:p>
    <w:p w14:paraId="47CC082B"/>
    <w:p w14:paraId="0F89473F"/>
    <w:p w14:paraId="30BFF5A5"/>
    <w:p w14:paraId="2A38C184">
      <w:pPr>
        <w:keepNext/>
        <w:keepLines/>
        <w:spacing w:before="340" w:after="330" w:line="576" w:lineRule="auto"/>
        <w:jc w:val="center"/>
        <w:outlineLvl w:val="0"/>
        <w:rPr>
          <w:rFonts w:ascii="宋体" w:hAnsi="宋体" w:cs="仿宋_GB2312"/>
          <w:b/>
          <w:bCs/>
          <w:sz w:val="44"/>
          <w:szCs w:val="44"/>
        </w:rPr>
      </w:pPr>
      <w:r>
        <w:rPr>
          <w:rFonts w:hint="eastAsia" w:ascii="宋体" w:hAnsi="宋体" w:cs="仿宋_GB2312"/>
          <w:bCs/>
          <w:sz w:val="44"/>
          <w:szCs w:val="44"/>
        </w:rPr>
        <w:t>第七章质疑、投诉材料格式</w:t>
      </w:r>
    </w:p>
    <w:p w14:paraId="14F56240">
      <w:pPr>
        <w:widowControl/>
        <w:spacing w:line="576" w:lineRule="auto"/>
        <w:jc w:val="left"/>
        <w:rPr>
          <w:rFonts w:ascii="宋体" w:hAnsi="宋体" w:cs="仿宋_GB2312"/>
          <w:b/>
          <w:bCs/>
          <w:sz w:val="44"/>
          <w:szCs w:val="44"/>
        </w:rPr>
        <w:sectPr>
          <w:pgSz w:w="11910" w:h="16840"/>
          <w:pgMar w:top="1340" w:right="1500" w:bottom="280" w:left="1680" w:header="720" w:footer="720" w:gutter="0"/>
          <w:cols w:space="1701" w:num="1"/>
        </w:sectPr>
      </w:pPr>
    </w:p>
    <w:p w14:paraId="29B8F26E">
      <w:pPr>
        <w:spacing w:line="360" w:lineRule="auto"/>
        <w:jc w:val="center"/>
        <w:rPr>
          <w:rFonts w:ascii="宋体" w:hAnsi="宋体"/>
          <w:b/>
          <w:bCs/>
          <w:sz w:val="32"/>
          <w:szCs w:val="32"/>
        </w:rPr>
      </w:pPr>
      <w:r>
        <w:rPr>
          <w:rFonts w:hint="eastAsia" w:ascii="宋体" w:hAnsi="宋体"/>
          <w:b/>
          <w:bCs/>
          <w:sz w:val="32"/>
          <w:szCs w:val="32"/>
        </w:rPr>
        <w:t>质疑函（格式）</w:t>
      </w:r>
    </w:p>
    <w:p w14:paraId="2FB10EC0">
      <w:pPr>
        <w:spacing w:line="360" w:lineRule="auto"/>
        <w:ind w:firstLine="482"/>
        <w:rPr>
          <w:rFonts w:ascii="宋体" w:hAnsi="宋体"/>
          <w:b/>
          <w:bCs/>
          <w:sz w:val="24"/>
        </w:rPr>
      </w:pPr>
      <w:r>
        <w:rPr>
          <w:rFonts w:hint="eastAsia" w:ascii="宋体" w:hAnsi="宋体"/>
          <w:b/>
          <w:bCs/>
          <w:sz w:val="24"/>
        </w:rPr>
        <w:t>一、质疑供应商基本信息：</w:t>
      </w:r>
    </w:p>
    <w:p w14:paraId="4FCC8959">
      <w:pPr>
        <w:spacing w:line="360" w:lineRule="auto"/>
        <w:ind w:firstLine="480"/>
        <w:rPr>
          <w:rFonts w:ascii="宋体" w:hAnsi="宋体"/>
          <w:bCs/>
          <w:sz w:val="24"/>
          <w:u w:val="single"/>
        </w:rPr>
      </w:pPr>
      <w:r>
        <w:rPr>
          <w:rFonts w:hint="eastAsia" w:ascii="宋体" w:hAnsi="宋体"/>
          <w:bCs/>
          <w:sz w:val="24"/>
        </w:rPr>
        <w:t>质疑供应商：</w:t>
      </w:r>
    </w:p>
    <w:p w14:paraId="76E95413">
      <w:pPr>
        <w:spacing w:line="360" w:lineRule="auto"/>
        <w:ind w:firstLine="480"/>
        <w:rPr>
          <w:rFonts w:ascii="宋体" w:hAnsi="宋体"/>
          <w:bCs/>
          <w:sz w:val="24"/>
        </w:rPr>
      </w:pPr>
      <w:r>
        <w:rPr>
          <w:rFonts w:hint="eastAsia" w:ascii="宋体" w:hAnsi="宋体"/>
          <w:bCs/>
          <w:sz w:val="24"/>
        </w:rPr>
        <w:t>地址：邮编：</w:t>
      </w:r>
    </w:p>
    <w:p w14:paraId="6F955FE6">
      <w:pPr>
        <w:spacing w:line="360" w:lineRule="auto"/>
        <w:ind w:firstLine="480"/>
        <w:rPr>
          <w:rFonts w:ascii="宋体" w:hAnsi="宋体"/>
          <w:bCs/>
          <w:sz w:val="24"/>
        </w:rPr>
      </w:pPr>
      <w:r>
        <w:rPr>
          <w:rFonts w:hint="eastAsia" w:ascii="宋体" w:hAnsi="宋体"/>
          <w:bCs/>
          <w:sz w:val="24"/>
        </w:rPr>
        <w:t>联系人：联系电话：</w:t>
      </w:r>
    </w:p>
    <w:p w14:paraId="6EA7658C">
      <w:pPr>
        <w:spacing w:line="360" w:lineRule="auto"/>
        <w:ind w:firstLine="480"/>
        <w:rPr>
          <w:rFonts w:ascii="宋体" w:hAnsi="宋体"/>
          <w:bCs/>
          <w:sz w:val="24"/>
        </w:rPr>
      </w:pPr>
      <w:r>
        <w:rPr>
          <w:rFonts w:hint="eastAsia" w:ascii="宋体" w:hAnsi="宋体"/>
          <w:bCs/>
          <w:sz w:val="24"/>
        </w:rPr>
        <w:t>授权代表：</w:t>
      </w:r>
    </w:p>
    <w:p w14:paraId="5A4B68E0">
      <w:pPr>
        <w:spacing w:line="360" w:lineRule="auto"/>
        <w:ind w:firstLine="480"/>
        <w:rPr>
          <w:rFonts w:ascii="宋体" w:hAnsi="宋体"/>
          <w:bCs/>
          <w:sz w:val="24"/>
          <w:u w:val="single"/>
        </w:rPr>
      </w:pPr>
      <w:r>
        <w:rPr>
          <w:rFonts w:hint="eastAsia" w:ascii="宋体" w:hAnsi="宋体"/>
          <w:bCs/>
          <w:sz w:val="24"/>
        </w:rPr>
        <w:t>联系电话：</w:t>
      </w:r>
    </w:p>
    <w:p w14:paraId="345290E1">
      <w:pPr>
        <w:spacing w:line="360" w:lineRule="auto"/>
        <w:ind w:firstLine="480"/>
        <w:rPr>
          <w:rFonts w:ascii="宋体" w:hAnsi="宋体"/>
          <w:bCs/>
          <w:sz w:val="24"/>
        </w:rPr>
      </w:pPr>
      <w:r>
        <w:rPr>
          <w:rFonts w:hint="eastAsia" w:ascii="宋体" w:hAnsi="宋体"/>
          <w:bCs/>
          <w:sz w:val="24"/>
        </w:rPr>
        <w:t>地址：邮编：</w:t>
      </w:r>
    </w:p>
    <w:p w14:paraId="36D73FAD">
      <w:pPr>
        <w:spacing w:line="360" w:lineRule="auto"/>
        <w:ind w:firstLine="482"/>
        <w:rPr>
          <w:rFonts w:ascii="宋体" w:hAnsi="宋体"/>
          <w:b/>
          <w:bCs/>
          <w:sz w:val="24"/>
        </w:rPr>
      </w:pPr>
      <w:r>
        <w:rPr>
          <w:rFonts w:hint="eastAsia" w:ascii="宋体" w:hAnsi="宋体"/>
          <w:b/>
          <w:bCs/>
          <w:sz w:val="24"/>
        </w:rPr>
        <w:t>二、质疑项目基本情况：</w:t>
      </w:r>
    </w:p>
    <w:p w14:paraId="60A5106B">
      <w:pPr>
        <w:spacing w:line="360" w:lineRule="auto"/>
        <w:ind w:left="25" w:firstLine="472"/>
        <w:contextualSpacing/>
        <w:rPr>
          <w:rFonts w:ascii="宋体" w:hAnsi="宋体"/>
          <w:sz w:val="24"/>
        </w:rPr>
      </w:pPr>
      <w:r>
        <w:rPr>
          <w:rFonts w:hint="eastAsia" w:ascii="宋体" w:hAnsi="宋体"/>
          <w:bCs/>
          <w:sz w:val="24"/>
        </w:rPr>
        <w:t>质疑</w:t>
      </w:r>
      <w:r>
        <w:rPr>
          <w:rFonts w:hint="eastAsia" w:ascii="宋体" w:hAnsi="宋体"/>
          <w:sz w:val="24"/>
        </w:rPr>
        <w:t>项目的名称：</w:t>
      </w:r>
      <w:r>
        <w:rPr>
          <w:rFonts w:hint="eastAsia" w:ascii="宋体" w:hAnsi="宋体"/>
          <w:bCs/>
          <w:sz w:val="24"/>
          <w:u w:val="single"/>
        </w:rPr>
        <w:t>[项目采购-项目名称_]</w:t>
      </w:r>
    </w:p>
    <w:p w14:paraId="408033B2">
      <w:pPr>
        <w:spacing w:line="360" w:lineRule="auto"/>
        <w:ind w:left="25" w:firstLine="472"/>
        <w:contextualSpacing/>
        <w:rPr>
          <w:rFonts w:ascii="宋体" w:hAnsi="宋体"/>
          <w:sz w:val="24"/>
        </w:rPr>
      </w:pPr>
      <w:r>
        <w:rPr>
          <w:rFonts w:hint="eastAsia" w:ascii="宋体" w:hAnsi="宋体"/>
          <w:bCs/>
          <w:sz w:val="24"/>
        </w:rPr>
        <w:t>质疑</w:t>
      </w:r>
      <w:r>
        <w:rPr>
          <w:rFonts w:hint="eastAsia" w:ascii="宋体" w:hAnsi="宋体"/>
          <w:sz w:val="24"/>
        </w:rPr>
        <w:t>项目的编号：</w:t>
      </w:r>
      <w:r>
        <w:rPr>
          <w:rFonts w:hint="eastAsia" w:ascii="宋体" w:hAnsi="宋体"/>
          <w:bCs/>
          <w:sz w:val="24"/>
          <w:u w:val="single"/>
        </w:rPr>
        <w:t>[项目采购-项目编号_]</w:t>
      </w:r>
    </w:p>
    <w:p w14:paraId="080E6516">
      <w:pPr>
        <w:spacing w:line="360" w:lineRule="auto"/>
        <w:ind w:left="25" w:firstLine="472"/>
        <w:contextualSpacing/>
        <w:rPr>
          <w:rFonts w:ascii="宋体" w:hAnsi="宋体"/>
          <w:sz w:val="24"/>
        </w:rPr>
      </w:pPr>
      <w:r>
        <w:rPr>
          <w:rFonts w:hint="eastAsia" w:ascii="宋体" w:hAnsi="宋体"/>
          <w:sz w:val="24"/>
        </w:rPr>
        <w:t>采购人名称：</w:t>
      </w:r>
      <w:r>
        <w:rPr>
          <w:rFonts w:hint="eastAsia" w:ascii="宋体" w:hAnsi="宋体"/>
          <w:bCs/>
          <w:sz w:val="24"/>
          <w:u w:val="single"/>
        </w:rPr>
        <w:t>[项目采购-采购人_]</w:t>
      </w:r>
    </w:p>
    <w:p w14:paraId="0ECE9F1A">
      <w:pPr>
        <w:spacing w:line="360" w:lineRule="auto"/>
        <w:ind w:left="25" w:firstLine="472"/>
        <w:contextualSpacing/>
        <w:rPr>
          <w:rFonts w:ascii="宋体" w:hAnsi="宋体"/>
          <w:sz w:val="24"/>
        </w:rPr>
      </w:pPr>
      <w:r>
        <w:rPr>
          <w:rFonts w:hint="eastAsia" w:ascii="宋体" w:hAnsi="宋体"/>
          <w:sz w:val="24"/>
        </w:rPr>
        <w:t>质疑事项：</w:t>
      </w:r>
    </w:p>
    <w:p w14:paraId="7C5C6305">
      <w:pPr>
        <w:spacing w:line="360" w:lineRule="auto"/>
        <w:ind w:left="25" w:firstLine="352"/>
        <w:contextualSpacing/>
        <w:rPr>
          <w:rFonts w:ascii="宋体" w:hAnsi="宋体"/>
          <w:sz w:val="24"/>
        </w:rPr>
      </w:pPr>
      <w:r>
        <w:rPr>
          <w:rFonts w:hint="eastAsia" w:ascii="宋体" w:hAnsi="宋体"/>
          <w:sz w:val="24"/>
        </w:rPr>
        <w:t>□采购文件采购文件获取日期：</w:t>
      </w:r>
    </w:p>
    <w:p w14:paraId="47CC498B">
      <w:pPr>
        <w:spacing w:line="360" w:lineRule="auto"/>
        <w:ind w:left="25" w:firstLine="352"/>
        <w:contextualSpacing/>
        <w:rPr>
          <w:rFonts w:ascii="宋体" w:hAnsi="宋体"/>
          <w:sz w:val="24"/>
        </w:rPr>
      </w:pPr>
      <w:r>
        <w:rPr>
          <w:rFonts w:hint="eastAsia" w:ascii="宋体" w:hAnsi="宋体"/>
          <w:sz w:val="24"/>
        </w:rPr>
        <w:t>□采购过程</w:t>
      </w:r>
    </w:p>
    <w:p w14:paraId="4EC9EA31">
      <w:pPr>
        <w:spacing w:line="360" w:lineRule="auto"/>
        <w:ind w:left="25" w:firstLine="352"/>
        <w:contextualSpacing/>
        <w:rPr>
          <w:rFonts w:ascii="宋体" w:hAnsi="宋体"/>
          <w:bCs/>
          <w:sz w:val="24"/>
          <w:u w:val="single"/>
        </w:rPr>
      </w:pPr>
      <w:r>
        <w:rPr>
          <w:rFonts w:hint="eastAsia" w:ascii="宋体" w:hAnsi="宋体"/>
          <w:sz w:val="24"/>
        </w:rPr>
        <w:t>□成交结果</w:t>
      </w:r>
    </w:p>
    <w:p w14:paraId="5E3A345E">
      <w:pPr>
        <w:spacing w:line="360" w:lineRule="auto"/>
        <w:ind w:left="25" w:firstLine="472"/>
        <w:contextualSpacing/>
        <w:rPr>
          <w:rFonts w:ascii="宋体" w:hAnsi="宋体"/>
          <w:b/>
          <w:sz w:val="24"/>
        </w:rPr>
      </w:pPr>
      <w:r>
        <w:rPr>
          <w:rFonts w:hint="eastAsia" w:ascii="宋体" w:hAnsi="宋体"/>
          <w:b/>
          <w:sz w:val="24"/>
        </w:rPr>
        <w:t>三、质疑事项具体内容</w:t>
      </w:r>
    </w:p>
    <w:p w14:paraId="25F3DABD">
      <w:pPr>
        <w:spacing w:line="360" w:lineRule="auto"/>
        <w:ind w:left="25" w:firstLine="472"/>
        <w:contextualSpacing/>
        <w:rPr>
          <w:rFonts w:ascii="宋体" w:hAnsi="宋体"/>
          <w:sz w:val="24"/>
        </w:rPr>
      </w:pPr>
      <w:r>
        <w:rPr>
          <w:rFonts w:hint="eastAsia" w:ascii="宋体" w:hAnsi="宋体"/>
          <w:sz w:val="24"/>
        </w:rPr>
        <w:t>质疑事项1：</w:t>
      </w:r>
    </w:p>
    <w:p w14:paraId="648341A0">
      <w:pPr>
        <w:spacing w:line="360" w:lineRule="auto"/>
        <w:ind w:left="25" w:firstLine="472"/>
        <w:contextualSpacing/>
        <w:rPr>
          <w:rFonts w:ascii="宋体" w:hAnsi="宋体"/>
          <w:sz w:val="24"/>
        </w:rPr>
      </w:pPr>
      <w:r>
        <w:rPr>
          <w:rFonts w:hint="eastAsia" w:ascii="宋体" w:hAnsi="宋体"/>
          <w:sz w:val="24"/>
        </w:rPr>
        <w:t>事实依据：</w:t>
      </w:r>
    </w:p>
    <w:p w14:paraId="503DD262">
      <w:pPr>
        <w:spacing w:line="360" w:lineRule="auto"/>
        <w:ind w:left="25" w:firstLine="472"/>
        <w:contextualSpacing/>
        <w:rPr>
          <w:rFonts w:ascii="宋体" w:hAnsi="宋体"/>
          <w:sz w:val="24"/>
        </w:rPr>
      </w:pPr>
      <w:r>
        <w:rPr>
          <w:rFonts w:hint="eastAsia" w:ascii="宋体" w:hAnsi="宋体"/>
          <w:sz w:val="24"/>
        </w:rPr>
        <w:t>法律依据：</w:t>
      </w:r>
    </w:p>
    <w:p w14:paraId="40160EDE">
      <w:pPr>
        <w:spacing w:line="360" w:lineRule="auto"/>
        <w:ind w:left="25" w:firstLine="472"/>
        <w:contextualSpacing/>
        <w:rPr>
          <w:rFonts w:ascii="宋体" w:hAnsi="宋体"/>
          <w:sz w:val="24"/>
        </w:rPr>
      </w:pPr>
      <w:r>
        <w:rPr>
          <w:rFonts w:hint="eastAsia" w:ascii="宋体" w:hAnsi="宋体"/>
          <w:sz w:val="24"/>
        </w:rPr>
        <w:t>质疑事项2</w:t>
      </w:r>
    </w:p>
    <w:p w14:paraId="13CF9581">
      <w:pPr>
        <w:spacing w:line="360" w:lineRule="auto"/>
        <w:ind w:left="25" w:firstLine="472"/>
        <w:contextualSpacing/>
        <w:rPr>
          <w:rFonts w:ascii="宋体" w:hAnsi="宋体"/>
          <w:sz w:val="24"/>
        </w:rPr>
      </w:pPr>
      <w:r>
        <w:rPr>
          <w:rFonts w:hint="eastAsia" w:ascii="宋体" w:hAnsi="宋体"/>
          <w:sz w:val="24"/>
        </w:rPr>
        <w:t>……</w:t>
      </w:r>
    </w:p>
    <w:p w14:paraId="49D2C804">
      <w:pPr>
        <w:spacing w:line="360" w:lineRule="auto"/>
        <w:ind w:left="25" w:firstLine="472"/>
        <w:contextualSpacing/>
        <w:rPr>
          <w:rFonts w:ascii="宋体" w:hAnsi="宋体"/>
          <w:sz w:val="24"/>
        </w:rPr>
      </w:pPr>
      <w:r>
        <w:rPr>
          <w:rFonts w:hint="eastAsia" w:ascii="宋体" w:hAnsi="宋体"/>
          <w:sz w:val="24"/>
        </w:rPr>
        <w:t>四、与质疑事项相关的质疑请求：</w:t>
      </w:r>
    </w:p>
    <w:p w14:paraId="5D7830D5">
      <w:pPr>
        <w:spacing w:line="360" w:lineRule="auto"/>
        <w:ind w:left="25" w:firstLine="472"/>
        <w:contextualSpacing/>
        <w:rPr>
          <w:rFonts w:ascii="宋体" w:hAnsi="宋体"/>
          <w:sz w:val="24"/>
        </w:rPr>
      </w:pPr>
      <w:r>
        <w:rPr>
          <w:rFonts w:hint="eastAsia" w:ascii="宋体" w:hAnsi="宋体"/>
          <w:sz w:val="24"/>
        </w:rPr>
        <w:t>请求：</w:t>
      </w:r>
    </w:p>
    <w:p w14:paraId="54A18F47">
      <w:pPr>
        <w:spacing w:line="360" w:lineRule="auto"/>
        <w:ind w:left="25" w:firstLine="352"/>
        <w:contextualSpacing/>
        <w:rPr>
          <w:rFonts w:ascii="宋体" w:hAnsi="宋体"/>
          <w:sz w:val="24"/>
        </w:rPr>
      </w:pPr>
    </w:p>
    <w:p w14:paraId="53B8204C">
      <w:pPr>
        <w:spacing w:line="360" w:lineRule="auto"/>
        <w:ind w:left="25" w:firstLine="472"/>
        <w:contextualSpacing/>
        <w:rPr>
          <w:rFonts w:ascii="宋体" w:hAnsi="宋体"/>
          <w:sz w:val="24"/>
        </w:rPr>
      </w:pPr>
      <w:r>
        <w:rPr>
          <w:rFonts w:hint="eastAsia" w:ascii="宋体" w:hAnsi="宋体"/>
          <w:sz w:val="24"/>
        </w:rPr>
        <w:t>签字（签章）：公章：</w:t>
      </w:r>
    </w:p>
    <w:p w14:paraId="24FCA8DD">
      <w:pPr>
        <w:spacing w:line="360" w:lineRule="auto"/>
        <w:ind w:left="25" w:firstLine="352"/>
        <w:contextualSpacing/>
        <w:rPr>
          <w:rFonts w:ascii="宋体" w:hAnsi="宋体"/>
          <w:sz w:val="24"/>
        </w:rPr>
      </w:pPr>
    </w:p>
    <w:p w14:paraId="2766BE05">
      <w:pPr>
        <w:spacing w:line="360" w:lineRule="auto"/>
        <w:ind w:left="25" w:firstLine="472"/>
        <w:contextualSpacing/>
        <w:rPr>
          <w:rFonts w:ascii="宋体" w:hAnsi="宋体"/>
          <w:sz w:val="24"/>
        </w:rPr>
      </w:pPr>
      <w:r>
        <w:rPr>
          <w:rFonts w:hint="eastAsia" w:ascii="宋体" w:hAnsi="宋体"/>
          <w:sz w:val="24"/>
        </w:rPr>
        <w:t>日期：</w:t>
      </w:r>
    </w:p>
    <w:p w14:paraId="1A9D8A50">
      <w:pPr>
        <w:spacing w:line="360" w:lineRule="auto"/>
        <w:ind w:firstLine="482"/>
        <w:rPr>
          <w:rFonts w:ascii="宋体" w:hAnsi="宋体"/>
          <w:b/>
          <w:sz w:val="24"/>
        </w:rPr>
      </w:pPr>
    </w:p>
    <w:p w14:paraId="1F65FE17">
      <w:pPr>
        <w:spacing w:line="360" w:lineRule="auto"/>
        <w:ind w:firstLine="482"/>
        <w:rPr>
          <w:rFonts w:ascii="宋体" w:hAnsi="宋体"/>
          <w:b/>
          <w:sz w:val="24"/>
        </w:rPr>
      </w:pPr>
    </w:p>
    <w:p w14:paraId="13DF25E4">
      <w:pPr>
        <w:spacing w:line="360" w:lineRule="auto"/>
        <w:ind w:firstLine="482"/>
        <w:rPr>
          <w:rFonts w:ascii="宋体" w:hAnsi="宋体"/>
          <w:b/>
          <w:sz w:val="24"/>
        </w:rPr>
      </w:pPr>
      <w:r>
        <w:rPr>
          <w:rFonts w:hint="eastAsia" w:ascii="宋体" w:hAnsi="宋体"/>
          <w:b/>
          <w:sz w:val="24"/>
        </w:rPr>
        <w:t>说明：</w:t>
      </w:r>
    </w:p>
    <w:p w14:paraId="1AC74D1F">
      <w:pPr>
        <w:spacing w:line="360" w:lineRule="auto"/>
        <w:ind w:left="25" w:firstLine="354"/>
        <w:contextualSpacing/>
        <w:rPr>
          <w:rFonts w:ascii="宋体" w:hAnsi="宋体"/>
          <w:b/>
          <w:bCs/>
          <w:sz w:val="24"/>
        </w:rPr>
      </w:pPr>
      <w:r>
        <w:rPr>
          <w:rFonts w:hint="eastAsia" w:ascii="宋体" w:hAnsi="宋体"/>
          <w:b/>
          <w:sz w:val="24"/>
        </w:rPr>
        <w:t>1.供应商提出质疑时，应提交质疑函和必要的证明材料</w:t>
      </w:r>
      <w:r>
        <w:rPr>
          <w:rFonts w:hint="eastAsia" w:ascii="宋体" w:hAnsi="宋体"/>
          <w:b/>
          <w:bCs/>
          <w:sz w:val="24"/>
        </w:rPr>
        <w:t>。</w:t>
      </w:r>
    </w:p>
    <w:p w14:paraId="677C6716">
      <w:pPr>
        <w:spacing w:line="360" w:lineRule="auto"/>
        <w:ind w:left="25" w:firstLine="354"/>
        <w:contextualSpacing/>
        <w:rPr>
          <w:rFonts w:ascii="宋体" w:hAnsi="宋体"/>
          <w:b/>
          <w:sz w:val="24"/>
        </w:rPr>
      </w:pPr>
      <w:r>
        <w:rPr>
          <w:rFonts w:hint="eastAsia" w:ascii="宋体" w:hAnsi="宋体"/>
          <w:b/>
          <w:sz w:val="24"/>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4F5FC0F1">
      <w:pPr>
        <w:spacing w:line="360" w:lineRule="auto"/>
        <w:ind w:left="25" w:firstLine="354"/>
        <w:contextualSpacing/>
        <w:rPr>
          <w:rFonts w:ascii="宋体" w:hAnsi="宋体"/>
          <w:b/>
          <w:sz w:val="24"/>
        </w:rPr>
      </w:pPr>
      <w:r>
        <w:rPr>
          <w:rFonts w:hint="eastAsia" w:ascii="宋体" w:hAnsi="宋体"/>
          <w:b/>
          <w:sz w:val="24"/>
        </w:rPr>
        <w:t>3.质疑函的质疑事项应具体、明确，并有必要的事实依据和法律依据。</w:t>
      </w:r>
    </w:p>
    <w:p w14:paraId="0C7432B1">
      <w:pPr>
        <w:spacing w:line="360" w:lineRule="auto"/>
        <w:ind w:left="25" w:firstLine="354"/>
        <w:contextualSpacing/>
        <w:rPr>
          <w:rFonts w:ascii="宋体" w:hAnsi="宋体"/>
          <w:b/>
          <w:sz w:val="24"/>
        </w:rPr>
      </w:pPr>
      <w:r>
        <w:rPr>
          <w:rFonts w:hint="eastAsia" w:ascii="宋体" w:hAnsi="宋体"/>
          <w:b/>
          <w:sz w:val="24"/>
        </w:rPr>
        <w:t>4.质疑函的质疑请求应与质疑事项相关。</w:t>
      </w:r>
    </w:p>
    <w:p w14:paraId="6ACC7C4C">
      <w:pPr>
        <w:spacing w:line="360" w:lineRule="auto"/>
        <w:ind w:left="25" w:firstLine="354"/>
        <w:contextualSpacing/>
        <w:rPr>
          <w:rFonts w:ascii="宋体" w:hAnsi="宋体"/>
          <w:b/>
          <w:sz w:val="20"/>
          <w:szCs w:val="21"/>
        </w:rPr>
      </w:pPr>
      <w:r>
        <w:rPr>
          <w:rFonts w:hint="eastAsia" w:ascii="宋体" w:hAnsi="宋体"/>
          <w:b/>
          <w:sz w:val="24"/>
        </w:rPr>
        <w:t>5.质疑供应商为法人或者其他组织的，质疑函应由法定代表人、主要负责人，或者其授权代表签字或者盖章，并加盖公章。</w:t>
      </w:r>
    </w:p>
    <w:p w14:paraId="64DC9FB3">
      <w:pPr>
        <w:ind w:firstLine="482"/>
        <w:rPr>
          <w:rFonts w:ascii="宋体" w:hAnsi="Courier New"/>
          <w:b/>
          <w:sz w:val="24"/>
        </w:rPr>
      </w:pPr>
    </w:p>
    <w:p w14:paraId="429A3039">
      <w:pPr>
        <w:spacing w:line="460" w:lineRule="exact"/>
        <w:jc w:val="center"/>
        <w:rPr>
          <w:rFonts w:eastAsia="隶书"/>
          <w:sz w:val="44"/>
        </w:rPr>
      </w:pPr>
      <w:r>
        <w:rPr>
          <w:rFonts w:eastAsia="隶书"/>
          <w:sz w:val="44"/>
        </w:rPr>
        <w:br w:type="page" w:clear="all"/>
      </w:r>
    </w:p>
    <w:p w14:paraId="7144ED10">
      <w:pPr>
        <w:spacing w:line="360" w:lineRule="auto"/>
        <w:jc w:val="center"/>
        <w:rPr>
          <w:rFonts w:ascii="宋体" w:hAnsi="宋体"/>
          <w:b/>
          <w:bCs/>
          <w:sz w:val="32"/>
          <w:szCs w:val="32"/>
        </w:rPr>
      </w:pPr>
      <w:r>
        <w:rPr>
          <w:rFonts w:hint="eastAsia" w:ascii="宋体" w:hAnsi="宋体"/>
          <w:b/>
          <w:bCs/>
          <w:sz w:val="32"/>
          <w:szCs w:val="32"/>
        </w:rPr>
        <w:t>投诉书（格式）</w:t>
      </w:r>
    </w:p>
    <w:p w14:paraId="4280AE88">
      <w:pPr>
        <w:spacing w:line="360" w:lineRule="auto"/>
        <w:ind w:firstLine="482"/>
        <w:rPr>
          <w:rFonts w:ascii="宋体" w:hAnsi="宋体"/>
          <w:b/>
          <w:bCs/>
          <w:sz w:val="24"/>
        </w:rPr>
      </w:pPr>
      <w:r>
        <w:rPr>
          <w:rFonts w:hint="eastAsia" w:ascii="宋体" w:hAnsi="宋体"/>
          <w:b/>
          <w:bCs/>
          <w:sz w:val="24"/>
        </w:rPr>
        <w:t>一、投诉相关主体基本情况：</w:t>
      </w:r>
    </w:p>
    <w:p w14:paraId="2FDD9AFA">
      <w:pPr>
        <w:spacing w:line="360" w:lineRule="auto"/>
        <w:ind w:firstLine="480"/>
        <w:rPr>
          <w:rFonts w:ascii="宋体" w:hAnsi="宋体"/>
          <w:bCs/>
          <w:sz w:val="24"/>
          <w:u w:val="single"/>
        </w:rPr>
      </w:pPr>
      <w:r>
        <w:rPr>
          <w:rFonts w:hint="eastAsia" w:ascii="宋体" w:hAnsi="宋体"/>
          <w:bCs/>
          <w:sz w:val="24"/>
        </w:rPr>
        <w:t>供应商：</w:t>
      </w:r>
    </w:p>
    <w:p w14:paraId="20F74248">
      <w:pPr>
        <w:spacing w:line="360" w:lineRule="auto"/>
        <w:ind w:firstLine="480"/>
        <w:rPr>
          <w:rFonts w:ascii="宋体" w:hAnsi="宋体"/>
          <w:bCs/>
          <w:sz w:val="24"/>
        </w:rPr>
      </w:pPr>
      <w:r>
        <w:rPr>
          <w:rFonts w:hint="eastAsia" w:ascii="宋体" w:hAnsi="宋体"/>
          <w:bCs/>
          <w:sz w:val="24"/>
        </w:rPr>
        <w:t>地址：邮编：</w:t>
      </w:r>
    </w:p>
    <w:p w14:paraId="7BF7C05D">
      <w:pPr>
        <w:spacing w:line="360" w:lineRule="auto"/>
        <w:ind w:firstLine="480"/>
        <w:rPr>
          <w:rFonts w:ascii="宋体" w:hAnsi="宋体"/>
          <w:bCs/>
          <w:sz w:val="24"/>
          <w:u w:val="single"/>
        </w:rPr>
      </w:pPr>
      <w:r>
        <w:rPr>
          <w:rFonts w:hint="eastAsia" w:ascii="宋体" w:hAnsi="宋体"/>
          <w:bCs/>
          <w:sz w:val="24"/>
        </w:rPr>
        <w:t>法定代表人/主要负责人：</w:t>
      </w:r>
    </w:p>
    <w:p w14:paraId="4CAD645E">
      <w:pPr>
        <w:spacing w:line="360" w:lineRule="auto"/>
        <w:ind w:firstLine="480"/>
        <w:rPr>
          <w:rFonts w:ascii="宋体" w:hAnsi="宋体"/>
          <w:bCs/>
          <w:sz w:val="24"/>
        </w:rPr>
      </w:pPr>
      <w:r>
        <w:rPr>
          <w:rFonts w:hint="eastAsia" w:ascii="宋体" w:hAnsi="宋体"/>
          <w:bCs/>
          <w:sz w:val="24"/>
        </w:rPr>
        <w:t>联系电话：</w:t>
      </w:r>
    </w:p>
    <w:p w14:paraId="20F7C5CF">
      <w:pPr>
        <w:spacing w:line="360" w:lineRule="auto"/>
        <w:ind w:firstLine="480"/>
        <w:rPr>
          <w:rFonts w:ascii="宋体" w:hAnsi="宋体"/>
          <w:bCs/>
          <w:sz w:val="24"/>
          <w:u w:val="single"/>
        </w:rPr>
      </w:pPr>
      <w:r>
        <w:rPr>
          <w:rFonts w:hint="eastAsia" w:ascii="宋体" w:hAnsi="宋体"/>
          <w:bCs/>
          <w:sz w:val="24"/>
        </w:rPr>
        <w:t>授权代表：联系电话：</w:t>
      </w:r>
    </w:p>
    <w:p w14:paraId="40634970">
      <w:pPr>
        <w:spacing w:line="360" w:lineRule="auto"/>
        <w:ind w:firstLine="480"/>
        <w:rPr>
          <w:rFonts w:ascii="宋体" w:hAnsi="宋体"/>
          <w:bCs/>
          <w:sz w:val="24"/>
          <w:u w:val="single"/>
        </w:rPr>
      </w:pPr>
      <w:r>
        <w:rPr>
          <w:rFonts w:hint="eastAsia" w:ascii="宋体" w:hAnsi="宋体"/>
          <w:bCs/>
          <w:sz w:val="24"/>
        </w:rPr>
        <w:t>地址：</w:t>
      </w:r>
    </w:p>
    <w:p w14:paraId="36EF80AB">
      <w:pPr>
        <w:spacing w:line="360" w:lineRule="auto"/>
        <w:ind w:firstLine="480"/>
        <w:rPr>
          <w:rFonts w:ascii="宋体" w:hAnsi="宋体"/>
          <w:bCs/>
          <w:sz w:val="24"/>
        </w:rPr>
      </w:pPr>
      <w:r>
        <w:rPr>
          <w:rFonts w:hint="eastAsia" w:ascii="宋体" w:hAnsi="宋体"/>
          <w:bCs/>
          <w:sz w:val="24"/>
        </w:rPr>
        <w:t>邮编：</w:t>
      </w:r>
    </w:p>
    <w:p w14:paraId="47031BF2">
      <w:pPr>
        <w:spacing w:line="360" w:lineRule="auto"/>
        <w:ind w:firstLine="480"/>
        <w:rPr>
          <w:rFonts w:ascii="宋体" w:hAnsi="宋体"/>
          <w:bCs/>
          <w:sz w:val="24"/>
        </w:rPr>
      </w:pPr>
      <w:r>
        <w:rPr>
          <w:rFonts w:hint="eastAsia" w:ascii="宋体" w:hAnsi="宋体"/>
          <w:bCs/>
          <w:sz w:val="24"/>
        </w:rPr>
        <w:t>被投诉人1：</w:t>
      </w:r>
    </w:p>
    <w:p w14:paraId="26A9067E">
      <w:pPr>
        <w:spacing w:line="360" w:lineRule="auto"/>
        <w:ind w:firstLine="480"/>
        <w:rPr>
          <w:rFonts w:ascii="宋体" w:hAnsi="宋体"/>
          <w:bCs/>
          <w:sz w:val="24"/>
          <w:u w:val="single"/>
        </w:rPr>
      </w:pPr>
      <w:r>
        <w:rPr>
          <w:rFonts w:hint="eastAsia" w:ascii="宋体" w:hAnsi="宋体"/>
          <w:bCs/>
          <w:sz w:val="24"/>
        </w:rPr>
        <w:t>地址：</w:t>
      </w:r>
    </w:p>
    <w:p w14:paraId="0B475470">
      <w:pPr>
        <w:spacing w:line="360" w:lineRule="auto"/>
        <w:ind w:firstLine="480"/>
        <w:rPr>
          <w:rFonts w:ascii="宋体" w:hAnsi="宋体"/>
          <w:bCs/>
          <w:sz w:val="24"/>
        </w:rPr>
      </w:pPr>
      <w:r>
        <w:rPr>
          <w:rFonts w:hint="eastAsia" w:ascii="宋体" w:hAnsi="宋体"/>
          <w:bCs/>
          <w:sz w:val="24"/>
        </w:rPr>
        <w:t>邮编：</w:t>
      </w:r>
    </w:p>
    <w:p w14:paraId="4B9A0AE7">
      <w:pPr>
        <w:spacing w:line="360" w:lineRule="auto"/>
        <w:ind w:firstLine="480"/>
        <w:rPr>
          <w:rFonts w:ascii="宋体" w:hAnsi="宋体"/>
          <w:bCs/>
          <w:sz w:val="24"/>
          <w:u w:val="single"/>
        </w:rPr>
      </w:pPr>
      <w:r>
        <w:rPr>
          <w:rFonts w:hint="eastAsia" w:ascii="宋体" w:hAnsi="宋体"/>
          <w:bCs/>
          <w:sz w:val="24"/>
        </w:rPr>
        <w:t>联系人：联系电话：</w:t>
      </w:r>
    </w:p>
    <w:p w14:paraId="6CE28966">
      <w:pPr>
        <w:spacing w:line="360" w:lineRule="auto"/>
        <w:ind w:firstLine="480"/>
        <w:rPr>
          <w:rFonts w:ascii="宋体" w:hAnsi="宋体"/>
          <w:bCs/>
          <w:sz w:val="24"/>
        </w:rPr>
      </w:pPr>
      <w:r>
        <w:rPr>
          <w:rFonts w:hint="eastAsia" w:ascii="宋体" w:hAnsi="宋体"/>
          <w:bCs/>
          <w:sz w:val="24"/>
        </w:rPr>
        <w:t>被投诉人2：</w:t>
      </w:r>
    </w:p>
    <w:p w14:paraId="41556AA4">
      <w:pPr>
        <w:spacing w:line="360" w:lineRule="auto"/>
        <w:ind w:firstLine="480"/>
        <w:rPr>
          <w:rFonts w:ascii="宋体" w:hAnsi="宋体"/>
          <w:bCs/>
          <w:sz w:val="24"/>
        </w:rPr>
      </w:pPr>
      <w:r>
        <w:rPr>
          <w:rFonts w:hint="eastAsia" w:ascii="宋体" w:hAnsi="宋体"/>
          <w:bCs/>
          <w:sz w:val="24"/>
        </w:rPr>
        <w:t>……</w:t>
      </w:r>
    </w:p>
    <w:p w14:paraId="47CFFBCF">
      <w:pPr>
        <w:spacing w:line="360" w:lineRule="auto"/>
        <w:ind w:firstLine="480"/>
        <w:rPr>
          <w:rFonts w:ascii="宋体" w:hAnsi="宋体"/>
          <w:bCs/>
          <w:sz w:val="24"/>
          <w:u w:val="single"/>
        </w:rPr>
      </w:pPr>
      <w:r>
        <w:rPr>
          <w:rFonts w:hint="eastAsia" w:ascii="宋体" w:hAnsi="宋体"/>
          <w:bCs/>
          <w:sz w:val="24"/>
        </w:rPr>
        <w:t>相关供应商：</w:t>
      </w:r>
    </w:p>
    <w:p w14:paraId="5E2ADCAB">
      <w:pPr>
        <w:spacing w:line="360" w:lineRule="auto"/>
        <w:ind w:firstLine="480"/>
        <w:rPr>
          <w:rFonts w:ascii="宋体" w:hAnsi="宋体"/>
          <w:bCs/>
          <w:sz w:val="24"/>
          <w:u w:val="single"/>
        </w:rPr>
      </w:pPr>
      <w:r>
        <w:rPr>
          <w:rFonts w:hint="eastAsia" w:ascii="宋体" w:hAnsi="宋体"/>
          <w:bCs/>
          <w:sz w:val="24"/>
        </w:rPr>
        <w:t>地址：邮编：</w:t>
      </w:r>
    </w:p>
    <w:p w14:paraId="715F090C">
      <w:pPr>
        <w:spacing w:line="360" w:lineRule="auto"/>
        <w:ind w:firstLine="480"/>
        <w:rPr>
          <w:rFonts w:ascii="宋体" w:hAnsi="宋体"/>
          <w:bCs/>
          <w:sz w:val="24"/>
        </w:rPr>
      </w:pPr>
      <w:r>
        <w:rPr>
          <w:rFonts w:hint="eastAsia" w:ascii="宋体" w:hAnsi="宋体"/>
          <w:bCs/>
          <w:sz w:val="24"/>
        </w:rPr>
        <w:t>联系人：联系电话：</w:t>
      </w:r>
    </w:p>
    <w:p w14:paraId="7277D658">
      <w:pPr>
        <w:spacing w:line="360" w:lineRule="auto"/>
        <w:ind w:firstLine="482"/>
        <w:rPr>
          <w:rFonts w:ascii="宋体" w:hAnsi="宋体"/>
          <w:b/>
          <w:bCs/>
          <w:sz w:val="24"/>
        </w:rPr>
      </w:pPr>
      <w:r>
        <w:rPr>
          <w:rFonts w:hint="eastAsia" w:ascii="宋体" w:hAnsi="宋体"/>
          <w:b/>
          <w:bCs/>
          <w:sz w:val="24"/>
        </w:rPr>
        <w:t>二、投诉项目基本情况：</w:t>
      </w:r>
    </w:p>
    <w:p w14:paraId="0AEFB757">
      <w:pPr>
        <w:spacing w:line="360" w:lineRule="auto"/>
        <w:ind w:left="25" w:firstLine="472"/>
        <w:rPr>
          <w:rFonts w:ascii="宋体" w:hAnsi="宋体"/>
          <w:sz w:val="24"/>
        </w:rPr>
      </w:pPr>
      <w:r>
        <w:rPr>
          <w:rFonts w:hint="eastAsia" w:ascii="宋体" w:hAnsi="宋体"/>
          <w:bCs/>
          <w:sz w:val="24"/>
        </w:rPr>
        <w:t>采购</w:t>
      </w:r>
      <w:r>
        <w:rPr>
          <w:rFonts w:hint="eastAsia" w:ascii="宋体" w:hAnsi="宋体"/>
          <w:sz w:val="24"/>
        </w:rPr>
        <w:t>项目的名称：</w:t>
      </w:r>
      <w:r>
        <w:rPr>
          <w:rFonts w:hint="eastAsia" w:ascii="宋体" w:hAnsi="宋体"/>
          <w:bCs/>
          <w:sz w:val="24"/>
          <w:u w:val="single"/>
        </w:rPr>
        <w:t>[项目采购-项目名称_]</w:t>
      </w:r>
    </w:p>
    <w:p w14:paraId="24799CBD">
      <w:pPr>
        <w:spacing w:line="360" w:lineRule="auto"/>
        <w:ind w:left="25" w:firstLine="472"/>
        <w:rPr>
          <w:rFonts w:ascii="宋体" w:hAnsi="宋体"/>
          <w:sz w:val="24"/>
        </w:rPr>
      </w:pPr>
      <w:r>
        <w:rPr>
          <w:rFonts w:hint="eastAsia" w:ascii="宋体" w:hAnsi="宋体"/>
          <w:bCs/>
          <w:sz w:val="24"/>
        </w:rPr>
        <w:t>采购</w:t>
      </w:r>
      <w:r>
        <w:rPr>
          <w:rFonts w:hint="eastAsia" w:ascii="宋体" w:hAnsi="宋体"/>
          <w:sz w:val="24"/>
        </w:rPr>
        <w:t>项目的编号：</w:t>
      </w:r>
      <w:r>
        <w:rPr>
          <w:rFonts w:hint="eastAsia" w:ascii="宋体" w:hAnsi="宋体"/>
          <w:bCs/>
          <w:sz w:val="24"/>
          <w:u w:val="single"/>
        </w:rPr>
        <w:t>[项目采购-项目编号_]</w:t>
      </w:r>
    </w:p>
    <w:p w14:paraId="37AA2066">
      <w:pPr>
        <w:spacing w:line="360" w:lineRule="auto"/>
        <w:ind w:left="25" w:firstLine="472"/>
        <w:rPr>
          <w:rFonts w:ascii="宋体" w:hAnsi="宋体"/>
          <w:bCs/>
          <w:sz w:val="24"/>
          <w:u w:val="single"/>
        </w:rPr>
      </w:pPr>
      <w:r>
        <w:rPr>
          <w:rFonts w:hint="eastAsia" w:ascii="宋体" w:hAnsi="宋体"/>
          <w:sz w:val="24"/>
        </w:rPr>
        <w:t>采购人名称：</w:t>
      </w:r>
      <w:r>
        <w:rPr>
          <w:rFonts w:hint="eastAsia" w:ascii="宋体" w:hAnsi="宋体"/>
          <w:bCs/>
          <w:sz w:val="24"/>
          <w:u w:val="single"/>
        </w:rPr>
        <w:t>[项目采购-采购人_]</w:t>
      </w:r>
    </w:p>
    <w:p w14:paraId="165A1A73">
      <w:pPr>
        <w:spacing w:line="360" w:lineRule="auto"/>
        <w:ind w:left="25" w:firstLine="472"/>
        <w:rPr>
          <w:rFonts w:ascii="宋体" w:hAnsi="宋体"/>
          <w:bCs/>
          <w:sz w:val="24"/>
          <w:u w:val="single"/>
        </w:rPr>
      </w:pPr>
      <w:r>
        <w:rPr>
          <w:rFonts w:hint="eastAsia" w:ascii="宋体" w:hAnsi="宋体"/>
          <w:sz w:val="24"/>
        </w:rPr>
        <w:t>代理机构名称：</w:t>
      </w:r>
      <w:r>
        <w:rPr>
          <w:rFonts w:hint="eastAsia" w:ascii="宋体" w:hAnsi="宋体"/>
          <w:bCs/>
          <w:sz w:val="24"/>
          <w:u w:val="single"/>
        </w:rPr>
        <w:t>[项目采购-采购组织机构_]</w:t>
      </w:r>
    </w:p>
    <w:p w14:paraId="128ADFF9">
      <w:pPr>
        <w:spacing w:line="360" w:lineRule="auto"/>
        <w:ind w:left="25" w:firstLine="472"/>
        <w:rPr>
          <w:rFonts w:ascii="宋体" w:hAnsi="宋体"/>
          <w:bCs/>
          <w:sz w:val="24"/>
          <w:u w:val="single"/>
        </w:rPr>
      </w:pPr>
      <w:r>
        <w:rPr>
          <w:rFonts w:hint="eastAsia" w:ascii="宋体" w:hAnsi="宋体"/>
          <w:bCs/>
          <w:sz w:val="24"/>
        </w:rPr>
        <w:t>招标文件公告：</w:t>
      </w:r>
      <w:r>
        <w:rPr>
          <w:rFonts w:hint="eastAsia" w:ascii="宋体" w:hAnsi="宋体"/>
          <w:bCs/>
          <w:sz w:val="24"/>
          <w:u w:val="single"/>
        </w:rPr>
        <w:t>是/否</w:t>
      </w:r>
      <w:r>
        <w:rPr>
          <w:rFonts w:hint="eastAsia" w:ascii="宋体" w:hAnsi="宋体"/>
          <w:bCs/>
          <w:sz w:val="24"/>
        </w:rPr>
        <w:t>公告期限：</w:t>
      </w:r>
    </w:p>
    <w:p w14:paraId="356AC70D">
      <w:pPr>
        <w:spacing w:line="360" w:lineRule="auto"/>
        <w:ind w:left="25" w:firstLine="472"/>
        <w:rPr>
          <w:rFonts w:ascii="宋体" w:hAnsi="宋体"/>
          <w:b/>
          <w:sz w:val="24"/>
        </w:rPr>
      </w:pPr>
      <w:r>
        <w:rPr>
          <w:rFonts w:hint="eastAsia" w:ascii="宋体" w:hAnsi="宋体"/>
          <w:bCs/>
          <w:sz w:val="24"/>
        </w:rPr>
        <w:t>采购结果公告：</w:t>
      </w:r>
      <w:r>
        <w:rPr>
          <w:rFonts w:hint="eastAsia" w:ascii="宋体" w:hAnsi="宋体"/>
          <w:bCs/>
          <w:sz w:val="24"/>
          <w:u w:val="single"/>
        </w:rPr>
        <w:t>是/否</w:t>
      </w:r>
      <w:r>
        <w:rPr>
          <w:rFonts w:hint="eastAsia" w:ascii="宋体" w:hAnsi="宋体"/>
          <w:bCs/>
          <w:sz w:val="24"/>
        </w:rPr>
        <w:t>公告期限：</w:t>
      </w:r>
    </w:p>
    <w:p w14:paraId="53E1E0D5">
      <w:pPr>
        <w:spacing w:line="360" w:lineRule="auto"/>
        <w:ind w:left="25" w:firstLine="472"/>
        <w:rPr>
          <w:rFonts w:ascii="宋体" w:hAnsi="宋体"/>
          <w:b/>
          <w:sz w:val="24"/>
        </w:rPr>
      </w:pPr>
      <w:r>
        <w:rPr>
          <w:rFonts w:hint="eastAsia" w:ascii="宋体" w:hAnsi="宋体"/>
          <w:b/>
          <w:sz w:val="24"/>
        </w:rPr>
        <w:t>三、质疑基本情况</w:t>
      </w:r>
    </w:p>
    <w:p w14:paraId="09C20F71">
      <w:pPr>
        <w:spacing w:line="360" w:lineRule="auto"/>
        <w:ind w:firstLine="480"/>
        <w:rPr>
          <w:rFonts w:ascii="宋体" w:hAnsi="宋体"/>
          <w:sz w:val="24"/>
        </w:rPr>
      </w:pPr>
      <w:r>
        <w:rPr>
          <w:rFonts w:hint="eastAsia" w:ascii="宋体" w:hAnsi="宋体"/>
          <w:sz w:val="24"/>
        </w:rPr>
        <w:t>投诉人于年月日，向提出质疑，质疑事项为：</w:t>
      </w:r>
    </w:p>
    <w:p w14:paraId="6E22CB8F">
      <w:pPr>
        <w:spacing w:line="360" w:lineRule="auto"/>
        <w:ind w:firstLine="480"/>
        <w:rPr>
          <w:rFonts w:ascii="宋体" w:hAnsi="宋体"/>
          <w:bCs/>
          <w:sz w:val="24"/>
          <w:u w:val="single"/>
        </w:rPr>
      </w:pPr>
    </w:p>
    <w:p w14:paraId="57F8B007">
      <w:pPr>
        <w:spacing w:line="360" w:lineRule="auto"/>
        <w:ind w:firstLine="480"/>
        <w:rPr>
          <w:rFonts w:ascii="宋体" w:hAnsi="宋体"/>
          <w:bCs/>
          <w:sz w:val="24"/>
          <w:u w:val="single"/>
        </w:rPr>
      </w:pPr>
    </w:p>
    <w:p w14:paraId="69EAA7F0">
      <w:pPr>
        <w:spacing w:line="360" w:lineRule="auto"/>
        <w:ind w:firstLine="480"/>
        <w:rPr>
          <w:rFonts w:ascii="宋体" w:hAnsi="宋体"/>
          <w:sz w:val="24"/>
        </w:rPr>
      </w:pPr>
      <w:r>
        <w:rPr>
          <w:rFonts w:hint="eastAsia" w:ascii="宋体" w:hAnsi="宋体"/>
          <w:bCs/>
          <w:sz w:val="24"/>
          <w:u w:val="single"/>
        </w:rPr>
        <w:t>采购人/代理机构</w:t>
      </w:r>
      <w:r>
        <w:rPr>
          <w:rFonts w:hint="eastAsia" w:ascii="宋体" w:hAnsi="宋体"/>
          <w:bCs/>
          <w:sz w:val="24"/>
        </w:rPr>
        <w:t>于</w:t>
      </w:r>
      <w:r>
        <w:rPr>
          <w:rFonts w:hint="eastAsia" w:ascii="宋体" w:hAnsi="宋体"/>
          <w:sz w:val="24"/>
        </w:rPr>
        <w:t>年月日，</w:t>
      </w:r>
      <w:r>
        <w:rPr>
          <w:rFonts w:hint="eastAsia" w:ascii="宋体" w:hAnsi="宋体"/>
          <w:bCs/>
          <w:sz w:val="24"/>
        </w:rPr>
        <w:t>就质疑事项作出了答复/没有在法定期限内作出答复。</w:t>
      </w:r>
    </w:p>
    <w:p w14:paraId="3F3464B6">
      <w:pPr>
        <w:spacing w:line="360" w:lineRule="auto"/>
        <w:ind w:left="25" w:firstLine="472"/>
        <w:rPr>
          <w:rFonts w:ascii="宋体" w:hAnsi="宋体"/>
          <w:b/>
          <w:sz w:val="24"/>
        </w:rPr>
      </w:pPr>
      <w:r>
        <w:rPr>
          <w:rFonts w:hint="eastAsia" w:ascii="宋体" w:hAnsi="宋体"/>
          <w:b/>
          <w:sz w:val="24"/>
        </w:rPr>
        <w:t>四、投诉事项具体内容</w:t>
      </w:r>
    </w:p>
    <w:p w14:paraId="33BDE232">
      <w:pPr>
        <w:spacing w:line="360" w:lineRule="auto"/>
        <w:ind w:left="25" w:firstLine="472"/>
        <w:rPr>
          <w:rFonts w:ascii="宋体" w:hAnsi="宋体"/>
          <w:bCs/>
          <w:sz w:val="24"/>
          <w:u w:val="single"/>
        </w:rPr>
      </w:pPr>
      <w:r>
        <w:rPr>
          <w:rFonts w:hint="eastAsia" w:ascii="宋体" w:hAnsi="宋体"/>
          <w:sz w:val="24"/>
        </w:rPr>
        <w:t>投诉事项1：</w:t>
      </w:r>
    </w:p>
    <w:p w14:paraId="61DB7AD0">
      <w:pPr>
        <w:spacing w:line="360" w:lineRule="auto"/>
        <w:ind w:firstLine="480"/>
        <w:rPr>
          <w:rFonts w:ascii="宋体" w:hAnsi="宋体"/>
          <w:bCs/>
          <w:sz w:val="24"/>
          <w:u w:val="single"/>
        </w:rPr>
      </w:pPr>
      <w:r>
        <w:rPr>
          <w:rFonts w:hint="eastAsia" w:ascii="宋体" w:hAnsi="宋体"/>
          <w:bCs/>
          <w:sz w:val="24"/>
        </w:rPr>
        <w:t>事实依据：</w:t>
      </w:r>
    </w:p>
    <w:p w14:paraId="5236CD5E">
      <w:pPr>
        <w:spacing w:line="360" w:lineRule="auto"/>
        <w:ind w:left="25" w:firstLine="472"/>
        <w:rPr>
          <w:rFonts w:ascii="宋体" w:hAnsi="宋体"/>
          <w:sz w:val="24"/>
        </w:rPr>
      </w:pPr>
    </w:p>
    <w:p w14:paraId="33DA81BA">
      <w:pPr>
        <w:spacing w:line="360" w:lineRule="auto"/>
        <w:ind w:firstLine="480"/>
        <w:rPr>
          <w:rFonts w:ascii="宋体" w:hAnsi="宋体"/>
          <w:bCs/>
          <w:sz w:val="24"/>
          <w:u w:val="single"/>
        </w:rPr>
      </w:pPr>
      <w:r>
        <w:rPr>
          <w:rFonts w:hint="eastAsia" w:ascii="宋体" w:hAnsi="宋体"/>
          <w:bCs/>
          <w:sz w:val="24"/>
        </w:rPr>
        <w:t>法律依据：</w:t>
      </w:r>
    </w:p>
    <w:p w14:paraId="531C3CAB">
      <w:pPr>
        <w:spacing w:line="360" w:lineRule="auto"/>
        <w:ind w:left="25" w:firstLine="352"/>
        <w:rPr>
          <w:rFonts w:ascii="宋体" w:hAnsi="宋体"/>
          <w:bCs/>
          <w:sz w:val="24"/>
          <w:u w:val="single"/>
        </w:rPr>
      </w:pPr>
    </w:p>
    <w:p w14:paraId="2D5E771E">
      <w:pPr>
        <w:spacing w:line="360" w:lineRule="auto"/>
        <w:ind w:left="25" w:firstLine="472"/>
        <w:rPr>
          <w:rFonts w:ascii="宋体" w:hAnsi="宋体"/>
          <w:bCs/>
          <w:sz w:val="24"/>
        </w:rPr>
      </w:pPr>
      <w:r>
        <w:rPr>
          <w:rFonts w:hint="eastAsia" w:ascii="宋体" w:hAnsi="宋体"/>
          <w:sz w:val="24"/>
        </w:rPr>
        <w:t xml:space="preserve">投诉事项2  </w:t>
      </w:r>
    </w:p>
    <w:p w14:paraId="33DE40AA">
      <w:pPr>
        <w:spacing w:line="360" w:lineRule="auto"/>
        <w:ind w:left="25" w:firstLine="472"/>
        <w:rPr>
          <w:rFonts w:ascii="宋体" w:hAnsi="宋体"/>
          <w:bCs/>
          <w:sz w:val="24"/>
        </w:rPr>
      </w:pPr>
      <w:r>
        <w:rPr>
          <w:rFonts w:hint="eastAsia" w:ascii="宋体" w:hAnsi="宋体"/>
          <w:bCs/>
          <w:sz w:val="24"/>
        </w:rPr>
        <w:t>……</w:t>
      </w:r>
    </w:p>
    <w:p w14:paraId="027D3A1D">
      <w:pPr>
        <w:spacing w:line="360" w:lineRule="auto"/>
        <w:ind w:left="25" w:firstLine="472"/>
        <w:rPr>
          <w:rFonts w:ascii="宋体" w:hAnsi="宋体"/>
          <w:b/>
          <w:sz w:val="24"/>
        </w:rPr>
      </w:pPr>
      <w:r>
        <w:rPr>
          <w:rFonts w:hint="eastAsia" w:ascii="宋体" w:hAnsi="宋体"/>
          <w:b/>
          <w:sz w:val="24"/>
        </w:rPr>
        <w:t>五、与投诉事项相关的投诉请求：</w:t>
      </w:r>
    </w:p>
    <w:p w14:paraId="5672AF14">
      <w:pPr>
        <w:spacing w:line="360" w:lineRule="auto"/>
        <w:ind w:left="25" w:firstLine="472"/>
        <w:rPr>
          <w:rFonts w:ascii="宋体" w:hAnsi="宋体"/>
          <w:sz w:val="24"/>
        </w:rPr>
      </w:pPr>
      <w:r>
        <w:rPr>
          <w:rFonts w:hint="eastAsia" w:ascii="宋体" w:hAnsi="宋体"/>
          <w:sz w:val="24"/>
        </w:rPr>
        <w:t>请求：</w:t>
      </w:r>
    </w:p>
    <w:p w14:paraId="15555492">
      <w:pPr>
        <w:spacing w:line="360" w:lineRule="auto"/>
        <w:ind w:left="25" w:firstLine="352"/>
        <w:rPr>
          <w:rFonts w:ascii="宋体" w:hAnsi="宋体"/>
          <w:sz w:val="24"/>
        </w:rPr>
      </w:pPr>
    </w:p>
    <w:p w14:paraId="21918E08">
      <w:pPr>
        <w:spacing w:line="360" w:lineRule="auto"/>
        <w:ind w:left="25" w:firstLine="472"/>
        <w:rPr>
          <w:rFonts w:ascii="宋体" w:hAnsi="宋体"/>
          <w:sz w:val="24"/>
        </w:rPr>
      </w:pPr>
      <w:r>
        <w:rPr>
          <w:rFonts w:hint="eastAsia" w:ascii="宋体" w:hAnsi="宋体"/>
          <w:sz w:val="24"/>
        </w:rPr>
        <w:t>签字（签章）：公章：</w:t>
      </w:r>
    </w:p>
    <w:p w14:paraId="31505BB6">
      <w:pPr>
        <w:spacing w:line="360" w:lineRule="auto"/>
        <w:ind w:left="25" w:firstLine="352"/>
        <w:rPr>
          <w:rFonts w:ascii="宋体" w:hAnsi="宋体"/>
          <w:sz w:val="24"/>
        </w:rPr>
      </w:pPr>
    </w:p>
    <w:p w14:paraId="60D07DD9">
      <w:pPr>
        <w:spacing w:line="360" w:lineRule="auto"/>
        <w:ind w:left="25" w:firstLine="472"/>
        <w:rPr>
          <w:rFonts w:ascii="宋体" w:hAnsi="宋体"/>
          <w:sz w:val="24"/>
        </w:rPr>
      </w:pPr>
      <w:r>
        <w:rPr>
          <w:rFonts w:hint="eastAsia" w:ascii="宋体" w:hAnsi="宋体"/>
          <w:sz w:val="24"/>
        </w:rPr>
        <w:t>日期：</w:t>
      </w:r>
    </w:p>
    <w:p w14:paraId="3D73CC3D">
      <w:pPr>
        <w:spacing w:line="360" w:lineRule="auto"/>
        <w:ind w:left="25" w:firstLine="472"/>
        <w:rPr>
          <w:rFonts w:ascii="宋体" w:hAnsi="宋体"/>
          <w:sz w:val="24"/>
        </w:rPr>
      </w:pPr>
    </w:p>
    <w:p w14:paraId="349D9468">
      <w:pPr>
        <w:spacing w:line="360" w:lineRule="auto"/>
        <w:ind w:firstLine="482"/>
        <w:rPr>
          <w:rFonts w:ascii="宋体" w:hAnsi="宋体"/>
          <w:b/>
          <w:sz w:val="24"/>
        </w:rPr>
      </w:pPr>
    </w:p>
    <w:p w14:paraId="26AFAE5B">
      <w:pPr>
        <w:spacing w:line="360" w:lineRule="auto"/>
        <w:ind w:firstLine="482"/>
        <w:rPr>
          <w:rFonts w:ascii="宋体" w:hAnsi="宋体"/>
          <w:b/>
          <w:sz w:val="24"/>
        </w:rPr>
      </w:pPr>
      <w:r>
        <w:rPr>
          <w:rFonts w:hint="eastAsia" w:ascii="宋体" w:hAnsi="宋体"/>
          <w:b/>
          <w:sz w:val="24"/>
        </w:rPr>
        <w:t>说明：</w:t>
      </w:r>
    </w:p>
    <w:p w14:paraId="5F99AD2A">
      <w:pPr>
        <w:spacing w:line="360" w:lineRule="auto"/>
        <w:ind w:left="25" w:firstLine="354"/>
        <w:rPr>
          <w:rFonts w:ascii="宋体" w:hAnsi="宋体"/>
          <w:b/>
          <w:bCs/>
          <w:sz w:val="24"/>
        </w:rPr>
      </w:pPr>
      <w:r>
        <w:rPr>
          <w:rFonts w:hint="eastAsia" w:ascii="宋体" w:hAnsi="宋体"/>
          <w:b/>
          <w:sz w:val="24"/>
        </w:rPr>
        <w:t>1.投诉人提起投诉时，应当提交投诉书和必要的证明材料，并按照被投诉人和与投诉事项有关的供应商数量提供投诉书副本</w:t>
      </w:r>
      <w:r>
        <w:rPr>
          <w:rFonts w:hint="eastAsia" w:ascii="宋体" w:hAnsi="宋体"/>
          <w:b/>
          <w:bCs/>
          <w:sz w:val="24"/>
        </w:rPr>
        <w:t>。</w:t>
      </w:r>
    </w:p>
    <w:p w14:paraId="11EC1D00">
      <w:pPr>
        <w:spacing w:line="360" w:lineRule="auto"/>
        <w:ind w:left="25" w:firstLine="354"/>
        <w:rPr>
          <w:rFonts w:ascii="宋体" w:hAnsi="宋体"/>
          <w:b/>
          <w:sz w:val="24"/>
        </w:rPr>
      </w:pPr>
      <w:r>
        <w:rPr>
          <w:rFonts w:hint="eastAsia" w:ascii="宋体" w:hAnsi="宋体"/>
          <w:b/>
          <w:sz w:val="24"/>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02173725">
      <w:pPr>
        <w:spacing w:line="360" w:lineRule="auto"/>
        <w:ind w:left="25" w:firstLine="354"/>
        <w:rPr>
          <w:rFonts w:ascii="宋体" w:hAnsi="宋体"/>
          <w:b/>
          <w:sz w:val="24"/>
        </w:rPr>
      </w:pPr>
      <w:r>
        <w:rPr>
          <w:rFonts w:hint="eastAsia" w:ascii="宋体" w:hAnsi="宋体"/>
          <w:b/>
          <w:sz w:val="24"/>
        </w:rPr>
        <w:t>3.投诉书应简要列明质疑事项，质疑函、质疑答复等作为附件材料提供。</w:t>
      </w:r>
    </w:p>
    <w:p w14:paraId="536439E0">
      <w:pPr>
        <w:spacing w:line="360" w:lineRule="auto"/>
        <w:ind w:left="25" w:firstLine="354"/>
        <w:rPr>
          <w:rFonts w:ascii="宋体" w:hAnsi="宋体"/>
          <w:b/>
          <w:sz w:val="24"/>
        </w:rPr>
      </w:pPr>
      <w:r>
        <w:rPr>
          <w:rFonts w:hint="eastAsia" w:ascii="宋体" w:hAnsi="宋体"/>
          <w:b/>
          <w:sz w:val="24"/>
        </w:rPr>
        <w:t>4.投诉书的投诉事项应具体、明确，并有必要的事实依据和法律依据。</w:t>
      </w:r>
    </w:p>
    <w:p w14:paraId="45BA6CE2">
      <w:pPr>
        <w:spacing w:line="360" w:lineRule="auto"/>
        <w:ind w:left="25" w:firstLine="354"/>
        <w:rPr>
          <w:rFonts w:ascii="宋体" w:hAnsi="宋体"/>
          <w:b/>
          <w:sz w:val="24"/>
        </w:rPr>
      </w:pPr>
      <w:r>
        <w:rPr>
          <w:rFonts w:hint="eastAsia" w:ascii="宋体" w:hAnsi="宋体"/>
          <w:b/>
          <w:sz w:val="24"/>
        </w:rPr>
        <w:t>5.投诉书的投诉请求应与投诉事项相关。</w:t>
      </w:r>
    </w:p>
    <w:p w14:paraId="78576F5E">
      <w:pPr>
        <w:spacing w:line="360" w:lineRule="auto"/>
        <w:ind w:left="25" w:firstLine="354"/>
        <w:rPr>
          <w:rFonts w:ascii="宋体" w:hAnsi="宋体"/>
          <w:b/>
          <w:sz w:val="20"/>
          <w:szCs w:val="21"/>
        </w:rPr>
      </w:pPr>
      <w:r>
        <w:rPr>
          <w:rFonts w:hint="eastAsia" w:ascii="宋体" w:hAnsi="宋体"/>
          <w:b/>
          <w:sz w:val="24"/>
        </w:rPr>
        <w:t>6.投诉人为法人或者其他组织的，投诉书应由法定代表人、主要负责人，或者其授权代表签字或者盖章，并加盖公章。</w:t>
      </w:r>
    </w:p>
    <w:p w14:paraId="65C68D40"/>
    <w:sectPr>
      <w:footerReference r:id="rId5" w:type="first"/>
      <w:footerReference r:id="rId4" w:type="default"/>
      <w:pgSz w:w="11910" w:h="16840"/>
      <w:pgMar w:top="1340" w:right="1500" w:bottom="280" w:left="1680" w:header="720" w:footer="720" w:gutter="0"/>
      <w:cols w:space="1701"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3D0E065-2B50-4103-A735-6F3F5BBF511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A2E56613-A910-4AC1-8924-E5C130E9E1BC}"/>
  </w:font>
  <w:font w:name="Arial">
    <w:panose1 w:val="020B0604020202020204"/>
    <w:charset w:val="00"/>
    <w:family w:val="swiss"/>
    <w:pitch w:val="default"/>
    <w:sig w:usb0="E0002EFF" w:usb1="C000785B" w:usb2="00000009" w:usb3="00000000" w:csb0="400001FF" w:csb1="FFFF0000"/>
    <w:embedRegular r:id="rId3" w:fontKey="{5B0E2E41-6F4C-4079-BFF0-C2673ADF617F}"/>
  </w:font>
  <w:font w:name="Cambria">
    <w:panose1 w:val="02040503050406030204"/>
    <w:charset w:val="00"/>
    <w:family w:val="roman"/>
    <w:pitch w:val="default"/>
    <w:sig w:usb0="E00006FF" w:usb1="420024FF" w:usb2="02000000" w:usb3="00000000" w:csb0="2000019F" w:csb1="00000000"/>
    <w:embedRegular r:id="rId4" w:fontKey="{A8563B70-1610-4734-98B7-8B7B511A15A6}"/>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embedRegular r:id="rId5" w:fontKey="{4B9428AE-A985-4402-9EA4-ECFD1A07F8EB}"/>
  </w:font>
  <w:font w:name="Courier New">
    <w:panose1 w:val="02070309020205020404"/>
    <w:charset w:val="00"/>
    <w:family w:val="modern"/>
    <w:pitch w:val="default"/>
    <w:sig w:usb0="E0002EFF" w:usb1="C0007843" w:usb2="00000009" w:usb3="00000000" w:csb0="400001FF" w:csb1="FFFF0000"/>
    <w:embedRegular r:id="rId6" w:fontKey="{387B910F-16A3-4CA4-B166-1832142B6B75}"/>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embedRegular r:id="rId7" w:fontKey="{89248283-D8B7-456F-9FF4-0BBD5AFF1283}"/>
  </w:font>
  <w:font w:name="华文中宋">
    <w:panose1 w:val="02010600040101010101"/>
    <w:charset w:val="86"/>
    <w:family w:val="auto"/>
    <w:pitch w:val="default"/>
    <w:sig w:usb0="00000287" w:usb1="080F0000" w:usb2="00000000" w:usb3="00000000" w:csb0="0004009F" w:csb1="DFD70000"/>
  </w:font>
  <w:font w:name="方正小标宋简体">
    <w:panose1 w:val="03000509000000000000"/>
    <w:charset w:val="86"/>
    <w:family w:val="script"/>
    <w:pitch w:val="default"/>
    <w:sig w:usb0="00000001" w:usb1="080E0000" w:usb2="00000000" w:usb3="00000000" w:csb0="00040000" w:csb1="00000000"/>
    <w:embedRegular r:id="rId8" w:fontKey="{0B65D50A-BFBF-4884-AF3A-5AEB1C91146B}"/>
  </w:font>
  <w:font w:name="华文新魏">
    <w:panose1 w:val="02010800040101010101"/>
    <w:charset w:val="86"/>
    <w:family w:val="auto"/>
    <w:pitch w:val="default"/>
    <w:sig w:usb0="00000001" w:usb1="080F0000" w:usb2="00000000" w:usb3="00000000" w:csb0="00040000" w:csb1="00000000"/>
    <w:embedRegular r:id="rId9" w:fontKey="{3FA00043-C99B-4E36-A2C9-4331DB2FB3AE}"/>
  </w:font>
  <w:font w:name="等线">
    <w:panose1 w:val="02010600030101010101"/>
    <w:charset w:val="86"/>
    <w:family w:val="auto"/>
    <w:pitch w:val="default"/>
    <w:sig w:usb0="A00002BF" w:usb1="38CF7CFA" w:usb2="00000016" w:usb3="00000000" w:csb0="0004000F" w:csb1="00000000"/>
    <w:embedRegular r:id="rId10" w:fontKey="{3D71C6D3-CA29-4462-B40B-E320C611BAD5}"/>
  </w:font>
  <w:font w:name="楷体">
    <w:panose1 w:val="02010609060101010101"/>
    <w:charset w:val="86"/>
    <w:family w:val="modern"/>
    <w:pitch w:val="default"/>
    <w:sig w:usb0="800002BF" w:usb1="38CF7CFA" w:usb2="00000016" w:usb3="00000000" w:csb0="00040001" w:csb1="00000000"/>
    <w:embedRegular r:id="rId11" w:fontKey="{5C7D7C81-61BF-44C1-83A3-2B956C376994}"/>
  </w:font>
  <w:font w:name="Segoe UI Emoji">
    <w:panose1 w:val="020B0502040204020203"/>
    <w:charset w:val="00"/>
    <w:family w:val="swiss"/>
    <w:pitch w:val="default"/>
    <w:sig w:usb0="00000001" w:usb1="02000000" w:usb2="00000000" w:usb3="00000000" w:csb0="00000001" w:csb1="00000000"/>
    <w:embedRegular r:id="rId12" w:fontKey="{173C3562-EF9D-4242-A3DF-0698A9B1874F}"/>
  </w:font>
  <w:font w:name="Segoe UI Symbol">
    <w:panose1 w:val="020B0502040204020203"/>
    <w:charset w:val="00"/>
    <w:family w:val="swiss"/>
    <w:pitch w:val="default"/>
    <w:sig w:usb0="800001E3" w:usb1="1200FFEF" w:usb2="00040000" w:usb3="04000000" w:csb0="00000001" w:csb1="40000000"/>
    <w:embedRegular r:id="rId13" w:fontKey="{69CE9EDE-6792-4C54-A3D7-19AAE1649A9B}"/>
  </w:font>
  <w:font w:name="微软雅黑">
    <w:panose1 w:val="020B0503020204020204"/>
    <w:charset w:val="86"/>
    <w:family w:val="swiss"/>
    <w:pitch w:val="default"/>
    <w:sig w:usb0="80000287" w:usb1="2ACF3C50" w:usb2="00000016" w:usb3="00000000" w:csb0="0004001F" w:csb1="00000000"/>
    <w:embedRegular r:id="rId14" w:fontKey="{1689FC5B-757F-4D49-84D8-E163430B35A8}"/>
  </w:font>
  <w:font w:name="Arial Unicode MS">
    <w:panose1 w:val="020B0604020202020204"/>
    <w:charset w:val="86"/>
    <w:family w:val="swiss"/>
    <w:pitch w:val="default"/>
    <w:sig w:usb0="FFFFFFFF" w:usb1="E9FFFFFF" w:usb2="0000003F" w:usb3="00000000" w:csb0="603F01FF" w:csb1="FFFF0000"/>
    <w:embedRegular r:id="rId15" w:fontKey="{AE0EF228-AF9C-49EF-8848-D1D5D357A74F}"/>
  </w:font>
  <w:font w:name="Helvetica">
    <w:altName w:val="Arial"/>
    <w:panose1 w:val="020B0604020202020204"/>
    <w:charset w:val="00"/>
    <w:family w:val="swiss"/>
    <w:pitch w:val="default"/>
    <w:sig w:usb0="00000000" w:usb1="00000000" w:usb2="00000009" w:usb3="00000000" w:csb0="000001FF" w:csb1="00000000"/>
    <w:embedRegular r:id="rId16" w:fontKey="{23C1C943-D93B-49F8-AA09-FD8127FBCBD5}"/>
  </w:font>
  <w:font w:name="TimesNewRomanPSMT">
    <w:altName w:val="Times New Roman"/>
    <w:panose1 w:val="00000000000000000000"/>
    <w:charset w:val="00"/>
    <w:family w:val="auto"/>
    <w:pitch w:val="default"/>
    <w:sig w:usb0="00000000" w:usb1="00000000" w:usb2="00000000" w:usb3="00000000" w:csb0="00000000" w:csb1="00000000"/>
    <w:embedRegular r:id="rId17" w:fontKey="{F612141E-1409-41F6-9D14-A9461B6979E0}"/>
  </w:font>
  <w:font w:name="隶书">
    <w:panose1 w:val="02010509060101010101"/>
    <w:charset w:val="86"/>
    <w:family w:val="modern"/>
    <w:pitch w:val="default"/>
    <w:sig w:usb0="00000001" w:usb1="080E0000" w:usb2="00000000" w:usb3="00000000" w:csb0="00040000" w:csb1="00000000"/>
    <w:embedRegular r:id="rId18" w:fontKey="{B55CE932-7806-4F1C-9100-870C47CC915B}"/>
  </w:font>
  <w:font w:name="WPSEMBED1">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3F29E2">
    <w:pPr>
      <w:pStyle w:val="227"/>
      <w:jc w:val="center"/>
    </w:pPr>
    <w:r>
      <w:fldChar w:fldCharType="begin"/>
    </w:r>
    <w:r>
      <w:instrText xml:space="preserve">PAGE   \* MERGEFORMAT</w:instrText>
    </w:r>
    <w:r>
      <w:fldChar w:fldCharType="separate"/>
    </w:r>
    <w:r>
      <w:rPr>
        <w:lang w:val="zh-CN"/>
      </w:rPr>
      <w:t>7</w:t>
    </w:r>
    <w:r>
      <w:fldChar w:fldCharType="end"/>
    </w:r>
  </w:p>
  <w:p w14:paraId="38AE5250">
    <w:pPr>
      <w:pStyle w:val="22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984662">
    <w:pPr>
      <w:pStyle w:val="227"/>
      <w:jc w:val="center"/>
    </w:pPr>
    <w:r>
      <w:pict>
        <v:shape id="_x0000_s3073" o:spid="_x0000_s3073" o:spt="202" type="#_x0000_t202" style="position:absolute;left:0pt;margin-top:0pt;height:144pt;width:144pt;mso-position-horizontal:center;mso-position-horizontal-relative:margin;mso-wrap-style:none;z-index:251660288;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cGamgEAADoDAAAOAAAAZHJzL2Uyb0RvYy54bWysUtuK2zAQfS/0H4TeGzl5KMHEWVqWLAu9&#10;wbYfIMtSLJA0YqTEzt93pMTptn0rfRFz05lzZmb3MHvHzhqThdDx9arhTAcFgw3Hjv/4fni35Sxl&#10;GQbpIOiOX3TiD/u3b3ZTbPUGRnCDRkYgIbVT7PiYc2yFSGrUXqYVRB0oaQC9zOTiUQwoJ0L3Tmya&#10;5r2YAIeIoHRKFH28Jvm+4hujVf5qTNKZuY4Tt1xfrG9fXrHfyfaIMo5W3WjIf2DhpQ3U9A71KLNk&#10;J7R/QXmrEBKYvFLgBRhjla4aSM26+UPNyyijrlpoOCnex5T+H6z6cn6J35Dl+SPMtMAykCmmNpVg&#10;P32GgZYmTxmqutmgLyqJN6NqGujlPkQ9Z6YKxHaz3TaUUpRbHEIVsl2+R0z5SYNnxeg40pYqvDx/&#10;SvlaupSUbgEO1rm6KRd+CxBmiYiF8ZV7nvuZ2eGVmh6GC+mZaM8dD3SInLnnQGMsJ7EYuBj9Ypwi&#10;2uNIDNeVXoofaBAHWymWllfYW39aUBV5O6ZyAa/9WvXr5Pc/AQAA//8DAFBLAwQUAAYACAAAACEA&#10;DErw7tYAAAAFAQAADwAAAGRycy9kb3ducmV2LnhtbEyPQWvDMAyF74P+B6PCbqvTHraQxSml0Etv&#10;68ZgNzdW4zBbDrabJv9+2hhsF6HHE0/fq7eTd2LEmPpACtarAgRSG0xPnYK318NDCSJlTUa7QKhg&#10;xgTbZnFX68qEG73geMqd4BBKlVZgcx4qKVNr0eu0CgMSe5cQvc4sYydN1DcO905uiuJRet0Tf7B6&#10;wL3F9vN09QqepveAQ8I9flzGNtp+Lt1xVup+Oe2eQWSc8t8xfOMzOjTMdA5XMkk4BVwk/0z2NmXJ&#10;8vy7yKaW/+mbLwAAAP//AwBQSwECLQAUAAYACAAAACEAtoM4kv4AAADhAQAAEwAAAAAAAAAAAAAA&#10;AAAAAAAAW0NvbnRlbnRfVHlwZXNdLnhtbFBLAQItABQABgAIAAAAIQA4/SH/1gAAAJQBAAALAAAA&#10;AAAAAAAAAAAAAC8BAABfcmVscy8ucmVsc1BLAQItABQABgAIAAAAIQAEDcGamgEAADoDAAAOAAAA&#10;AAAAAAAAAAAAAC4CAABkcnMvZTJvRG9jLnhtbFBLAQItABQABgAIAAAAIQAMSvDu1gAAAAUBAAAP&#10;AAAAAAAAAAAAAAAAAPQDAABkcnMvZG93bnJldi54bWxQSwUGAAAAAAQABADzAAAA9wQAAAAA&#10;">
          <v:path/>
          <v:fill on="f" focussize="0,0"/>
          <v:stroke on="f" joinstyle="miter"/>
          <v:imagedata o:title=""/>
          <o:lock v:ext="edit"/>
          <v:textbox inset="0mm,0mm,0mm,0mm" style="mso-fit-shape-to-text:t;">
            <w:txbxContent>
              <w:p w14:paraId="4E8CF75F">
                <w:pPr>
                  <w:pStyle w:val="227"/>
                  <w:jc w:val="center"/>
                </w:pPr>
                <w:r>
                  <w:fldChar w:fldCharType="begin"/>
                </w:r>
                <w:r>
                  <w:instrText xml:space="preserve"> PAGE  \* MERGEFORMAT </w:instrText>
                </w:r>
                <w:r>
                  <w:fldChar w:fldCharType="separate"/>
                </w:r>
                <w:r>
                  <w:t>117</w:t>
                </w:r>
                <w:r>
                  <w:fldChar w:fldCharType="end"/>
                </w:r>
              </w:p>
            </w:txbxContent>
          </v:textbox>
        </v:shape>
      </w:pict>
    </w:r>
  </w:p>
  <w:p w14:paraId="1DD9EAC6">
    <w:pPr>
      <w:pStyle w:val="22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0847B7">
    <w:pPr>
      <w:pStyle w:val="227"/>
    </w:pPr>
    <w:r>
      <w:pict>
        <v:shape id="_x0000_s3074" o:spid="_x0000_s3074" o:spt="202" type="#_x0000_t202" style="position:absolute;left:0pt;margin-top:0pt;height:144pt;width:144pt;mso-position-horizontal:center;mso-position-horizontal-relative:margin;mso-wrap-style:none;z-index:25165926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QTwmAEAADMDAAAOAAAAZHJzL2Uyb0RvYy54bWysUtuK2zAQfS/0H4TeGzl5KMHEWbosWQq9&#10;wbYfIMtSLJA0YqTEzt93pMRpu30rfRFz05lzZmb3MHvHzhqThdDx9arhTAcFgw3Hjv/4fni35Sxl&#10;GQbpIOiOX3TiD/u3b3ZTbPUGRnCDRkYgIbVT7PiYc2yFSGrUXqYVRB0oaQC9zOTiUQwoJ0L3Tmya&#10;5r2YAIeIoHRKFH26Jvm+4hujVf5qTNKZuY4Tt1xfrG9fXrHfyfaIMo5W3WjIf2DhpQ3U9A71JLNk&#10;J7R/QXmrEBKYvFLgBRhjla4aSM26eaXmZZRRVy00nBTvY0r/D1Z9Ob/Eb8jy/AgzLbAMZIqpTSXY&#10;T59hoKXJU4aqbjboi0rizaiaBnq5D1HPmakCsd1stw2lFOUWh1CFbJfvEVN+1uBZMTqOtKUKL8+f&#10;Ur6WLiWlW4CDda5uyoU/AoRZImJhfOWe536+yehhuJCQiRbc8UAXyJn7GGh+5RYWAxejX4xTRHsc&#10;idq68krxA03gYCu30usKe2tMm6nqbldUVv+7X6t+3fr+JwAAAP//AwBQSwMEFAAGAAgAAAAhAAxK&#10;8O7WAAAABQEAAA8AAABkcnMvZG93bnJldi54bWxMj0FrwzAMhe+D/gejwm6r0x62kMUppdBLb+vG&#10;YDc3VuMwWw62myb/ftoYbBehxxNP36u3k3dixJj6QArWqwIEUhtMT52Ct9fDQwkiZU1Gu0CoYMYE&#10;22ZxV+vKhBu94HjKneAQSpVWYHMeKilTa9HrtAoDEnuXEL3OLGMnTdQ3DvdOboriUXrdE3+wesC9&#10;xfbzdPUKnqb3gEPCPX5cxjbafi7dcVbqfjntnkFknPLfMXzjMzo0zHQOVzJJOAVcJP9M9jZlyfL8&#10;u8imlv/pmy8AAAD//wMAUEsBAi0AFAAGAAgAAAAhALaDOJL+AAAA4QEAABMAAAAAAAAAAAAAAAAA&#10;AAAAAFtDb250ZW50X1R5cGVzXS54bWxQSwECLQAUAAYACAAAACEAOP0h/9YAAACUAQAACwAAAAAA&#10;AAAAAAAAAAAvAQAAX3JlbHMvLnJlbHNQSwECLQAUAAYACAAAACEAEBEE8JgBAAAzAwAADgAAAAAA&#10;AAAAAAAAAAAuAgAAZHJzL2Uyb0RvYy54bWxQSwECLQAUAAYACAAAACEADErw7tYAAAAFAQAADwAA&#10;AAAAAAAAAAAAAADyAwAAZHJzL2Rvd25yZXYueG1sUEsFBgAAAAAEAAQA8wAAAPUEAAAAAA==&#10;">
          <v:path/>
          <v:fill on="f" focussize="0,0"/>
          <v:stroke on="f" joinstyle="miter"/>
          <v:imagedata o:title=""/>
          <o:lock v:ext="edit"/>
          <v:textbox inset="0mm,0mm,0mm,0mm" style="mso-fit-shape-to-text:t;">
            <w:txbxContent>
              <w:p w14:paraId="74E28BB3">
                <w:pPr>
                  <w:pStyle w:val="227"/>
                </w:pPr>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B780FC"/>
    <w:multiLevelType w:val="multilevel"/>
    <w:tmpl w:val="9EB780FC"/>
    <w:lvl w:ilvl="0" w:tentative="0">
      <w:start w:val="1"/>
      <w:numFmt w:val="decimal"/>
      <w:suff w:val="nothing"/>
      <w:lvlText w:val="（%1）"/>
      <w:lvlJc w:val="left"/>
    </w:lvl>
    <w:lvl w:ilvl="1" w:tentative="0">
      <w:start w:val="0"/>
      <w:numFmt w:val="bullet"/>
      <w:lvlText w:val=""/>
      <w:lvlJc w:val="left"/>
    </w:lvl>
    <w:lvl w:ilvl="2" w:tentative="0">
      <w:start w:val="0"/>
      <w:numFmt w:val="bullet"/>
      <w:lvlText w:val=""/>
      <w:lvlJc w:val="left"/>
    </w:lvl>
    <w:lvl w:ilvl="3" w:tentative="0">
      <w:start w:val="0"/>
      <w:numFmt w:val="bullet"/>
      <w:lvlText w:val=""/>
      <w:lvlJc w:val="left"/>
    </w:lvl>
    <w:lvl w:ilvl="4" w:tentative="0">
      <w:start w:val="0"/>
      <w:numFmt w:val="bullet"/>
      <w:lvlText w:val=""/>
      <w:lvlJc w:val="left"/>
    </w:lvl>
    <w:lvl w:ilvl="5" w:tentative="0">
      <w:start w:val="0"/>
      <w:numFmt w:val="bullet"/>
      <w:lvlText w:val=""/>
      <w:lvlJc w:val="left"/>
    </w:lvl>
    <w:lvl w:ilvl="6" w:tentative="0">
      <w:start w:val="0"/>
      <w:numFmt w:val="bullet"/>
      <w:lvlText w:val=""/>
      <w:lvlJc w:val="left"/>
    </w:lvl>
    <w:lvl w:ilvl="7" w:tentative="0">
      <w:start w:val="0"/>
      <w:numFmt w:val="bullet"/>
      <w:lvlText w:val=""/>
      <w:lvlJc w:val="left"/>
    </w:lvl>
    <w:lvl w:ilvl="8" w:tentative="0">
      <w:start w:val="0"/>
      <w:numFmt w:val="bullet"/>
      <w:lvlText w:val=""/>
      <w:lvlJc w:val="left"/>
    </w:lvl>
  </w:abstractNum>
  <w:abstractNum w:abstractNumId="1">
    <w:nsid w:val="0000000B"/>
    <w:multiLevelType w:val="multilevel"/>
    <w:tmpl w:val="0000000B"/>
    <w:lvl w:ilvl="0" w:tentative="0">
      <w:start w:val="1"/>
      <w:numFmt w:val="decimal"/>
      <w:lvlText w:val="（%1）"/>
      <w:lvlJc w:val="left"/>
      <w:pPr>
        <w:tabs>
          <w:tab w:val="left" w:pos="1140"/>
        </w:tabs>
        <w:ind w:left="1140" w:hanging="720"/>
      </w:pPr>
      <w:rPr>
        <w:rFonts w:ascii="宋体" w:hAnsi="宋体" w:eastAsia="宋体" w:cs="Times New Roman"/>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num w:numId="1">
    <w:abstractNumId w:val="0"/>
    <w:lvlOverride w:ilvl="0">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1"/>
  <w:bordersDoNotSurroundFooter w:val="1"/>
  <w:hideSpellingErrors/>
  <w:doNotTrackMoves/>
  <w:documentProtection w:enforcement="0"/>
  <w:defaultTabStop w:val="420"/>
  <w:noPunctuationKerning w:val="1"/>
  <w:characterSpacingControl w:val="doNotCompress"/>
  <w:hdrShapeDefaults>
    <o:shapelayout v:ext="edit">
      <o:idmap v:ext="edit" data="2,3"/>
    </o:shapelayout>
  </w:hdrShapeDefaults>
  <w:compat>
    <w:balanceSingleByteDoubleByteWidth/>
    <w:ulTrailSpace/>
    <w:doNotExpandShiftReturn/>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975A9"/>
    <w:rsid w:val="0003555C"/>
    <w:rsid w:val="000A20D6"/>
    <w:rsid w:val="000C3A75"/>
    <w:rsid w:val="000C55F5"/>
    <w:rsid w:val="0014463E"/>
    <w:rsid w:val="00150C96"/>
    <w:rsid w:val="00156C48"/>
    <w:rsid w:val="001701F5"/>
    <w:rsid w:val="00186BCD"/>
    <w:rsid w:val="002077D6"/>
    <w:rsid w:val="0030249E"/>
    <w:rsid w:val="00374B63"/>
    <w:rsid w:val="004015BB"/>
    <w:rsid w:val="00450908"/>
    <w:rsid w:val="004672B9"/>
    <w:rsid w:val="004F595A"/>
    <w:rsid w:val="00557DD4"/>
    <w:rsid w:val="00570E23"/>
    <w:rsid w:val="00575E51"/>
    <w:rsid w:val="00584D15"/>
    <w:rsid w:val="00595C7E"/>
    <w:rsid w:val="00624A71"/>
    <w:rsid w:val="006B6E19"/>
    <w:rsid w:val="006C3FB7"/>
    <w:rsid w:val="00810B44"/>
    <w:rsid w:val="00847184"/>
    <w:rsid w:val="00867DD0"/>
    <w:rsid w:val="008975A9"/>
    <w:rsid w:val="008C5A64"/>
    <w:rsid w:val="00A01D83"/>
    <w:rsid w:val="00AA1092"/>
    <w:rsid w:val="00BD7B84"/>
    <w:rsid w:val="00C01949"/>
    <w:rsid w:val="00C0785F"/>
    <w:rsid w:val="00C35803"/>
    <w:rsid w:val="00C55756"/>
    <w:rsid w:val="00C63F3D"/>
    <w:rsid w:val="00CC24AD"/>
    <w:rsid w:val="00D25E05"/>
    <w:rsid w:val="00D73B35"/>
    <w:rsid w:val="00D93D8F"/>
    <w:rsid w:val="00D94BD6"/>
    <w:rsid w:val="00DB0C6F"/>
    <w:rsid w:val="00E329DB"/>
    <w:rsid w:val="00E56277"/>
    <w:rsid w:val="00EB25D1"/>
    <w:rsid w:val="00EB7290"/>
    <w:rsid w:val="00F208CD"/>
    <w:rsid w:val="00F655D7"/>
    <w:rsid w:val="00FF7176"/>
    <w:rsid w:val="0441281E"/>
    <w:rsid w:val="14172FEE"/>
    <w:rsid w:val="19080BAC"/>
    <w:rsid w:val="216C7630"/>
    <w:rsid w:val="22281CA5"/>
    <w:rsid w:val="241F6AEF"/>
    <w:rsid w:val="2A317E80"/>
    <w:rsid w:val="2D3008A0"/>
    <w:rsid w:val="2FCB1ED7"/>
    <w:rsid w:val="32D3359A"/>
    <w:rsid w:val="33DA36D7"/>
    <w:rsid w:val="340E0605"/>
    <w:rsid w:val="36BC7138"/>
    <w:rsid w:val="3D1D0DC6"/>
    <w:rsid w:val="474F5732"/>
    <w:rsid w:val="4A5174C3"/>
    <w:rsid w:val="4B616853"/>
    <w:rsid w:val="4FFF70BA"/>
    <w:rsid w:val="52E31D12"/>
    <w:rsid w:val="5AB96ADB"/>
    <w:rsid w:val="5D110E33"/>
    <w:rsid w:val="601D53C5"/>
    <w:rsid w:val="611A2C4E"/>
    <w:rsid w:val="641F7814"/>
    <w:rsid w:val="6958090C"/>
    <w:rsid w:val="6ABE26FC"/>
    <w:rsid w:val="71D65FA9"/>
    <w:rsid w:val="79945404"/>
    <w:rsid w:val="7A751586"/>
    <w:rsid w:val="7FDA73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qFormat="1" w:uiPriority="99" w:semiHidden="0"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sz w:val="21"/>
      <w:szCs w:val="24"/>
      <w:lang w:val="en-US" w:eastAsia="zh-CN" w:bidi="ar-SA"/>
    </w:rPr>
  </w:style>
  <w:style w:type="paragraph" w:styleId="2">
    <w:name w:val="heading 1"/>
    <w:basedOn w:val="1"/>
    <w:next w:val="1"/>
    <w:link w:val="167"/>
    <w:qFormat/>
    <w:uiPriority w:val="9"/>
    <w:pPr>
      <w:keepNext/>
      <w:keepLines/>
      <w:spacing w:before="360" w:after="80"/>
      <w:outlineLvl w:val="0"/>
    </w:pPr>
    <w:rPr>
      <w:rFonts w:ascii="Arial" w:hAnsi="Arial" w:eastAsia="Arial" w:cs="Arial"/>
      <w:color w:val="365F91"/>
      <w:sz w:val="40"/>
      <w:szCs w:val="40"/>
    </w:rPr>
  </w:style>
  <w:style w:type="paragraph" w:styleId="3">
    <w:name w:val="heading 2"/>
    <w:basedOn w:val="1"/>
    <w:next w:val="1"/>
    <w:link w:val="168"/>
    <w:unhideWhenUsed/>
    <w:qFormat/>
    <w:uiPriority w:val="9"/>
    <w:pPr>
      <w:keepNext/>
      <w:keepLines/>
      <w:spacing w:before="160" w:after="80"/>
      <w:outlineLvl w:val="1"/>
    </w:pPr>
    <w:rPr>
      <w:rFonts w:ascii="Arial" w:hAnsi="Arial" w:eastAsia="Arial" w:cs="Arial"/>
      <w:color w:val="365F91"/>
      <w:sz w:val="32"/>
      <w:szCs w:val="32"/>
    </w:rPr>
  </w:style>
  <w:style w:type="paragraph" w:styleId="4">
    <w:name w:val="heading 3"/>
    <w:basedOn w:val="1"/>
    <w:next w:val="1"/>
    <w:link w:val="169"/>
    <w:unhideWhenUsed/>
    <w:qFormat/>
    <w:uiPriority w:val="9"/>
    <w:pPr>
      <w:keepNext/>
      <w:keepLines/>
      <w:spacing w:before="160" w:after="80"/>
      <w:outlineLvl w:val="2"/>
    </w:pPr>
    <w:rPr>
      <w:rFonts w:ascii="Arial" w:hAnsi="Arial" w:eastAsia="Arial" w:cs="Arial"/>
      <w:color w:val="365F91"/>
      <w:sz w:val="28"/>
      <w:szCs w:val="28"/>
    </w:rPr>
  </w:style>
  <w:style w:type="paragraph" w:styleId="5">
    <w:name w:val="heading 4"/>
    <w:basedOn w:val="1"/>
    <w:next w:val="1"/>
    <w:link w:val="170"/>
    <w:unhideWhenUsed/>
    <w:qFormat/>
    <w:uiPriority w:val="9"/>
    <w:pPr>
      <w:keepNext/>
      <w:keepLines/>
      <w:spacing w:before="80" w:after="40"/>
      <w:outlineLvl w:val="3"/>
    </w:pPr>
    <w:rPr>
      <w:rFonts w:ascii="Arial" w:hAnsi="Arial" w:eastAsia="Arial" w:cs="Arial"/>
      <w:i/>
      <w:iCs/>
      <w:color w:val="365F91"/>
    </w:rPr>
  </w:style>
  <w:style w:type="paragraph" w:styleId="6">
    <w:name w:val="heading 5"/>
    <w:basedOn w:val="1"/>
    <w:next w:val="1"/>
    <w:link w:val="171"/>
    <w:unhideWhenUsed/>
    <w:qFormat/>
    <w:uiPriority w:val="9"/>
    <w:pPr>
      <w:keepNext/>
      <w:keepLines/>
      <w:spacing w:before="80" w:after="40"/>
      <w:outlineLvl w:val="4"/>
    </w:pPr>
    <w:rPr>
      <w:rFonts w:ascii="Arial" w:hAnsi="Arial" w:eastAsia="Arial" w:cs="Arial"/>
      <w:color w:val="365F91"/>
    </w:rPr>
  </w:style>
  <w:style w:type="paragraph" w:styleId="7">
    <w:name w:val="heading 6"/>
    <w:basedOn w:val="1"/>
    <w:next w:val="1"/>
    <w:link w:val="172"/>
    <w:unhideWhenUsed/>
    <w:qFormat/>
    <w:uiPriority w:val="9"/>
    <w:pPr>
      <w:keepNext/>
      <w:keepLines/>
      <w:spacing w:before="40"/>
      <w:outlineLvl w:val="5"/>
    </w:pPr>
    <w:rPr>
      <w:rFonts w:ascii="Arial" w:hAnsi="Arial" w:eastAsia="Arial" w:cs="Arial"/>
      <w:i/>
      <w:iCs/>
      <w:color w:val="595959"/>
    </w:rPr>
  </w:style>
  <w:style w:type="paragraph" w:styleId="8">
    <w:name w:val="heading 7"/>
    <w:basedOn w:val="1"/>
    <w:next w:val="1"/>
    <w:link w:val="173"/>
    <w:unhideWhenUsed/>
    <w:qFormat/>
    <w:uiPriority w:val="9"/>
    <w:pPr>
      <w:keepNext/>
      <w:keepLines/>
      <w:spacing w:before="40"/>
      <w:outlineLvl w:val="6"/>
    </w:pPr>
    <w:rPr>
      <w:rFonts w:ascii="Arial" w:hAnsi="Arial" w:eastAsia="Arial" w:cs="Arial"/>
      <w:color w:val="595959"/>
    </w:rPr>
  </w:style>
  <w:style w:type="paragraph" w:styleId="9">
    <w:name w:val="heading 8"/>
    <w:basedOn w:val="1"/>
    <w:next w:val="1"/>
    <w:link w:val="174"/>
    <w:unhideWhenUsed/>
    <w:qFormat/>
    <w:uiPriority w:val="9"/>
    <w:pPr>
      <w:keepNext/>
      <w:keepLines/>
      <w:outlineLvl w:val="7"/>
    </w:pPr>
    <w:rPr>
      <w:rFonts w:ascii="Arial" w:hAnsi="Arial" w:eastAsia="Arial" w:cs="Arial"/>
      <w:i/>
      <w:iCs/>
      <w:color w:val="272727"/>
    </w:rPr>
  </w:style>
  <w:style w:type="paragraph" w:styleId="10">
    <w:name w:val="heading 9"/>
    <w:basedOn w:val="1"/>
    <w:next w:val="1"/>
    <w:link w:val="175"/>
    <w:unhideWhenUsed/>
    <w:qFormat/>
    <w:uiPriority w:val="9"/>
    <w:pPr>
      <w:keepNext/>
      <w:keepLines/>
      <w:outlineLvl w:val="8"/>
    </w:pPr>
    <w:rPr>
      <w:rFonts w:ascii="Arial" w:hAnsi="Arial" w:eastAsia="Arial" w:cs="Arial"/>
      <w:i/>
      <w:iCs/>
      <w:color w:val="272727"/>
    </w:rPr>
  </w:style>
  <w:style w:type="character" w:default="1" w:styleId="34">
    <w:name w:val="Default Paragraph Font"/>
    <w:semiHidden/>
    <w:unhideWhenUsed/>
    <w:uiPriority w:val="1"/>
  </w:style>
  <w:style w:type="table" w:default="1" w:styleId="32">
    <w:name w:val="Normal Table"/>
    <w:semiHidden/>
    <w:unhideWhenUsed/>
    <w:uiPriority w:val="99"/>
    <w:tblPr>
      <w:tblCellMar>
        <w:top w:w="0" w:type="dxa"/>
        <w:left w:w="108" w:type="dxa"/>
        <w:bottom w:w="0" w:type="dxa"/>
        <w:right w:w="108" w:type="dxa"/>
      </w:tblCellMar>
    </w:tblPr>
  </w:style>
  <w:style w:type="paragraph" w:styleId="11">
    <w:name w:val="toc 7"/>
    <w:basedOn w:val="1"/>
    <w:next w:val="1"/>
    <w:unhideWhenUsed/>
    <w:qFormat/>
    <w:uiPriority w:val="39"/>
    <w:pPr>
      <w:spacing w:after="100"/>
      <w:ind w:left="1320"/>
    </w:pPr>
  </w:style>
  <w:style w:type="paragraph" w:styleId="12">
    <w:name w:val="Normal Indent"/>
    <w:basedOn w:val="1"/>
    <w:qFormat/>
    <w:uiPriority w:val="0"/>
    <w:pPr>
      <w:ind w:firstLine="420"/>
    </w:pPr>
    <w:rPr>
      <w:szCs w:val="20"/>
    </w:rPr>
  </w:style>
  <w:style w:type="paragraph" w:styleId="13">
    <w:name w:val="caption"/>
    <w:basedOn w:val="1"/>
    <w:next w:val="1"/>
    <w:unhideWhenUsed/>
    <w:qFormat/>
    <w:uiPriority w:val="35"/>
    <w:pPr>
      <w:spacing w:after="200"/>
    </w:pPr>
    <w:rPr>
      <w:i/>
      <w:iCs/>
      <w:color w:val="1F497D"/>
      <w:sz w:val="18"/>
      <w:szCs w:val="18"/>
    </w:rPr>
  </w:style>
  <w:style w:type="paragraph" w:styleId="14">
    <w:name w:val="annotation text"/>
    <w:basedOn w:val="1"/>
    <w:link w:val="312"/>
    <w:semiHidden/>
    <w:unhideWhenUsed/>
    <w:qFormat/>
    <w:uiPriority w:val="99"/>
    <w:pPr>
      <w:jc w:val="left"/>
    </w:pPr>
  </w:style>
  <w:style w:type="paragraph" w:styleId="15">
    <w:name w:val="toc 5"/>
    <w:basedOn w:val="1"/>
    <w:next w:val="1"/>
    <w:unhideWhenUsed/>
    <w:qFormat/>
    <w:uiPriority w:val="39"/>
    <w:pPr>
      <w:spacing w:after="100"/>
      <w:ind w:left="880"/>
    </w:pPr>
  </w:style>
  <w:style w:type="paragraph" w:styleId="16">
    <w:name w:val="toc 3"/>
    <w:basedOn w:val="1"/>
    <w:next w:val="1"/>
    <w:unhideWhenUsed/>
    <w:qFormat/>
    <w:uiPriority w:val="39"/>
    <w:pPr>
      <w:spacing w:after="100"/>
      <w:ind w:left="440"/>
    </w:pPr>
  </w:style>
  <w:style w:type="paragraph" w:styleId="17">
    <w:name w:val="toc 8"/>
    <w:basedOn w:val="1"/>
    <w:next w:val="1"/>
    <w:unhideWhenUsed/>
    <w:qFormat/>
    <w:uiPriority w:val="39"/>
    <w:pPr>
      <w:spacing w:after="100"/>
      <w:ind w:left="1540"/>
    </w:pPr>
  </w:style>
  <w:style w:type="paragraph" w:styleId="18">
    <w:name w:val="endnote text"/>
    <w:basedOn w:val="1"/>
    <w:link w:val="192"/>
    <w:semiHidden/>
    <w:unhideWhenUsed/>
    <w:qFormat/>
    <w:uiPriority w:val="99"/>
    <w:rPr>
      <w:sz w:val="20"/>
      <w:szCs w:val="20"/>
    </w:rPr>
  </w:style>
  <w:style w:type="paragraph" w:styleId="19">
    <w:name w:val="Balloon Text"/>
    <w:basedOn w:val="1"/>
    <w:link w:val="311"/>
    <w:semiHidden/>
    <w:unhideWhenUsed/>
    <w:qFormat/>
    <w:uiPriority w:val="99"/>
    <w:rPr>
      <w:sz w:val="18"/>
      <w:szCs w:val="18"/>
    </w:rPr>
  </w:style>
  <w:style w:type="paragraph" w:styleId="20">
    <w:name w:val="footer"/>
    <w:basedOn w:val="1"/>
    <w:link w:val="190"/>
    <w:unhideWhenUsed/>
    <w:qFormat/>
    <w:uiPriority w:val="99"/>
    <w:pPr>
      <w:tabs>
        <w:tab w:val="center" w:pos="4844"/>
        <w:tab w:val="right" w:pos="9689"/>
      </w:tabs>
    </w:pPr>
  </w:style>
  <w:style w:type="paragraph" w:styleId="21">
    <w:name w:val="header"/>
    <w:basedOn w:val="1"/>
    <w:link w:val="189"/>
    <w:unhideWhenUsed/>
    <w:qFormat/>
    <w:uiPriority w:val="99"/>
    <w:pPr>
      <w:tabs>
        <w:tab w:val="center" w:pos="4844"/>
        <w:tab w:val="right" w:pos="9689"/>
      </w:tabs>
    </w:pPr>
  </w:style>
  <w:style w:type="paragraph" w:styleId="22">
    <w:name w:val="toc 1"/>
    <w:basedOn w:val="1"/>
    <w:next w:val="1"/>
    <w:unhideWhenUsed/>
    <w:qFormat/>
    <w:uiPriority w:val="39"/>
    <w:pPr>
      <w:spacing w:after="100"/>
    </w:pPr>
  </w:style>
  <w:style w:type="paragraph" w:styleId="23">
    <w:name w:val="toc 4"/>
    <w:basedOn w:val="1"/>
    <w:next w:val="1"/>
    <w:unhideWhenUsed/>
    <w:qFormat/>
    <w:uiPriority w:val="39"/>
    <w:pPr>
      <w:spacing w:after="100"/>
      <w:ind w:left="660"/>
    </w:pPr>
  </w:style>
  <w:style w:type="paragraph" w:styleId="24">
    <w:name w:val="Subtitle"/>
    <w:basedOn w:val="1"/>
    <w:next w:val="1"/>
    <w:link w:val="177"/>
    <w:qFormat/>
    <w:uiPriority w:val="11"/>
    <w:rPr>
      <w:color w:val="595959"/>
      <w:spacing w:val="15"/>
      <w:sz w:val="28"/>
      <w:szCs w:val="28"/>
    </w:rPr>
  </w:style>
  <w:style w:type="paragraph" w:styleId="25">
    <w:name w:val="footnote text"/>
    <w:basedOn w:val="1"/>
    <w:link w:val="191"/>
    <w:semiHidden/>
    <w:unhideWhenUsed/>
    <w:qFormat/>
    <w:uiPriority w:val="99"/>
    <w:rPr>
      <w:sz w:val="20"/>
      <w:szCs w:val="20"/>
    </w:rPr>
  </w:style>
  <w:style w:type="paragraph" w:styleId="26">
    <w:name w:val="toc 6"/>
    <w:basedOn w:val="1"/>
    <w:next w:val="1"/>
    <w:unhideWhenUsed/>
    <w:qFormat/>
    <w:uiPriority w:val="39"/>
    <w:pPr>
      <w:spacing w:after="100"/>
      <w:ind w:left="1100"/>
    </w:pPr>
  </w:style>
  <w:style w:type="paragraph" w:styleId="27">
    <w:name w:val="table of figures"/>
    <w:basedOn w:val="1"/>
    <w:next w:val="1"/>
    <w:unhideWhenUsed/>
    <w:qFormat/>
    <w:uiPriority w:val="99"/>
  </w:style>
  <w:style w:type="paragraph" w:styleId="28">
    <w:name w:val="toc 2"/>
    <w:basedOn w:val="1"/>
    <w:next w:val="1"/>
    <w:unhideWhenUsed/>
    <w:qFormat/>
    <w:uiPriority w:val="39"/>
    <w:pPr>
      <w:spacing w:after="100"/>
      <w:ind w:left="220"/>
    </w:pPr>
  </w:style>
  <w:style w:type="paragraph" w:styleId="29">
    <w:name w:val="toc 9"/>
    <w:basedOn w:val="1"/>
    <w:next w:val="1"/>
    <w:unhideWhenUsed/>
    <w:qFormat/>
    <w:uiPriority w:val="39"/>
    <w:pPr>
      <w:spacing w:after="100"/>
      <w:ind w:left="1760"/>
    </w:pPr>
  </w:style>
  <w:style w:type="paragraph" w:styleId="30">
    <w:name w:val="Title"/>
    <w:basedOn w:val="1"/>
    <w:next w:val="1"/>
    <w:link w:val="176"/>
    <w:qFormat/>
    <w:uiPriority w:val="10"/>
    <w:pPr>
      <w:spacing w:after="80"/>
      <w:contextualSpacing/>
    </w:pPr>
    <w:rPr>
      <w:rFonts w:ascii="Arial" w:hAnsi="Arial" w:eastAsia="Arial" w:cs="Arial"/>
      <w:spacing w:val="-10"/>
      <w:sz w:val="56"/>
      <w:szCs w:val="56"/>
    </w:rPr>
  </w:style>
  <w:style w:type="paragraph" w:styleId="31">
    <w:name w:val="annotation subject"/>
    <w:basedOn w:val="14"/>
    <w:next w:val="14"/>
    <w:link w:val="313"/>
    <w:semiHidden/>
    <w:unhideWhenUsed/>
    <w:qFormat/>
    <w:uiPriority w:val="99"/>
    <w:rPr>
      <w:b/>
      <w:bCs/>
    </w:rPr>
  </w:style>
  <w:style w:type="table" w:styleId="33">
    <w:name w:val="Table Grid"/>
    <w:basedOn w:val="32"/>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5">
    <w:name w:val="Strong"/>
    <w:qFormat/>
    <w:uiPriority w:val="22"/>
    <w:rPr>
      <w:b/>
      <w:bCs/>
    </w:rPr>
  </w:style>
  <w:style w:type="character" w:styleId="36">
    <w:name w:val="endnote reference"/>
    <w:semiHidden/>
    <w:unhideWhenUsed/>
    <w:qFormat/>
    <w:uiPriority w:val="99"/>
    <w:rPr>
      <w:vertAlign w:val="superscript"/>
    </w:rPr>
  </w:style>
  <w:style w:type="character" w:styleId="37">
    <w:name w:val="FollowedHyperlink"/>
    <w:semiHidden/>
    <w:unhideWhenUsed/>
    <w:qFormat/>
    <w:uiPriority w:val="99"/>
    <w:rPr>
      <w:color w:val="800080"/>
      <w:u w:val="single"/>
    </w:rPr>
  </w:style>
  <w:style w:type="character" w:styleId="38">
    <w:name w:val="Emphasis"/>
    <w:qFormat/>
    <w:uiPriority w:val="20"/>
    <w:rPr>
      <w:i/>
      <w:iCs/>
    </w:rPr>
  </w:style>
  <w:style w:type="character" w:styleId="39">
    <w:name w:val="Hyperlink"/>
    <w:unhideWhenUsed/>
    <w:qFormat/>
    <w:uiPriority w:val="99"/>
    <w:rPr>
      <w:color w:val="0000FF"/>
      <w:u w:val="single"/>
    </w:rPr>
  </w:style>
  <w:style w:type="character" w:styleId="40">
    <w:name w:val="annotation reference"/>
    <w:semiHidden/>
    <w:unhideWhenUsed/>
    <w:qFormat/>
    <w:uiPriority w:val="99"/>
    <w:rPr>
      <w:sz w:val="21"/>
      <w:szCs w:val="21"/>
    </w:rPr>
  </w:style>
  <w:style w:type="character" w:styleId="41">
    <w:name w:val="footnote reference"/>
    <w:semiHidden/>
    <w:unhideWhenUsed/>
    <w:qFormat/>
    <w:uiPriority w:val="99"/>
    <w:rPr>
      <w:vertAlign w:val="superscript"/>
    </w:rPr>
  </w:style>
  <w:style w:type="table" w:customStyle="1" w:styleId="42">
    <w:name w:val="Table Grid Light"/>
    <w:basedOn w:val="32"/>
    <w:qFormat/>
    <w:uiPriority w:val="59"/>
    <w:tblPr>
      <w:tblBorders>
        <w:top w:val="single" w:color="AFAFAF" w:sz="4" w:space="0"/>
        <w:left w:val="single" w:color="AFAFAF" w:sz="4" w:space="0"/>
        <w:bottom w:val="single" w:color="AFAFAF" w:sz="4" w:space="0"/>
        <w:right w:val="single" w:color="AFAFAF" w:sz="4" w:space="0"/>
        <w:insideH w:val="single" w:color="AFAFAF" w:sz="4" w:space="0"/>
        <w:insideV w:val="single" w:color="AFAFAF" w:sz="4" w:space="0"/>
      </w:tblBorders>
      <w:tblCellMar>
        <w:top w:w="0" w:type="dxa"/>
        <w:left w:w="108" w:type="dxa"/>
        <w:bottom w:w="0" w:type="dxa"/>
        <w:right w:w="108" w:type="dxa"/>
      </w:tblCellMar>
    </w:tblPr>
  </w:style>
  <w:style w:type="table" w:customStyle="1" w:styleId="43">
    <w:name w:val="无格式表格 11"/>
    <w:basedOn w:val="32"/>
    <w:qFormat/>
    <w:uiPriority w:val="59"/>
    <w:tblPr>
      <w:tblBorders>
        <w:top w:val="single" w:color="AFAFAF" w:sz="4" w:space="0"/>
        <w:left w:val="single" w:color="AFAFAF" w:sz="4" w:space="0"/>
        <w:bottom w:val="single" w:color="AFAFAF" w:sz="4" w:space="0"/>
        <w:right w:val="single" w:color="AFAFAF" w:sz="4" w:space="0"/>
        <w:insideH w:val="single" w:color="AFAFAF" w:sz="4" w:space="0"/>
        <w:insideV w:val="single" w:color="AFAFAF" w:sz="4" w:space="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cPr>
        <w:shd w:val="clear" w:color="F2F2F2" w:fill="F2F2F2"/>
      </w:tcPr>
    </w:tblStylePr>
    <w:tblStylePr w:type="band1Horz">
      <w:tcPr>
        <w:shd w:val="clear" w:color="F2F2F2" w:fill="F2F2F2"/>
      </w:tcPr>
    </w:tblStylePr>
  </w:style>
  <w:style w:type="table" w:customStyle="1" w:styleId="44">
    <w:name w:val="无格式表格 21"/>
    <w:basedOn w:val="32"/>
    <w:qFormat/>
    <w:uiPriority w:val="59"/>
    <w:tblPr>
      <w:tblBorders>
        <w:top w:val="single" w:color="000000" w:sz="4" w:space="0"/>
        <w:left w:val="none" w:color="000000" w:sz="4" w:space="0"/>
        <w:bottom w:val="single" w:color="000000" w:sz="4" w:space="0"/>
        <w:right w:val="none" w:color="000000" w:sz="4" w:space="0"/>
      </w:tblBorders>
      <w:tblCellMar>
        <w:top w:w="0" w:type="dxa"/>
        <w:left w:w="108" w:type="dxa"/>
        <w:bottom w:w="0" w:type="dxa"/>
        <w:right w:w="108" w:type="dxa"/>
      </w:tblCellMar>
    </w:tblPr>
    <w:tblStylePr w:type="firstRow">
      <w:rPr>
        <w:rFonts w:ascii="Arial" w:hAnsi="Arial"/>
        <w:b/>
        <w:color w:val="404040"/>
        <w:sz w:val="22"/>
      </w:rPr>
      <w:tcPr>
        <w:tcBorders>
          <w:top w:val="single" w:color="000000" w:sz="4" w:space="0"/>
          <w:bottom w:val="single" w:color="000000" w:sz="4" w:space="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cPr>
        <w:tcBorders>
          <w:left w:val="single" w:color="000000" w:sz="4" w:space="0"/>
          <w:right w:val="single" w:color="000000" w:sz="4" w:space="0"/>
        </w:tcBorders>
      </w:tcPr>
    </w:tblStylePr>
    <w:tblStylePr w:type="band2Vert">
      <w:tcPr>
        <w:tcBorders>
          <w:left w:val="single" w:color="000000" w:sz="4" w:space="0"/>
          <w:right w:val="single" w:color="000000" w:sz="4" w:space="0"/>
        </w:tcBorders>
      </w:tcPr>
    </w:tblStylePr>
    <w:tblStylePr w:type="band1Horz">
      <w:tcPr>
        <w:tcBorders>
          <w:top w:val="single" w:color="000000" w:sz="4" w:space="0"/>
          <w:bottom w:val="single" w:color="000000" w:sz="4" w:space="0"/>
        </w:tcBorders>
      </w:tcPr>
    </w:tblStylePr>
  </w:style>
  <w:style w:type="table" w:customStyle="1" w:styleId="45">
    <w:name w:val="无格式表格 31"/>
    <w:basedOn w:val="32"/>
    <w:qFormat/>
    <w:uiPriority w:val="99"/>
    <w:tblPr>
      <w:tblCellMar>
        <w:top w:w="0" w:type="dxa"/>
        <w:left w:w="108" w:type="dxa"/>
        <w:bottom w:w="0" w:type="dxa"/>
        <w:right w:w="108" w:type="dxa"/>
      </w:tblCellMar>
    </w:tblPr>
    <w:tblStylePr w:type="firstRow">
      <w:rPr>
        <w:b/>
        <w:caps/>
        <w:color w:val="404040"/>
      </w:rPr>
      <w:tcPr>
        <w:tcBorders>
          <w:top w:val="nil"/>
          <w:left w:val="nil"/>
          <w:bottom w:val="single" w:color="404040" w:sz="4" w:space="0"/>
          <w:right w:val="nil"/>
        </w:tcBorders>
      </w:tcPr>
    </w:tblStylePr>
    <w:tblStylePr w:type="lastRow">
      <w:rPr>
        <w:b/>
        <w:caps/>
        <w:color w:val="404040"/>
      </w:rPr>
    </w:tblStylePr>
    <w:tblStylePr w:type="firstCol">
      <w:rPr>
        <w:b/>
        <w:caps/>
        <w:color w:val="404040"/>
      </w:rPr>
      <w:tcPr>
        <w:tcBorders>
          <w:top w:val="nil"/>
          <w:left w:val="nil"/>
          <w:bottom w:val="nil"/>
          <w:right w:val="single" w:color="404040" w:sz="4" w:space="0"/>
        </w:tcBorders>
      </w:tcPr>
    </w:tblStylePr>
    <w:tblStylePr w:type="lastCol">
      <w:rPr>
        <w:b/>
        <w:caps/>
        <w:color w:val="404040"/>
      </w:rPr>
    </w:tblStylePr>
    <w:tblStylePr w:type="band1Vert">
      <w:rPr>
        <w:rFonts w:ascii="Arial" w:hAnsi="Arial"/>
        <w:color w:val="404040"/>
        <w:sz w:val="22"/>
      </w:rPr>
      <w:tcPr>
        <w:shd w:val="clear" w:color="F2F2F2" w:fill="F2F2F2"/>
      </w:tcPr>
    </w:tblStylePr>
    <w:tblStylePr w:type="band1Horz">
      <w:rPr>
        <w:rFonts w:ascii="Arial" w:hAnsi="Arial"/>
        <w:color w:val="404040"/>
        <w:sz w:val="22"/>
      </w:rPr>
      <w:tcPr>
        <w:shd w:val="clear" w:color="F2F2F2" w:fill="F2F2F2"/>
      </w:tcPr>
    </w:tblStylePr>
  </w:style>
  <w:style w:type="table" w:customStyle="1" w:styleId="46">
    <w:name w:val="无格式表格 41"/>
    <w:basedOn w:val="32"/>
    <w:qFormat/>
    <w:uiPriority w:val="99"/>
    <w:tblPr>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F2F2F2" w:fill="F2F2F2"/>
      </w:tcPr>
    </w:tblStylePr>
    <w:tblStylePr w:type="band1Horz">
      <w:rPr>
        <w:rFonts w:ascii="Arial" w:hAnsi="Arial"/>
        <w:color w:val="404040"/>
        <w:sz w:val="22"/>
      </w:rPr>
      <w:tcPr>
        <w:shd w:val="clear" w:color="F2F2F2" w:fill="F2F2F2"/>
      </w:tcPr>
    </w:tblStylePr>
  </w:style>
  <w:style w:type="table" w:customStyle="1" w:styleId="47">
    <w:name w:val="无格式表格 51"/>
    <w:basedOn w:val="32"/>
    <w:qFormat/>
    <w:uiPriority w:val="99"/>
    <w:tblPr>
      <w:tblCellMar>
        <w:top w:w="0" w:type="dxa"/>
        <w:left w:w="108" w:type="dxa"/>
        <w:bottom w:w="0" w:type="dxa"/>
        <w:right w:w="108" w:type="dxa"/>
      </w:tblCellMar>
    </w:tblPr>
    <w:tblStylePr w:type="firstRow">
      <w:rPr>
        <w:i/>
        <w:color w:val="404040"/>
      </w:rPr>
      <w:tcPr>
        <w:tcBorders>
          <w:left w:val="nil"/>
          <w:bottom w:val="single" w:color="404040" w:sz="4" w:space="0"/>
          <w:right w:val="nil"/>
        </w:tcBorders>
        <w:shd w:val="clear" w:color="FFFFFF" w:fill="auto"/>
      </w:tcPr>
    </w:tblStylePr>
    <w:tblStylePr w:type="lastRow">
      <w:rPr>
        <w:i/>
        <w:color w:val="404040"/>
      </w:rPr>
      <w:tcPr>
        <w:tcBorders>
          <w:top w:val="single" w:color="404040" w:sz="4" w:space="0"/>
          <w:left w:val="nil"/>
          <w:right w:val="nil"/>
        </w:tcBorders>
        <w:shd w:val="clear" w:color="FFFFFF" w:fill="auto"/>
      </w:tcPr>
    </w:tblStylePr>
    <w:tblStylePr w:type="firstCol">
      <w:pPr>
        <w:jc w:val="right"/>
      </w:pPr>
      <w:rPr>
        <w:i/>
        <w:color w:val="404040"/>
      </w:rPr>
      <w:tcPr>
        <w:tcBorders>
          <w:right w:val="single" w:color="404040" w:sz="4" w:space="0"/>
        </w:tcBorders>
        <w:shd w:val="clear" w:color="FFFFFF" w:fill="auto"/>
      </w:tcPr>
    </w:tblStylePr>
    <w:tblStylePr w:type="lastCol">
      <w:rPr>
        <w:i/>
        <w:color w:val="404040"/>
      </w:rPr>
      <w:tcPr>
        <w:tcBorders>
          <w:left w:val="single" w:color="404040" w:sz="4" w:space="0"/>
        </w:tcBorders>
        <w:shd w:val="clear" w:color="FFFFFF" w:fill="auto"/>
      </w:tcPr>
    </w:tblStylePr>
    <w:tblStylePr w:type="band1Vert">
      <w:rPr>
        <w:rFonts w:ascii="Arial" w:hAnsi="Arial"/>
        <w:color w:val="404040"/>
        <w:sz w:val="22"/>
      </w:rPr>
      <w:tcPr>
        <w:shd w:val="clear" w:color="F2F2F2" w:fill="F2F2F2"/>
      </w:tcPr>
    </w:tblStylePr>
    <w:tblStylePr w:type="band1Horz">
      <w:rPr>
        <w:rFonts w:ascii="Arial" w:hAnsi="Arial"/>
        <w:color w:val="404040"/>
        <w:sz w:val="22"/>
      </w:rPr>
      <w:tcPr>
        <w:shd w:val="clear" w:color="F2F2F2" w:fill="F2F2F2"/>
      </w:tcPr>
    </w:tblStylePr>
  </w:style>
  <w:style w:type="table" w:customStyle="1" w:styleId="48">
    <w:name w:val="网格表 1 浅色1"/>
    <w:basedOn w:val="32"/>
    <w:uiPriority w:val="99"/>
    <w:tblPr>
      <w:tblBorders>
        <w:top w:val="single" w:color="989898" w:sz="4" w:space="0"/>
        <w:left w:val="single" w:color="989898" w:sz="4" w:space="0"/>
        <w:bottom w:val="single" w:color="989898" w:sz="4" w:space="0"/>
        <w:right w:val="single" w:color="989898" w:sz="4" w:space="0"/>
        <w:insideH w:val="single" w:color="989898" w:sz="4" w:space="0"/>
        <w:insideV w:val="single" w:color="989898" w:sz="4" w:space="0"/>
      </w:tblBorders>
      <w:tblCellMar>
        <w:top w:w="0" w:type="dxa"/>
        <w:left w:w="108" w:type="dxa"/>
        <w:bottom w:w="0" w:type="dxa"/>
        <w:right w:w="108" w:type="dxa"/>
      </w:tblCellMar>
    </w:tblPr>
    <w:tblStylePr w:type="firstRow">
      <w:rPr>
        <w:b/>
        <w:color w:val="404040"/>
      </w:rPr>
      <w:tcPr>
        <w:tcBorders>
          <w:bottom w:val="single" w:color="6A6A6A"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989898" w:sz="4" w:space="0"/>
          <w:left w:val="single" w:color="989898" w:sz="4" w:space="0"/>
          <w:bottom w:val="single" w:color="989898" w:sz="4" w:space="0"/>
          <w:right w:val="single" w:color="989898" w:sz="4" w:space="0"/>
        </w:tcBorders>
      </w:tcPr>
    </w:tblStylePr>
  </w:style>
  <w:style w:type="table" w:customStyle="1" w:styleId="49">
    <w:name w:val="Grid Table 1 Light - Accent 1"/>
    <w:basedOn w:val="32"/>
    <w:qFormat/>
    <w:uiPriority w:val="99"/>
    <w:tblPr>
      <w:tblBorders>
        <w:top w:val="single" w:color="B7CBE4" w:sz="4" w:space="0"/>
        <w:left w:val="single" w:color="B7CBE4" w:sz="4" w:space="0"/>
        <w:bottom w:val="single" w:color="B7CBE4" w:sz="4" w:space="0"/>
        <w:right w:val="single" w:color="B7CBE4" w:sz="4" w:space="0"/>
        <w:insideH w:val="single" w:color="B7CBE4" w:sz="4" w:space="0"/>
        <w:insideV w:val="single" w:color="B7CBE4" w:sz="4" w:space="0"/>
      </w:tblBorders>
      <w:tblCellMar>
        <w:top w:w="0" w:type="dxa"/>
        <w:left w:w="108" w:type="dxa"/>
        <w:bottom w:w="0" w:type="dxa"/>
        <w:right w:w="108" w:type="dxa"/>
      </w:tblCellMar>
    </w:tblPr>
    <w:tblStylePr w:type="firstRow">
      <w:rPr>
        <w:b/>
        <w:color w:val="404040"/>
      </w:rPr>
      <w:tcPr>
        <w:tcBorders>
          <w:bottom w:val="single" w:color="97B4D8"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B7CBE4" w:sz="4" w:space="0"/>
          <w:left w:val="single" w:color="B7CBE4" w:sz="4" w:space="0"/>
          <w:bottom w:val="single" w:color="B7CBE4" w:sz="4" w:space="0"/>
          <w:right w:val="single" w:color="B7CBE4" w:sz="4" w:space="0"/>
        </w:tcBorders>
      </w:tcPr>
    </w:tblStylePr>
  </w:style>
  <w:style w:type="table" w:customStyle="1" w:styleId="50">
    <w:name w:val="Grid Table 1 Light - Accent 2"/>
    <w:basedOn w:val="32"/>
    <w:qFormat/>
    <w:uiPriority w:val="99"/>
    <w:tblPr>
      <w:tblBorders>
        <w:top w:val="single" w:color="E5B7B6" w:sz="4" w:space="0"/>
        <w:left w:val="single" w:color="E5B7B6" w:sz="4" w:space="0"/>
        <w:bottom w:val="single" w:color="E5B7B6" w:sz="4" w:space="0"/>
        <w:right w:val="single" w:color="E5B7B6" w:sz="4" w:space="0"/>
        <w:insideH w:val="single" w:color="E5B7B6" w:sz="4" w:space="0"/>
        <w:insideV w:val="single" w:color="E5B7B6" w:sz="4" w:space="0"/>
      </w:tblBorders>
      <w:tblCellMar>
        <w:top w:w="0" w:type="dxa"/>
        <w:left w:w="108" w:type="dxa"/>
        <w:bottom w:w="0" w:type="dxa"/>
        <w:right w:w="108" w:type="dxa"/>
      </w:tblCellMar>
    </w:tblPr>
    <w:tblStylePr w:type="firstRow">
      <w:rPr>
        <w:b/>
        <w:color w:val="404040"/>
      </w:rPr>
      <w:tcPr>
        <w:tcBorders>
          <w:bottom w:val="single" w:color="DA9896"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E5B7B6" w:sz="4" w:space="0"/>
          <w:left w:val="single" w:color="E5B7B6" w:sz="4" w:space="0"/>
          <w:bottom w:val="single" w:color="E5B7B6" w:sz="4" w:space="0"/>
          <w:right w:val="single" w:color="E5B7B6" w:sz="4" w:space="0"/>
        </w:tcBorders>
      </w:tcPr>
    </w:tblStylePr>
  </w:style>
  <w:style w:type="table" w:customStyle="1" w:styleId="51">
    <w:name w:val="Grid Table 1 Light - Accent 3"/>
    <w:basedOn w:val="32"/>
    <w:uiPriority w:val="99"/>
    <w:tblPr>
      <w:tblBorders>
        <w:top w:val="single" w:color="D6E3BB" w:sz="4" w:space="0"/>
        <w:left w:val="single" w:color="D6E3BB" w:sz="4" w:space="0"/>
        <w:bottom w:val="single" w:color="D6E3BB" w:sz="4" w:space="0"/>
        <w:right w:val="single" w:color="D6E3BB" w:sz="4" w:space="0"/>
        <w:insideH w:val="single" w:color="D6E3BB" w:sz="4" w:space="0"/>
        <w:insideV w:val="single" w:color="D6E3BB" w:sz="4" w:space="0"/>
      </w:tblBorders>
      <w:tblCellMar>
        <w:top w:w="0" w:type="dxa"/>
        <w:left w:w="108" w:type="dxa"/>
        <w:bottom w:w="0" w:type="dxa"/>
        <w:right w:w="108" w:type="dxa"/>
      </w:tblCellMar>
    </w:tblPr>
    <w:tblStylePr w:type="firstRow">
      <w:rPr>
        <w:b/>
        <w:color w:val="404040"/>
      </w:rPr>
      <w:tcPr>
        <w:tcBorders>
          <w:bottom w:val="single" w:color="C4D79D"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D6E3BB" w:sz="4" w:space="0"/>
          <w:left w:val="single" w:color="D6E3BB" w:sz="4" w:space="0"/>
          <w:bottom w:val="single" w:color="D6E3BB" w:sz="4" w:space="0"/>
          <w:right w:val="single" w:color="D6E3BB" w:sz="4" w:space="0"/>
        </w:tcBorders>
      </w:tcPr>
    </w:tblStylePr>
  </w:style>
  <w:style w:type="table" w:customStyle="1" w:styleId="52">
    <w:name w:val="Grid Table 1 Light - Accent 4"/>
    <w:basedOn w:val="32"/>
    <w:qFormat/>
    <w:uiPriority w:val="99"/>
    <w:tblPr>
      <w:tblBorders>
        <w:top w:val="single" w:color="CBC0D9" w:sz="4" w:space="0"/>
        <w:left w:val="single" w:color="CBC0D9" w:sz="4" w:space="0"/>
        <w:bottom w:val="single" w:color="CBC0D9" w:sz="4" w:space="0"/>
        <w:right w:val="single" w:color="CBC0D9" w:sz="4" w:space="0"/>
        <w:insideH w:val="single" w:color="CBC0D9" w:sz="4" w:space="0"/>
        <w:insideV w:val="single" w:color="CBC0D9" w:sz="4" w:space="0"/>
      </w:tblBorders>
      <w:tblCellMar>
        <w:top w:w="0" w:type="dxa"/>
        <w:left w:w="108" w:type="dxa"/>
        <w:bottom w:w="0" w:type="dxa"/>
        <w:right w:w="108" w:type="dxa"/>
      </w:tblCellMar>
    </w:tblPr>
    <w:tblStylePr w:type="firstRow">
      <w:rPr>
        <w:b/>
        <w:color w:val="404040"/>
      </w:rPr>
      <w:tcPr>
        <w:tcBorders>
          <w:bottom w:val="single" w:color="B4A4C8"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CBC0D9" w:sz="4" w:space="0"/>
          <w:left w:val="single" w:color="CBC0D9" w:sz="4" w:space="0"/>
          <w:bottom w:val="single" w:color="CBC0D9" w:sz="4" w:space="0"/>
          <w:right w:val="single" w:color="CBC0D9" w:sz="4" w:space="0"/>
        </w:tcBorders>
      </w:tcPr>
    </w:tblStylePr>
  </w:style>
  <w:style w:type="table" w:customStyle="1" w:styleId="53">
    <w:name w:val="Grid Table 1 Light - Accent 5"/>
    <w:basedOn w:val="32"/>
    <w:qFormat/>
    <w:uiPriority w:val="99"/>
    <w:tblPr>
      <w:tblBorders>
        <w:top w:val="single" w:color="B6DDE8" w:sz="4" w:space="0"/>
        <w:left w:val="single" w:color="B6DDE8" w:sz="4" w:space="0"/>
        <w:bottom w:val="single" w:color="B6DDE8" w:sz="4" w:space="0"/>
        <w:right w:val="single" w:color="B6DDE8" w:sz="4" w:space="0"/>
        <w:insideH w:val="single" w:color="B6DDE8" w:sz="4" w:space="0"/>
        <w:insideV w:val="single" w:color="B6DDE8" w:sz="4" w:space="0"/>
      </w:tblBorders>
      <w:tblCellMar>
        <w:top w:w="0" w:type="dxa"/>
        <w:left w:w="108" w:type="dxa"/>
        <w:bottom w:w="0" w:type="dxa"/>
        <w:right w:w="108" w:type="dxa"/>
      </w:tblCellMar>
    </w:tblPr>
    <w:tblStylePr w:type="firstRow">
      <w:rPr>
        <w:b/>
        <w:color w:val="404040"/>
      </w:rPr>
      <w:tcPr>
        <w:tcBorders>
          <w:bottom w:val="single" w:color="95CEDD"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B6DDE8" w:sz="4" w:space="0"/>
          <w:left w:val="single" w:color="B6DDE8" w:sz="4" w:space="0"/>
          <w:bottom w:val="single" w:color="B6DDE8" w:sz="4" w:space="0"/>
          <w:right w:val="single" w:color="B6DDE8" w:sz="4" w:space="0"/>
        </w:tcBorders>
      </w:tcPr>
    </w:tblStylePr>
  </w:style>
  <w:style w:type="table" w:customStyle="1" w:styleId="54">
    <w:name w:val="Grid Table 1 Light - Accent 6"/>
    <w:basedOn w:val="32"/>
    <w:qFormat/>
    <w:uiPriority w:val="99"/>
    <w:tblPr>
      <w:tblBorders>
        <w:top w:val="single" w:color="FBD4B4" w:sz="4" w:space="0"/>
        <w:left w:val="single" w:color="FBD4B4" w:sz="4" w:space="0"/>
        <w:bottom w:val="single" w:color="FBD4B4" w:sz="4" w:space="0"/>
        <w:right w:val="single" w:color="FBD4B4" w:sz="4" w:space="0"/>
        <w:insideH w:val="single" w:color="FBD4B4" w:sz="4" w:space="0"/>
        <w:insideV w:val="single" w:color="FBD4B4" w:sz="4" w:space="0"/>
      </w:tblBorders>
      <w:tblCellMar>
        <w:top w:w="0" w:type="dxa"/>
        <w:left w:w="108" w:type="dxa"/>
        <w:bottom w:w="0" w:type="dxa"/>
        <w:right w:w="108" w:type="dxa"/>
      </w:tblCellMar>
    </w:tblPr>
    <w:tblStylePr w:type="firstRow">
      <w:rPr>
        <w:b/>
        <w:color w:val="404040"/>
      </w:rPr>
      <w:tcPr>
        <w:tcBorders>
          <w:bottom w:val="single" w:color="FAC192"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FBD4B4" w:sz="4" w:space="0"/>
          <w:left w:val="single" w:color="FBD4B4" w:sz="4" w:space="0"/>
          <w:bottom w:val="single" w:color="FBD4B4" w:sz="4" w:space="0"/>
          <w:right w:val="single" w:color="FBD4B4" w:sz="4" w:space="0"/>
        </w:tcBorders>
      </w:tcPr>
    </w:tblStylePr>
  </w:style>
  <w:style w:type="table" w:customStyle="1" w:styleId="55">
    <w:name w:val="网格表 21"/>
    <w:basedOn w:val="32"/>
    <w:qFormat/>
    <w:uiPriority w:val="99"/>
    <w:tblPr>
      <w:tblBorders>
        <w:bottom w:val="single" w:color="6A6A6A" w:sz="4" w:space="0"/>
        <w:insideH w:val="single" w:color="6A6A6A" w:sz="4" w:space="0"/>
        <w:insideV w:val="single" w:color="6A6A6A" w:sz="4" w:space="0"/>
      </w:tblBorders>
      <w:tblCellMar>
        <w:top w:w="0" w:type="dxa"/>
        <w:left w:w="108" w:type="dxa"/>
        <w:bottom w:w="0" w:type="dxa"/>
        <w:right w:w="108" w:type="dxa"/>
      </w:tblCellMar>
    </w:tblPr>
    <w:tblStylePr w:type="firstRow">
      <w:rPr>
        <w:b/>
        <w:color w:val="404040"/>
      </w:rPr>
      <w:tcPr>
        <w:tcBorders>
          <w:top w:val="nil"/>
          <w:left w:val="nil"/>
          <w:bottom w:val="single" w:color="6A6A6A" w:sz="12" w:space="0"/>
          <w:right w:val="nil"/>
        </w:tcBorders>
        <w:shd w:val="clear" w:color="FFFFFF" w:fill="auto"/>
      </w:tcPr>
    </w:tblStylePr>
    <w:tblStylePr w:type="lastRow">
      <w:rPr>
        <w:b/>
        <w:color w:val="404040"/>
      </w:rPr>
      <w:tcPr>
        <w:tcBorders>
          <w:top w:val="single" w:color="6A6A6A"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CBCBCB" w:fill="CBCBCB"/>
      </w:tcPr>
    </w:tblStylePr>
    <w:tblStylePr w:type="band1Horz">
      <w:rPr>
        <w:rFonts w:ascii="Arial" w:hAnsi="Arial"/>
        <w:color w:val="404040"/>
        <w:sz w:val="22"/>
      </w:rPr>
      <w:tcPr>
        <w:shd w:val="clear" w:color="CBCBCB" w:fill="CBCBCB"/>
      </w:tcPr>
    </w:tblStylePr>
  </w:style>
  <w:style w:type="table" w:customStyle="1" w:styleId="56">
    <w:name w:val="Grid Table 2 - Accent 1"/>
    <w:basedOn w:val="32"/>
    <w:qFormat/>
    <w:uiPriority w:val="99"/>
    <w:tblPr>
      <w:tblBorders>
        <w:bottom w:val="single" w:color="5D8AC2" w:sz="4" w:space="0"/>
        <w:insideH w:val="single" w:color="5D8AC2" w:sz="4" w:space="0"/>
        <w:insideV w:val="single" w:color="5D8AC2" w:sz="4" w:space="0"/>
      </w:tblBorders>
      <w:tblCellMar>
        <w:top w:w="0" w:type="dxa"/>
        <w:left w:w="108" w:type="dxa"/>
        <w:bottom w:w="0" w:type="dxa"/>
        <w:right w:w="108" w:type="dxa"/>
      </w:tblCellMar>
    </w:tblPr>
    <w:tblStylePr w:type="firstRow">
      <w:rPr>
        <w:b/>
        <w:color w:val="404040"/>
      </w:rPr>
      <w:tcPr>
        <w:tcBorders>
          <w:top w:val="nil"/>
          <w:left w:val="nil"/>
          <w:bottom w:val="single" w:color="5D8AC2" w:sz="12" w:space="0"/>
          <w:right w:val="nil"/>
        </w:tcBorders>
        <w:shd w:val="clear" w:color="FFFFFF" w:fill="auto"/>
      </w:tcPr>
    </w:tblStylePr>
    <w:tblStylePr w:type="lastRow">
      <w:rPr>
        <w:b/>
        <w:color w:val="404040"/>
      </w:rPr>
      <w:tcPr>
        <w:tcBorders>
          <w:top w:val="single" w:color="5D8AC2"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AE5F1" w:fill="DAE5F1"/>
      </w:tcPr>
    </w:tblStylePr>
    <w:tblStylePr w:type="band1Horz">
      <w:rPr>
        <w:rFonts w:ascii="Arial" w:hAnsi="Arial"/>
        <w:color w:val="404040"/>
        <w:sz w:val="22"/>
      </w:rPr>
      <w:tcPr>
        <w:shd w:val="clear" w:color="DAE5F1" w:fill="DAE5F1"/>
      </w:tcPr>
    </w:tblStylePr>
  </w:style>
  <w:style w:type="table" w:customStyle="1" w:styleId="57">
    <w:name w:val="Grid Table 2 - Accent 2"/>
    <w:basedOn w:val="32"/>
    <w:qFormat/>
    <w:uiPriority w:val="99"/>
    <w:tblPr>
      <w:tblBorders>
        <w:bottom w:val="single" w:color="D99695" w:sz="4" w:space="0"/>
        <w:insideH w:val="single" w:color="D99695" w:sz="4" w:space="0"/>
        <w:insideV w:val="single" w:color="D99695" w:sz="4" w:space="0"/>
      </w:tblBorders>
      <w:tblCellMar>
        <w:top w:w="0" w:type="dxa"/>
        <w:left w:w="108" w:type="dxa"/>
        <w:bottom w:w="0" w:type="dxa"/>
        <w:right w:w="108" w:type="dxa"/>
      </w:tblCellMar>
    </w:tblPr>
    <w:tblStylePr w:type="firstRow">
      <w:rPr>
        <w:b/>
        <w:color w:val="404040"/>
      </w:rPr>
      <w:tcPr>
        <w:tcBorders>
          <w:top w:val="nil"/>
          <w:left w:val="nil"/>
          <w:bottom w:val="single" w:color="D99695" w:sz="12" w:space="0"/>
          <w:right w:val="nil"/>
        </w:tcBorders>
        <w:shd w:val="clear" w:color="FFFFFF" w:fill="auto"/>
      </w:tcPr>
    </w:tblStylePr>
    <w:tblStylePr w:type="lastRow">
      <w:rPr>
        <w:b/>
        <w:color w:val="404040"/>
      </w:rPr>
      <w:tcPr>
        <w:tcBorders>
          <w:top w:val="single" w:color="D99695"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2DCDC" w:fill="F2DCDC"/>
      </w:tcPr>
    </w:tblStylePr>
    <w:tblStylePr w:type="band1Horz">
      <w:rPr>
        <w:rFonts w:ascii="Arial" w:hAnsi="Arial"/>
        <w:color w:val="404040"/>
        <w:sz w:val="22"/>
      </w:rPr>
      <w:tcPr>
        <w:shd w:val="clear" w:color="F2DCDC" w:fill="F2DCDC"/>
      </w:tcPr>
    </w:tblStylePr>
  </w:style>
  <w:style w:type="table" w:customStyle="1" w:styleId="58">
    <w:name w:val="Grid Table 2 - Accent 3"/>
    <w:basedOn w:val="32"/>
    <w:qFormat/>
    <w:uiPriority w:val="99"/>
    <w:tblPr>
      <w:tblBorders>
        <w:bottom w:val="single" w:color="9ABB59" w:sz="4" w:space="0"/>
        <w:insideH w:val="single" w:color="9ABB59" w:sz="4" w:space="0"/>
        <w:insideV w:val="single" w:color="9ABB59" w:sz="4" w:space="0"/>
      </w:tblBorders>
      <w:tblCellMar>
        <w:top w:w="0" w:type="dxa"/>
        <w:left w:w="108" w:type="dxa"/>
        <w:bottom w:w="0" w:type="dxa"/>
        <w:right w:w="108" w:type="dxa"/>
      </w:tblCellMar>
    </w:tblPr>
    <w:tblStylePr w:type="firstRow">
      <w:rPr>
        <w:b/>
        <w:color w:val="404040"/>
      </w:rPr>
      <w:tcPr>
        <w:tcBorders>
          <w:top w:val="nil"/>
          <w:left w:val="nil"/>
          <w:bottom w:val="single" w:color="9ABB59" w:sz="12" w:space="0"/>
          <w:right w:val="nil"/>
        </w:tcBorders>
        <w:shd w:val="clear" w:color="FFFFFF" w:fill="auto"/>
      </w:tcPr>
    </w:tblStylePr>
    <w:tblStylePr w:type="lastRow">
      <w:rPr>
        <w:b/>
        <w:color w:val="404040"/>
      </w:rPr>
      <w:tcPr>
        <w:tcBorders>
          <w:top w:val="single" w:color="9ABB59"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AF1DC" w:fill="EAF1DC"/>
      </w:tcPr>
    </w:tblStylePr>
    <w:tblStylePr w:type="band1Horz">
      <w:rPr>
        <w:rFonts w:ascii="Arial" w:hAnsi="Arial"/>
        <w:color w:val="404040"/>
        <w:sz w:val="22"/>
      </w:rPr>
      <w:tcPr>
        <w:shd w:val="clear" w:color="EAF1DC" w:fill="EAF1DC"/>
      </w:tcPr>
    </w:tblStylePr>
  </w:style>
  <w:style w:type="table" w:customStyle="1" w:styleId="59">
    <w:name w:val="Grid Table 2 - Accent 4"/>
    <w:basedOn w:val="32"/>
    <w:qFormat/>
    <w:uiPriority w:val="99"/>
    <w:tblPr>
      <w:tblBorders>
        <w:bottom w:val="single" w:color="B2A1C6" w:sz="4" w:space="0"/>
        <w:insideH w:val="single" w:color="B2A1C6" w:sz="4" w:space="0"/>
        <w:insideV w:val="single" w:color="B2A1C6" w:sz="4" w:space="0"/>
      </w:tblBorders>
      <w:tblCellMar>
        <w:top w:w="0" w:type="dxa"/>
        <w:left w:w="108" w:type="dxa"/>
        <w:bottom w:w="0" w:type="dxa"/>
        <w:right w:w="108" w:type="dxa"/>
      </w:tblCellMar>
    </w:tblPr>
    <w:tblStylePr w:type="firstRow">
      <w:rPr>
        <w:b/>
        <w:color w:val="404040"/>
      </w:rPr>
      <w:tcPr>
        <w:tcBorders>
          <w:top w:val="nil"/>
          <w:left w:val="nil"/>
          <w:bottom w:val="single" w:color="B2A1C6" w:sz="12" w:space="0"/>
          <w:right w:val="nil"/>
        </w:tcBorders>
        <w:shd w:val="clear" w:color="FFFFFF" w:fill="auto"/>
      </w:tcPr>
    </w:tblStylePr>
    <w:tblStylePr w:type="lastRow">
      <w:rPr>
        <w:b/>
        <w:color w:val="404040"/>
      </w:rPr>
      <w:tcPr>
        <w:tcBorders>
          <w:top w:val="single" w:color="B2A1C6"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5DFEC" w:fill="E5DFEC"/>
      </w:tcPr>
    </w:tblStylePr>
    <w:tblStylePr w:type="band1Horz">
      <w:rPr>
        <w:rFonts w:ascii="Arial" w:hAnsi="Arial"/>
        <w:color w:val="404040"/>
        <w:sz w:val="22"/>
      </w:rPr>
      <w:tcPr>
        <w:shd w:val="clear" w:color="E5DFEC" w:fill="E5DFEC"/>
      </w:tcPr>
    </w:tblStylePr>
  </w:style>
  <w:style w:type="table" w:customStyle="1" w:styleId="60">
    <w:name w:val="Grid Table 2 - Accent 5"/>
    <w:basedOn w:val="32"/>
    <w:qFormat/>
    <w:uiPriority w:val="99"/>
    <w:tblPr>
      <w:tblBorders>
        <w:bottom w:val="single" w:color="4BACC6" w:sz="4" w:space="0"/>
        <w:insideH w:val="single" w:color="4BACC6" w:sz="4" w:space="0"/>
        <w:insideV w:val="single" w:color="4BACC6" w:sz="4" w:space="0"/>
      </w:tblBorders>
      <w:tblCellMar>
        <w:top w:w="0" w:type="dxa"/>
        <w:left w:w="108" w:type="dxa"/>
        <w:bottom w:w="0" w:type="dxa"/>
        <w:right w:w="108" w:type="dxa"/>
      </w:tblCellMar>
    </w:tblPr>
    <w:tblStylePr w:type="firstRow">
      <w:rPr>
        <w:b/>
        <w:color w:val="404040"/>
      </w:rPr>
      <w:tcPr>
        <w:tcBorders>
          <w:top w:val="nil"/>
          <w:left w:val="nil"/>
          <w:bottom w:val="single" w:color="4BACC6" w:sz="12" w:space="0"/>
          <w:right w:val="nil"/>
        </w:tcBorders>
        <w:shd w:val="clear" w:color="FFFFFF" w:fill="auto"/>
      </w:tcPr>
    </w:tblStylePr>
    <w:tblStylePr w:type="lastRow">
      <w:rPr>
        <w:b/>
        <w:color w:val="404040"/>
      </w:rPr>
      <w:tcPr>
        <w:tcBorders>
          <w:top w:val="single" w:color="4BACC6"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AEEF3" w:fill="DAEEF3"/>
      </w:tcPr>
    </w:tblStylePr>
    <w:tblStylePr w:type="band1Horz">
      <w:rPr>
        <w:rFonts w:ascii="Arial" w:hAnsi="Arial"/>
        <w:color w:val="404040"/>
        <w:sz w:val="22"/>
      </w:rPr>
      <w:tcPr>
        <w:shd w:val="clear" w:color="DAEEF3" w:fill="DAEEF3"/>
      </w:tcPr>
    </w:tblStylePr>
  </w:style>
  <w:style w:type="table" w:customStyle="1" w:styleId="61">
    <w:name w:val="Grid Table 2 - Accent 6"/>
    <w:basedOn w:val="32"/>
    <w:qFormat/>
    <w:uiPriority w:val="99"/>
    <w:tblPr>
      <w:tblBorders>
        <w:bottom w:val="single" w:color="F79646" w:sz="4" w:space="0"/>
        <w:insideH w:val="single" w:color="F79646" w:sz="4" w:space="0"/>
        <w:insideV w:val="single" w:color="F79646" w:sz="4" w:space="0"/>
      </w:tblBorders>
      <w:tblCellMar>
        <w:top w:w="0" w:type="dxa"/>
        <w:left w:w="108" w:type="dxa"/>
        <w:bottom w:w="0" w:type="dxa"/>
        <w:right w:w="108" w:type="dxa"/>
      </w:tblCellMar>
    </w:tblPr>
    <w:tblStylePr w:type="firstRow">
      <w:rPr>
        <w:b/>
        <w:color w:val="404040"/>
      </w:rPr>
      <w:tcPr>
        <w:tcBorders>
          <w:top w:val="nil"/>
          <w:left w:val="nil"/>
          <w:bottom w:val="single" w:color="F79646" w:sz="12" w:space="0"/>
          <w:right w:val="nil"/>
        </w:tcBorders>
        <w:shd w:val="clear" w:color="FFFFFF" w:fill="auto"/>
      </w:tcPr>
    </w:tblStylePr>
    <w:tblStylePr w:type="lastRow">
      <w:rPr>
        <w:b/>
        <w:color w:val="404040"/>
      </w:rPr>
      <w:tcPr>
        <w:tcBorders>
          <w:top w:val="single" w:color="F79646"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DE9D8" w:fill="FDE9D8"/>
      </w:tcPr>
    </w:tblStylePr>
    <w:tblStylePr w:type="band1Horz">
      <w:rPr>
        <w:rFonts w:ascii="Arial" w:hAnsi="Arial"/>
        <w:color w:val="404040"/>
        <w:sz w:val="22"/>
      </w:rPr>
      <w:tcPr>
        <w:shd w:val="clear" w:color="FDE9D8" w:fill="FDE9D8"/>
      </w:tcPr>
    </w:tblStylePr>
  </w:style>
  <w:style w:type="table" w:customStyle="1" w:styleId="62">
    <w:name w:val="网格表 31"/>
    <w:basedOn w:val="32"/>
    <w:qFormat/>
    <w:uiPriority w:val="99"/>
    <w:tblPr>
      <w:tblBorders>
        <w:bottom w:val="single" w:color="6A6A6A" w:sz="4" w:space="0"/>
        <w:insideH w:val="single" w:color="6A6A6A" w:sz="4" w:space="0"/>
        <w:insideV w:val="single" w:color="6A6A6A" w:sz="4" w:space="0"/>
      </w:tblBorders>
      <w:tblCellMar>
        <w:top w:w="0" w:type="dxa"/>
        <w:left w:w="108" w:type="dxa"/>
        <w:bottom w:w="0" w:type="dxa"/>
        <w:right w:w="108" w:type="dxa"/>
      </w:tblCellMar>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CBCBCB" w:fill="CBCBCB"/>
      </w:tcPr>
    </w:tblStylePr>
    <w:tblStylePr w:type="band1Horz">
      <w:rPr>
        <w:rFonts w:ascii="Arial" w:hAnsi="Arial"/>
        <w:color w:val="404040"/>
        <w:sz w:val="22"/>
      </w:rPr>
      <w:tcPr>
        <w:shd w:val="clear" w:color="CBCBCB" w:fill="CBCBCB"/>
      </w:tcPr>
    </w:tblStylePr>
  </w:style>
  <w:style w:type="table" w:customStyle="1" w:styleId="63">
    <w:name w:val="Grid Table 3 - Accent 1"/>
    <w:basedOn w:val="32"/>
    <w:qFormat/>
    <w:uiPriority w:val="99"/>
    <w:tblPr>
      <w:tblBorders>
        <w:bottom w:val="single" w:color="5D8AC2" w:sz="4" w:space="0"/>
        <w:insideH w:val="single" w:color="5D8AC2" w:sz="4" w:space="0"/>
        <w:insideV w:val="single" w:color="5D8AC2" w:sz="4" w:space="0"/>
      </w:tblBorders>
      <w:tblCellMar>
        <w:top w:w="0" w:type="dxa"/>
        <w:left w:w="108" w:type="dxa"/>
        <w:bottom w:w="0" w:type="dxa"/>
        <w:right w:w="108" w:type="dxa"/>
      </w:tblCellMar>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DAE5F1" w:fill="DAE5F1"/>
      </w:tcPr>
    </w:tblStylePr>
    <w:tblStylePr w:type="band1Horz">
      <w:rPr>
        <w:rFonts w:ascii="Arial" w:hAnsi="Arial"/>
        <w:color w:val="404040"/>
        <w:sz w:val="22"/>
      </w:rPr>
      <w:tcPr>
        <w:shd w:val="clear" w:color="DAE5F1" w:fill="DAE5F1"/>
      </w:tcPr>
    </w:tblStylePr>
  </w:style>
  <w:style w:type="table" w:customStyle="1" w:styleId="64">
    <w:name w:val="Grid Table 3 - Accent 2"/>
    <w:basedOn w:val="32"/>
    <w:qFormat/>
    <w:uiPriority w:val="99"/>
    <w:tblPr>
      <w:tblBorders>
        <w:bottom w:val="single" w:color="D99695" w:sz="4" w:space="0"/>
        <w:insideH w:val="single" w:color="D99695" w:sz="4" w:space="0"/>
        <w:insideV w:val="single" w:color="D99695" w:sz="4" w:space="0"/>
      </w:tblBorders>
      <w:tblCellMar>
        <w:top w:w="0" w:type="dxa"/>
        <w:left w:w="108" w:type="dxa"/>
        <w:bottom w:w="0" w:type="dxa"/>
        <w:right w:w="108" w:type="dxa"/>
      </w:tblCellMar>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F2DCDC" w:fill="F2DCDC"/>
      </w:tcPr>
    </w:tblStylePr>
    <w:tblStylePr w:type="band1Horz">
      <w:rPr>
        <w:rFonts w:ascii="Arial" w:hAnsi="Arial"/>
        <w:color w:val="404040"/>
        <w:sz w:val="22"/>
      </w:rPr>
      <w:tcPr>
        <w:shd w:val="clear" w:color="F2DCDC" w:fill="F2DCDC"/>
      </w:tcPr>
    </w:tblStylePr>
  </w:style>
  <w:style w:type="table" w:customStyle="1" w:styleId="65">
    <w:name w:val="Grid Table 3 - Accent 3"/>
    <w:basedOn w:val="32"/>
    <w:qFormat/>
    <w:uiPriority w:val="99"/>
    <w:tblPr>
      <w:tblBorders>
        <w:bottom w:val="single" w:color="9ABB59" w:sz="4" w:space="0"/>
        <w:insideH w:val="single" w:color="9ABB59" w:sz="4" w:space="0"/>
        <w:insideV w:val="single" w:color="9ABB59" w:sz="4" w:space="0"/>
      </w:tblBorders>
      <w:tblCellMar>
        <w:top w:w="0" w:type="dxa"/>
        <w:left w:w="108" w:type="dxa"/>
        <w:bottom w:w="0" w:type="dxa"/>
        <w:right w:w="108" w:type="dxa"/>
      </w:tblCellMar>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EAF1DC" w:fill="EAF1DC"/>
      </w:tcPr>
    </w:tblStylePr>
    <w:tblStylePr w:type="band1Horz">
      <w:rPr>
        <w:rFonts w:ascii="Arial" w:hAnsi="Arial"/>
        <w:color w:val="404040"/>
        <w:sz w:val="22"/>
      </w:rPr>
      <w:tcPr>
        <w:shd w:val="clear" w:color="EAF1DC" w:fill="EAF1DC"/>
      </w:tcPr>
    </w:tblStylePr>
  </w:style>
  <w:style w:type="table" w:customStyle="1" w:styleId="66">
    <w:name w:val="Grid Table 3 - Accent 4"/>
    <w:basedOn w:val="32"/>
    <w:qFormat/>
    <w:uiPriority w:val="99"/>
    <w:tblPr>
      <w:tblBorders>
        <w:bottom w:val="single" w:color="B2A1C6" w:sz="4" w:space="0"/>
        <w:insideH w:val="single" w:color="B2A1C6" w:sz="4" w:space="0"/>
        <w:insideV w:val="single" w:color="B2A1C6" w:sz="4" w:space="0"/>
      </w:tblBorders>
      <w:tblCellMar>
        <w:top w:w="0" w:type="dxa"/>
        <w:left w:w="108" w:type="dxa"/>
        <w:bottom w:w="0" w:type="dxa"/>
        <w:right w:w="108" w:type="dxa"/>
      </w:tblCellMar>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E5DFEC" w:fill="E5DFEC"/>
      </w:tcPr>
    </w:tblStylePr>
    <w:tblStylePr w:type="band1Horz">
      <w:rPr>
        <w:rFonts w:ascii="Arial" w:hAnsi="Arial"/>
        <w:color w:val="404040"/>
        <w:sz w:val="22"/>
      </w:rPr>
      <w:tcPr>
        <w:shd w:val="clear" w:color="E5DFEC" w:fill="E5DFEC"/>
      </w:tcPr>
    </w:tblStylePr>
  </w:style>
  <w:style w:type="table" w:customStyle="1" w:styleId="67">
    <w:name w:val="Grid Table 3 - Accent 5"/>
    <w:basedOn w:val="32"/>
    <w:qFormat/>
    <w:uiPriority w:val="99"/>
    <w:tblPr>
      <w:tblBorders>
        <w:bottom w:val="single" w:color="4BACC6" w:sz="4" w:space="0"/>
        <w:insideH w:val="single" w:color="4BACC6" w:sz="4" w:space="0"/>
        <w:insideV w:val="single" w:color="4BACC6" w:sz="4" w:space="0"/>
      </w:tblBorders>
      <w:tblCellMar>
        <w:top w:w="0" w:type="dxa"/>
        <w:left w:w="108" w:type="dxa"/>
        <w:bottom w:w="0" w:type="dxa"/>
        <w:right w:w="108" w:type="dxa"/>
      </w:tblCellMar>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DAEEF3" w:fill="DAEEF3"/>
      </w:tcPr>
    </w:tblStylePr>
    <w:tblStylePr w:type="band1Horz">
      <w:rPr>
        <w:rFonts w:ascii="Arial" w:hAnsi="Arial"/>
        <w:color w:val="404040"/>
        <w:sz w:val="22"/>
      </w:rPr>
      <w:tcPr>
        <w:shd w:val="clear" w:color="DAEEF3" w:fill="DAEEF3"/>
      </w:tcPr>
    </w:tblStylePr>
  </w:style>
  <w:style w:type="table" w:customStyle="1" w:styleId="68">
    <w:name w:val="Grid Table 3 - Accent 6"/>
    <w:basedOn w:val="32"/>
    <w:qFormat/>
    <w:uiPriority w:val="99"/>
    <w:tblPr>
      <w:tblBorders>
        <w:bottom w:val="single" w:color="F79646" w:sz="4" w:space="0"/>
        <w:insideH w:val="single" w:color="F79646" w:sz="4" w:space="0"/>
        <w:insideV w:val="single" w:color="F79646" w:sz="4" w:space="0"/>
      </w:tblBorders>
      <w:tblCellMar>
        <w:top w:w="0" w:type="dxa"/>
        <w:left w:w="108" w:type="dxa"/>
        <w:bottom w:w="0" w:type="dxa"/>
        <w:right w:w="108" w:type="dxa"/>
      </w:tblCellMar>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FDE9D8" w:fill="FDE9D8"/>
      </w:tcPr>
    </w:tblStylePr>
    <w:tblStylePr w:type="band1Horz">
      <w:rPr>
        <w:rFonts w:ascii="Arial" w:hAnsi="Arial"/>
        <w:color w:val="404040"/>
        <w:sz w:val="22"/>
      </w:rPr>
      <w:tcPr>
        <w:shd w:val="clear" w:color="FDE9D8" w:fill="FDE9D8"/>
      </w:tcPr>
    </w:tblStylePr>
  </w:style>
  <w:style w:type="table" w:customStyle="1" w:styleId="69">
    <w:name w:val="网格表 41"/>
    <w:basedOn w:val="32"/>
    <w:qFormat/>
    <w:uiPriority w:val="59"/>
    <w:tblPr>
      <w:tblBorders>
        <w:top w:val="single" w:color="6F6F6F" w:sz="4" w:space="0"/>
        <w:left w:val="single" w:color="6F6F6F" w:sz="4" w:space="0"/>
        <w:bottom w:val="single" w:color="6F6F6F" w:sz="4" w:space="0"/>
        <w:right w:val="single" w:color="6F6F6F" w:sz="4" w:space="0"/>
        <w:insideH w:val="single" w:color="6F6F6F" w:sz="4" w:space="0"/>
        <w:insideV w:val="single" w:color="6F6F6F" w:sz="4" w:space="0"/>
      </w:tblBorders>
      <w:tblCellMar>
        <w:top w:w="0" w:type="dxa"/>
        <w:left w:w="108" w:type="dxa"/>
        <w:bottom w:w="0" w:type="dxa"/>
        <w:right w:w="108" w:type="dxa"/>
      </w:tblCellMar>
    </w:tblPr>
    <w:tblStylePr w:type="firstRow">
      <w:rPr>
        <w:rFonts w:ascii="Arial" w:hAnsi="Arial"/>
        <w:b/>
        <w:color w:val="FFFFFF"/>
        <w:sz w:val="22"/>
      </w:rPr>
      <w:tcPr>
        <w:tcBorders>
          <w:top w:val="single" w:color="000000" w:sz="4" w:space="0"/>
          <w:left w:val="single" w:color="000000" w:sz="4" w:space="0"/>
          <w:bottom w:val="single" w:color="000000" w:sz="4" w:space="0"/>
          <w:right w:val="single" w:color="000000" w:sz="4" w:space="0"/>
        </w:tcBorders>
        <w:shd w:val="clear" w:color="000000" w:fill="000000"/>
      </w:tcPr>
    </w:tblStylePr>
    <w:tblStylePr w:type="lastRow">
      <w:rPr>
        <w:b/>
        <w:color w:val="404040"/>
      </w:rPr>
      <w:tcPr>
        <w:tcBorders>
          <w:top w:val="single" w:color="000000"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CBCBCB" w:fill="CBCBCB"/>
      </w:tcPr>
    </w:tblStylePr>
    <w:tblStylePr w:type="band1Horz">
      <w:rPr>
        <w:rFonts w:ascii="Arial" w:hAnsi="Arial"/>
        <w:color w:val="404040"/>
        <w:sz w:val="22"/>
      </w:rPr>
      <w:tcPr>
        <w:shd w:val="clear" w:color="CBCBCB" w:fill="CBCBCB"/>
      </w:tcPr>
    </w:tblStylePr>
  </w:style>
  <w:style w:type="table" w:customStyle="1" w:styleId="70">
    <w:name w:val="Grid Table 4 - Accent 1"/>
    <w:basedOn w:val="32"/>
    <w:qFormat/>
    <w:uiPriority w:val="59"/>
    <w:tblPr>
      <w:tblBorders>
        <w:top w:val="single" w:color="9BB7D9" w:sz="4" w:space="0"/>
        <w:left w:val="single" w:color="9BB7D9" w:sz="4" w:space="0"/>
        <w:bottom w:val="single" w:color="9BB7D9" w:sz="4" w:space="0"/>
        <w:right w:val="single" w:color="9BB7D9" w:sz="4" w:space="0"/>
        <w:insideH w:val="single" w:color="9BB7D9" w:sz="4" w:space="0"/>
        <w:insideV w:val="single" w:color="9BB7D9" w:sz="4" w:space="0"/>
      </w:tblBorders>
      <w:tblCellMar>
        <w:top w:w="0" w:type="dxa"/>
        <w:left w:w="108" w:type="dxa"/>
        <w:bottom w:w="0" w:type="dxa"/>
        <w:right w:w="108" w:type="dxa"/>
      </w:tblCellMar>
    </w:tblPr>
    <w:tblStylePr w:type="firstRow">
      <w:rPr>
        <w:rFonts w:ascii="Arial" w:hAnsi="Arial"/>
        <w:b/>
        <w:color w:val="FFFFFF"/>
        <w:sz w:val="22"/>
      </w:rPr>
      <w:tcPr>
        <w:tcBorders>
          <w:top w:val="single" w:color="5D8AC2" w:sz="4" w:space="0"/>
          <w:left w:val="single" w:color="5D8AC2" w:sz="4" w:space="0"/>
          <w:bottom w:val="single" w:color="5D8AC2" w:sz="4" w:space="0"/>
          <w:right w:val="single" w:color="5D8AC2" w:sz="4" w:space="0"/>
        </w:tcBorders>
        <w:shd w:val="clear" w:color="5D8AC2" w:fill="5D8AC2"/>
      </w:tcPr>
    </w:tblStylePr>
    <w:tblStylePr w:type="lastRow">
      <w:rPr>
        <w:b/>
        <w:color w:val="404040"/>
      </w:rPr>
      <w:tcPr>
        <w:tcBorders>
          <w:top w:val="single" w:color="5D8AC2"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CE6F2" w:fill="DCE6F2"/>
      </w:tcPr>
    </w:tblStylePr>
    <w:tblStylePr w:type="band1Horz">
      <w:rPr>
        <w:rFonts w:ascii="Arial" w:hAnsi="Arial"/>
        <w:color w:val="404040"/>
        <w:sz w:val="22"/>
      </w:rPr>
      <w:tcPr>
        <w:shd w:val="clear" w:color="DCE6F2" w:fill="DCE6F2"/>
      </w:tcPr>
    </w:tblStylePr>
  </w:style>
  <w:style w:type="table" w:customStyle="1" w:styleId="71">
    <w:name w:val="Grid Table 4 - Accent 2"/>
    <w:basedOn w:val="32"/>
    <w:qFormat/>
    <w:uiPriority w:val="59"/>
    <w:tblPr>
      <w:tblBorders>
        <w:top w:val="single" w:color="DB9B9A" w:sz="4" w:space="0"/>
        <w:left w:val="single" w:color="DB9B9A" w:sz="4" w:space="0"/>
        <w:bottom w:val="single" w:color="DB9B9A" w:sz="4" w:space="0"/>
        <w:right w:val="single" w:color="DB9B9A" w:sz="4" w:space="0"/>
        <w:insideH w:val="single" w:color="DB9B9A" w:sz="4" w:space="0"/>
        <w:insideV w:val="single" w:color="DB9B9A" w:sz="4" w:space="0"/>
      </w:tblBorders>
      <w:tblCellMar>
        <w:top w:w="0" w:type="dxa"/>
        <w:left w:w="108" w:type="dxa"/>
        <w:bottom w:w="0" w:type="dxa"/>
        <w:right w:w="108" w:type="dxa"/>
      </w:tblCellMar>
    </w:tblPr>
    <w:tblStylePr w:type="firstRow">
      <w:rPr>
        <w:rFonts w:ascii="Arial" w:hAnsi="Arial"/>
        <w:b/>
        <w:color w:val="FFFFFF"/>
        <w:sz w:val="22"/>
      </w:rPr>
      <w:tcPr>
        <w:tcBorders>
          <w:top w:val="single" w:color="D99695" w:sz="4" w:space="0"/>
          <w:left w:val="single" w:color="D99695" w:sz="4" w:space="0"/>
          <w:bottom w:val="single" w:color="D99695" w:sz="4" w:space="0"/>
          <w:right w:val="single" w:color="D99695" w:sz="4" w:space="0"/>
        </w:tcBorders>
        <w:shd w:val="clear" w:color="D99695" w:fill="D99695"/>
      </w:tcPr>
    </w:tblStylePr>
    <w:tblStylePr w:type="lastRow">
      <w:rPr>
        <w:b/>
        <w:color w:val="404040"/>
      </w:rPr>
      <w:tcPr>
        <w:tcBorders>
          <w:top w:val="single" w:color="D99695"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2DCDC" w:fill="F2DCDC"/>
      </w:tcPr>
    </w:tblStylePr>
    <w:tblStylePr w:type="band1Horz">
      <w:rPr>
        <w:rFonts w:ascii="Arial" w:hAnsi="Arial"/>
        <w:color w:val="404040"/>
        <w:sz w:val="22"/>
      </w:rPr>
      <w:tcPr>
        <w:shd w:val="clear" w:color="F2DCDC" w:fill="F2DCDC"/>
      </w:tcPr>
    </w:tblStylePr>
  </w:style>
  <w:style w:type="table" w:customStyle="1" w:styleId="72">
    <w:name w:val="Grid Table 4 - Accent 3"/>
    <w:basedOn w:val="32"/>
    <w:qFormat/>
    <w:uiPriority w:val="59"/>
    <w:tblPr>
      <w:tblBorders>
        <w:top w:val="single" w:color="C6D8A1" w:sz="4" w:space="0"/>
        <w:left w:val="single" w:color="C6D8A1" w:sz="4" w:space="0"/>
        <w:bottom w:val="single" w:color="C6D8A1" w:sz="4" w:space="0"/>
        <w:right w:val="single" w:color="C6D8A1" w:sz="4" w:space="0"/>
        <w:insideH w:val="single" w:color="C6D8A1" w:sz="4" w:space="0"/>
        <w:insideV w:val="single" w:color="C6D8A1" w:sz="4" w:space="0"/>
      </w:tblBorders>
      <w:tblCellMar>
        <w:top w:w="0" w:type="dxa"/>
        <w:left w:w="108" w:type="dxa"/>
        <w:bottom w:w="0" w:type="dxa"/>
        <w:right w:w="108" w:type="dxa"/>
      </w:tblCellMar>
    </w:tblPr>
    <w:tblStylePr w:type="firstRow">
      <w:rPr>
        <w:rFonts w:ascii="Arial" w:hAnsi="Arial"/>
        <w:b/>
        <w:color w:val="FFFFFF"/>
        <w:sz w:val="22"/>
      </w:rPr>
      <w:tcPr>
        <w:tcBorders>
          <w:top w:val="single" w:color="9ABB59" w:sz="4" w:space="0"/>
          <w:left w:val="single" w:color="9ABB59" w:sz="4" w:space="0"/>
          <w:bottom w:val="single" w:color="9ABB59" w:sz="4" w:space="0"/>
          <w:right w:val="single" w:color="9ABB59" w:sz="4" w:space="0"/>
        </w:tcBorders>
        <w:shd w:val="clear" w:color="9ABB59" w:fill="9ABB59"/>
      </w:tcPr>
    </w:tblStylePr>
    <w:tblStylePr w:type="lastRow">
      <w:rPr>
        <w:b/>
        <w:color w:val="404040"/>
      </w:rPr>
      <w:tcPr>
        <w:tcBorders>
          <w:top w:val="single" w:color="9ABB59"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AF1DC" w:fill="EAF1DC"/>
      </w:tcPr>
    </w:tblStylePr>
    <w:tblStylePr w:type="band1Horz">
      <w:rPr>
        <w:rFonts w:ascii="Arial" w:hAnsi="Arial"/>
        <w:color w:val="404040"/>
        <w:sz w:val="22"/>
      </w:rPr>
      <w:tcPr>
        <w:shd w:val="clear" w:color="EAF1DC" w:fill="EAF1DC"/>
      </w:tcPr>
    </w:tblStylePr>
  </w:style>
  <w:style w:type="table" w:customStyle="1" w:styleId="73">
    <w:name w:val="Grid Table 4 - Accent 4"/>
    <w:basedOn w:val="32"/>
    <w:qFormat/>
    <w:uiPriority w:val="59"/>
    <w:tblPr>
      <w:tblBorders>
        <w:top w:val="single" w:color="B7A7CA" w:sz="4" w:space="0"/>
        <w:left w:val="single" w:color="B7A7CA" w:sz="4" w:space="0"/>
        <w:bottom w:val="single" w:color="B7A7CA" w:sz="4" w:space="0"/>
        <w:right w:val="single" w:color="B7A7CA" w:sz="4" w:space="0"/>
        <w:insideH w:val="single" w:color="B7A7CA" w:sz="4" w:space="0"/>
        <w:insideV w:val="single" w:color="B7A7CA" w:sz="4" w:space="0"/>
      </w:tblBorders>
      <w:tblCellMar>
        <w:top w:w="0" w:type="dxa"/>
        <w:left w:w="108" w:type="dxa"/>
        <w:bottom w:w="0" w:type="dxa"/>
        <w:right w:w="108" w:type="dxa"/>
      </w:tblCellMar>
    </w:tblPr>
    <w:tblStylePr w:type="firstRow">
      <w:rPr>
        <w:rFonts w:ascii="Arial" w:hAnsi="Arial"/>
        <w:b/>
        <w:color w:val="FFFFFF"/>
        <w:sz w:val="22"/>
      </w:rPr>
      <w:tcPr>
        <w:tcBorders>
          <w:top w:val="single" w:color="B2A1C6" w:sz="4" w:space="0"/>
          <w:left w:val="single" w:color="B2A1C6" w:sz="4" w:space="0"/>
          <w:bottom w:val="single" w:color="B2A1C6" w:sz="4" w:space="0"/>
          <w:right w:val="single" w:color="B2A1C6" w:sz="4" w:space="0"/>
        </w:tcBorders>
        <w:shd w:val="clear" w:color="B2A1C6" w:fill="B2A1C6"/>
      </w:tcPr>
    </w:tblStylePr>
    <w:tblStylePr w:type="lastRow">
      <w:rPr>
        <w:b/>
        <w:color w:val="404040"/>
      </w:rPr>
      <w:tcPr>
        <w:tcBorders>
          <w:top w:val="single" w:color="B2A1C6"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5DFEC" w:fill="E5DFEC"/>
      </w:tcPr>
    </w:tblStylePr>
    <w:tblStylePr w:type="band1Horz">
      <w:rPr>
        <w:rFonts w:ascii="Arial" w:hAnsi="Arial"/>
        <w:color w:val="404040"/>
        <w:sz w:val="22"/>
      </w:rPr>
      <w:tcPr>
        <w:shd w:val="clear" w:color="E5DFEC" w:fill="E5DFEC"/>
      </w:tcPr>
    </w:tblStylePr>
  </w:style>
  <w:style w:type="table" w:customStyle="1" w:styleId="74">
    <w:name w:val="Grid Table 4 - Accent 5"/>
    <w:basedOn w:val="32"/>
    <w:qFormat/>
    <w:uiPriority w:val="59"/>
    <w:tblPr>
      <w:tblBorders>
        <w:top w:val="single" w:color="99D0DE" w:sz="4" w:space="0"/>
        <w:left w:val="single" w:color="99D0DE" w:sz="4" w:space="0"/>
        <w:bottom w:val="single" w:color="99D0DE" w:sz="4" w:space="0"/>
        <w:right w:val="single" w:color="99D0DE" w:sz="4" w:space="0"/>
        <w:insideH w:val="single" w:color="99D0DE" w:sz="4" w:space="0"/>
        <w:insideV w:val="single" w:color="99D0DE" w:sz="4" w:space="0"/>
      </w:tblBorders>
      <w:tblCellMar>
        <w:top w:w="0" w:type="dxa"/>
        <w:left w:w="108" w:type="dxa"/>
        <w:bottom w:w="0" w:type="dxa"/>
        <w:right w:w="108" w:type="dxa"/>
      </w:tblCellMar>
    </w:tblPr>
    <w:tblStylePr w:type="firstRow">
      <w:rPr>
        <w:rFonts w:ascii="Arial" w:hAnsi="Arial"/>
        <w:b/>
        <w:color w:val="FFFFFF"/>
        <w:sz w:val="22"/>
      </w:rPr>
      <w:tcPr>
        <w:tcBorders>
          <w:top w:val="single" w:color="4BACC6" w:sz="4" w:space="0"/>
          <w:left w:val="single" w:color="4BACC6" w:sz="4" w:space="0"/>
          <w:bottom w:val="single" w:color="4BACC6" w:sz="4" w:space="0"/>
          <w:right w:val="single" w:color="4BACC6" w:sz="4" w:space="0"/>
        </w:tcBorders>
        <w:shd w:val="clear" w:color="4BACC6" w:fill="4BACC6"/>
      </w:tcPr>
    </w:tblStylePr>
    <w:tblStylePr w:type="lastRow">
      <w:rPr>
        <w:b/>
        <w:color w:val="404040"/>
      </w:rPr>
      <w:tcPr>
        <w:tcBorders>
          <w:top w:val="single" w:color="4BACC6"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AEEF3" w:fill="DAEEF3"/>
      </w:tcPr>
    </w:tblStylePr>
    <w:tblStylePr w:type="band1Horz">
      <w:rPr>
        <w:rFonts w:ascii="Arial" w:hAnsi="Arial"/>
        <w:color w:val="404040"/>
        <w:sz w:val="22"/>
      </w:rPr>
      <w:tcPr>
        <w:shd w:val="clear" w:color="DAEEF3" w:fill="DAEEF3"/>
      </w:tcPr>
    </w:tblStylePr>
  </w:style>
  <w:style w:type="table" w:customStyle="1" w:styleId="75">
    <w:name w:val="Grid Table 4 - Accent 6"/>
    <w:basedOn w:val="32"/>
    <w:qFormat/>
    <w:uiPriority w:val="59"/>
    <w:tblPr>
      <w:tblBorders>
        <w:top w:val="single" w:color="FAC396" w:sz="4" w:space="0"/>
        <w:left w:val="single" w:color="FAC396" w:sz="4" w:space="0"/>
        <w:bottom w:val="single" w:color="FAC396" w:sz="4" w:space="0"/>
        <w:right w:val="single" w:color="FAC396" w:sz="4" w:space="0"/>
        <w:insideH w:val="single" w:color="FAC396" w:sz="4" w:space="0"/>
        <w:insideV w:val="single" w:color="FAC396" w:sz="4" w:space="0"/>
      </w:tblBorders>
      <w:tblCellMar>
        <w:top w:w="0" w:type="dxa"/>
        <w:left w:w="108" w:type="dxa"/>
        <w:bottom w:w="0" w:type="dxa"/>
        <w:right w:w="108" w:type="dxa"/>
      </w:tblCellMar>
    </w:tblPr>
    <w:tblStylePr w:type="firstRow">
      <w:rPr>
        <w:rFonts w:ascii="Arial" w:hAnsi="Arial"/>
        <w:b/>
        <w:color w:val="FFFFFF"/>
        <w:sz w:val="22"/>
      </w:rPr>
      <w:tcPr>
        <w:tcBorders>
          <w:top w:val="single" w:color="F79646" w:sz="4" w:space="0"/>
          <w:left w:val="single" w:color="F79646" w:sz="4" w:space="0"/>
          <w:bottom w:val="single" w:color="F79646" w:sz="4" w:space="0"/>
          <w:right w:val="single" w:color="F79646" w:sz="4" w:space="0"/>
        </w:tcBorders>
        <w:shd w:val="clear" w:color="F79646" w:fill="F79646"/>
      </w:tcPr>
    </w:tblStylePr>
    <w:tblStylePr w:type="lastRow">
      <w:rPr>
        <w:b/>
        <w:color w:val="404040"/>
      </w:rPr>
      <w:tcPr>
        <w:tcBorders>
          <w:top w:val="single" w:color="F79646"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DE9D8" w:fill="FDE9D8"/>
      </w:tcPr>
    </w:tblStylePr>
    <w:tblStylePr w:type="band1Horz">
      <w:rPr>
        <w:rFonts w:ascii="Arial" w:hAnsi="Arial"/>
        <w:color w:val="404040"/>
        <w:sz w:val="22"/>
      </w:rPr>
      <w:tcPr>
        <w:shd w:val="clear" w:color="FDE9D8" w:fill="FDE9D8"/>
      </w:tcPr>
    </w:tblStylePr>
  </w:style>
  <w:style w:type="table" w:customStyle="1" w:styleId="76">
    <w:name w:val="网格表 5 深色1"/>
    <w:basedOn w:val="32"/>
    <w:qFormat/>
    <w:uiPriority w:val="99"/>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
    <w:tblStylePr w:type="firstRow">
      <w:rPr>
        <w:rFonts w:ascii="Arial" w:hAnsi="Arial"/>
        <w:b/>
        <w:color w:val="FFFFFF"/>
        <w:sz w:val="22"/>
      </w:rPr>
      <w:tcPr>
        <w:shd w:val="clear" w:color="000000" w:fill="000000"/>
      </w:tcPr>
    </w:tblStylePr>
    <w:tblStylePr w:type="lastRow">
      <w:rPr>
        <w:rFonts w:ascii="Arial" w:hAnsi="Arial"/>
        <w:b/>
        <w:color w:val="FFFFFF"/>
        <w:sz w:val="22"/>
      </w:rPr>
      <w:tcPr>
        <w:tcBorders>
          <w:top w:val="single" w:color="FFFFFF" w:sz="4" w:space="0"/>
        </w:tcBorders>
        <w:shd w:val="clear" w:color="000000" w:fill="000000"/>
      </w:tcPr>
    </w:tblStylePr>
    <w:tblStylePr w:type="firstCol">
      <w:rPr>
        <w:rFonts w:ascii="Arial" w:hAnsi="Arial"/>
        <w:b/>
        <w:color w:val="FFFFFF"/>
        <w:sz w:val="22"/>
      </w:rPr>
      <w:tcPr>
        <w:shd w:val="clear" w:color="000000" w:fill="000000"/>
      </w:tcPr>
    </w:tblStylePr>
    <w:tblStylePr w:type="lastCol">
      <w:rPr>
        <w:rFonts w:ascii="Arial" w:hAnsi="Arial"/>
        <w:b/>
        <w:color w:val="FFFFFF"/>
        <w:sz w:val="22"/>
      </w:rPr>
      <w:tcPr>
        <w:shd w:val="clear" w:color="000000" w:fill="000000"/>
      </w:tcPr>
    </w:tblStylePr>
    <w:tblStylePr w:type="band1Vert">
      <w:tcPr>
        <w:shd w:val="clear" w:color="8A8A8A" w:fill="8A8A8A"/>
      </w:tcPr>
    </w:tblStylePr>
    <w:tblStylePr w:type="band1Horz">
      <w:tcPr>
        <w:shd w:val="clear" w:color="8A8A8A" w:fill="8A8A8A"/>
      </w:tcPr>
    </w:tblStylePr>
  </w:style>
  <w:style w:type="table" w:customStyle="1" w:styleId="77">
    <w:name w:val="Grid Table 5 Dark- Accent 1"/>
    <w:basedOn w:val="32"/>
    <w:qFormat/>
    <w:uiPriority w:val="99"/>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
    <w:tblStylePr w:type="firstRow">
      <w:rPr>
        <w:rFonts w:ascii="Arial" w:hAnsi="Arial"/>
        <w:b/>
        <w:color w:val="FFFFFF"/>
        <w:sz w:val="22"/>
      </w:rPr>
      <w:tcPr>
        <w:shd w:val="clear" w:color="4F81BD" w:fill="4F81BD"/>
      </w:tcPr>
    </w:tblStylePr>
    <w:tblStylePr w:type="lastRow">
      <w:rPr>
        <w:rFonts w:ascii="Arial" w:hAnsi="Arial"/>
        <w:b/>
        <w:color w:val="FFFFFF"/>
        <w:sz w:val="22"/>
      </w:rPr>
      <w:tcPr>
        <w:tcBorders>
          <w:top w:val="single" w:color="FFFFFF" w:sz="4" w:space="0"/>
        </w:tcBorders>
        <w:shd w:val="clear" w:color="4F81BD" w:fill="4F81BD"/>
      </w:tcPr>
    </w:tblStylePr>
    <w:tblStylePr w:type="firstCol">
      <w:rPr>
        <w:rFonts w:ascii="Arial" w:hAnsi="Arial"/>
        <w:b/>
        <w:color w:val="FFFFFF"/>
        <w:sz w:val="22"/>
      </w:rPr>
      <w:tcPr>
        <w:shd w:val="clear" w:color="4F81BD" w:fill="4F81BD"/>
      </w:tcPr>
    </w:tblStylePr>
    <w:tblStylePr w:type="lastCol">
      <w:rPr>
        <w:rFonts w:ascii="Arial" w:hAnsi="Arial"/>
        <w:b/>
        <w:color w:val="FFFFFF"/>
        <w:sz w:val="22"/>
      </w:rPr>
      <w:tcPr>
        <w:shd w:val="clear" w:color="4F81BD" w:fill="4F81BD"/>
      </w:tcPr>
    </w:tblStylePr>
    <w:tblStylePr w:type="band1Vert">
      <w:tcPr>
        <w:shd w:val="clear" w:color="AEC4E0" w:fill="AEC4E0"/>
      </w:tcPr>
    </w:tblStylePr>
    <w:tblStylePr w:type="band1Horz">
      <w:tcPr>
        <w:shd w:val="clear" w:color="AEC4E0" w:fill="AEC4E0"/>
      </w:tcPr>
    </w:tblStylePr>
  </w:style>
  <w:style w:type="table" w:customStyle="1" w:styleId="78">
    <w:name w:val="Grid Table 5 Dark - Accent 2"/>
    <w:basedOn w:val="32"/>
    <w:qFormat/>
    <w:uiPriority w:val="99"/>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
    <w:tblStylePr w:type="firstRow">
      <w:rPr>
        <w:rFonts w:ascii="Arial" w:hAnsi="Arial"/>
        <w:b/>
        <w:color w:val="FFFFFF"/>
        <w:sz w:val="22"/>
      </w:rPr>
      <w:tcPr>
        <w:shd w:val="clear" w:color="C0504D" w:fill="C0504D"/>
      </w:tcPr>
    </w:tblStylePr>
    <w:tblStylePr w:type="lastRow">
      <w:rPr>
        <w:rFonts w:ascii="Arial" w:hAnsi="Arial"/>
        <w:b/>
        <w:color w:val="FFFFFF"/>
        <w:sz w:val="22"/>
      </w:rPr>
      <w:tcPr>
        <w:tcBorders>
          <w:top w:val="single" w:color="FFFFFF" w:sz="4" w:space="0"/>
        </w:tcBorders>
        <w:shd w:val="clear" w:color="C0504D" w:fill="C0504D"/>
      </w:tcPr>
    </w:tblStylePr>
    <w:tblStylePr w:type="firstCol">
      <w:rPr>
        <w:rFonts w:ascii="Arial" w:hAnsi="Arial"/>
        <w:b/>
        <w:color w:val="FFFFFF"/>
        <w:sz w:val="22"/>
      </w:rPr>
      <w:tcPr>
        <w:shd w:val="clear" w:color="C0504D" w:fill="C0504D"/>
      </w:tcPr>
    </w:tblStylePr>
    <w:tblStylePr w:type="lastCol">
      <w:rPr>
        <w:rFonts w:ascii="Arial" w:hAnsi="Arial"/>
        <w:b/>
        <w:color w:val="FFFFFF"/>
        <w:sz w:val="22"/>
      </w:rPr>
      <w:tcPr>
        <w:shd w:val="clear" w:color="C0504D" w:fill="C0504D"/>
      </w:tcPr>
    </w:tblStylePr>
    <w:tblStylePr w:type="band1Vert">
      <w:tcPr>
        <w:shd w:val="clear" w:color="E2AEAD" w:fill="E2AEAD"/>
      </w:tcPr>
    </w:tblStylePr>
    <w:tblStylePr w:type="band1Horz">
      <w:tcPr>
        <w:shd w:val="clear" w:color="E2AEAD" w:fill="E2AEAD"/>
      </w:tcPr>
    </w:tblStylePr>
  </w:style>
  <w:style w:type="table" w:customStyle="1" w:styleId="79">
    <w:name w:val="Grid Table 5 Dark - Accent 3"/>
    <w:basedOn w:val="32"/>
    <w:qFormat/>
    <w:uiPriority w:val="99"/>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
    <w:tblStylePr w:type="firstRow">
      <w:rPr>
        <w:rFonts w:ascii="Arial" w:hAnsi="Arial"/>
        <w:b/>
        <w:color w:val="FFFFFF"/>
        <w:sz w:val="22"/>
      </w:rPr>
      <w:tcPr>
        <w:shd w:val="clear" w:color="9BBB59" w:fill="9BBB59"/>
      </w:tcPr>
    </w:tblStylePr>
    <w:tblStylePr w:type="lastRow">
      <w:rPr>
        <w:rFonts w:ascii="Arial" w:hAnsi="Arial"/>
        <w:b/>
        <w:color w:val="FFFFFF"/>
        <w:sz w:val="22"/>
      </w:rPr>
      <w:tcPr>
        <w:tcBorders>
          <w:top w:val="single" w:color="FFFFFF" w:sz="4" w:space="0"/>
        </w:tcBorders>
        <w:shd w:val="clear" w:color="9BBB59" w:fill="9BBB59"/>
      </w:tcPr>
    </w:tblStylePr>
    <w:tblStylePr w:type="firstCol">
      <w:rPr>
        <w:rFonts w:ascii="Arial" w:hAnsi="Arial"/>
        <w:b/>
        <w:color w:val="FFFFFF"/>
        <w:sz w:val="22"/>
      </w:rPr>
      <w:tcPr>
        <w:shd w:val="clear" w:color="9BBB59" w:fill="9BBB59"/>
      </w:tcPr>
    </w:tblStylePr>
    <w:tblStylePr w:type="lastCol">
      <w:rPr>
        <w:rFonts w:ascii="Arial" w:hAnsi="Arial"/>
        <w:b/>
        <w:color w:val="FFFFFF"/>
        <w:sz w:val="22"/>
      </w:rPr>
      <w:tcPr>
        <w:shd w:val="clear" w:color="9BBB59" w:fill="9BBB59"/>
      </w:tcPr>
    </w:tblStylePr>
    <w:tblStylePr w:type="band1Vert">
      <w:tcPr>
        <w:shd w:val="clear" w:color="D0DFB2" w:fill="D0DFB2"/>
      </w:tcPr>
    </w:tblStylePr>
    <w:tblStylePr w:type="band1Horz">
      <w:tcPr>
        <w:shd w:val="clear" w:color="D0DFB2" w:fill="D0DFB2"/>
      </w:tcPr>
    </w:tblStylePr>
  </w:style>
  <w:style w:type="table" w:customStyle="1" w:styleId="80">
    <w:name w:val="Grid Table 5 Dark- Accent 4"/>
    <w:basedOn w:val="32"/>
    <w:qFormat/>
    <w:uiPriority w:val="99"/>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
    <w:tblStylePr w:type="firstRow">
      <w:rPr>
        <w:rFonts w:ascii="Arial" w:hAnsi="Arial"/>
        <w:b/>
        <w:color w:val="FFFFFF"/>
        <w:sz w:val="22"/>
      </w:rPr>
      <w:tcPr>
        <w:shd w:val="clear" w:color="8064A2" w:fill="8064A2"/>
      </w:tcPr>
    </w:tblStylePr>
    <w:tblStylePr w:type="lastRow">
      <w:rPr>
        <w:rFonts w:ascii="Arial" w:hAnsi="Arial"/>
        <w:b/>
        <w:color w:val="FFFFFF"/>
        <w:sz w:val="22"/>
      </w:rPr>
      <w:tcPr>
        <w:tcBorders>
          <w:top w:val="single" w:color="FFFFFF" w:sz="4" w:space="0"/>
        </w:tcBorders>
        <w:shd w:val="clear" w:color="8064A2" w:fill="8064A2"/>
      </w:tcPr>
    </w:tblStylePr>
    <w:tblStylePr w:type="firstCol">
      <w:rPr>
        <w:rFonts w:ascii="Arial" w:hAnsi="Arial"/>
        <w:b/>
        <w:color w:val="FFFFFF"/>
        <w:sz w:val="22"/>
      </w:rPr>
      <w:tcPr>
        <w:shd w:val="clear" w:color="8064A2" w:fill="8064A2"/>
      </w:tcPr>
    </w:tblStylePr>
    <w:tblStylePr w:type="lastCol">
      <w:rPr>
        <w:rFonts w:ascii="Arial" w:hAnsi="Arial"/>
        <w:b/>
        <w:color w:val="FFFFFF"/>
        <w:sz w:val="22"/>
      </w:rPr>
      <w:tcPr>
        <w:shd w:val="clear" w:color="8064A2" w:fill="8064A2"/>
      </w:tcPr>
    </w:tblStylePr>
    <w:tblStylePr w:type="band1Vert">
      <w:tcPr>
        <w:shd w:val="clear" w:color="C4B7D4" w:fill="C4B7D4"/>
      </w:tcPr>
    </w:tblStylePr>
    <w:tblStylePr w:type="band1Horz">
      <w:tcPr>
        <w:shd w:val="clear" w:color="C4B7D4" w:fill="C4B7D4"/>
      </w:tcPr>
    </w:tblStylePr>
  </w:style>
  <w:style w:type="table" w:customStyle="1" w:styleId="81">
    <w:name w:val="Grid Table 5 Dark - Accent 5"/>
    <w:basedOn w:val="32"/>
    <w:qFormat/>
    <w:uiPriority w:val="99"/>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
    <w:tblStylePr w:type="firstRow">
      <w:rPr>
        <w:rFonts w:ascii="Arial" w:hAnsi="Arial"/>
        <w:b/>
        <w:color w:val="FFFFFF"/>
        <w:sz w:val="22"/>
      </w:rPr>
      <w:tcPr>
        <w:shd w:val="clear" w:color="4BACC6" w:fill="4BACC6"/>
      </w:tcPr>
    </w:tblStylePr>
    <w:tblStylePr w:type="lastRow">
      <w:rPr>
        <w:rFonts w:ascii="Arial" w:hAnsi="Arial"/>
        <w:b/>
        <w:color w:val="FFFFFF"/>
        <w:sz w:val="22"/>
      </w:rPr>
      <w:tcPr>
        <w:tcBorders>
          <w:top w:val="single" w:color="FFFFFF" w:sz="4" w:space="0"/>
        </w:tcBorders>
        <w:shd w:val="clear" w:color="4BACC6" w:fill="4BACC6"/>
      </w:tcPr>
    </w:tblStylePr>
    <w:tblStylePr w:type="firstCol">
      <w:rPr>
        <w:rFonts w:ascii="Arial" w:hAnsi="Arial"/>
        <w:b/>
        <w:color w:val="FFFFFF"/>
        <w:sz w:val="22"/>
      </w:rPr>
      <w:tcPr>
        <w:shd w:val="clear" w:color="4BACC6" w:fill="4BACC6"/>
      </w:tcPr>
    </w:tblStylePr>
    <w:tblStylePr w:type="lastCol">
      <w:rPr>
        <w:rFonts w:ascii="Arial" w:hAnsi="Arial"/>
        <w:b/>
        <w:color w:val="FFFFFF"/>
        <w:sz w:val="22"/>
      </w:rPr>
      <w:tcPr>
        <w:shd w:val="clear" w:color="4BACC6" w:fill="4BACC6"/>
      </w:tcPr>
    </w:tblStylePr>
    <w:tblStylePr w:type="band1Vert">
      <w:tcPr>
        <w:shd w:val="clear" w:color="ACD8E4" w:fill="ACD8E4"/>
      </w:tcPr>
    </w:tblStylePr>
    <w:tblStylePr w:type="band1Horz">
      <w:tcPr>
        <w:shd w:val="clear" w:color="ACD8E4" w:fill="ACD8E4"/>
      </w:tcPr>
    </w:tblStylePr>
  </w:style>
  <w:style w:type="table" w:customStyle="1" w:styleId="82">
    <w:name w:val="Grid Table 5 Dark - Accent 6"/>
    <w:basedOn w:val="32"/>
    <w:qFormat/>
    <w:uiPriority w:val="99"/>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
    <w:tblStylePr w:type="firstRow">
      <w:rPr>
        <w:rFonts w:ascii="Arial" w:hAnsi="Arial"/>
        <w:b/>
        <w:color w:val="FFFFFF"/>
        <w:sz w:val="22"/>
      </w:rPr>
      <w:tcPr>
        <w:shd w:val="clear" w:color="F79646" w:fill="F79646"/>
      </w:tcPr>
    </w:tblStylePr>
    <w:tblStylePr w:type="lastRow">
      <w:rPr>
        <w:rFonts w:ascii="Arial" w:hAnsi="Arial"/>
        <w:b/>
        <w:color w:val="FFFFFF"/>
        <w:sz w:val="22"/>
      </w:rPr>
      <w:tcPr>
        <w:tcBorders>
          <w:top w:val="single" w:color="FFFFFF" w:sz="4" w:space="0"/>
        </w:tcBorders>
        <w:shd w:val="clear" w:color="F79646" w:fill="F79646"/>
      </w:tcPr>
    </w:tblStylePr>
    <w:tblStylePr w:type="firstCol">
      <w:rPr>
        <w:rFonts w:ascii="Arial" w:hAnsi="Arial"/>
        <w:b/>
        <w:color w:val="FFFFFF"/>
        <w:sz w:val="22"/>
      </w:rPr>
      <w:tcPr>
        <w:shd w:val="clear" w:color="F79646" w:fill="F79646"/>
      </w:tcPr>
    </w:tblStylePr>
    <w:tblStylePr w:type="lastCol">
      <w:rPr>
        <w:rFonts w:ascii="Arial" w:hAnsi="Arial"/>
        <w:b/>
        <w:color w:val="FFFFFF"/>
        <w:sz w:val="22"/>
      </w:rPr>
      <w:tcPr>
        <w:shd w:val="clear" w:color="F79646" w:fill="F79646"/>
      </w:tcPr>
    </w:tblStylePr>
    <w:tblStylePr w:type="band1Vert">
      <w:tcPr>
        <w:shd w:val="clear" w:color="FBCEAA" w:fill="FBCEAA"/>
      </w:tcPr>
    </w:tblStylePr>
    <w:tblStylePr w:type="band1Horz">
      <w:tcPr>
        <w:shd w:val="clear" w:color="FBCEAA" w:fill="FBCEAA"/>
      </w:tcPr>
    </w:tblStylePr>
  </w:style>
  <w:style w:type="table" w:customStyle="1" w:styleId="83">
    <w:name w:val="网格表 6 彩色1"/>
    <w:basedOn w:val="32"/>
    <w:qFormat/>
    <w:uiPriority w:val="99"/>
    <w:tblPr>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108" w:type="dxa"/>
        <w:bottom w:w="0" w:type="dxa"/>
        <w:right w:w="108" w:type="dxa"/>
      </w:tblCellMar>
    </w:tblPr>
    <w:tblStylePr w:type="firstRow">
      <w:rPr>
        <w:b/>
        <w:color w:val="7F7F7F"/>
      </w:rPr>
      <w:tcPr>
        <w:tcBorders>
          <w:bottom w:val="single" w:color="7F7F7F" w:sz="12" w:space="0"/>
        </w:tcBorders>
      </w:tcPr>
    </w:tblStylePr>
    <w:tblStylePr w:type="lastRow">
      <w:rPr>
        <w:b/>
        <w:color w:val="7F7F7F"/>
      </w:rPr>
    </w:tblStylePr>
    <w:tblStylePr w:type="firstCol">
      <w:rPr>
        <w:b/>
        <w:color w:val="7F7F7F"/>
      </w:rPr>
    </w:tblStylePr>
    <w:tblStylePr w:type="lastCol">
      <w:rPr>
        <w:b/>
        <w:color w:val="7F7F7F"/>
      </w:rPr>
    </w:tblStylePr>
    <w:tblStylePr w:type="band1Vert">
      <w:tcPr>
        <w:shd w:val="clear" w:color="CBCBCB" w:fill="CBCBCB"/>
      </w:tcPr>
    </w:tblStylePr>
    <w:tblStylePr w:type="band1Horz">
      <w:rPr>
        <w:rFonts w:ascii="Arial" w:hAnsi="Arial"/>
        <w:color w:val="7F7F7F"/>
        <w:sz w:val="22"/>
      </w:rPr>
      <w:tcPr>
        <w:shd w:val="clear" w:color="CBCBCB" w:fill="CBCBCB"/>
      </w:tcPr>
    </w:tblStylePr>
    <w:tblStylePr w:type="band2Horz">
      <w:rPr>
        <w:rFonts w:ascii="Arial" w:hAnsi="Arial"/>
        <w:color w:val="7F7F7F"/>
        <w:sz w:val="22"/>
      </w:rPr>
    </w:tblStylePr>
  </w:style>
  <w:style w:type="table" w:customStyle="1" w:styleId="84">
    <w:name w:val="Grid Table 6 Colorful - Accent 1"/>
    <w:basedOn w:val="32"/>
    <w:qFormat/>
    <w:uiPriority w:val="99"/>
    <w:tblPr>
      <w:tblBorders>
        <w:top w:val="single" w:color="A6BFDD" w:sz="4" w:space="0"/>
        <w:left w:val="single" w:color="A6BFDD" w:sz="4" w:space="0"/>
        <w:bottom w:val="single" w:color="A6BFDD" w:sz="4" w:space="0"/>
        <w:right w:val="single" w:color="A6BFDD" w:sz="4" w:space="0"/>
        <w:insideH w:val="single" w:color="A6BFDD" w:sz="4" w:space="0"/>
        <w:insideV w:val="single" w:color="A6BFDD" w:sz="4" w:space="0"/>
      </w:tblBorders>
      <w:tblCellMar>
        <w:top w:w="0" w:type="dxa"/>
        <w:left w:w="108" w:type="dxa"/>
        <w:bottom w:w="0" w:type="dxa"/>
        <w:right w:w="108" w:type="dxa"/>
      </w:tblCellMar>
    </w:tblPr>
    <w:tblStylePr w:type="firstRow">
      <w:rPr>
        <w:b/>
        <w:color w:val="A6BFDD"/>
      </w:rPr>
      <w:tcPr>
        <w:tcBorders>
          <w:bottom w:val="single" w:color="A6BFDD" w:sz="12" w:space="0"/>
        </w:tcBorders>
      </w:tcPr>
    </w:tblStylePr>
    <w:tblStylePr w:type="lastRow">
      <w:rPr>
        <w:b/>
        <w:color w:val="A6BFDD"/>
      </w:rPr>
    </w:tblStylePr>
    <w:tblStylePr w:type="firstCol">
      <w:rPr>
        <w:b/>
        <w:color w:val="A6BFDD"/>
      </w:rPr>
    </w:tblStylePr>
    <w:tblStylePr w:type="lastCol">
      <w:rPr>
        <w:b/>
        <w:color w:val="A6BFDD"/>
      </w:rPr>
    </w:tblStylePr>
    <w:tblStylePr w:type="band1Vert">
      <w:tcPr>
        <w:shd w:val="clear" w:color="DAE5F1" w:fill="DAE5F1"/>
      </w:tcPr>
    </w:tblStylePr>
    <w:tblStylePr w:type="band1Horz">
      <w:rPr>
        <w:rFonts w:ascii="Arial" w:hAnsi="Arial"/>
        <w:color w:val="A6BFDD"/>
        <w:sz w:val="22"/>
      </w:rPr>
      <w:tcPr>
        <w:shd w:val="clear" w:color="DAE5F1" w:fill="DAE5F1"/>
      </w:tcPr>
    </w:tblStylePr>
    <w:tblStylePr w:type="band2Horz">
      <w:rPr>
        <w:rFonts w:ascii="Arial" w:hAnsi="Arial"/>
        <w:color w:val="A6BFDD"/>
        <w:sz w:val="22"/>
      </w:rPr>
    </w:tblStylePr>
  </w:style>
  <w:style w:type="table" w:customStyle="1" w:styleId="85">
    <w:name w:val="Grid Table 6 Colorful - Accent 2"/>
    <w:basedOn w:val="32"/>
    <w:qFormat/>
    <w:uiPriority w:val="99"/>
    <w:tblPr>
      <w:tblBorders>
        <w:top w:val="single" w:color="D99695" w:sz="4" w:space="0"/>
        <w:left w:val="single" w:color="D99695" w:sz="4" w:space="0"/>
        <w:bottom w:val="single" w:color="D99695" w:sz="4" w:space="0"/>
        <w:right w:val="single" w:color="D99695" w:sz="4" w:space="0"/>
        <w:insideH w:val="single" w:color="D99695" w:sz="4" w:space="0"/>
        <w:insideV w:val="single" w:color="D99695" w:sz="4" w:space="0"/>
      </w:tblBorders>
      <w:tblCellMar>
        <w:top w:w="0" w:type="dxa"/>
        <w:left w:w="108" w:type="dxa"/>
        <w:bottom w:w="0" w:type="dxa"/>
        <w:right w:w="108" w:type="dxa"/>
      </w:tblCellMar>
    </w:tblPr>
    <w:tblStylePr w:type="firstRow">
      <w:rPr>
        <w:b/>
        <w:color w:val="D99695"/>
      </w:rPr>
      <w:tcPr>
        <w:tcBorders>
          <w:bottom w:val="single" w:color="D99695" w:sz="12" w:space="0"/>
        </w:tcBorders>
      </w:tcPr>
    </w:tblStylePr>
    <w:tblStylePr w:type="lastRow">
      <w:rPr>
        <w:b/>
        <w:color w:val="D99695"/>
      </w:rPr>
    </w:tblStylePr>
    <w:tblStylePr w:type="firstCol">
      <w:rPr>
        <w:b/>
        <w:color w:val="D99695"/>
      </w:rPr>
    </w:tblStylePr>
    <w:tblStylePr w:type="lastCol">
      <w:rPr>
        <w:b/>
        <w:color w:val="D99695"/>
      </w:rPr>
    </w:tblStylePr>
    <w:tblStylePr w:type="band1Vert">
      <w:tcPr>
        <w:shd w:val="clear" w:color="F2DCDC" w:fill="F2DCDC"/>
      </w:tcPr>
    </w:tblStylePr>
    <w:tblStylePr w:type="band1Horz">
      <w:rPr>
        <w:rFonts w:ascii="Arial" w:hAnsi="Arial"/>
        <w:color w:val="D99695"/>
        <w:sz w:val="22"/>
      </w:rPr>
      <w:tcPr>
        <w:shd w:val="clear" w:color="F2DCDC" w:fill="F2DCDC"/>
      </w:tcPr>
    </w:tblStylePr>
    <w:tblStylePr w:type="band2Horz">
      <w:rPr>
        <w:rFonts w:ascii="Arial" w:hAnsi="Arial"/>
        <w:color w:val="D99695"/>
        <w:sz w:val="22"/>
      </w:rPr>
    </w:tblStylePr>
  </w:style>
  <w:style w:type="table" w:customStyle="1" w:styleId="86">
    <w:name w:val="Grid Table 6 Colorful - Accent 3"/>
    <w:basedOn w:val="32"/>
    <w:qFormat/>
    <w:uiPriority w:val="99"/>
    <w:tblPr>
      <w:tblBorders>
        <w:top w:val="single" w:color="9ABB59" w:sz="4" w:space="0"/>
        <w:left w:val="single" w:color="9ABB59" w:sz="4" w:space="0"/>
        <w:bottom w:val="single" w:color="9ABB59" w:sz="4" w:space="0"/>
        <w:right w:val="single" w:color="9ABB59" w:sz="4" w:space="0"/>
        <w:insideH w:val="single" w:color="9ABB59" w:sz="4" w:space="0"/>
        <w:insideV w:val="single" w:color="9ABB59" w:sz="4" w:space="0"/>
      </w:tblBorders>
      <w:tblCellMar>
        <w:top w:w="0" w:type="dxa"/>
        <w:left w:w="108" w:type="dxa"/>
        <w:bottom w:w="0" w:type="dxa"/>
        <w:right w:w="108" w:type="dxa"/>
      </w:tblCellMar>
    </w:tblPr>
    <w:tblStylePr w:type="firstRow">
      <w:rPr>
        <w:b/>
        <w:color w:val="9ABB59"/>
      </w:rPr>
      <w:tcPr>
        <w:tcBorders>
          <w:bottom w:val="single" w:color="9ABB59" w:sz="12" w:space="0"/>
        </w:tcBorders>
      </w:tcPr>
    </w:tblStylePr>
    <w:tblStylePr w:type="lastRow">
      <w:rPr>
        <w:b/>
        <w:color w:val="9ABB59"/>
      </w:rPr>
    </w:tblStylePr>
    <w:tblStylePr w:type="firstCol">
      <w:rPr>
        <w:b/>
        <w:color w:val="9ABB59"/>
      </w:rPr>
    </w:tblStylePr>
    <w:tblStylePr w:type="lastCol">
      <w:rPr>
        <w:b/>
        <w:color w:val="9ABB59"/>
      </w:rPr>
    </w:tblStylePr>
    <w:tblStylePr w:type="band1Vert">
      <w:tcPr>
        <w:shd w:val="clear" w:color="EAF1DC" w:fill="EAF1DC"/>
      </w:tcPr>
    </w:tblStylePr>
    <w:tblStylePr w:type="band1Horz">
      <w:rPr>
        <w:rFonts w:ascii="Arial" w:hAnsi="Arial"/>
        <w:color w:val="9ABB59"/>
        <w:sz w:val="22"/>
      </w:rPr>
      <w:tcPr>
        <w:shd w:val="clear" w:color="EAF1DC" w:fill="EAF1DC"/>
      </w:tcPr>
    </w:tblStylePr>
    <w:tblStylePr w:type="band2Horz">
      <w:rPr>
        <w:rFonts w:ascii="Arial" w:hAnsi="Arial"/>
        <w:color w:val="9ABB59"/>
        <w:sz w:val="22"/>
      </w:rPr>
    </w:tblStylePr>
  </w:style>
  <w:style w:type="table" w:customStyle="1" w:styleId="87">
    <w:name w:val="Grid Table 6 Colorful - Accent 4"/>
    <w:basedOn w:val="32"/>
    <w:qFormat/>
    <w:uiPriority w:val="99"/>
    <w:tblPr>
      <w:tblBorders>
        <w:top w:val="single" w:color="B2A1C6" w:sz="4" w:space="0"/>
        <w:left w:val="single" w:color="B2A1C6" w:sz="4" w:space="0"/>
        <w:bottom w:val="single" w:color="B2A1C6" w:sz="4" w:space="0"/>
        <w:right w:val="single" w:color="B2A1C6" w:sz="4" w:space="0"/>
        <w:insideH w:val="single" w:color="B2A1C6" w:sz="4" w:space="0"/>
        <w:insideV w:val="single" w:color="B2A1C6" w:sz="4" w:space="0"/>
      </w:tblBorders>
      <w:tblCellMar>
        <w:top w:w="0" w:type="dxa"/>
        <w:left w:w="108" w:type="dxa"/>
        <w:bottom w:w="0" w:type="dxa"/>
        <w:right w:w="108" w:type="dxa"/>
      </w:tblCellMar>
    </w:tblPr>
    <w:tblStylePr w:type="firstRow">
      <w:rPr>
        <w:b/>
        <w:color w:val="B2A1C6"/>
      </w:rPr>
      <w:tcPr>
        <w:tcBorders>
          <w:bottom w:val="single" w:color="B2A1C6" w:sz="12" w:space="0"/>
        </w:tcBorders>
      </w:tcPr>
    </w:tblStylePr>
    <w:tblStylePr w:type="lastRow">
      <w:rPr>
        <w:b/>
        <w:color w:val="B2A1C6"/>
      </w:rPr>
    </w:tblStylePr>
    <w:tblStylePr w:type="firstCol">
      <w:rPr>
        <w:b/>
        <w:color w:val="B2A1C6"/>
      </w:rPr>
    </w:tblStylePr>
    <w:tblStylePr w:type="lastCol">
      <w:rPr>
        <w:b/>
        <w:color w:val="B2A1C6"/>
      </w:rPr>
    </w:tblStylePr>
    <w:tblStylePr w:type="band1Vert">
      <w:tcPr>
        <w:shd w:val="clear" w:color="E5DFEC" w:fill="E5DFEC"/>
      </w:tcPr>
    </w:tblStylePr>
    <w:tblStylePr w:type="band1Horz">
      <w:rPr>
        <w:rFonts w:ascii="Arial" w:hAnsi="Arial"/>
        <w:color w:val="B2A1C6"/>
        <w:sz w:val="22"/>
      </w:rPr>
      <w:tcPr>
        <w:shd w:val="clear" w:color="E5DFEC" w:fill="E5DFEC"/>
      </w:tcPr>
    </w:tblStylePr>
    <w:tblStylePr w:type="band2Horz">
      <w:rPr>
        <w:rFonts w:ascii="Arial" w:hAnsi="Arial"/>
        <w:color w:val="B2A1C6"/>
        <w:sz w:val="22"/>
      </w:rPr>
    </w:tblStylePr>
  </w:style>
  <w:style w:type="table" w:customStyle="1" w:styleId="88">
    <w:name w:val="Grid Table 6 Colorful - Accent 5"/>
    <w:basedOn w:val="32"/>
    <w:qFormat/>
    <w:uiPriority w:val="99"/>
    <w:tblPr>
      <w:tblBorders>
        <w:top w:val="single" w:color="4BACC6" w:sz="4" w:space="0"/>
        <w:left w:val="single" w:color="4BACC6" w:sz="4" w:space="0"/>
        <w:bottom w:val="single" w:color="4BACC6" w:sz="4" w:space="0"/>
        <w:right w:val="single" w:color="4BACC6" w:sz="4" w:space="0"/>
        <w:insideH w:val="single" w:color="4BACC6" w:sz="4" w:space="0"/>
        <w:insideV w:val="single" w:color="4BACC6" w:sz="4" w:space="0"/>
      </w:tblBorders>
      <w:tblCellMar>
        <w:top w:w="0" w:type="dxa"/>
        <w:left w:w="108" w:type="dxa"/>
        <w:bottom w:w="0" w:type="dxa"/>
        <w:right w:w="108" w:type="dxa"/>
      </w:tblCellMar>
    </w:tblPr>
    <w:tblStylePr w:type="firstRow">
      <w:rPr>
        <w:b/>
        <w:color w:val="266779"/>
      </w:rPr>
      <w:tcPr>
        <w:tcBorders>
          <w:bottom w:val="single" w:color="4BACC6" w:sz="12" w:space="0"/>
        </w:tcBorders>
      </w:tcPr>
    </w:tblStylePr>
    <w:tblStylePr w:type="lastRow">
      <w:rPr>
        <w:b/>
        <w:color w:val="266779"/>
      </w:rPr>
    </w:tblStylePr>
    <w:tblStylePr w:type="firstCol">
      <w:rPr>
        <w:b/>
        <w:color w:val="266779"/>
      </w:rPr>
    </w:tblStylePr>
    <w:tblStylePr w:type="lastCol">
      <w:rPr>
        <w:b/>
        <w:color w:val="266779"/>
      </w:rPr>
    </w:tblStylePr>
    <w:tblStylePr w:type="band1Vert">
      <w:tcPr>
        <w:shd w:val="clear" w:color="DAEEF3" w:fill="DAEEF3"/>
      </w:tcPr>
    </w:tblStylePr>
    <w:tblStylePr w:type="band1Horz">
      <w:rPr>
        <w:rFonts w:ascii="Arial" w:hAnsi="Arial"/>
        <w:color w:val="266779"/>
        <w:sz w:val="22"/>
      </w:rPr>
      <w:tcPr>
        <w:shd w:val="clear" w:color="DAEEF3" w:fill="DAEEF3"/>
      </w:tcPr>
    </w:tblStylePr>
    <w:tblStylePr w:type="band2Horz">
      <w:rPr>
        <w:rFonts w:ascii="Arial" w:hAnsi="Arial"/>
        <w:color w:val="266779"/>
        <w:sz w:val="22"/>
      </w:rPr>
    </w:tblStylePr>
  </w:style>
  <w:style w:type="table" w:customStyle="1" w:styleId="89">
    <w:name w:val="Grid Table 6 Colorful - Accent 6"/>
    <w:basedOn w:val="32"/>
    <w:qFormat/>
    <w:uiPriority w:val="99"/>
    <w:tblPr>
      <w:tblBorders>
        <w:top w:val="single" w:color="F79646" w:sz="4" w:space="0"/>
        <w:left w:val="single" w:color="F79646" w:sz="4" w:space="0"/>
        <w:bottom w:val="single" w:color="F79646" w:sz="4" w:space="0"/>
        <w:right w:val="single" w:color="F79646" w:sz="4" w:space="0"/>
        <w:insideH w:val="single" w:color="F79646" w:sz="4" w:space="0"/>
        <w:insideV w:val="single" w:color="F79646" w:sz="4" w:space="0"/>
      </w:tblBorders>
      <w:tblCellMar>
        <w:top w:w="0" w:type="dxa"/>
        <w:left w:w="108" w:type="dxa"/>
        <w:bottom w:w="0" w:type="dxa"/>
        <w:right w:w="108" w:type="dxa"/>
      </w:tblCellMar>
    </w:tblPr>
    <w:tblStylePr w:type="firstRow">
      <w:rPr>
        <w:b/>
        <w:color w:val="266779"/>
      </w:rPr>
      <w:tcPr>
        <w:tcBorders>
          <w:bottom w:val="single" w:color="F79646" w:sz="12" w:space="0"/>
        </w:tcBorders>
      </w:tcPr>
    </w:tblStylePr>
    <w:tblStylePr w:type="lastRow">
      <w:rPr>
        <w:b/>
        <w:color w:val="266779"/>
      </w:rPr>
    </w:tblStylePr>
    <w:tblStylePr w:type="firstCol">
      <w:rPr>
        <w:b/>
        <w:color w:val="266779"/>
      </w:rPr>
    </w:tblStylePr>
    <w:tblStylePr w:type="lastCol">
      <w:rPr>
        <w:b/>
        <w:color w:val="266779"/>
      </w:rPr>
    </w:tblStylePr>
    <w:tblStylePr w:type="band1Vert">
      <w:tcPr>
        <w:shd w:val="clear" w:color="FDE9D8" w:fill="FDE9D8"/>
      </w:tcPr>
    </w:tblStylePr>
    <w:tblStylePr w:type="band1Horz">
      <w:rPr>
        <w:rFonts w:ascii="Arial" w:hAnsi="Arial"/>
        <w:color w:val="266779"/>
        <w:sz w:val="22"/>
      </w:rPr>
      <w:tcPr>
        <w:shd w:val="clear" w:color="FDE9D8" w:fill="FDE9D8"/>
      </w:tcPr>
    </w:tblStylePr>
    <w:tblStylePr w:type="band2Horz">
      <w:rPr>
        <w:rFonts w:ascii="Arial" w:hAnsi="Arial"/>
        <w:color w:val="266779"/>
        <w:sz w:val="22"/>
      </w:rPr>
    </w:tblStylePr>
  </w:style>
  <w:style w:type="table" w:customStyle="1" w:styleId="90">
    <w:name w:val="网格表 7 彩色1"/>
    <w:basedOn w:val="32"/>
    <w:qFormat/>
    <w:uiPriority w:val="99"/>
    <w:tblPr>
      <w:tblBorders>
        <w:bottom w:val="single" w:color="7F7F7F" w:sz="4" w:space="0"/>
        <w:right w:val="single" w:color="7F7F7F" w:sz="4" w:space="0"/>
        <w:insideH w:val="single" w:color="7F7F7F" w:sz="4" w:space="0"/>
        <w:insideV w:val="single" w:color="7F7F7F" w:sz="4" w:space="0"/>
      </w:tblBorders>
      <w:tblCellMar>
        <w:top w:w="0" w:type="dxa"/>
        <w:left w:w="108" w:type="dxa"/>
        <w:bottom w:w="0" w:type="dxa"/>
        <w:right w:w="108" w:type="dxa"/>
      </w:tblCellMar>
    </w:tblPr>
    <w:tblStylePr w:type="firstRow">
      <w:rPr>
        <w:rFonts w:ascii="Arial" w:hAnsi="Arial"/>
        <w:b/>
        <w:color w:val="7F7F7F"/>
        <w:sz w:val="22"/>
      </w:rPr>
      <w:tcPr>
        <w:tcBorders>
          <w:top w:val="nil"/>
          <w:left w:val="nil"/>
          <w:bottom w:val="single" w:color="7F7F7F" w:sz="4" w:space="0"/>
          <w:right w:val="nil"/>
        </w:tcBorders>
        <w:shd w:val="clear" w:color="FFFFFF" w:fill="FFFFFF"/>
      </w:tcPr>
    </w:tblStylePr>
    <w:tblStylePr w:type="lastRow">
      <w:rPr>
        <w:rFonts w:ascii="Arial" w:hAnsi="Arial"/>
        <w:b/>
        <w:color w:val="7F7F7F"/>
        <w:sz w:val="22"/>
      </w:rPr>
      <w:tcPr>
        <w:tcBorders>
          <w:top w:val="single" w:color="7F7F7F" w:sz="4" w:space="0"/>
          <w:left w:val="nil"/>
          <w:bottom w:val="nil"/>
          <w:right w:val="nil"/>
        </w:tcBorders>
        <w:shd w:val="clear" w:color="FFFFFF" w:fill="FFFFFF"/>
      </w:tcPr>
    </w:tblStylePr>
    <w:tblStylePr w:type="firstCol">
      <w:pPr>
        <w:jc w:val="right"/>
      </w:pPr>
      <w:rPr>
        <w:rFonts w:ascii="Arial" w:hAnsi="Arial"/>
        <w:i/>
        <w:color w:val="7F7F7F"/>
        <w:sz w:val="22"/>
      </w:rPr>
      <w:tcPr>
        <w:tcBorders>
          <w:top w:val="nil"/>
          <w:left w:val="nil"/>
          <w:bottom w:val="nil"/>
          <w:right w:val="single" w:color="7F7F7F" w:sz="4" w:space="0"/>
        </w:tcBorders>
        <w:shd w:val="clear" w:color="FFFFFF" w:fill="auto"/>
      </w:tcPr>
    </w:tblStylePr>
    <w:tblStylePr w:type="lastCol">
      <w:rPr>
        <w:rFonts w:ascii="Arial" w:hAnsi="Arial"/>
        <w:i/>
        <w:color w:val="7F7F7F"/>
        <w:sz w:val="22"/>
      </w:rPr>
      <w:tcPr>
        <w:tcBorders>
          <w:top w:val="nil"/>
          <w:left w:val="single" w:color="7F7F7F" w:sz="4" w:space="0"/>
          <w:bottom w:val="nil"/>
          <w:right w:val="nil"/>
        </w:tcBorders>
        <w:shd w:val="clear" w:color="FFFFFF" w:fill="auto"/>
      </w:tcPr>
    </w:tblStylePr>
    <w:tblStylePr w:type="band1Vert">
      <w:tcPr>
        <w:shd w:val="clear" w:color="F2F2F2" w:fill="F2F2F2"/>
      </w:tcPr>
    </w:tblStylePr>
    <w:tblStylePr w:type="band1Horz">
      <w:rPr>
        <w:rFonts w:ascii="Arial" w:hAnsi="Arial"/>
        <w:color w:val="7F7F7F"/>
        <w:sz w:val="22"/>
      </w:rPr>
      <w:tcPr>
        <w:shd w:val="clear" w:color="F2F2F2" w:fill="F2F2F2"/>
      </w:tcPr>
    </w:tblStylePr>
    <w:tblStylePr w:type="band2Horz">
      <w:rPr>
        <w:rFonts w:ascii="Arial" w:hAnsi="Arial"/>
        <w:color w:val="7F7F7F"/>
        <w:sz w:val="22"/>
      </w:rPr>
    </w:tblStylePr>
  </w:style>
  <w:style w:type="table" w:customStyle="1" w:styleId="91">
    <w:name w:val="Grid Table 7 Colorful - Accent 1"/>
    <w:basedOn w:val="32"/>
    <w:qFormat/>
    <w:uiPriority w:val="99"/>
    <w:tblPr>
      <w:tblBorders>
        <w:bottom w:val="single" w:color="A6BFDD" w:sz="4" w:space="0"/>
        <w:right w:val="single" w:color="A6BFDD" w:sz="4" w:space="0"/>
        <w:insideH w:val="single" w:color="A6BFDD" w:sz="4" w:space="0"/>
        <w:insideV w:val="single" w:color="A6BFDD" w:sz="4" w:space="0"/>
      </w:tblBorders>
      <w:tblCellMar>
        <w:top w:w="0" w:type="dxa"/>
        <w:left w:w="108" w:type="dxa"/>
        <w:bottom w:w="0" w:type="dxa"/>
        <w:right w:w="108" w:type="dxa"/>
      </w:tblCellMar>
    </w:tblPr>
    <w:tblStylePr w:type="firstRow">
      <w:rPr>
        <w:rFonts w:ascii="Arial" w:hAnsi="Arial"/>
        <w:b/>
        <w:color w:val="A6BFDD"/>
        <w:sz w:val="22"/>
      </w:rPr>
      <w:tcPr>
        <w:tcBorders>
          <w:top w:val="nil"/>
          <w:left w:val="nil"/>
          <w:bottom w:val="single" w:color="A6BFDD" w:sz="4" w:space="0"/>
          <w:right w:val="nil"/>
        </w:tcBorders>
        <w:shd w:val="clear" w:color="FFFFFF" w:fill="FFFFFF"/>
      </w:tcPr>
    </w:tblStylePr>
    <w:tblStylePr w:type="lastRow">
      <w:rPr>
        <w:rFonts w:ascii="Arial" w:hAnsi="Arial"/>
        <w:b/>
        <w:color w:val="A6BFDD"/>
        <w:sz w:val="22"/>
      </w:rPr>
      <w:tcPr>
        <w:tcBorders>
          <w:top w:val="single" w:color="A6BFDD" w:sz="4" w:space="0"/>
          <w:left w:val="nil"/>
          <w:bottom w:val="nil"/>
          <w:right w:val="nil"/>
        </w:tcBorders>
        <w:shd w:val="clear" w:color="FFFFFF" w:fill="FFFFFF"/>
      </w:tcPr>
    </w:tblStylePr>
    <w:tblStylePr w:type="firstCol">
      <w:pPr>
        <w:jc w:val="right"/>
      </w:pPr>
      <w:rPr>
        <w:rFonts w:ascii="Arial" w:hAnsi="Arial"/>
        <w:i/>
        <w:color w:val="A6BFDD"/>
        <w:sz w:val="22"/>
      </w:rPr>
      <w:tcPr>
        <w:tcBorders>
          <w:top w:val="nil"/>
          <w:left w:val="nil"/>
          <w:bottom w:val="nil"/>
          <w:right w:val="single" w:color="A6BFDD" w:sz="4" w:space="0"/>
        </w:tcBorders>
        <w:shd w:val="clear" w:color="FFFFFF" w:fill="auto"/>
      </w:tcPr>
    </w:tblStylePr>
    <w:tblStylePr w:type="lastCol">
      <w:rPr>
        <w:rFonts w:ascii="Arial" w:hAnsi="Arial"/>
        <w:i/>
        <w:color w:val="A6BFDD"/>
        <w:sz w:val="22"/>
      </w:rPr>
      <w:tcPr>
        <w:tcBorders>
          <w:top w:val="nil"/>
          <w:left w:val="single" w:color="A6BFDD" w:sz="4" w:space="0"/>
          <w:bottom w:val="nil"/>
          <w:right w:val="nil"/>
        </w:tcBorders>
        <w:shd w:val="clear" w:color="FFFFFF" w:fill="auto"/>
      </w:tcPr>
    </w:tblStylePr>
    <w:tblStylePr w:type="band1Vert">
      <w:tcPr>
        <w:shd w:val="clear" w:color="DAE5F1" w:fill="DAE5F1"/>
      </w:tcPr>
    </w:tblStylePr>
    <w:tblStylePr w:type="band1Horz">
      <w:rPr>
        <w:rFonts w:ascii="Arial" w:hAnsi="Arial"/>
        <w:color w:val="A6BFDD"/>
        <w:sz w:val="22"/>
      </w:rPr>
      <w:tcPr>
        <w:shd w:val="clear" w:color="DAE5F1" w:fill="DAE5F1"/>
      </w:tcPr>
    </w:tblStylePr>
    <w:tblStylePr w:type="band2Horz">
      <w:rPr>
        <w:rFonts w:ascii="Arial" w:hAnsi="Arial"/>
        <w:color w:val="A6BFDD"/>
        <w:sz w:val="22"/>
      </w:rPr>
    </w:tblStylePr>
  </w:style>
  <w:style w:type="table" w:customStyle="1" w:styleId="92">
    <w:name w:val="Grid Table 7 Colorful - Accent 2"/>
    <w:basedOn w:val="32"/>
    <w:qFormat/>
    <w:uiPriority w:val="99"/>
    <w:tblPr>
      <w:tblBorders>
        <w:bottom w:val="single" w:color="D99695" w:sz="4" w:space="0"/>
        <w:right w:val="single" w:color="D99695" w:sz="4" w:space="0"/>
        <w:insideH w:val="single" w:color="D99695" w:sz="4" w:space="0"/>
        <w:insideV w:val="single" w:color="D99695" w:sz="4" w:space="0"/>
      </w:tblBorders>
      <w:tblCellMar>
        <w:top w:w="0" w:type="dxa"/>
        <w:left w:w="108" w:type="dxa"/>
        <w:bottom w:w="0" w:type="dxa"/>
        <w:right w:w="108" w:type="dxa"/>
      </w:tblCellMar>
    </w:tblPr>
    <w:tblStylePr w:type="firstRow">
      <w:rPr>
        <w:rFonts w:ascii="Arial" w:hAnsi="Arial"/>
        <w:b/>
        <w:color w:val="D99695"/>
        <w:sz w:val="22"/>
      </w:rPr>
      <w:tcPr>
        <w:tcBorders>
          <w:top w:val="nil"/>
          <w:left w:val="nil"/>
          <w:bottom w:val="single" w:color="D99695" w:sz="4" w:space="0"/>
          <w:right w:val="nil"/>
        </w:tcBorders>
        <w:shd w:val="clear" w:color="FFFFFF" w:fill="FFFFFF"/>
      </w:tcPr>
    </w:tblStylePr>
    <w:tblStylePr w:type="lastRow">
      <w:rPr>
        <w:rFonts w:ascii="Arial" w:hAnsi="Arial"/>
        <w:b/>
        <w:color w:val="D99695"/>
        <w:sz w:val="22"/>
      </w:rPr>
      <w:tcPr>
        <w:tcBorders>
          <w:top w:val="single" w:color="D99695" w:sz="4" w:space="0"/>
          <w:left w:val="nil"/>
          <w:bottom w:val="nil"/>
          <w:right w:val="nil"/>
        </w:tcBorders>
        <w:shd w:val="clear" w:color="FFFFFF" w:fill="FFFFFF"/>
      </w:tcPr>
    </w:tblStylePr>
    <w:tblStylePr w:type="firstCol">
      <w:pPr>
        <w:jc w:val="right"/>
      </w:pPr>
      <w:rPr>
        <w:rFonts w:ascii="Arial" w:hAnsi="Arial"/>
        <w:i/>
        <w:color w:val="D99695"/>
        <w:sz w:val="22"/>
      </w:rPr>
      <w:tcPr>
        <w:tcBorders>
          <w:top w:val="nil"/>
          <w:left w:val="nil"/>
          <w:bottom w:val="nil"/>
          <w:right w:val="single" w:color="D99695" w:sz="4" w:space="0"/>
        </w:tcBorders>
        <w:shd w:val="clear" w:color="FFFFFF" w:fill="auto"/>
      </w:tcPr>
    </w:tblStylePr>
    <w:tblStylePr w:type="lastCol">
      <w:rPr>
        <w:rFonts w:ascii="Arial" w:hAnsi="Arial"/>
        <w:i/>
        <w:color w:val="D99695"/>
        <w:sz w:val="22"/>
      </w:rPr>
      <w:tcPr>
        <w:tcBorders>
          <w:top w:val="nil"/>
          <w:left w:val="single" w:color="D99695" w:sz="4" w:space="0"/>
          <w:bottom w:val="nil"/>
          <w:right w:val="nil"/>
        </w:tcBorders>
        <w:shd w:val="clear" w:color="FFFFFF" w:fill="auto"/>
      </w:tcPr>
    </w:tblStylePr>
    <w:tblStylePr w:type="band1Vert">
      <w:tcPr>
        <w:shd w:val="clear" w:color="F2DCDC" w:fill="F2DCDC"/>
      </w:tcPr>
    </w:tblStylePr>
    <w:tblStylePr w:type="band1Horz">
      <w:rPr>
        <w:rFonts w:ascii="Arial" w:hAnsi="Arial"/>
        <w:color w:val="D99695"/>
        <w:sz w:val="22"/>
      </w:rPr>
      <w:tcPr>
        <w:shd w:val="clear" w:color="F2DCDC" w:fill="F2DCDC"/>
      </w:tcPr>
    </w:tblStylePr>
    <w:tblStylePr w:type="band2Horz">
      <w:rPr>
        <w:rFonts w:ascii="Arial" w:hAnsi="Arial"/>
        <w:color w:val="D99695"/>
        <w:sz w:val="22"/>
      </w:rPr>
    </w:tblStylePr>
  </w:style>
  <w:style w:type="table" w:customStyle="1" w:styleId="93">
    <w:name w:val="Grid Table 7 Colorful - Accent 3"/>
    <w:basedOn w:val="32"/>
    <w:qFormat/>
    <w:uiPriority w:val="99"/>
    <w:tblPr>
      <w:tblBorders>
        <w:bottom w:val="single" w:color="9ABB59" w:sz="4" w:space="0"/>
        <w:right w:val="single" w:color="9ABB59" w:sz="4" w:space="0"/>
        <w:insideH w:val="single" w:color="9ABB59" w:sz="4" w:space="0"/>
        <w:insideV w:val="single" w:color="9ABB59" w:sz="4" w:space="0"/>
      </w:tblBorders>
      <w:tblCellMar>
        <w:top w:w="0" w:type="dxa"/>
        <w:left w:w="108" w:type="dxa"/>
        <w:bottom w:w="0" w:type="dxa"/>
        <w:right w:w="108" w:type="dxa"/>
      </w:tblCellMar>
    </w:tblPr>
    <w:tblStylePr w:type="firstRow">
      <w:rPr>
        <w:rFonts w:ascii="Arial" w:hAnsi="Arial"/>
        <w:b/>
        <w:color w:val="9ABB59"/>
        <w:sz w:val="22"/>
      </w:rPr>
      <w:tcPr>
        <w:tcBorders>
          <w:top w:val="nil"/>
          <w:left w:val="nil"/>
          <w:bottom w:val="single" w:color="9ABB59" w:sz="4" w:space="0"/>
          <w:right w:val="nil"/>
        </w:tcBorders>
        <w:shd w:val="clear" w:color="FFFFFF" w:fill="FFFFFF"/>
      </w:tcPr>
    </w:tblStylePr>
    <w:tblStylePr w:type="lastRow">
      <w:rPr>
        <w:rFonts w:ascii="Arial" w:hAnsi="Arial"/>
        <w:b/>
        <w:color w:val="9ABB59"/>
        <w:sz w:val="22"/>
      </w:rPr>
      <w:tcPr>
        <w:tcBorders>
          <w:top w:val="single" w:color="9ABB59" w:sz="4" w:space="0"/>
          <w:left w:val="nil"/>
          <w:bottom w:val="nil"/>
          <w:right w:val="nil"/>
        </w:tcBorders>
        <w:shd w:val="clear" w:color="FFFFFF" w:fill="FFFFFF"/>
      </w:tcPr>
    </w:tblStylePr>
    <w:tblStylePr w:type="firstCol">
      <w:pPr>
        <w:jc w:val="right"/>
      </w:pPr>
      <w:rPr>
        <w:rFonts w:ascii="Arial" w:hAnsi="Arial"/>
        <w:i/>
        <w:color w:val="9ABB59"/>
        <w:sz w:val="22"/>
      </w:rPr>
      <w:tcPr>
        <w:tcBorders>
          <w:top w:val="nil"/>
          <w:left w:val="nil"/>
          <w:bottom w:val="nil"/>
          <w:right w:val="single" w:color="9ABB59" w:sz="4" w:space="0"/>
        </w:tcBorders>
        <w:shd w:val="clear" w:color="FFFFFF" w:fill="auto"/>
      </w:tcPr>
    </w:tblStylePr>
    <w:tblStylePr w:type="lastCol">
      <w:rPr>
        <w:rFonts w:ascii="Arial" w:hAnsi="Arial"/>
        <w:i/>
        <w:color w:val="9ABB59"/>
        <w:sz w:val="22"/>
      </w:rPr>
      <w:tcPr>
        <w:tcBorders>
          <w:top w:val="nil"/>
          <w:left w:val="single" w:color="9ABB59" w:sz="4" w:space="0"/>
          <w:bottom w:val="nil"/>
          <w:right w:val="nil"/>
        </w:tcBorders>
        <w:shd w:val="clear" w:color="FFFFFF" w:fill="auto"/>
      </w:tcPr>
    </w:tblStylePr>
    <w:tblStylePr w:type="band1Vert">
      <w:tcPr>
        <w:shd w:val="clear" w:color="EAF1DC" w:fill="EAF1DC"/>
      </w:tcPr>
    </w:tblStylePr>
    <w:tblStylePr w:type="band1Horz">
      <w:rPr>
        <w:rFonts w:ascii="Arial" w:hAnsi="Arial"/>
        <w:color w:val="9ABB59"/>
        <w:sz w:val="22"/>
      </w:rPr>
      <w:tcPr>
        <w:shd w:val="clear" w:color="EAF1DC" w:fill="EAF1DC"/>
      </w:tcPr>
    </w:tblStylePr>
    <w:tblStylePr w:type="band2Horz">
      <w:rPr>
        <w:rFonts w:ascii="Arial" w:hAnsi="Arial"/>
        <w:color w:val="9ABB59"/>
        <w:sz w:val="22"/>
      </w:rPr>
    </w:tblStylePr>
  </w:style>
  <w:style w:type="table" w:customStyle="1" w:styleId="94">
    <w:name w:val="Grid Table 7 Colorful - Accent 4"/>
    <w:basedOn w:val="32"/>
    <w:qFormat/>
    <w:uiPriority w:val="99"/>
    <w:tblPr>
      <w:tblBorders>
        <w:bottom w:val="single" w:color="B2A1C6" w:sz="4" w:space="0"/>
        <w:right w:val="single" w:color="B2A1C6" w:sz="4" w:space="0"/>
        <w:insideH w:val="single" w:color="B2A1C6" w:sz="4" w:space="0"/>
        <w:insideV w:val="single" w:color="B2A1C6" w:sz="4" w:space="0"/>
      </w:tblBorders>
      <w:tblCellMar>
        <w:top w:w="0" w:type="dxa"/>
        <w:left w:w="108" w:type="dxa"/>
        <w:bottom w:w="0" w:type="dxa"/>
        <w:right w:w="108" w:type="dxa"/>
      </w:tblCellMar>
    </w:tblPr>
    <w:tblStylePr w:type="firstRow">
      <w:rPr>
        <w:rFonts w:ascii="Arial" w:hAnsi="Arial"/>
        <w:b/>
        <w:color w:val="B2A1C6"/>
        <w:sz w:val="22"/>
      </w:rPr>
      <w:tcPr>
        <w:tcBorders>
          <w:top w:val="nil"/>
          <w:left w:val="nil"/>
          <w:bottom w:val="single" w:color="B2A1C6" w:sz="4" w:space="0"/>
          <w:right w:val="nil"/>
        </w:tcBorders>
        <w:shd w:val="clear" w:color="FFFFFF" w:fill="FFFFFF"/>
      </w:tcPr>
    </w:tblStylePr>
    <w:tblStylePr w:type="lastRow">
      <w:rPr>
        <w:rFonts w:ascii="Arial" w:hAnsi="Arial"/>
        <w:b/>
        <w:color w:val="B2A1C6"/>
        <w:sz w:val="22"/>
      </w:rPr>
      <w:tcPr>
        <w:tcBorders>
          <w:top w:val="single" w:color="B2A1C6" w:sz="4" w:space="0"/>
          <w:left w:val="nil"/>
          <w:bottom w:val="nil"/>
          <w:right w:val="nil"/>
        </w:tcBorders>
        <w:shd w:val="clear" w:color="FFFFFF" w:fill="FFFFFF"/>
      </w:tcPr>
    </w:tblStylePr>
    <w:tblStylePr w:type="firstCol">
      <w:pPr>
        <w:jc w:val="right"/>
      </w:pPr>
      <w:rPr>
        <w:rFonts w:ascii="Arial" w:hAnsi="Arial"/>
        <w:i/>
        <w:color w:val="B2A1C6"/>
        <w:sz w:val="22"/>
      </w:rPr>
      <w:tcPr>
        <w:tcBorders>
          <w:top w:val="nil"/>
          <w:left w:val="nil"/>
          <w:bottom w:val="nil"/>
          <w:right w:val="single" w:color="B2A1C6" w:sz="4" w:space="0"/>
        </w:tcBorders>
        <w:shd w:val="clear" w:color="FFFFFF" w:fill="auto"/>
      </w:tcPr>
    </w:tblStylePr>
    <w:tblStylePr w:type="lastCol">
      <w:rPr>
        <w:rFonts w:ascii="Arial" w:hAnsi="Arial"/>
        <w:i/>
        <w:color w:val="B2A1C6"/>
        <w:sz w:val="22"/>
      </w:rPr>
      <w:tcPr>
        <w:tcBorders>
          <w:top w:val="nil"/>
          <w:left w:val="single" w:color="B2A1C6" w:sz="4" w:space="0"/>
          <w:bottom w:val="nil"/>
          <w:right w:val="nil"/>
        </w:tcBorders>
        <w:shd w:val="clear" w:color="FFFFFF" w:fill="auto"/>
      </w:tcPr>
    </w:tblStylePr>
    <w:tblStylePr w:type="band1Vert">
      <w:tcPr>
        <w:shd w:val="clear" w:color="E5DFEC" w:fill="E5DFEC"/>
      </w:tcPr>
    </w:tblStylePr>
    <w:tblStylePr w:type="band1Horz">
      <w:rPr>
        <w:rFonts w:ascii="Arial" w:hAnsi="Arial"/>
        <w:color w:val="B2A1C6"/>
        <w:sz w:val="22"/>
      </w:rPr>
      <w:tcPr>
        <w:shd w:val="clear" w:color="E5DFEC" w:fill="E5DFEC"/>
      </w:tcPr>
    </w:tblStylePr>
    <w:tblStylePr w:type="band2Horz">
      <w:rPr>
        <w:rFonts w:ascii="Arial" w:hAnsi="Arial"/>
        <w:color w:val="B2A1C6"/>
        <w:sz w:val="22"/>
      </w:rPr>
    </w:tblStylePr>
  </w:style>
  <w:style w:type="table" w:customStyle="1" w:styleId="95">
    <w:name w:val="Grid Table 7 Colorful - Accent 5"/>
    <w:basedOn w:val="32"/>
    <w:qFormat/>
    <w:uiPriority w:val="99"/>
    <w:tblPr>
      <w:tblBorders>
        <w:bottom w:val="single" w:color="99D0DE" w:sz="4" w:space="0"/>
        <w:right w:val="single" w:color="99D0DE" w:sz="4" w:space="0"/>
        <w:insideH w:val="single" w:color="99D0DE" w:sz="4" w:space="0"/>
        <w:insideV w:val="single" w:color="99D0DE" w:sz="4" w:space="0"/>
      </w:tblBorders>
      <w:tblCellMar>
        <w:top w:w="0" w:type="dxa"/>
        <w:left w:w="108" w:type="dxa"/>
        <w:bottom w:w="0" w:type="dxa"/>
        <w:right w:w="108" w:type="dxa"/>
      </w:tblCellMar>
    </w:tblPr>
    <w:tblStylePr w:type="firstRow">
      <w:rPr>
        <w:rFonts w:ascii="Arial" w:hAnsi="Arial"/>
        <w:b/>
        <w:color w:val="266779"/>
        <w:sz w:val="22"/>
      </w:rPr>
      <w:tcPr>
        <w:tcBorders>
          <w:top w:val="nil"/>
          <w:left w:val="nil"/>
          <w:bottom w:val="single" w:color="99D0DE" w:sz="4" w:space="0"/>
          <w:right w:val="nil"/>
        </w:tcBorders>
        <w:shd w:val="clear" w:color="FFFFFF" w:fill="FFFFFF"/>
      </w:tcPr>
    </w:tblStylePr>
    <w:tblStylePr w:type="lastRow">
      <w:rPr>
        <w:rFonts w:ascii="Arial" w:hAnsi="Arial"/>
        <w:b/>
        <w:color w:val="266779"/>
        <w:sz w:val="22"/>
      </w:rPr>
      <w:tcPr>
        <w:tcBorders>
          <w:top w:val="single" w:color="99D0DE" w:sz="4" w:space="0"/>
          <w:left w:val="nil"/>
          <w:bottom w:val="nil"/>
          <w:right w:val="nil"/>
        </w:tcBorders>
        <w:shd w:val="clear" w:color="FFFFFF" w:fill="FFFFFF"/>
      </w:tcPr>
    </w:tblStylePr>
    <w:tblStylePr w:type="firstCol">
      <w:pPr>
        <w:jc w:val="right"/>
      </w:pPr>
      <w:rPr>
        <w:rFonts w:ascii="Arial" w:hAnsi="Arial"/>
        <w:i/>
        <w:color w:val="266779"/>
        <w:sz w:val="22"/>
      </w:rPr>
      <w:tcPr>
        <w:tcBorders>
          <w:top w:val="nil"/>
          <w:left w:val="nil"/>
          <w:bottom w:val="nil"/>
          <w:right w:val="single" w:color="99D0DE" w:sz="4" w:space="0"/>
        </w:tcBorders>
        <w:shd w:val="clear" w:color="FFFFFF" w:fill="auto"/>
      </w:tcPr>
    </w:tblStylePr>
    <w:tblStylePr w:type="lastCol">
      <w:rPr>
        <w:rFonts w:ascii="Arial" w:hAnsi="Arial"/>
        <w:i/>
        <w:color w:val="266779"/>
        <w:sz w:val="22"/>
      </w:rPr>
      <w:tcPr>
        <w:tcBorders>
          <w:top w:val="nil"/>
          <w:left w:val="single" w:color="99D0DE" w:sz="4" w:space="0"/>
          <w:bottom w:val="nil"/>
          <w:right w:val="nil"/>
        </w:tcBorders>
        <w:shd w:val="clear" w:color="FFFFFF" w:fill="auto"/>
      </w:tcPr>
    </w:tblStylePr>
    <w:tblStylePr w:type="band1Vert">
      <w:tcPr>
        <w:shd w:val="clear" w:color="DAEEF3" w:fill="DAEEF3"/>
      </w:tcPr>
    </w:tblStylePr>
    <w:tblStylePr w:type="band1Horz">
      <w:rPr>
        <w:rFonts w:ascii="Arial" w:hAnsi="Arial"/>
        <w:color w:val="266779"/>
        <w:sz w:val="22"/>
      </w:rPr>
      <w:tcPr>
        <w:shd w:val="clear" w:color="DAEEF3" w:fill="DAEEF3"/>
      </w:tcPr>
    </w:tblStylePr>
    <w:tblStylePr w:type="band2Horz">
      <w:rPr>
        <w:rFonts w:ascii="Arial" w:hAnsi="Arial"/>
        <w:color w:val="266779"/>
        <w:sz w:val="22"/>
      </w:rPr>
    </w:tblStylePr>
  </w:style>
  <w:style w:type="table" w:customStyle="1" w:styleId="96">
    <w:name w:val="Grid Table 7 Colorful - Accent 6"/>
    <w:basedOn w:val="32"/>
    <w:qFormat/>
    <w:uiPriority w:val="99"/>
    <w:tblPr>
      <w:tblBorders>
        <w:bottom w:val="single" w:color="FAC396" w:sz="4" w:space="0"/>
        <w:right w:val="single" w:color="FAC396" w:sz="4" w:space="0"/>
        <w:insideH w:val="single" w:color="FAC396" w:sz="4" w:space="0"/>
        <w:insideV w:val="single" w:color="FAC396" w:sz="4" w:space="0"/>
      </w:tblBorders>
      <w:tblCellMar>
        <w:top w:w="0" w:type="dxa"/>
        <w:left w:w="108" w:type="dxa"/>
        <w:bottom w:w="0" w:type="dxa"/>
        <w:right w:w="108" w:type="dxa"/>
      </w:tblCellMar>
    </w:tblPr>
    <w:tblStylePr w:type="firstRow">
      <w:rPr>
        <w:rFonts w:ascii="Arial" w:hAnsi="Arial"/>
        <w:b/>
        <w:color w:val="B15407"/>
        <w:sz w:val="22"/>
      </w:rPr>
      <w:tcPr>
        <w:tcBorders>
          <w:top w:val="nil"/>
          <w:left w:val="nil"/>
          <w:bottom w:val="single" w:color="FAC396" w:sz="4" w:space="0"/>
          <w:right w:val="nil"/>
        </w:tcBorders>
        <w:shd w:val="clear" w:color="FFFFFF" w:fill="FFFFFF"/>
      </w:tcPr>
    </w:tblStylePr>
    <w:tblStylePr w:type="lastRow">
      <w:rPr>
        <w:rFonts w:ascii="Arial" w:hAnsi="Arial"/>
        <w:b/>
        <w:color w:val="B15407"/>
        <w:sz w:val="22"/>
      </w:rPr>
      <w:tcPr>
        <w:tcBorders>
          <w:top w:val="single" w:color="FAC396" w:sz="4" w:space="0"/>
          <w:left w:val="nil"/>
          <w:bottom w:val="nil"/>
          <w:right w:val="nil"/>
        </w:tcBorders>
        <w:shd w:val="clear" w:color="FFFFFF" w:fill="FFFFFF"/>
      </w:tcPr>
    </w:tblStylePr>
    <w:tblStylePr w:type="firstCol">
      <w:pPr>
        <w:jc w:val="right"/>
      </w:pPr>
      <w:rPr>
        <w:rFonts w:ascii="Arial" w:hAnsi="Arial"/>
        <w:i/>
        <w:color w:val="B15407"/>
        <w:sz w:val="22"/>
      </w:rPr>
      <w:tcPr>
        <w:tcBorders>
          <w:top w:val="nil"/>
          <w:left w:val="nil"/>
          <w:bottom w:val="nil"/>
          <w:right w:val="single" w:color="FAC396" w:sz="4" w:space="0"/>
        </w:tcBorders>
        <w:shd w:val="clear" w:color="FFFFFF" w:fill="auto"/>
      </w:tcPr>
    </w:tblStylePr>
    <w:tblStylePr w:type="lastCol">
      <w:rPr>
        <w:rFonts w:ascii="Arial" w:hAnsi="Arial"/>
        <w:i/>
        <w:color w:val="B15407"/>
        <w:sz w:val="22"/>
      </w:rPr>
      <w:tcPr>
        <w:tcBorders>
          <w:top w:val="nil"/>
          <w:left w:val="single" w:color="FAC396" w:sz="4" w:space="0"/>
          <w:bottom w:val="nil"/>
          <w:right w:val="nil"/>
        </w:tcBorders>
        <w:shd w:val="clear" w:color="FFFFFF" w:fill="auto"/>
      </w:tcPr>
    </w:tblStylePr>
    <w:tblStylePr w:type="band1Vert">
      <w:tcPr>
        <w:shd w:val="clear" w:color="FDE9D8" w:fill="FDE9D8"/>
      </w:tcPr>
    </w:tblStylePr>
    <w:tblStylePr w:type="band1Horz">
      <w:rPr>
        <w:rFonts w:ascii="Arial" w:hAnsi="Arial"/>
        <w:color w:val="B15407"/>
        <w:sz w:val="22"/>
      </w:rPr>
      <w:tcPr>
        <w:shd w:val="clear" w:color="FDE9D8" w:fill="FDE9D8"/>
      </w:tcPr>
    </w:tblStylePr>
    <w:tblStylePr w:type="band2Horz">
      <w:rPr>
        <w:rFonts w:ascii="Arial" w:hAnsi="Arial"/>
        <w:color w:val="B15407"/>
        <w:sz w:val="22"/>
      </w:rPr>
    </w:tblStylePr>
  </w:style>
  <w:style w:type="table" w:customStyle="1" w:styleId="97">
    <w:name w:val="清单表 1 浅色1"/>
    <w:basedOn w:val="32"/>
    <w:qFormat/>
    <w:uiPriority w:val="99"/>
    <w:tblPr>
      <w:tblCellMar>
        <w:top w:w="0" w:type="dxa"/>
        <w:left w:w="108" w:type="dxa"/>
        <w:bottom w:w="0" w:type="dxa"/>
        <w:right w:w="108" w:type="dxa"/>
      </w:tblCellMar>
    </w:tblPr>
    <w:tblStylePr w:type="firstRow">
      <w:rPr>
        <w:b/>
        <w:color w:val="404040"/>
      </w:rPr>
      <w:tcPr>
        <w:tcBorders>
          <w:top w:val="nil"/>
          <w:left w:val="nil"/>
          <w:bottom w:val="single" w:color="000000" w:sz="4" w:space="0"/>
          <w:right w:val="nil"/>
        </w:tcBorders>
      </w:tcPr>
    </w:tblStylePr>
    <w:tblStylePr w:type="lastRow">
      <w:rPr>
        <w:b/>
        <w:color w:val="404040"/>
      </w:rPr>
      <w:tcPr>
        <w:tcBorders>
          <w:top w:val="single" w:color="000000" w:sz="4" w:space="0"/>
          <w:left w:val="nil"/>
          <w:bottom w:val="nil"/>
          <w:right w:val="nil"/>
        </w:tcBorders>
      </w:tcPr>
    </w:tblStylePr>
    <w:tblStylePr w:type="firstCol">
      <w:rPr>
        <w:b/>
        <w:color w:val="404040"/>
      </w:rPr>
    </w:tblStylePr>
    <w:tblStylePr w:type="lastCol">
      <w:rPr>
        <w:b/>
        <w:color w:val="404040"/>
      </w:rPr>
    </w:tblStylePr>
    <w:tblStylePr w:type="band1Vert">
      <w:tcPr>
        <w:shd w:val="clear" w:color="BFBFBF" w:fill="BFBFBF"/>
      </w:tcPr>
    </w:tblStylePr>
    <w:tblStylePr w:type="band1Horz">
      <w:tcPr>
        <w:shd w:val="clear" w:color="BFBFBF" w:fill="BFBFBF"/>
      </w:tcPr>
    </w:tblStylePr>
  </w:style>
  <w:style w:type="table" w:customStyle="1" w:styleId="98">
    <w:name w:val="List Table 1 Light - Accent 1"/>
    <w:basedOn w:val="32"/>
    <w:qFormat/>
    <w:uiPriority w:val="99"/>
    <w:tblPr>
      <w:tblCellMar>
        <w:top w:w="0" w:type="dxa"/>
        <w:left w:w="108" w:type="dxa"/>
        <w:bottom w:w="0" w:type="dxa"/>
        <w:right w:w="108" w:type="dxa"/>
      </w:tblCellMar>
    </w:tblPr>
    <w:tblStylePr w:type="firstRow">
      <w:rPr>
        <w:b/>
        <w:color w:val="404040"/>
      </w:rPr>
      <w:tcPr>
        <w:tcBorders>
          <w:top w:val="nil"/>
          <w:left w:val="nil"/>
          <w:bottom w:val="single" w:color="4F81BD" w:sz="4" w:space="0"/>
          <w:right w:val="nil"/>
        </w:tcBorders>
      </w:tcPr>
    </w:tblStylePr>
    <w:tblStylePr w:type="lastRow">
      <w:rPr>
        <w:b/>
        <w:color w:val="404040"/>
      </w:rPr>
      <w:tcPr>
        <w:tcBorders>
          <w:top w:val="single" w:color="4F81BD" w:sz="4" w:space="0"/>
          <w:left w:val="nil"/>
          <w:bottom w:val="nil"/>
          <w:right w:val="nil"/>
        </w:tcBorders>
      </w:tcPr>
    </w:tblStylePr>
    <w:tblStylePr w:type="firstCol">
      <w:rPr>
        <w:b/>
        <w:color w:val="404040"/>
      </w:rPr>
    </w:tblStylePr>
    <w:tblStylePr w:type="lastCol">
      <w:rPr>
        <w:b/>
        <w:color w:val="404040"/>
      </w:rPr>
    </w:tblStylePr>
    <w:tblStylePr w:type="band1Vert">
      <w:tcPr>
        <w:shd w:val="clear" w:color="D2DFEE" w:fill="D2DFEE"/>
      </w:tcPr>
    </w:tblStylePr>
    <w:tblStylePr w:type="band1Horz">
      <w:tcPr>
        <w:shd w:val="clear" w:color="D2DFEE" w:fill="D2DFEE"/>
      </w:tcPr>
    </w:tblStylePr>
  </w:style>
  <w:style w:type="table" w:customStyle="1" w:styleId="99">
    <w:name w:val="List Table 1 Light - Accent 2"/>
    <w:basedOn w:val="32"/>
    <w:qFormat/>
    <w:uiPriority w:val="99"/>
    <w:tblPr>
      <w:tblCellMar>
        <w:top w:w="0" w:type="dxa"/>
        <w:left w:w="108" w:type="dxa"/>
        <w:bottom w:w="0" w:type="dxa"/>
        <w:right w:w="108" w:type="dxa"/>
      </w:tblCellMar>
    </w:tblPr>
    <w:tblStylePr w:type="firstRow">
      <w:rPr>
        <w:b/>
        <w:color w:val="404040"/>
      </w:rPr>
      <w:tcPr>
        <w:tcBorders>
          <w:top w:val="nil"/>
          <w:left w:val="nil"/>
          <w:bottom w:val="single" w:color="C0504D" w:sz="4" w:space="0"/>
          <w:right w:val="nil"/>
        </w:tcBorders>
      </w:tcPr>
    </w:tblStylePr>
    <w:tblStylePr w:type="lastRow">
      <w:rPr>
        <w:b/>
        <w:color w:val="404040"/>
      </w:rPr>
      <w:tcPr>
        <w:tcBorders>
          <w:top w:val="single" w:color="C0504D" w:sz="4" w:space="0"/>
          <w:left w:val="nil"/>
          <w:bottom w:val="nil"/>
          <w:right w:val="nil"/>
        </w:tcBorders>
      </w:tcPr>
    </w:tblStylePr>
    <w:tblStylePr w:type="firstCol">
      <w:rPr>
        <w:b/>
        <w:color w:val="404040"/>
      </w:rPr>
    </w:tblStylePr>
    <w:tblStylePr w:type="lastCol">
      <w:rPr>
        <w:b/>
        <w:color w:val="404040"/>
      </w:rPr>
    </w:tblStylePr>
    <w:tblStylePr w:type="band1Vert">
      <w:tcPr>
        <w:shd w:val="clear" w:color="EFD2D2" w:fill="EFD2D2"/>
      </w:tcPr>
    </w:tblStylePr>
    <w:tblStylePr w:type="band1Horz">
      <w:tcPr>
        <w:shd w:val="clear" w:color="EFD2D2" w:fill="EFD2D2"/>
      </w:tcPr>
    </w:tblStylePr>
  </w:style>
  <w:style w:type="table" w:customStyle="1" w:styleId="100">
    <w:name w:val="List Table 1 Light - Accent 3"/>
    <w:basedOn w:val="32"/>
    <w:qFormat/>
    <w:uiPriority w:val="99"/>
    <w:tblPr>
      <w:tblCellMar>
        <w:top w:w="0" w:type="dxa"/>
        <w:left w:w="108" w:type="dxa"/>
        <w:bottom w:w="0" w:type="dxa"/>
        <w:right w:w="108" w:type="dxa"/>
      </w:tblCellMar>
    </w:tblPr>
    <w:tblStylePr w:type="firstRow">
      <w:rPr>
        <w:b/>
        <w:color w:val="404040"/>
      </w:rPr>
      <w:tcPr>
        <w:tcBorders>
          <w:top w:val="nil"/>
          <w:left w:val="nil"/>
          <w:bottom w:val="single" w:color="9BBB59" w:sz="4" w:space="0"/>
          <w:right w:val="nil"/>
        </w:tcBorders>
      </w:tcPr>
    </w:tblStylePr>
    <w:tblStylePr w:type="lastRow">
      <w:rPr>
        <w:b/>
        <w:color w:val="404040"/>
      </w:rPr>
      <w:tcPr>
        <w:tcBorders>
          <w:top w:val="single" w:color="9BBB59" w:sz="4" w:space="0"/>
          <w:left w:val="nil"/>
          <w:bottom w:val="nil"/>
          <w:right w:val="nil"/>
        </w:tcBorders>
      </w:tcPr>
    </w:tblStylePr>
    <w:tblStylePr w:type="firstCol">
      <w:rPr>
        <w:b/>
        <w:color w:val="404040"/>
      </w:rPr>
    </w:tblStylePr>
    <w:tblStylePr w:type="lastCol">
      <w:rPr>
        <w:b/>
        <w:color w:val="404040"/>
      </w:rPr>
    </w:tblStylePr>
    <w:tblStylePr w:type="band1Vert">
      <w:tcPr>
        <w:shd w:val="clear" w:color="E5EED5" w:fill="E5EED5"/>
      </w:tcPr>
    </w:tblStylePr>
    <w:tblStylePr w:type="band1Horz">
      <w:tcPr>
        <w:shd w:val="clear" w:color="E5EED5" w:fill="E5EED5"/>
      </w:tcPr>
    </w:tblStylePr>
  </w:style>
  <w:style w:type="table" w:customStyle="1" w:styleId="101">
    <w:name w:val="List Table 1 Light - Accent 4"/>
    <w:basedOn w:val="32"/>
    <w:qFormat/>
    <w:uiPriority w:val="99"/>
    <w:tblPr>
      <w:tblCellMar>
        <w:top w:w="0" w:type="dxa"/>
        <w:left w:w="108" w:type="dxa"/>
        <w:bottom w:w="0" w:type="dxa"/>
        <w:right w:w="108" w:type="dxa"/>
      </w:tblCellMar>
    </w:tblPr>
    <w:tblStylePr w:type="firstRow">
      <w:rPr>
        <w:b/>
        <w:color w:val="404040"/>
      </w:rPr>
      <w:tcPr>
        <w:tcBorders>
          <w:top w:val="nil"/>
          <w:left w:val="nil"/>
          <w:bottom w:val="single" w:color="8064A2" w:sz="4" w:space="0"/>
          <w:right w:val="nil"/>
        </w:tcBorders>
      </w:tcPr>
    </w:tblStylePr>
    <w:tblStylePr w:type="lastRow">
      <w:rPr>
        <w:b/>
        <w:color w:val="404040"/>
      </w:rPr>
      <w:tcPr>
        <w:tcBorders>
          <w:top w:val="single" w:color="8064A2" w:sz="4" w:space="0"/>
          <w:left w:val="nil"/>
          <w:bottom w:val="nil"/>
          <w:right w:val="nil"/>
        </w:tcBorders>
      </w:tcPr>
    </w:tblStylePr>
    <w:tblStylePr w:type="firstCol">
      <w:rPr>
        <w:b/>
        <w:color w:val="404040"/>
      </w:rPr>
    </w:tblStylePr>
    <w:tblStylePr w:type="lastCol">
      <w:rPr>
        <w:b/>
        <w:color w:val="404040"/>
      </w:rPr>
    </w:tblStylePr>
    <w:tblStylePr w:type="band1Vert">
      <w:tcPr>
        <w:shd w:val="clear" w:color="DFD8E7" w:fill="DFD8E7"/>
      </w:tcPr>
    </w:tblStylePr>
    <w:tblStylePr w:type="band1Horz">
      <w:tcPr>
        <w:shd w:val="clear" w:color="DFD8E7" w:fill="DFD8E7"/>
      </w:tcPr>
    </w:tblStylePr>
  </w:style>
  <w:style w:type="table" w:customStyle="1" w:styleId="102">
    <w:name w:val="List Table 1 Light - Accent 5"/>
    <w:basedOn w:val="32"/>
    <w:qFormat/>
    <w:uiPriority w:val="99"/>
    <w:tblPr>
      <w:tblCellMar>
        <w:top w:w="0" w:type="dxa"/>
        <w:left w:w="108" w:type="dxa"/>
        <w:bottom w:w="0" w:type="dxa"/>
        <w:right w:w="108" w:type="dxa"/>
      </w:tblCellMar>
    </w:tblPr>
    <w:tblStylePr w:type="firstRow">
      <w:rPr>
        <w:b/>
        <w:color w:val="404040"/>
      </w:rPr>
      <w:tcPr>
        <w:tcBorders>
          <w:top w:val="nil"/>
          <w:left w:val="nil"/>
          <w:bottom w:val="single" w:color="4BACC6" w:sz="4" w:space="0"/>
          <w:right w:val="nil"/>
        </w:tcBorders>
      </w:tcPr>
    </w:tblStylePr>
    <w:tblStylePr w:type="lastRow">
      <w:rPr>
        <w:b/>
        <w:color w:val="404040"/>
      </w:rPr>
      <w:tcPr>
        <w:tcBorders>
          <w:top w:val="single" w:color="4BACC6" w:sz="4" w:space="0"/>
          <w:left w:val="nil"/>
          <w:bottom w:val="nil"/>
          <w:right w:val="nil"/>
        </w:tcBorders>
      </w:tcPr>
    </w:tblStylePr>
    <w:tblStylePr w:type="firstCol">
      <w:rPr>
        <w:b/>
        <w:color w:val="404040"/>
      </w:rPr>
    </w:tblStylePr>
    <w:tblStylePr w:type="lastCol">
      <w:rPr>
        <w:b/>
        <w:color w:val="404040"/>
      </w:rPr>
    </w:tblStylePr>
    <w:tblStylePr w:type="band1Vert">
      <w:tcPr>
        <w:shd w:val="clear" w:color="D1EAF0" w:fill="D1EAF0"/>
      </w:tcPr>
    </w:tblStylePr>
    <w:tblStylePr w:type="band1Horz">
      <w:tcPr>
        <w:shd w:val="clear" w:color="D1EAF0" w:fill="D1EAF0"/>
      </w:tcPr>
    </w:tblStylePr>
  </w:style>
  <w:style w:type="table" w:customStyle="1" w:styleId="103">
    <w:name w:val="List Table 1 Light - Accent 6"/>
    <w:basedOn w:val="32"/>
    <w:qFormat/>
    <w:uiPriority w:val="99"/>
    <w:tblPr>
      <w:tblCellMar>
        <w:top w:w="0" w:type="dxa"/>
        <w:left w:w="108" w:type="dxa"/>
        <w:bottom w:w="0" w:type="dxa"/>
        <w:right w:w="108" w:type="dxa"/>
      </w:tblCellMar>
    </w:tblPr>
    <w:tblStylePr w:type="firstRow">
      <w:rPr>
        <w:b/>
        <w:color w:val="404040"/>
      </w:rPr>
      <w:tcPr>
        <w:tcBorders>
          <w:top w:val="nil"/>
          <w:left w:val="nil"/>
          <w:bottom w:val="single" w:color="F79646" w:sz="4" w:space="0"/>
          <w:right w:val="nil"/>
        </w:tcBorders>
      </w:tcPr>
    </w:tblStylePr>
    <w:tblStylePr w:type="lastRow">
      <w:rPr>
        <w:b/>
        <w:color w:val="404040"/>
      </w:rPr>
      <w:tcPr>
        <w:tcBorders>
          <w:top w:val="single" w:color="F79646" w:sz="4" w:space="0"/>
          <w:left w:val="nil"/>
          <w:bottom w:val="nil"/>
          <w:right w:val="nil"/>
        </w:tcBorders>
      </w:tcPr>
    </w:tblStylePr>
    <w:tblStylePr w:type="firstCol">
      <w:rPr>
        <w:b/>
        <w:color w:val="404040"/>
      </w:rPr>
    </w:tblStylePr>
    <w:tblStylePr w:type="lastCol">
      <w:rPr>
        <w:b/>
        <w:color w:val="404040"/>
      </w:rPr>
    </w:tblStylePr>
    <w:tblStylePr w:type="band1Vert">
      <w:tcPr>
        <w:shd w:val="clear" w:color="FDE4D0" w:fill="FDE4D0"/>
      </w:tcPr>
    </w:tblStylePr>
    <w:tblStylePr w:type="band1Horz">
      <w:tcPr>
        <w:shd w:val="clear" w:color="FDE4D0" w:fill="FDE4D0"/>
      </w:tcPr>
    </w:tblStylePr>
  </w:style>
  <w:style w:type="table" w:customStyle="1" w:styleId="104">
    <w:name w:val="清单表 21"/>
    <w:basedOn w:val="32"/>
    <w:qFormat/>
    <w:uiPriority w:val="99"/>
    <w:tblPr>
      <w:tblBorders>
        <w:top w:val="single" w:color="6F6F6F" w:sz="4" w:space="0"/>
        <w:bottom w:val="single" w:color="6F6F6F" w:sz="4" w:space="0"/>
        <w:insideH w:val="single" w:color="6F6F6F" w:sz="4" w:space="0"/>
      </w:tblBorders>
      <w:tblCellMar>
        <w:top w:w="0" w:type="dxa"/>
        <w:left w:w="108" w:type="dxa"/>
        <w:bottom w:w="0" w:type="dxa"/>
        <w:right w:w="108" w:type="dxa"/>
      </w:tblCellMar>
    </w:tblPr>
    <w:tblStylePr w:type="firstRow">
      <w:rPr>
        <w:rFonts w:ascii="Arial" w:hAnsi="Arial"/>
        <w:b/>
        <w:color w:val="404040"/>
        <w:sz w:val="22"/>
      </w:rPr>
      <w:tcPr>
        <w:tcBorders>
          <w:top w:val="single" w:color="6F6F6F" w:sz="4" w:space="0"/>
          <w:left w:val="nil"/>
          <w:bottom w:val="single" w:color="6F6F6F" w:sz="4" w:space="0"/>
          <w:right w:val="nil"/>
        </w:tcBorders>
      </w:tcPr>
    </w:tblStylePr>
    <w:tblStylePr w:type="lastRow">
      <w:rPr>
        <w:rFonts w:ascii="Arial" w:hAnsi="Arial"/>
        <w:b/>
        <w:color w:val="404040"/>
        <w:sz w:val="22"/>
      </w:rPr>
      <w:tcPr>
        <w:tcBorders>
          <w:top w:val="single" w:color="6F6F6F" w:sz="4" w:space="0"/>
          <w:left w:val="nil"/>
          <w:bottom w:val="single" w:color="6F6F6F"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BFBFBF" w:fill="BFBFBF"/>
      </w:tcPr>
    </w:tblStylePr>
    <w:tblStylePr w:type="band1Horz">
      <w:rPr>
        <w:rFonts w:ascii="Arial" w:hAnsi="Arial"/>
        <w:color w:val="404040"/>
        <w:sz w:val="22"/>
      </w:rPr>
      <w:tcPr>
        <w:shd w:val="clear" w:color="BFBFBF" w:fill="BFBFBF"/>
      </w:tcPr>
    </w:tblStylePr>
  </w:style>
  <w:style w:type="table" w:customStyle="1" w:styleId="105">
    <w:name w:val="List Table 2 - Accent 1"/>
    <w:basedOn w:val="32"/>
    <w:qFormat/>
    <w:uiPriority w:val="99"/>
    <w:tblPr>
      <w:tblBorders>
        <w:top w:val="single" w:color="9BB7D9" w:sz="4" w:space="0"/>
        <w:bottom w:val="single" w:color="9BB7D9" w:sz="4" w:space="0"/>
        <w:insideH w:val="single" w:color="9BB7D9" w:sz="4" w:space="0"/>
      </w:tblBorders>
      <w:tblCellMar>
        <w:top w:w="0" w:type="dxa"/>
        <w:left w:w="108" w:type="dxa"/>
        <w:bottom w:w="0" w:type="dxa"/>
        <w:right w:w="108" w:type="dxa"/>
      </w:tblCellMar>
    </w:tblPr>
    <w:tblStylePr w:type="firstRow">
      <w:rPr>
        <w:rFonts w:ascii="Arial" w:hAnsi="Arial"/>
        <w:b/>
        <w:color w:val="404040"/>
        <w:sz w:val="22"/>
      </w:rPr>
      <w:tcPr>
        <w:tcBorders>
          <w:top w:val="single" w:color="9BB7D9" w:sz="4" w:space="0"/>
          <w:left w:val="nil"/>
          <w:bottom w:val="single" w:color="9BB7D9" w:sz="4" w:space="0"/>
          <w:right w:val="nil"/>
        </w:tcBorders>
      </w:tcPr>
    </w:tblStylePr>
    <w:tblStylePr w:type="lastRow">
      <w:rPr>
        <w:rFonts w:ascii="Arial" w:hAnsi="Arial"/>
        <w:b/>
        <w:color w:val="404040"/>
        <w:sz w:val="22"/>
      </w:rPr>
      <w:tcPr>
        <w:tcBorders>
          <w:top w:val="single" w:color="9BB7D9" w:sz="4" w:space="0"/>
          <w:left w:val="nil"/>
          <w:bottom w:val="single" w:color="9BB7D9"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2DFEE" w:fill="D2DFEE"/>
      </w:tcPr>
    </w:tblStylePr>
    <w:tblStylePr w:type="band1Horz">
      <w:rPr>
        <w:rFonts w:ascii="Arial" w:hAnsi="Arial"/>
        <w:color w:val="404040"/>
        <w:sz w:val="22"/>
      </w:rPr>
      <w:tcPr>
        <w:shd w:val="clear" w:color="D2DFEE" w:fill="D2DFEE"/>
      </w:tcPr>
    </w:tblStylePr>
  </w:style>
  <w:style w:type="table" w:customStyle="1" w:styleId="106">
    <w:name w:val="List Table 2 - Accent 2"/>
    <w:basedOn w:val="32"/>
    <w:qFormat/>
    <w:uiPriority w:val="99"/>
    <w:tblPr>
      <w:tblBorders>
        <w:top w:val="single" w:color="DB9B9A" w:sz="4" w:space="0"/>
        <w:bottom w:val="single" w:color="DB9B9A" w:sz="4" w:space="0"/>
        <w:insideH w:val="single" w:color="DB9B9A" w:sz="4" w:space="0"/>
      </w:tblBorders>
      <w:tblCellMar>
        <w:top w:w="0" w:type="dxa"/>
        <w:left w:w="108" w:type="dxa"/>
        <w:bottom w:w="0" w:type="dxa"/>
        <w:right w:w="108" w:type="dxa"/>
      </w:tblCellMar>
    </w:tblPr>
    <w:tblStylePr w:type="firstRow">
      <w:rPr>
        <w:rFonts w:ascii="Arial" w:hAnsi="Arial"/>
        <w:b/>
        <w:color w:val="404040"/>
        <w:sz w:val="22"/>
      </w:rPr>
      <w:tcPr>
        <w:tcBorders>
          <w:top w:val="single" w:color="DB9B9A" w:sz="4" w:space="0"/>
          <w:left w:val="nil"/>
          <w:bottom w:val="single" w:color="DB9B9A" w:sz="4" w:space="0"/>
          <w:right w:val="nil"/>
        </w:tcBorders>
      </w:tcPr>
    </w:tblStylePr>
    <w:tblStylePr w:type="lastRow">
      <w:rPr>
        <w:rFonts w:ascii="Arial" w:hAnsi="Arial"/>
        <w:b/>
        <w:color w:val="404040"/>
        <w:sz w:val="22"/>
      </w:rPr>
      <w:tcPr>
        <w:tcBorders>
          <w:top w:val="single" w:color="DB9B9A" w:sz="4" w:space="0"/>
          <w:left w:val="nil"/>
          <w:bottom w:val="single" w:color="DB9B9A"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EFD2D2" w:fill="EFD2D2"/>
      </w:tcPr>
    </w:tblStylePr>
    <w:tblStylePr w:type="band1Horz">
      <w:rPr>
        <w:rFonts w:ascii="Arial" w:hAnsi="Arial"/>
        <w:color w:val="404040"/>
        <w:sz w:val="22"/>
      </w:rPr>
      <w:tcPr>
        <w:shd w:val="clear" w:color="EFD2D2" w:fill="EFD2D2"/>
      </w:tcPr>
    </w:tblStylePr>
  </w:style>
  <w:style w:type="table" w:customStyle="1" w:styleId="107">
    <w:name w:val="List Table 2 - Accent 3"/>
    <w:basedOn w:val="32"/>
    <w:qFormat/>
    <w:uiPriority w:val="99"/>
    <w:tblPr>
      <w:tblBorders>
        <w:top w:val="single" w:color="C6D8A1" w:sz="4" w:space="0"/>
        <w:bottom w:val="single" w:color="C6D8A1" w:sz="4" w:space="0"/>
        <w:insideH w:val="single" w:color="C6D8A1" w:sz="4" w:space="0"/>
      </w:tblBorders>
      <w:tblCellMar>
        <w:top w:w="0" w:type="dxa"/>
        <w:left w:w="108" w:type="dxa"/>
        <w:bottom w:w="0" w:type="dxa"/>
        <w:right w:w="108" w:type="dxa"/>
      </w:tblCellMar>
    </w:tblPr>
    <w:tblStylePr w:type="firstRow">
      <w:rPr>
        <w:rFonts w:ascii="Arial" w:hAnsi="Arial"/>
        <w:b/>
        <w:color w:val="404040"/>
        <w:sz w:val="22"/>
      </w:rPr>
      <w:tcPr>
        <w:tcBorders>
          <w:top w:val="single" w:color="C6D8A1" w:sz="4" w:space="0"/>
          <w:left w:val="nil"/>
          <w:bottom w:val="single" w:color="C6D8A1" w:sz="4" w:space="0"/>
          <w:right w:val="nil"/>
        </w:tcBorders>
      </w:tcPr>
    </w:tblStylePr>
    <w:tblStylePr w:type="lastRow">
      <w:rPr>
        <w:rFonts w:ascii="Arial" w:hAnsi="Arial"/>
        <w:b/>
        <w:color w:val="404040"/>
        <w:sz w:val="22"/>
      </w:rPr>
      <w:tcPr>
        <w:tcBorders>
          <w:top w:val="single" w:color="C6D8A1" w:sz="4" w:space="0"/>
          <w:left w:val="nil"/>
          <w:bottom w:val="single" w:color="C6D8A1"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E5EED5" w:fill="E5EED5"/>
      </w:tcPr>
    </w:tblStylePr>
    <w:tblStylePr w:type="band1Horz">
      <w:rPr>
        <w:rFonts w:ascii="Arial" w:hAnsi="Arial"/>
        <w:color w:val="404040"/>
        <w:sz w:val="22"/>
      </w:rPr>
      <w:tcPr>
        <w:shd w:val="clear" w:color="E5EED5" w:fill="E5EED5"/>
      </w:tcPr>
    </w:tblStylePr>
  </w:style>
  <w:style w:type="table" w:customStyle="1" w:styleId="108">
    <w:name w:val="List Table 2 - Accent 4"/>
    <w:basedOn w:val="32"/>
    <w:qFormat/>
    <w:uiPriority w:val="99"/>
    <w:tblPr>
      <w:tblBorders>
        <w:top w:val="single" w:color="B7A7CA" w:sz="4" w:space="0"/>
        <w:bottom w:val="single" w:color="B7A7CA" w:sz="4" w:space="0"/>
        <w:insideH w:val="single" w:color="B7A7CA" w:sz="4" w:space="0"/>
      </w:tblBorders>
      <w:tblCellMar>
        <w:top w:w="0" w:type="dxa"/>
        <w:left w:w="108" w:type="dxa"/>
        <w:bottom w:w="0" w:type="dxa"/>
        <w:right w:w="108" w:type="dxa"/>
      </w:tblCellMar>
    </w:tblPr>
    <w:tblStylePr w:type="firstRow">
      <w:rPr>
        <w:rFonts w:ascii="Arial" w:hAnsi="Arial"/>
        <w:b/>
        <w:color w:val="404040"/>
        <w:sz w:val="22"/>
      </w:rPr>
      <w:tcPr>
        <w:tcBorders>
          <w:top w:val="single" w:color="B7A7CA" w:sz="4" w:space="0"/>
          <w:left w:val="nil"/>
          <w:bottom w:val="single" w:color="B7A7CA" w:sz="4" w:space="0"/>
          <w:right w:val="nil"/>
        </w:tcBorders>
      </w:tcPr>
    </w:tblStylePr>
    <w:tblStylePr w:type="lastRow">
      <w:rPr>
        <w:rFonts w:ascii="Arial" w:hAnsi="Arial"/>
        <w:b/>
        <w:color w:val="404040"/>
        <w:sz w:val="22"/>
      </w:rPr>
      <w:tcPr>
        <w:tcBorders>
          <w:top w:val="single" w:color="B7A7CA" w:sz="4" w:space="0"/>
          <w:left w:val="nil"/>
          <w:bottom w:val="single" w:color="B7A7CA"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FD8E7" w:fill="DFD8E7"/>
      </w:tcPr>
    </w:tblStylePr>
    <w:tblStylePr w:type="band1Horz">
      <w:rPr>
        <w:rFonts w:ascii="Arial" w:hAnsi="Arial"/>
        <w:color w:val="404040"/>
        <w:sz w:val="22"/>
      </w:rPr>
      <w:tcPr>
        <w:shd w:val="clear" w:color="DFD8E7" w:fill="DFD8E7"/>
      </w:tcPr>
    </w:tblStylePr>
  </w:style>
  <w:style w:type="table" w:customStyle="1" w:styleId="109">
    <w:name w:val="List Table 2 - Accent 5"/>
    <w:basedOn w:val="32"/>
    <w:qFormat/>
    <w:uiPriority w:val="99"/>
    <w:tblPr>
      <w:tblBorders>
        <w:top w:val="single" w:color="99D0DE" w:sz="4" w:space="0"/>
        <w:bottom w:val="single" w:color="99D0DE" w:sz="4" w:space="0"/>
        <w:insideH w:val="single" w:color="99D0DE" w:sz="4" w:space="0"/>
      </w:tblBorders>
      <w:tblCellMar>
        <w:top w:w="0" w:type="dxa"/>
        <w:left w:w="108" w:type="dxa"/>
        <w:bottom w:w="0" w:type="dxa"/>
        <w:right w:w="108" w:type="dxa"/>
      </w:tblCellMar>
    </w:tblPr>
    <w:tblStylePr w:type="firstRow">
      <w:rPr>
        <w:rFonts w:ascii="Arial" w:hAnsi="Arial"/>
        <w:b/>
        <w:color w:val="404040"/>
        <w:sz w:val="22"/>
      </w:rPr>
      <w:tcPr>
        <w:tcBorders>
          <w:top w:val="single" w:color="99D0DE" w:sz="4" w:space="0"/>
          <w:left w:val="nil"/>
          <w:bottom w:val="single" w:color="99D0DE" w:sz="4" w:space="0"/>
          <w:right w:val="nil"/>
        </w:tcBorders>
      </w:tcPr>
    </w:tblStylePr>
    <w:tblStylePr w:type="lastRow">
      <w:rPr>
        <w:rFonts w:ascii="Arial" w:hAnsi="Arial"/>
        <w:b/>
        <w:color w:val="404040"/>
        <w:sz w:val="22"/>
      </w:rPr>
      <w:tcPr>
        <w:tcBorders>
          <w:top w:val="single" w:color="99D0DE" w:sz="4" w:space="0"/>
          <w:left w:val="nil"/>
          <w:bottom w:val="single" w:color="99D0DE"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1EAF0" w:fill="D1EAF0"/>
      </w:tcPr>
    </w:tblStylePr>
    <w:tblStylePr w:type="band1Horz">
      <w:rPr>
        <w:rFonts w:ascii="Arial" w:hAnsi="Arial"/>
        <w:color w:val="404040"/>
        <w:sz w:val="22"/>
      </w:rPr>
      <w:tcPr>
        <w:shd w:val="clear" w:color="D1EAF0" w:fill="D1EAF0"/>
      </w:tcPr>
    </w:tblStylePr>
  </w:style>
  <w:style w:type="table" w:customStyle="1" w:styleId="110">
    <w:name w:val="List Table 2 - Accent 6"/>
    <w:basedOn w:val="32"/>
    <w:qFormat/>
    <w:uiPriority w:val="99"/>
    <w:tblPr>
      <w:tblBorders>
        <w:top w:val="single" w:color="FAC396" w:sz="4" w:space="0"/>
        <w:bottom w:val="single" w:color="FAC396" w:sz="4" w:space="0"/>
        <w:insideH w:val="single" w:color="FAC396" w:sz="4" w:space="0"/>
      </w:tblBorders>
      <w:tblCellMar>
        <w:top w:w="0" w:type="dxa"/>
        <w:left w:w="108" w:type="dxa"/>
        <w:bottom w:w="0" w:type="dxa"/>
        <w:right w:w="108" w:type="dxa"/>
      </w:tblCellMar>
    </w:tblPr>
    <w:tblStylePr w:type="firstRow">
      <w:rPr>
        <w:rFonts w:ascii="Arial" w:hAnsi="Arial"/>
        <w:b/>
        <w:color w:val="404040"/>
        <w:sz w:val="22"/>
      </w:rPr>
      <w:tcPr>
        <w:tcBorders>
          <w:top w:val="single" w:color="FAC396" w:sz="4" w:space="0"/>
          <w:left w:val="nil"/>
          <w:bottom w:val="single" w:color="FAC396" w:sz="4" w:space="0"/>
          <w:right w:val="nil"/>
        </w:tcBorders>
      </w:tcPr>
    </w:tblStylePr>
    <w:tblStylePr w:type="lastRow">
      <w:rPr>
        <w:rFonts w:ascii="Arial" w:hAnsi="Arial"/>
        <w:b/>
        <w:color w:val="404040"/>
        <w:sz w:val="22"/>
      </w:rPr>
      <w:tcPr>
        <w:tcBorders>
          <w:top w:val="single" w:color="FAC396" w:sz="4" w:space="0"/>
          <w:left w:val="nil"/>
          <w:bottom w:val="single" w:color="FAC396"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FDE4D0" w:fill="FDE4D0"/>
      </w:tcPr>
    </w:tblStylePr>
    <w:tblStylePr w:type="band1Horz">
      <w:rPr>
        <w:rFonts w:ascii="Arial" w:hAnsi="Arial"/>
        <w:color w:val="404040"/>
        <w:sz w:val="22"/>
      </w:rPr>
      <w:tcPr>
        <w:shd w:val="clear" w:color="FDE4D0" w:fill="FDE4D0"/>
      </w:tcPr>
    </w:tblStylePr>
  </w:style>
  <w:style w:type="table" w:customStyle="1" w:styleId="111">
    <w:name w:val="清单表 31"/>
    <w:basedOn w:val="32"/>
    <w:qFormat/>
    <w:uiPriority w:val="99"/>
    <w:tblPr>
      <w:tblBorders>
        <w:top w:val="single" w:color="000000" w:sz="4" w:space="0"/>
        <w:left w:val="single" w:color="000000" w:sz="4" w:space="0"/>
        <w:bottom w:val="single" w:color="000000" w:sz="4" w:space="0"/>
        <w:right w:val="single" w:color="000000" w:sz="4" w:space="0"/>
      </w:tblBorders>
      <w:tblCellMar>
        <w:top w:w="0" w:type="dxa"/>
        <w:left w:w="108" w:type="dxa"/>
        <w:bottom w:w="0" w:type="dxa"/>
        <w:right w:w="108" w:type="dxa"/>
      </w:tblCellMar>
    </w:tblPr>
    <w:tblStylePr w:type="firstRow">
      <w:rPr>
        <w:rFonts w:ascii="Arial" w:hAnsi="Arial"/>
        <w:b/>
        <w:color w:val="FFFFFF"/>
        <w:sz w:val="22"/>
      </w:r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000000" w:sz="4" w:space="0"/>
          <w:right w:val="single" w:color="000000" w:sz="4" w:space="0"/>
        </w:tcBorders>
      </w:tcPr>
    </w:tblStylePr>
    <w:tblStylePr w:type="band1Horz">
      <w:rPr>
        <w:rFonts w:ascii="Arial" w:hAnsi="Arial"/>
        <w:color w:val="404040"/>
        <w:sz w:val="22"/>
      </w:rPr>
      <w:tcPr>
        <w:tcBorders>
          <w:top w:val="single" w:color="000000" w:sz="4" w:space="0"/>
          <w:bottom w:val="single" w:color="000000" w:sz="4" w:space="0"/>
        </w:tcBorders>
      </w:tcPr>
    </w:tblStylePr>
  </w:style>
  <w:style w:type="table" w:customStyle="1" w:styleId="112">
    <w:name w:val="List Table 3 - Accent 1"/>
    <w:basedOn w:val="32"/>
    <w:qFormat/>
    <w:uiPriority w:val="99"/>
    <w:tblPr>
      <w:tblBorders>
        <w:top w:val="single" w:color="4F81BD" w:sz="4" w:space="0"/>
        <w:left w:val="single" w:color="4F81BD" w:sz="4" w:space="0"/>
        <w:bottom w:val="single" w:color="4F81BD" w:sz="4" w:space="0"/>
        <w:right w:val="single" w:color="4F81BD" w:sz="4" w:space="0"/>
      </w:tblBorders>
      <w:tblCellMar>
        <w:top w:w="0" w:type="dxa"/>
        <w:left w:w="108" w:type="dxa"/>
        <w:bottom w:w="0" w:type="dxa"/>
        <w:right w:w="108" w:type="dxa"/>
      </w:tblCellMar>
    </w:tblPr>
    <w:tblStylePr w:type="firstRow">
      <w:rPr>
        <w:rFonts w:ascii="Arial" w:hAnsi="Arial"/>
        <w:b/>
        <w:color w:val="FFFFFF"/>
        <w:sz w:val="22"/>
      </w:r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4F81BD" w:sz="4" w:space="0"/>
          <w:right w:val="single" w:color="4F81BD" w:sz="4" w:space="0"/>
        </w:tcBorders>
      </w:tcPr>
    </w:tblStylePr>
    <w:tblStylePr w:type="band1Horz">
      <w:rPr>
        <w:rFonts w:ascii="Arial" w:hAnsi="Arial"/>
        <w:color w:val="404040"/>
        <w:sz w:val="22"/>
      </w:rPr>
      <w:tcPr>
        <w:tcBorders>
          <w:top w:val="single" w:color="4F81BD" w:sz="4" w:space="0"/>
          <w:bottom w:val="single" w:color="4F81BD" w:sz="4" w:space="0"/>
        </w:tcBorders>
      </w:tcPr>
    </w:tblStylePr>
  </w:style>
  <w:style w:type="table" w:customStyle="1" w:styleId="113">
    <w:name w:val="List Table 3 - Accent 2"/>
    <w:basedOn w:val="32"/>
    <w:qFormat/>
    <w:uiPriority w:val="99"/>
    <w:tblPr>
      <w:tblBorders>
        <w:top w:val="single" w:color="D99695" w:sz="4" w:space="0"/>
        <w:left w:val="single" w:color="D99695" w:sz="4" w:space="0"/>
        <w:bottom w:val="single" w:color="D99695" w:sz="4" w:space="0"/>
        <w:right w:val="single" w:color="D99695" w:sz="4" w:space="0"/>
      </w:tblBorders>
      <w:tblCellMar>
        <w:top w:w="0" w:type="dxa"/>
        <w:left w:w="108" w:type="dxa"/>
        <w:bottom w:w="0" w:type="dxa"/>
        <w:right w:w="108" w:type="dxa"/>
      </w:tblCellMar>
    </w:tblPr>
    <w:tblStylePr w:type="firstRow">
      <w:rPr>
        <w:rFonts w:ascii="Arial" w:hAnsi="Arial"/>
        <w:b/>
        <w:color w:val="FFFFFF"/>
        <w:sz w:val="22"/>
      </w:r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D99695" w:sz="4" w:space="0"/>
          <w:right w:val="single" w:color="D99695" w:sz="4" w:space="0"/>
        </w:tcBorders>
      </w:tcPr>
    </w:tblStylePr>
    <w:tblStylePr w:type="band1Horz">
      <w:rPr>
        <w:rFonts w:ascii="Arial" w:hAnsi="Arial"/>
        <w:color w:val="404040"/>
        <w:sz w:val="22"/>
      </w:rPr>
      <w:tcPr>
        <w:tcBorders>
          <w:top w:val="single" w:color="D99695" w:sz="4" w:space="0"/>
          <w:bottom w:val="single" w:color="D99695" w:sz="4" w:space="0"/>
        </w:tcBorders>
      </w:tcPr>
    </w:tblStylePr>
  </w:style>
  <w:style w:type="table" w:customStyle="1" w:styleId="114">
    <w:name w:val="List Table 3 - Accent 3"/>
    <w:basedOn w:val="32"/>
    <w:qFormat/>
    <w:uiPriority w:val="99"/>
    <w:tblPr>
      <w:tblBorders>
        <w:top w:val="single" w:color="C3D69B" w:sz="4" w:space="0"/>
        <w:left w:val="single" w:color="C3D69B" w:sz="4" w:space="0"/>
        <w:bottom w:val="single" w:color="C3D69B" w:sz="4" w:space="0"/>
        <w:right w:val="single" w:color="C3D69B" w:sz="4" w:space="0"/>
      </w:tblBorders>
      <w:tblCellMar>
        <w:top w:w="0" w:type="dxa"/>
        <w:left w:w="108" w:type="dxa"/>
        <w:bottom w:w="0" w:type="dxa"/>
        <w:right w:w="108" w:type="dxa"/>
      </w:tblCellMar>
    </w:tblPr>
    <w:tblStylePr w:type="firstRow">
      <w:rPr>
        <w:rFonts w:ascii="Arial" w:hAnsi="Arial"/>
        <w:b/>
        <w:color w:val="FFFFFF"/>
        <w:sz w:val="22"/>
      </w:r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C3D69B" w:sz="4" w:space="0"/>
          <w:right w:val="single" w:color="C3D69B" w:sz="4" w:space="0"/>
        </w:tcBorders>
      </w:tcPr>
    </w:tblStylePr>
    <w:tblStylePr w:type="band1Horz">
      <w:rPr>
        <w:rFonts w:ascii="Arial" w:hAnsi="Arial"/>
        <w:color w:val="404040"/>
        <w:sz w:val="22"/>
      </w:rPr>
      <w:tcPr>
        <w:tcBorders>
          <w:top w:val="single" w:color="C3D69B" w:sz="4" w:space="0"/>
          <w:bottom w:val="single" w:color="C3D69B" w:sz="4" w:space="0"/>
        </w:tcBorders>
      </w:tcPr>
    </w:tblStylePr>
  </w:style>
  <w:style w:type="table" w:customStyle="1" w:styleId="115">
    <w:name w:val="List Table 3 - Accent 4"/>
    <w:basedOn w:val="32"/>
    <w:qFormat/>
    <w:uiPriority w:val="99"/>
    <w:tblPr>
      <w:tblBorders>
        <w:top w:val="single" w:color="B2A1C6" w:sz="4" w:space="0"/>
        <w:left w:val="single" w:color="B2A1C6" w:sz="4" w:space="0"/>
        <w:bottom w:val="single" w:color="B2A1C6" w:sz="4" w:space="0"/>
        <w:right w:val="single" w:color="B2A1C6" w:sz="4" w:space="0"/>
      </w:tblBorders>
      <w:tblCellMar>
        <w:top w:w="0" w:type="dxa"/>
        <w:left w:w="108" w:type="dxa"/>
        <w:bottom w:w="0" w:type="dxa"/>
        <w:right w:w="108" w:type="dxa"/>
      </w:tblCellMar>
    </w:tblPr>
    <w:tblStylePr w:type="firstRow">
      <w:rPr>
        <w:rFonts w:ascii="Arial" w:hAnsi="Arial"/>
        <w:b/>
        <w:color w:val="FFFFFF"/>
        <w:sz w:val="22"/>
      </w:r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B2A1C6" w:sz="4" w:space="0"/>
          <w:right w:val="single" w:color="B2A1C6" w:sz="4" w:space="0"/>
        </w:tcBorders>
      </w:tcPr>
    </w:tblStylePr>
    <w:tblStylePr w:type="band1Horz">
      <w:rPr>
        <w:rFonts w:ascii="Arial" w:hAnsi="Arial"/>
        <w:color w:val="404040"/>
        <w:sz w:val="22"/>
      </w:rPr>
      <w:tcPr>
        <w:tcBorders>
          <w:top w:val="single" w:color="B2A1C6" w:sz="4" w:space="0"/>
          <w:bottom w:val="single" w:color="B2A1C6" w:sz="4" w:space="0"/>
        </w:tcBorders>
      </w:tcPr>
    </w:tblStylePr>
  </w:style>
  <w:style w:type="table" w:customStyle="1" w:styleId="116">
    <w:name w:val="List Table 3 - Accent 5"/>
    <w:basedOn w:val="32"/>
    <w:qFormat/>
    <w:uiPriority w:val="99"/>
    <w:tblPr>
      <w:tblBorders>
        <w:top w:val="single" w:color="92CCDC" w:sz="4" w:space="0"/>
        <w:left w:val="single" w:color="92CCDC" w:sz="4" w:space="0"/>
        <w:bottom w:val="single" w:color="92CCDC" w:sz="4" w:space="0"/>
        <w:right w:val="single" w:color="92CCDC" w:sz="4" w:space="0"/>
      </w:tblBorders>
      <w:tblCellMar>
        <w:top w:w="0" w:type="dxa"/>
        <w:left w:w="108" w:type="dxa"/>
        <w:bottom w:w="0" w:type="dxa"/>
        <w:right w:w="108" w:type="dxa"/>
      </w:tblCellMar>
    </w:tblPr>
    <w:tblStylePr w:type="firstRow">
      <w:rPr>
        <w:rFonts w:ascii="Arial" w:hAnsi="Arial"/>
        <w:b/>
        <w:color w:val="FFFFFF"/>
        <w:sz w:val="22"/>
      </w:r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92CCDC" w:sz="4" w:space="0"/>
          <w:right w:val="single" w:color="92CCDC" w:sz="4" w:space="0"/>
        </w:tcBorders>
      </w:tcPr>
    </w:tblStylePr>
    <w:tblStylePr w:type="band1Horz">
      <w:rPr>
        <w:rFonts w:ascii="Arial" w:hAnsi="Arial"/>
        <w:color w:val="404040"/>
        <w:sz w:val="22"/>
      </w:rPr>
      <w:tcPr>
        <w:tcBorders>
          <w:top w:val="single" w:color="92CCDC" w:sz="4" w:space="0"/>
          <w:bottom w:val="single" w:color="92CCDC" w:sz="4" w:space="0"/>
        </w:tcBorders>
      </w:tcPr>
    </w:tblStylePr>
  </w:style>
  <w:style w:type="table" w:customStyle="1" w:styleId="117">
    <w:name w:val="List Table 3 - Accent 6"/>
    <w:basedOn w:val="32"/>
    <w:qFormat/>
    <w:uiPriority w:val="99"/>
    <w:tblPr>
      <w:tblBorders>
        <w:top w:val="single" w:color="FAC090" w:sz="4" w:space="0"/>
        <w:left w:val="single" w:color="FAC090" w:sz="4" w:space="0"/>
        <w:bottom w:val="single" w:color="FAC090" w:sz="4" w:space="0"/>
        <w:right w:val="single" w:color="FAC090" w:sz="4" w:space="0"/>
      </w:tblBorders>
      <w:tblCellMar>
        <w:top w:w="0" w:type="dxa"/>
        <w:left w:w="108" w:type="dxa"/>
        <w:bottom w:w="0" w:type="dxa"/>
        <w:right w:w="108" w:type="dxa"/>
      </w:tblCellMar>
    </w:tblPr>
    <w:tblStylePr w:type="firstRow">
      <w:rPr>
        <w:rFonts w:ascii="Arial" w:hAnsi="Arial"/>
        <w:b/>
        <w:color w:val="FFFFFF"/>
        <w:sz w:val="22"/>
      </w:r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FAC090" w:sz="4" w:space="0"/>
          <w:right w:val="single" w:color="FAC090" w:sz="4" w:space="0"/>
        </w:tcBorders>
      </w:tcPr>
    </w:tblStylePr>
    <w:tblStylePr w:type="band1Horz">
      <w:rPr>
        <w:rFonts w:ascii="Arial" w:hAnsi="Arial"/>
        <w:color w:val="404040"/>
        <w:sz w:val="22"/>
      </w:rPr>
      <w:tcPr>
        <w:tcBorders>
          <w:top w:val="single" w:color="FAC090" w:sz="4" w:space="0"/>
          <w:bottom w:val="single" w:color="FAC090" w:sz="4" w:space="0"/>
        </w:tcBorders>
      </w:tcPr>
    </w:tblStylePr>
  </w:style>
  <w:style w:type="table" w:customStyle="1" w:styleId="118">
    <w:name w:val="清单表 41"/>
    <w:basedOn w:val="32"/>
    <w:qFormat/>
    <w:uiPriority w:val="99"/>
    <w:tblPr>
      <w:tblBorders>
        <w:top w:val="single" w:color="000000" w:sz="4" w:space="0"/>
        <w:left w:val="single" w:color="000000" w:sz="4" w:space="0"/>
        <w:bottom w:val="single" w:color="000000" w:sz="4" w:space="0"/>
        <w:right w:val="single" w:color="000000" w:sz="4" w:space="0"/>
        <w:insideH w:val="single" w:color="000000" w:sz="4" w:space="0"/>
      </w:tblBorders>
      <w:tblCellMar>
        <w:top w:w="0" w:type="dxa"/>
        <w:left w:w="108" w:type="dxa"/>
        <w:bottom w:w="0" w:type="dxa"/>
        <w:right w:w="108" w:type="dxa"/>
      </w:tblCellMar>
    </w:tblPr>
    <w:tblStylePr w:type="firstRow">
      <w:rPr>
        <w:rFonts w:ascii="Arial" w:hAnsi="Arial"/>
        <w:b/>
        <w:color w:val="FFFFFF"/>
        <w:sz w:val="22"/>
      </w:r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BFBFBF" w:fill="BFBFBF"/>
      </w:tcPr>
    </w:tblStylePr>
    <w:tblStylePr w:type="band1Horz">
      <w:rPr>
        <w:rFonts w:ascii="Arial" w:hAnsi="Arial"/>
        <w:color w:val="404040"/>
        <w:sz w:val="22"/>
      </w:rPr>
      <w:tcPr>
        <w:shd w:val="clear" w:color="BFBFBF" w:fill="BFBFBF"/>
      </w:tcPr>
    </w:tblStylePr>
  </w:style>
  <w:style w:type="table" w:customStyle="1" w:styleId="119">
    <w:name w:val="List Table 4 - Accent 1"/>
    <w:basedOn w:val="32"/>
    <w:qFormat/>
    <w:uiPriority w:val="99"/>
    <w:tblPr>
      <w:tblBorders>
        <w:top w:val="single" w:color="9BB7D9" w:sz="4" w:space="0"/>
        <w:left w:val="single" w:color="9BB7D9" w:sz="4" w:space="0"/>
        <w:bottom w:val="single" w:color="9BB7D9" w:sz="4" w:space="0"/>
        <w:right w:val="single" w:color="9BB7D9" w:sz="4" w:space="0"/>
        <w:insideH w:val="single" w:color="9BB7D9" w:sz="4" w:space="0"/>
      </w:tblBorders>
      <w:tblCellMar>
        <w:top w:w="0" w:type="dxa"/>
        <w:left w:w="108" w:type="dxa"/>
        <w:bottom w:w="0" w:type="dxa"/>
        <w:right w:w="108" w:type="dxa"/>
      </w:tblCellMar>
    </w:tblPr>
    <w:tblStylePr w:type="firstRow">
      <w:rPr>
        <w:rFonts w:ascii="Arial" w:hAnsi="Arial"/>
        <w:b/>
        <w:color w:val="FFFFFF"/>
        <w:sz w:val="22"/>
      </w:r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2DFEE" w:fill="D2DFEE"/>
      </w:tcPr>
    </w:tblStylePr>
    <w:tblStylePr w:type="band1Horz">
      <w:rPr>
        <w:rFonts w:ascii="Arial" w:hAnsi="Arial"/>
        <w:color w:val="404040"/>
        <w:sz w:val="22"/>
      </w:rPr>
      <w:tcPr>
        <w:shd w:val="clear" w:color="D2DFEE" w:fill="D2DFEE"/>
      </w:tcPr>
    </w:tblStylePr>
  </w:style>
  <w:style w:type="table" w:customStyle="1" w:styleId="120">
    <w:name w:val="List Table 4 - Accent 2"/>
    <w:basedOn w:val="32"/>
    <w:qFormat/>
    <w:uiPriority w:val="99"/>
    <w:tblPr>
      <w:tblBorders>
        <w:top w:val="single" w:color="DB9B9A" w:sz="4" w:space="0"/>
        <w:left w:val="single" w:color="DB9B9A" w:sz="4" w:space="0"/>
        <w:bottom w:val="single" w:color="DB9B9A" w:sz="4" w:space="0"/>
        <w:right w:val="single" w:color="DB9B9A" w:sz="4" w:space="0"/>
        <w:insideH w:val="single" w:color="DB9B9A" w:sz="4" w:space="0"/>
      </w:tblBorders>
      <w:tblCellMar>
        <w:top w:w="0" w:type="dxa"/>
        <w:left w:w="108" w:type="dxa"/>
        <w:bottom w:w="0" w:type="dxa"/>
        <w:right w:w="108" w:type="dxa"/>
      </w:tblCellMar>
    </w:tblPr>
    <w:tblStylePr w:type="firstRow">
      <w:rPr>
        <w:rFonts w:ascii="Arial" w:hAnsi="Arial"/>
        <w:b/>
        <w:color w:val="FFFFFF"/>
        <w:sz w:val="22"/>
      </w:r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EFD2D2" w:fill="EFD2D2"/>
      </w:tcPr>
    </w:tblStylePr>
    <w:tblStylePr w:type="band1Horz">
      <w:rPr>
        <w:rFonts w:ascii="Arial" w:hAnsi="Arial"/>
        <w:color w:val="404040"/>
        <w:sz w:val="22"/>
      </w:rPr>
      <w:tcPr>
        <w:shd w:val="clear" w:color="EFD2D2" w:fill="EFD2D2"/>
      </w:tcPr>
    </w:tblStylePr>
  </w:style>
  <w:style w:type="table" w:customStyle="1" w:styleId="121">
    <w:name w:val="List Table 4 - Accent 3"/>
    <w:basedOn w:val="32"/>
    <w:qFormat/>
    <w:uiPriority w:val="99"/>
    <w:tblPr>
      <w:tblBorders>
        <w:top w:val="single" w:color="C6D8A1" w:sz="4" w:space="0"/>
        <w:left w:val="single" w:color="C6D8A1" w:sz="4" w:space="0"/>
        <w:bottom w:val="single" w:color="C6D8A1" w:sz="4" w:space="0"/>
        <w:right w:val="single" w:color="C6D8A1" w:sz="4" w:space="0"/>
        <w:insideH w:val="single" w:color="C6D8A1" w:sz="4" w:space="0"/>
      </w:tblBorders>
      <w:tblCellMar>
        <w:top w:w="0" w:type="dxa"/>
        <w:left w:w="108" w:type="dxa"/>
        <w:bottom w:w="0" w:type="dxa"/>
        <w:right w:w="108" w:type="dxa"/>
      </w:tblCellMar>
    </w:tblPr>
    <w:tblStylePr w:type="firstRow">
      <w:rPr>
        <w:rFonts w:ascii="Arial" w:hAnsi="Arial"/>
        <w:b/>
        <w:color w:val="FFFFFF"/>
        <w:sz w:val="22"/>
      </w:r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E5EED5" w:fill="E5EED5"/>
      </w:tcPr>
    </w:tblStylePr>
    <w:tblStylePr w:type="band1Horz">
      <w:rPr>
        <w:rFonts w:ascii="Arial" w:hAnsi="Arial"/>
        <w:color w:val="404040"/>
        <w:sz w:val="22"/>
      </w:rPr>
      <w:tcPr>
        <w:shd w:val="clear" w:color="E5EED5" w:fill="E5EED5"/>
      </w:tcPr>
    </w:tblStylePr>
  </w:style>
  <w:style w:type="table" w:customStyle="1" w:styleId="122">
    <w:name w:val="List Table 4 - Accent 4"/>
    <w:basedOn w:val="32"/>
    <w:qFormat/>
    <w:uiPriority w:val="99"/>
    <w:tblPr>
      <w:tblBorders>
        <w:top w:val="single" w:color="B7A7CA" w:sz="4" w:space="0"/>
        <w:left w:val="single" w:color="B7A7CA" w:sz="4" w:space="0"/>
        <w:bottom w:val="single" w:color="B7A7CA" w:sz="4" w:space="0"/>
        <w:right w:val="single" w:color="B7A7CA" w:sz="4" w:space="0"/>
        <w:insideH w:val="single" w:color="B7A7CA" w:sz="4" w:space="0"/>
      </w:tblBorders>
      <w:tblCellMar>
        <w:top w:w="0" w:type="dxa"/>
        <w:left w:w="108" w:type="dxa"/>
        <w:bottom w:w="0" w:type="dxa"/>
        <w:right w:w="108" w:type="dxa"/>
      </w:tblCellMar>
    </w:tblPr>
    <w:tblStylePr w:type="firstRow">
      <w:rPr>
        <w:rFonts w:ascii="Arial" w:hAnsi="Arial"/>
        <w:b/>
        <w:color w:val="FFFFFF"/>
        <w:sz w:val="22"/>
      </w:r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FD8E7" w:fill="DFD8E7"/>
      </w:tcPr>
    </w:tblStylePr>
    <w:tblStylePr w:type="band1Horz">
      <w:rPr>
        <w:rFonts w:ascii="Arial" w:hAnsi="Arial"/>
        <w:color w:val="404040"/>
        <w:sz w:val="22"/>
      </w:rPr>
      <w:tcPr>
        <w:shd w:val="clear" w:color="DFD8E7" w:fill="DFD8E7"/>
      </w:tcPr>
    </w:tblStylePr>
  </w:style>
  <w:style w:type="table" w:customStyle="1" w:styleId="123">
    <w:name w:val="List Table 4 - Accent 5"/>
    <w:basedOn w:val="32"/>
    <w:qFormat/>
    <w:uiPriority w:val="99"/>
    <w:tblPr>
      <w:tblBorders>
        <w:top w:val="single" w:color="99D0DE" w:sz="4" w:space="0"/>
        <w:left w:val="single" w:color="99D0DE" w:sz="4" w:space="0"/>
        <w:bottom w:val="single" w:color="99D0DE" w:sz="4" w:space="0"/>
        <w:right w:val="single" w:color="99D0DE" w:sz="4" w:space="0"/>
        <w:insideH w:val="single" w:color="99D0DE" w:sz="4" w:space="0"/>
      </w:tblBorders>
      <w:tblCellMar>
        <w:top w:w="0" w:type="dxa"/>
        <w:left w:w="108" w:type="dxa"/>
        <w:bottom w:w="0" w:type="dxa"/>
        <w:right w:w="108" w:type="dxa"/>
      </w:tblCellMar>
    </w:tblPr>
    <w:tblStylePr w:type="firstRow">
      <w:rPr>
        <w:rFonts w:ascii="Arial" w:hAnsi="Arial"/>
        <w:b/>
        <w:color w:val="FFFFFF"/>
        <w:sz w:val="22"/>
      </w:r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1EAF0" w:fill="D1EAF0"/>
      </w:tcPr>
    </w:tblStylePr>
    <w:tblStylePr w:type="band1Horz">
      <w:rPr>
        <w:rFonts w:ascii="Arial" w:hAnsi="Arial"/>
        <w:color w:val="404040"/>
        <w:sz w:val="22"/>
      </w:rPr>
      <w:tcPr>
        <w:shd w:val="clear" w:color="D1EAF0" w:fill="D1EAF0"/>
      </w:tcPr>
    </w:tblStylePr>
  </w:style>
  <w:style w:type="table" w:customStyle="1" w:styleId="124">
    <w:name w:val="List Table 4 - Accent 6"/>
    <w:basedOn w:val="32"/>
    <w:qFormat/>
    <w:uiPriority w:val="99"/>
    <w:tblPr>
      <w:tblBorders>
        <w:top w:val="single" w:color="FAC396" w:sz="4" w:space="0"/>
        <w:left w:val="single" w:color="FAC396" w:sz="4" w:space="0"/>
        <w:bottom w:val="single" w:color="FAC396" w:sz="4" w:space="0"/>
        <w:right w:val="single" w:color="FAC396" w:sz="4" w:space="0"/>
        <w:insideH w:val="single" w:color="FAC396" w:sz="4" w:space="0"/>
      </w:tblBorders>
      <w:tblCellMar>
        <w:top w:w="0" w:type="dxa"/>
        <w:left w:w="108" w:type="dxa"/>
        <w:bottom w:w="0" w:type="dxa"/>
        <w:right w:w="108" w:type="dxa"/>
      </w:tblCellMar>
    </w:tblPr>
    <w:tblStylePr w:type="firstRow">
      <w:rPr>
        <w:rFonts w:ascii="Arial" w:hAnsi="Arial"/>
        <w:b/>
        <w:color w:val="FFFFFF"/>
        <w:sz w:val="22"/>
      </w:r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FDE4D0" w:fill="FDE4D0"/>
      </w:tcPr>
    </w:tblStylePr>
    <w:tblStylePr w:type="band1Horz">
      <w:rPr>
        <w:rFonts w:ascii="Arial" w:hAnsi="Arial"/>
        <w:color w:val="404040"/>
        <w:sz w:val="22"/>
      </w:rPr>
      <w:tcPr>
        <w:shd w:val="clear" w:color="FDE4D0" w:fill="FDE4D0"/>
      </w:tcPr>
    </w:tblStylePr>
  </w:style>
  <w:style w:type="table" w:customStyle="1" w:styleId="125">
    <w:name w:val="清单表 5 深色1"/>
    <w:basedOn w:val="32"/>
    <w:qFormat/>
    <w:uiPriority w:val="99"/>
    <w:tblPr>
      <w:tblBorders>
        <w:top w:val="single" w:color="7F7F7F" w:sz="32" w:space="0"/>
        <w:left w:val="single" w:color="7F7F7F" w:sz="32" w:space="0"/>
        <w:bottom w:val="single" w:color="7F7F7F" w:sz="32" w:space="0"/>
        <w:right w:val="single" w:color="7F7F7F" w:sz="32" w:space="0"/>
      </w:tblBorders>
      <w:tblCellMar>
        <w:top w:w="0" w:type="dxa"/>
        <w:left w:w="108" w:type="dxa"/>
        <w:bottom w:w="0" w:type="dxa"/>
        <w:right w:w="108" w:type="dxa"/>
      </w:tblCellMar>
    </w:tblPr>
    <w:tblStylePr w:type="firstRow">
      <w:rPr>
        <w:rFonts w:ascii="Arial" w:hAnsi="Arial"/>
        <w:b/>
        <w:color w:val="FFFFFF"/>
        <w:sz w:val="22"/>
      </w:rPr>
      <w:tcPr>
        <w:tcBorders>
          <w:top w:val="single" w:color="7F7F7F" w:sz="32" w:space="0"/>
          <w:bottom w:val="single" w:color="FFFFFF" w:sz="12" w:space="0"/>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cPr>
        <w:tcBorders>
          <w:left w:val="single" w:color="7F7F7F" w:sz="32" w:space="0"/>
          <w:right w:val="single" w:color="FFFFFF" w:sz="4" w:space="0"/>
        </w:tcBorders>
      </w:tcPr>
    </w:tblStylePr>
    <w:tblStylePr w:type="lastCol">
      <w:tcPr>
        <w:tcBorders>
          <w:left w:val="single" w:color="FFFFFF" w:sz="4" w:space="0"/>
          <w:right w:val="single" w:color="7F7F7F" w:sz="32" w:space="0"/>
        </w:tcBorders>
      </w:tcPr>
    </w:tblStylePr>
    <w:tblStylePr w:type="band1Vert">
      <w:tcPr>
        <w:tcBorders>
          <w:left w:val="single" w:color="FFFFFF" w:sz="4" w:space="0"/>
          <w:right w:val="single" w:color="FFFFFF" w:sz="4" w:space="0"/>
        </w:tcBorders>
        <w:shd w:val="clear" w:color="7F7F7F" w:fill="7F7F7F"/>
      </w:tcPr>
    </w:tblStylePr>
    <w:tblStylePr w:type="band2Vert">
      <w:tcPr>
        <w:tcBorders>
          <w:left w:val="single" w:color="FFFFFF" w:sz="4" w:space="0"/>
          <w:right w:val="single" w:color="FFFFFF" w:sz="4" w:space="0"/>
        </w:tcBorders>
      </w:tcPr>
    </w:tblStylePr>
    <w:tblStylePr w:type="band1Horz">
      <w:tcPr>
        <w:tcBorders>
          <w:top w:val="single" w:color="FFFFFF" w:sz="4" w:space="0"/>
          <w:bottom w:val="single" w:color="FFFFFF" w:sz="4" w:space="0"/>
        </w:tcBorders>
        <w:shd w:val="clear" w:color="7F7F7F" w:fill="7F7F7F"/>
      </w:tcPr>
    </w:tblStylePr>
    <w:tblStylePr w:type="band2Horz">
      <w:tcPr>
        <w:tcBorders>
          <w:top w:val="single" w:color="FFFFFF" w:sz="4" w:space="0"/>
          <w:bottom w:val="single" w:color="FFFFFF" w:sz="4" w:space="0"/>
        </w:tcBorders>
        <w:shd w:val="clear" w:color="7F7F7F" w:fill="7F7F7F"/>
      </w:tcPr>
    </w:tblStylePr>
  </w:style>
  <w:style w:type="table" w:customStyle="1" w:styleId="126">
    <w:name w:val="List Table 5 Dark - Accent 1"/>
    <w:basedOn w:val="32"/>
    <w:qFormat/>
    <w:uiPriority w:val="99"/>
    <w:tblPr>
      <w:tblBorders>
        <w:top w:val="single" w:color="4F81BD" w:sz="32" w:space="0"/>
        <w:left w:val="single" w:color="4F81BD" w:sz="32" w:space="0"/>
        <w:bottom w:val="single" w:color="4F81BD" w:sz="32" w:space="0"/>
        <w:right w:val="single" w:color="4F81BD" w:sz="32" w:space="0"/>
      </w:tblBorders>
      <w:tblCellMar>
        <w:top w:w="0" w:type="dxa"/>
        <w:left w:w="108" w:type="dxa"/>
        <w:bottom w:w="0" w:type="dxa"/>
        <w:right w:w="108" w:type="dxa"/>
      </w:tblCellMar>
    </w:tblPr>
    <w:tblStylePr w:type="firstRow">
      <w:rPr>
        <w:rFonts w:ascii="Arial" w:hAnsi="Arial"/>
        <w:b/>
        <w:color w:val="FFFFFF"/>
        <w:sz w:val="22"/>
      </w:rPr>
      <w:tcPr>
        <w:tcBorders>
          <w:top w:val="single" w:color="4F81BD" w:sz="32" w:space="0"/>
          <w:bottom w:val="single" w:color="FFFFFF" w:sz="12" w:space="0"/>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cPr>
        <w:tcBorders>
          <w:left w:val="single" w:color="4F81BD" w:sz="32" w:space="0"/>
          <w:right w:val="single" w:color="FFFFFF" w:sz="4" w:space="0"/>
        </w:tcBorders>
      </w:tcPr>
    </w:tblStylePr>
    <w:tblStylePr w:type="lastCol">
      <w:tcPr>
        <w:tcBorders>
          <w:left w:val="single" w:color="FFFFFF" w:sz="4" w:space="0"/>
          <w:right w:val="single" w:color="4F81BD" w:sz="32" w:space="0"/>
        </w:tcBorders>
      </w:tcPr>
    </w:tblStylePr>
    <w:tblStylePr w:type="band1Vert">
      <w:tcPr>
        <w:tcBorders>
          <w:left w:val="single" w:color="FFFFFF" w:sz="4" w:space="0"/>
          <w:right w:val="single" w:color="FFFFFF" w:sz="4" w:space="0"/>
        </w:tcBorders>
        <w:shd w:val="clear" w:color="4F81BD" w:fill="4F81BD"/>
      </w:tcPr>
    </w:tblStylePr>
    <w:tblStylePr w:type="band2Vert">
      <w:tcPr>
        <w:tcBorders>
          <w:left w:val="single" w:color="FFFFFF" w:sz="4" w:space="0"/>
          <w:right w:val="single" w:color="FFFFFF" w:sz="4" w:space="0"/>
        </w:tcBorders>
      </w:tcPr>
    </w:tblStylePr>
    <w:tblStylePr w:type="band1Horz">
      <w:tcPr>
        <w:tcBorders>
          <w:top w:val="single" w:color="FFFFFF" w:sz="4" w:space="0"/>
          <w:bottom w:val="single" w:color="FFFFFF" w:sz="4" w:space="0"/>
        </w:tcBorders>
        <w:shd w:val="clear" w:color="4F81BD" w:fill="4F81BD"/>
      </w:tcPr>
    </w:tblStylePr>
    <w:tblStylePr w:type="band2Horz">
      <w:tcPr>
        <w:tcBorders>
          <w:top w:val="single" w:color="FFFFFF" w:sz="4" w:space="0"/>
          <w:bottom w:val="single" w:color="FFFFFF" w:sz="4" w:space="0"/>
        </w:tcBorders>
        <w:shd w:val="clear" w:color="4F81BD" w:fill="4F81BD"/>
      </w:tcPr>
    </w:tblStylePr>
  </w:style>
  <w:style w:type="table" w:customStyle="1" w:styleId="127">
    <w:name w:val="List Table 5 Dark - Accent 2"/>
    <w:basedOn w:val="32"/>
    <w:qFormat/>
    <w:uiPriority w:val="99"/>
    <w:tblPr>
      <w:tblBorders>
        <w:top w:val="single" w:color="D99695" w:sz="32" w:space="0"/>
        <w:left w:val="single" w:color="D99695" w:sz="32" w:space="0"/>
        <w:bottom w:val="single" w:color="D99695" w:sz="32" w:space="0"/>
        <w:right w:val="single" w:color="D99695" w:sz="32" w:space="0"/>
      </w:tblBorders>
      <w:tblCellMar>
        <w:top w:w="0" w:type="dxa"/>
        <w:left w:w="108" w:type="dxa"/>
        <w:bottom w:w="0" w:type="dxa"/>
        <w:right w:w="108" w:type="dxa"/>
      </w:tblCellMar>
    </w:tblPr>
    <w:tblStylePr w:type="firstRow">
      <w:rPr>
        <w:rFonts w:ascii="Arial" w:hAnsi="Arial"/>
        <w:b/>
        <w:color w:val="FFFFFF"/>
        <w:sz w:val="22"/>
      </w:rPr>
      <w:tcPr>
        <w:tcBorders>
          <w:top w:val="single" w:color="D99695" w:sz="32" w:space="0"/>
          <w:bottom w:val="single" w:color="FFFFFF" w:sz="12" w:space="0"/>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cPr>
        <w:tcBorders>
          <w:left w:val="single" w:color="D99695" w:sz="32" w:space="0"/>
          <w:right w:val="single" w:color="FFFFFF" w:sz="4" w:space="0"/>
        </w:tcBorders>
      </w:tcPr>
    </w:tblStylePr>
    <w:tblStylePr w:type="lastCol">
      <w:tcPr>
        <w:tcBorders>
          <w:left w:val="single" w:color="FFFFFF" w:sz="4" w:space="0"/>
          <w:right w:val="single" w:color="D99695" w:sz="32" w:space="0"/>
        </w:tcBorders>
      </w:tcPr>
    </w:tblStylePr>
    <w:tblStylePr w:type="band1Vert">
      <w:tcPr>
        <w:tcBorders>
          <w:left w:val="single" w:color="FFFFFF" w:sz="4" w:space="0"/>
          <w:right w:val="single" w:color="FFFFFF" w:sz="4" w:space="0"/>
        </w:tcBorders>
        <w:shd w:val="clear" w:color="D99695" w:fill="D99695"/>
      </w:tcPr>
    </w:tblStylePr>
    <w:tblStylePr w:type="band2Vert">
      <w:tcPr>
        <w:tcBorders>
          <w:left w:val="single" w:color="FFFFFF" w:sz="4" w:space="0"/>
          <w:right w:val="single" w:color="FFFFFF" w:sz="4" w:space="0"/>
        </w:tcBorders>
      </w:tcPr>
    </w:tblStylePr>
    <w:tblStylePr w:type="band1Horz">
      <w:tcPr>
        <w:tcBorders>
          <w:top w:val="single" w:color="FFFFFF" w:sz="4" w:space="0"/>
          <w:bottom w:val="single" w:color="FFFFFF" w:sz="4" w:space="0"/>
        </w:tcBorders>
        <w:shd w:val="clear" w:color="D99695" w:fill="D99695"/>
      </w:tcPr>
    </w:tblStylePr>
    <w:tblStylePr w:type="band2Horz">
      <w:tcPr>
        <w:tcBorders>
          <w:top w:val="single" w:color="FFFFFF" w:sz="4" w:space="0"/>
          <w:bottom w:val="single" w:color="FFFFFF" w:sz="4" w:space="0"/>
        </w:tcBorders>
        <w:shd w:val="clear" w:color="D99695" w:fill="D99695"/>
      </w:tcPr>
    </w:tblStylePr>
  </w:style>
  <w:style w:type="table" w:customStyle="1" w:styleId="128">
    <w:name w:val="List Table 5 Dark - Accent 3"/>
    <w:basedOn w:val="32"/>
    <w:qFormat/>
    <w:uiPriority w:val="99"/>
    <w:tblPr>
      <w:tblBorders>
        <w:top w:val="single" w:color="C3D69B" w:sz="32" w:space="0"/>
        <w:left w:val="single" w:color="C3D69B" w:sz="32" w:space="0"/>
        <w:bottom w:val="single" w:color="C3D69B" w:sz="32" w:space="0"/>
        <w:right w:val="single" w:color="C3D69B" w:sz="32" w:space="0"/>
      </w:tblBorders>
      <w:tblCellMar>
        <w:top w:w="0" w:type="dxa"/>
        <w:left w:w="108" w:type="dxa"/>
        <w:bottom w:w="0" w:type="dxa"/>
        <w:right w:w="108" w:type="dxa"/>
      </w:tblCellMar>
    </w:tblPr>
    <w:tblStylePr w:type="firstRow">
      <w:rPr>
        <w:rFonts w:ascii="Arial" w:hAnsi="Arial"/>
        <w:b/>
        <w:color w:val="FFFFFF"/>
        <w:sz w:val="22"/>
      </w:rPr>
      <w:tcPr>
        <w:tcBorders>
          <w:top w:val="single" w:color="C3D69B" w:sz="32" w:space="0"/>
          <w:bottom w:val="single" w:color="FFFFFF" w:sz="12" w:space="0"/>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cPr>
        <w:tcBorders>
          <w:left w:val="single" w:color="C3D69B" w:sz="32" w:space="0"/>
          <w:right w:val="single" w:color="FFFFFF" w:sz="4" w:space="0"/>
        </w:tcBorders>
      </w:tcPr>
    </w:tblStylePr>
    <w:tblStylePr w:type="lastCol">
      <w:tcPr>
        <w:tcBorders>
          <w:left w:val="single" w:color="FFFFFF" w:sz="4" w:space="0"/>
          <w:right w:val="single" w:color="C3D69B" w:sz="32" w:space="0"/>
        </w:tcBorders>
      </w:tcPr>
    </w:tblStylePr>
    <w:tblStylePr w:type="band1Vert">
      <w:tcPr>
        <w:tcBorders>
          <w:left w:val="single" w:color="FFFFFF" w:sz="4" w:space="0"/>
          <w:right w:val="single" w:color="FFFFFF" w:sz="4" w:space="0"/>
        </w:tcBorders>
        <w:shd w:val="clear" w:color="C3D69B" w:fill="C3D69B"/>
      </w:tcPr>
    </w:tblStylePr>
    <w:tblStylePr w:type="band2Vert">
      <w:tcPr>
        <w:tcBorders>
          <w:left w:val="single" w:color="FFFFFF" w:sz="4" w:space="0"/>
          <w:right w:val="single" w:color="FFFFFF" w:sz="4" w:space="0"/>
        </w:tcBorders>
      </w:tcPr>
    </w:tblStylePr>
    <w:tblStylePr w:type="band1Horz">
      <w:tcPr>
        <w:tcBorders>
          <w:top w:val="single" w:color="FFFFFF" w:sz="4" w:space="0"/>
          <w:bottom w:val="single" w:color="FFFFFF" w:sz="4" w:space="0"/>
        </w:tcBorders>
        <w:shd w:val="clear" w:color="C3D69B" w:fill="C3D69B"/>
      </w:tcPr>
    </w:tblStylePr>
    <w:tblStylePr w:type="band2Horz">
      <w:tcPr>
        <w:tcBorders>
          <w:top w:val="single" w:color="FFFFFF" w:sz="4" w:space="0"/>
          <w:bottom w:val="single" w:color="FFFFFF" w:sz="4" w:space="0"/>
        </w:tcBorders>
        <w:shd w:val="clear" w:color="C3D69B" w:fill="C3D69B"/>
      </w:tcPr>
    </w:tblStylePr>
  </w:style>
  <w:style w:type="table" w:customStyle="1" w:styleId="129">
    <w:name w:val="List Table 5 Dark - Accent 4"/>
    <w:basedOn w:val="32"/>
    <w:qFormat/>
    <w:uiPriority w:val="99"/>
    <w:tblPr>
      <w:tblBorders>
        <w:top w:val="single" w:color="B2A1C6" w:sz="32" w:space="0"/>
        <w:left w:val="single" w:color="B2A1C6" w:sz="32" w:space="0"/>
        <w:bottom w:val="single" w:color="B2A1C6" w:sz="32" w:space="0"/>
        <w:right w:val="single" w:color="B2A1C6" w:sz="32" w:space="0"/>
      </w:tblBorders>
      <w:tblCellMar>
        <w:top w:w="0" w:type="dxa"/>
        <w:left w:w="108" w:type="dxa"/>
        <w:bottom w:w="0" w:type="dxa"/>
        <w:right w:w="108" w:type="dxa"/>
      </w:tblCellMar>
    </w:tblPr>
    <w:tblStylePr w:type="firstRow">
      <w:rPr>
        <w:rFonts w:ascii="Arial" w:hAnsi="Arial"/>
        <w:b/>
        <w:color w:val="FFFFFF"/>
        <w:sz w:val="22"/>
      </w:rPr>
      <w:tcPr>
        <w:tcBorders>
          <w:top w:val="single" w:color="B2A1C6" w:sz="32" w:space="0"/>
          <w:bottom w:val="single" w:color="FFFFFF" w:sz="12" w:space="0"/>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cPr>
        <w:tcBorders>
          <w:left w:val="single" w:color="B2A1C6" w:sz="32" w:space="0"/>
          <w:right w:val="single" w:color="FFFFFF" w:sz="4" w:space="0"/>
        </w:tcBorders>
      </w:tcPr>
    </w:tblStylePr>
    <w:tblStylePr w:type="lastCol">
      <w:tcPr>
        <w:tcBorders>
          <w:left w:val="single" w:color="FFFFFF" w:sz="4" w:space="0"/>
          <w:right w:val="single" w:color="B2A1C6" w:sz="32" w:space="0"/>
        </w:tcBorders>
      </w:tcPr>
    </w:tblStylePr>
    <w:tblStylePr w:type="band1Vert">
      <w:tcPr>
        <w:tcBorders>
          <w:left w:val="single" w:color="FFFFFF" w:sz="4" w:space="0"/>
          <w:right w:val="single" w:color="FFFFFF" w:sz="4" w:space="0"/>
        </w:tcBorders>
        <w:shd w:val="clear" w:color="B2A1C6" w:fill="B2A1C6"/>
      </w:tcPr>
    </w:tblStylePr>
    <w:tblStylePr w:type="band2Vert">
      <w:tcPr>
        <w:tcBorders>
          <w:left w:val="single" w:color="FFFFFF" w:sz="4" w:space="0"/>
          <w:right w:val="single" w:color="FFFFFF" w:sz="4" w:space="0"/>
        </w:tcBorders>
      </w:tcPr>
    </w:tblStylePr>
    <w:tblStylePr w:type="band1Horz">
      <w:tcPr>
        <w:tcBorders>
          <w:top w:val="single" w:color="FFFFFF" w:sz="4" w:space="0"/>
          <w:bottom w:val="single" w:color="FFFFFF" w:sz="4" w:space="0"/>
        </w:tcBorders>
        <w:shd w:val="clear" w:color="B2A1C6" w:fill="B2A1C6"/>
      </w:tcPr>
    </w:tblStylePr>
    <w:tblStylePr w:type="band2Horz">
      <w:tcPr>
        <w:tcBorders>
          <w:top w:val="single" w:color="FFFFFF" w:sz="4" w:space="0"/>
          <w:bottom w:val="single" w:color="FFFFFF" w:sz="4" w:space="0"/>
        </w:tcBorders>
        <w:shd w:val="clear" w:color="B2A1C6" w:fill="B2A1C6"/>
      </w:tcPr>
    </w:tblStylePr>
  </w:style>
  <w:style w:type="table" w:customStyle="1" w:styleId="130">
    <w:name w:val="List Table 5 Dark - Accent 5"/>
    <w:basedOn w:val="32"/>
    <w:qFormat/>
    <w:uiPriority w:val="99"/>
    <w:tblPr>
      <w:tblBorders>
        <w:top w:val="single" w:color="92CCDC" w:sz="32" w:space="0"/>
        <w:left w:val="single" w:color="92CCDC" w:sz="32" w:space="0"/>
        <w:bottom w:val="single" w:color="92CCDC" w:sz="32" w:space="0"/>
        <w:right w:val="single" w:color="92CCDC" w:sz="32" w:space="0"/>
      </w:tblBorders>
      <w:tblCellMar>
        <w:top w:w="0" w:type="dxa"/>
        <w:left w:w="108" w:type="dxa"/>
        <w:bottom w:w="0" w:type="dxa"/>
        <w:right w:w="108" w:type="dxa"/>
      </w:tblCellMar>
    </w:tblPr>
    <w:tblStylePr w:type="firstRow">
      <w:rPr>
        <w:rFonts w:ascii="Arial" w:hAnsi="Arial"/>
        <w:b/>
        <w:color w:val="FFFFFF"/>
        <w:sz w:val="22"/>
      </w:rPr>
      <w:tcPr>
        <w:tcBorders>
          <w:top w:val="single" w:color="92CCDC" w:sz="32" w:space="0"/>
          <w:bottom w:val="single" w:color="FFFFFF" w:sz="12" w:space="0"/>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cPr>
        <w:tcBorders>
          <w:left w:val="single" w:color="92CCDC" w:sz="32" w:space="0"/>
          <w:right w:val="single" w:color="FFFFFF" w:sz="4" w:space="0"/>
        </w:tcBorders>
      </w:tcPr>
    </w:tblStylePr>
    <w:tblStylePr w:type="lastCol">
      <w:tcPr>
        <w:tcBorders>
          <w:left w:val="single" w:color="FFFFFF" w:sz="4" w:space="0"/>
          <w:right w:val="single" w:color="92CCDC" w:sz="32" w:space="0"/>
        </w:tcBorders>
      </w:tcPr>
    </w:tblStylePr>
    <w:tblStylePr w:type="band1Vert">
      <w:tcPr>
        <w:tcBorders>
          <w:left w:val="single" w:color="FFFFFF" w:sz="4" w:space="0"/>
          <w:right w:val="single" w:color="FFFFFF" w:sz="4" w:space="0"/>
        </w:tcBorders>
        <w:shd w:val="clear" w:color="92CCDC" w:fill="92CCDC"/>
      </w:tcPr>
    </w:tblStylePr>
    <w:tblStylePr w:type="band2Vert">
      <w:tcPr>
        <w:tcBorders>
          <w:left w:val="single" w:color="FFFFFF" w:sz="4" w:space="0"/>
          <w:right w:val="single" w:color="FFFFFF" w:sz="4" w:space="0"/>
        </w:tcBorders>
      </w:tcPr>
    </w:tblStylePr>
    <w:tblStylePr w:type="band1Horz">
      <w:tcPr>
        <w:tcBorders>
          <w:top w:val="single" w:color="FFFFFF" w:sz="4" w:space="0"/>
          <w:bottom w:val="single" w:color="FFFFFF" w:sz="4" w:space="0"/>
        </w:tcBorders>
        <w:shd w:val="clear" w:color="92CCDC" w:fill="92CCDC"/>
      </w:tcPr>
    </w:tblStylePr>
    <w:tblStylePr w:type="band2Horz">
      <w:tcPr>
        <w:tcBorders>
          <w:top w:val="single" w:color="FFFFFF" w:sz="4" w:space="0"/>
          <w:bottom w:val="single" w:color="FFFFFF" w:sz="4" w:space="0"/>
        </w:tcBorders>
        <w:shd w:val="clear" w:color="92CCDC" w:fill="92CCDC"/>
      </w:tcPr>
    </w:tblStylePr>
  </w:style>
  <w:style w:type="table" w:customStyle="1" w:styleId="131">
    <w:name w:val="List Table 5 Dark - Accent 6"/>
    <w:basedOn w:val="32"/>
    <w:qFormat/>
    <w:uiPriority w:val="99"/>
    <w:tblPr>
      <w:tblBorders>
        <w:top w:val="single" w:color="FAC090" w:sz="32" w:space="0"/>
        <w:left w:val="single" w:color="FAC090" w:sz="32" w:space="0"/>
        <w:bottom w:val="single" w:color="FAC090" w:sz="32" w:space="0"/>
        <w:right w:val="single" w:color="FAC090" w:sz="32" w:space="0"/>
      </w:tblBorders>
      <w:tblCellMar>
        <w:top w:w="0" w:type="dxa"/>
        <w:left w:w="108" w:type="dxa"/>
        <w:bottom w:w="0" w:type="dxa"/>
        <w:right w:w="108" w:type="dxa"/>
      </w:tblCellMar>
    </w:tblPr>
    <w:tblStylePr w:type="firstRow">
      <w:rPr>
        <w:rFonts w:ascii="Arial" w:hAnsi="Arial"/>
        <w:b/>
        <w:color w:val="FFFFFF"/>
        <w:sz w:val="22"/>
      </w:rPr>
      <w:tcPr>
        <w:tcBorders>
          <w:top w:val="single" w:color="FAC090" w:sz="32" w:space="0"/>
          <w:bottom w:val="single" w:color="FFFFFF" w:sz="12" w:space="0"/>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cPr>
        <w:tcBorders>
          <w:left w:val="single" w:color="FAC090" w:sz="32" w:space="0"/>
          <w:right w:val="single" w:color="FFFFFF" w:sz="4" w:space="0"/>
        </w:tcBorders>
      </w:tcPr>
    </w:tblStylePr>
    <w:tblStylePr w:type="lastCol">
      <w:tcPr>
        <w:tcBorders>
          <w:left w:val="single" w:color="FFFFFF" w:sz="4" w:space="0"/>
          <w:right w:val="single" w:color="FAC090" w:sz="32" w:space="0"/>
        </w:tcBorders>
      </w:tcPr>
    </w:tblStylePr>
    <w:tblStylePr w:type="band1Vert">
      <w:tcPr>
        <w:tcBorders>
          <w:left w:val="single" w:color="FFFFFF" w:sz="4" w:space="0"/>
          <w:right w:val="single" w:color="FFFFFF" w:sz="4" w:space="0"/>
        </w:tcBorders>
        <w:shd w:val="clear" w:color="FAC090" w:fill="FAC090"/>
      </w:tcPr>
    </w:tblStylePr>
    <w:tblStylePr w:type="band2Vert">
      <w:tcPr>
        <w:tcBorders>
          <w:left w:val="single" w:color="FFFFFF" w:sz="4" w:space="0"/>
          <w:right w:val="single" w:color="FFFFFF" w:sz="4" w:space="0"/>
        </w:tcBorders>
      </w:tcPr>
    </w:tblStylePr>
    <w:tblStylePr w:type="band1Horz">
      <w:tcPr>
        <w:tcBorders>
          <w:top w:val="single" w:color="FFFFFF" w:sz="4" w:space="0"/>
          <w:bottom w:val="single" w:color="FFFFFF" w:sz="4" w:space="0"/>
        </w:tcBorders>
        <w:shd w:val="clear" w:color="FAC090" w:fill="FAC090"/>
      </w:tcPr>
    </w:tblStylePr>
    <w:tblStylePr w:type="band2Horz">
      <w:tcPr>
        <w:tcBorders>
          <w:top w:val="single" w:color="FFFFFF" w:sz="4" w:space="0"/>
          <w:bottom w:val="single" w:color="FFFFFF" w:sz="4" w:space="0"/>
        </w:tcBorders>
        <w:shd w:val="clear" w:color="FAC090" w:fill="FAC090"/>
      </w:tcPr>
    </w:tblStylePr>
  </w:style>
  <w:style w:type="table" w:customStyle="1" w:styleId="132">
    <w:name w:val="清单表 6 彩色1"/>
    <w:basedOn w:val="32"/>
    <w:qFormat/>
    <w:uiPriority w:val="99"/>
    <w:tblPr>
      <w:tblBorders>
        <w:top w:val="single" w:color="7F7F7F" w:sz="4" w:space="0"/>
        <w:bottom w:val="single" w:color="7F7F7F" w:sz="4" w:space="0"/>
      </w:tblBorders>
      <w:tblCellMar>
        <w:top w:w="0" w:type="dxa"/>
        <w:left w:w="108" w:type="dxa"/>
        <w:bottom w:w="0" w:type="dxa"/>
        <w:right w:w="108" w:type="dxa"/>
      </w:tblCellMar>
    </w:tblPr>
    <w:tblStylePr w:type="firstRow">
      <w:rPr>
        <w:b/>
        <w:color w:val="000000"/>
      </w:rPr>
      <w:tcPr>
        <w:tcBorders>
          <w:bottom w:val="single" w:color="7F7F7F" w:sz="4" w:space="0"/>
        </w:tcBorders>
      </w:tcPr>
    </w:tblStylePr>
    <w:tblStylePr w:type="lastRow">
      <w:rPr>
        <w:b/>
        <w:color w:val="000000"/>
      </w:rPr>
      <w:tcPr>
        <w:tcBorders>
          <w:top w:val="single" w:color="7F7F7F" w:sz="4" w:space="0"/>
        </w:tcBorders>
      </w:tcPr>
    </w:tblStylePr>
    <w:tblStylePr w:type="firstCol">
      <w:rPr>
        <w:b/>
        <w:color w:val="000000"/>
      </w:rPr>
    </w:tblStylePr>
    <w:tblStylePr w:type="lastCol">
      <w:rPr>
        <w:b/>
        <w:color w:val="000000"/>
      </w:rPr>
    </w:tblStylePr>
    <w:tblStylePr w:type="band1Vert">
      <w:tcPr>
        <w:shd w:val="clear" w:color="BFBFBF" w:fill="BFBFBF"/>
      </w:tcPr>
    </w:tblStylePr>
    <w:tblStylePr w:type="band1Horz">
      <w:rPr>
        <w:rFonts w:ascii="Arial" w:hAnsi="Arial"/>
        <w:color w:val="000000"/>
        <w:sz w:val="22"/>
      </w:rPr>
      <w:tcPr>
        <w:shd w:val="clear" w:color="BFBFBF" w:fill="BFBFBF"/>
      </w:tcPr>
    </w:tblStylePr>
    <w:tblStylePr w:type="band2Horz">
      <w:rPr>
        <w:rFonts w:ascii="Arial" w:hAnsi="Arial"/>
        <w:color w:val="000000"/>
        <w:sz w:val="22"/>
      </w:rPr>
    </w:tblStylePr>
  </w:style>
  <w:style w:type="table" w:customStyle="1" w:styleId="133">
    <w:name w:val="List Table 6 Colorful - Accent 1"/>
    <w:basedOn w:val="32"/>
    <w:qFormat/>
    <w:uiPriority w:val="99"/>
    <w:tblPr>
      <w:tblBorders>
        <w:top w:val="single" w:color="4F81BD" w:sz="4" w:space="0"/>
        <w:bottom w:val="single" w:color="4F81BD" w:sz="4" w:space="0"/>
      </w:tblBorders>
      <w:tblCellMar>
        <w:top w:w="0" w:type="dxa"/>
        <w:left w:w="108" w:type="dxa"/>
        <w:bottom w:w="0" w:type="dxa"/>
        <w:right w:w="108" w:type="dxa"/>
      </w:tblCellMar>
    </w:tblPr>
    <w:tblStylePr w:type="firstRow">
      <w:rPr>
        <w:b/>
        <w:color w:val="2A4A71"/>
      </w:rPr>
      <w:tcPr>
        <w:tcBorders>
          <w:bottom w:val="single" w:color="4F81BD" w:sz="4" w:space="0"/>
        </w:tcBorders>
      </w:tcPr>
    </w:tblStylePr>
    <w:tblStylePr w:type="lastRow">
      <w:rPr>
        <w:b/>
        <w:color w:val="2A4A71"/>
      </w:rPr>
      <w:tcPr>
        <w:tcBorders>
          <w:top w:val="single" w:color="4F81BD" w:sz="4" w:space="0"/>
        </w:tcBorders>
      </w:tcPr>
    </w:tblStylePr>
    <w:tblStylePr w:type="firstCol">
      <w:rPr>
        <w:b/>
        <w:color w:val="2A4A71"/>
      </w:rPr>
    </w:tblStylePr>
    <w:tblStylePr w:type="lastCol">
      <w:rPr>
        <w:b/>
        <w:color w:val="2A4A71"/>
      </w:rPr>
    </w:tblStylePr>
    <w:tblStylePr w:type="band1Vert">
      <w:tcPr>
        <w:shd w:val="clear" w:color="D2DFEE" w:fill="D2DFEE"/>
      </w:tcPr>
    </w:tblStylePr>
    <w:tblStylePr w:type="band1Horz">
      <w:rPr>
        <w:rFonts w:ascii="Arial" w:hAnsi="Arial"/>
        <w:color w:val="2A4A71"/>
        <w:sz w:val="22"/>
      </w:rPr>
      <w:tcPr>
        <w:shd w:val="clear" w:color="D2DFEE" w:fill="D2DFEE"/>
      </w:tcPr>
    </w:tblStylePr>
    <w:tblStylePr w:type="band2Horz">
      <w:rPr>
        <w:rFonts w:ascii="Arial" w:hAnsi="Arial"/>
        <w:color w:val="2A4A71"/>
        <w:sz w:val="22"/>
      </w:rPr>
    </w:tblStylePr>
  </w:style>
  <w:style w:type="table" w:customStyle="1" w:styleId="134">
    <w:name w:val="List Table 6 Colorful - Accent 2"/>
    <w:basedOn w:val="32"/>
    <w:qFormat/>
    <w:uiPriority w:val="99"/>
    <w:tblPr>
      <w:tblBorders>
        <w:top w:val="single" w:color="D99695" w:sz="4" w:space="0"/>
        <w:bottom w:val="single" w:color="D99695" w:sz="4" w:space="0"/>
      </w:tblBorders>
      <w:tblCellMar>
        <w:top w:w="0" w:type="dxa"/>
        <w:left w:w="108" w:type="dxa"/>
        <w:bottom w:w="0" w:type="dxa"/>
        <w:right w:w="108" w:type="dxa"/>
      </w:tblCellMar>
    </w:tblPr>
    <w:tblStylePr w:type="firstRow">
      <w:rPr>
        <w:b/>
        <w:color w:val="D99695"/>
      </w:rPr>
      <w:tcPr>
        <w:tcBorders>
          <w:bottom w:val="single" w:color="D99695" w:sz="4" w:space="0"/>
        </w:tcBorders>
      </w:tcPr>
    </w:tblStylePr>
    <w:tblStylePr w:type="lastRow">
      <w:rPr>
        <w:b/>
        <w:color w:val="D99695"/>
      </w:rPr>
      <w:tcPr>
        <w:tcBorders>
          <w:top w:val="single" w:color="D99695" w:sz="4" w:space="0"/>
        </w:tcBorders>
      </w:tcPr>
    </w:tblStylePr>
    <w:tblStylePr w:type="firstCol">
      <w:rPr>
        <w:b/>
        <w:color w:val="D99695"/>
      </w:rPr>
    </w:tblStylePr>
    <w:tblStylePr w:type="lastCol">
      <w:rPr>
        <w:b/>
        <w:color w:val="D99695"/>
      </w:rPr>
    </w:tblStylePr>
    <w:tblStylePr w:type="band1Vert">
      <w:tcPr>
        <w:shd w:val="clear" w:color="EFD2D2" w:fill="EFD2D2"/>
      </w:tcPr>
    </w:tblStylePr>
    <w:tblStylePr w:type="band1Horz">
      <w:rPr>
        <w:rFonts w:ascii="Arial" w:hAnsi="Arial"/>
        <w:color w:val="D99695"/>
        <w:sz w:val="22"/>
      </w:rPr>
      <w:tcPr>
        <w:shd w:val="clear" w:color="EFD2D2" w:fill="EFD2D2"/>
      </w:tcPr>
    </w:tblStylePr>
    <w:tblStylePr w:type="band2Horz">
      <w:rPr>
        <w:rFonts w:ascii="Arial" w:hAnsi="Arial"/>
        <w:color w:val="D99695"/>
        <w:sz w:val="22"/>
      </w:rPr>
    </w:tblStylePr>
  </w:style>
  <w:style w:type="table" w:customStyle="1" w:styleId="135">
    <w:name w:val="List Table 6 Colorful - Accent 3"/>
    <w:basedOn w:val="32"/>
    <w:qFormat/>
    <w:uiPriority w:val="99"/>
    <w:tblPr>
      <w:tblBorders>
        <w:top w:val="single" w:color="C3D69B" w:sz="4" w:space="0"/>
        <w:bottom w:val="single" w:color="C3D69B" w:sz="4" w:space="0"/>
      </w:tblBorders>
      <w:tblCellMar>
        <w:top w:w="0" w:type="dxa"/>
        <w:left w:w="108" w:type="dxa"/>
        <w:bottom w:w="0" w:type="dxa"/>
        <w:right w:w="108" w:type="dxa"/>
      </w:tblCellMar>
    </w:tblPr>
    <w:tblStylePr w:type="firstRow">
      <w:rPr>
        <w:b/>
        <w:color w:val="C3D69B"/>
      </w:rPr>
      <w:tcPr>
        <w:tcBorders>
          <w:bottom w:val="single" w:color="C3D69B" w:sz="4" w:space="0"/>
        </w:tcBorders>
      </w:tcPr>
    </w:tblStylePr>
    <w:tblStylePr w:type="lastRow">
      <w:rPr>
        <w:b/>
        <w:color w:val="C3D69B"/>
      </w:rPr>
      <w:tcPr>
        <w:tcBorders>
          <w:top w:val="single" w:color="C3D69B" w:sz="4" w:space="0"/>
        </w:tcBorders>
      </w:tcPr>
    </w:tblStylePr>
    <w:tblStylePr w:type="firstCol">
      <w:rPr>
        <w:b/>
        <w:color w:val="C3D69B"/>
      </w:rPr>
    </w:tblStylePr>
    <w:tblStylePr w:type="lastCol">
      <w:rPr>
        <w:b/>
        <w:color w:val="C3D69B"/>
      </w:rPr>
    </w:tblStylePr>
    <w:tblStylePr w:type="band1Vert">
      <w:tcPr>
        <w:shd w:val="clear" w:color="E5EED5" w:fill="E5EED5"/>
      </w:tcPr>
    </w:tblStylePr>
    <w:tblStylePr w:type="band1Horz">
      <w:rPr>
        <w:rFonts w:ascii="Arial" w:hAnsi="Arial"/>
        <w:color w:val="C3D69B"/>
        <w:sz w:val="22"/>
      </w:rPr>
      <w:tcPr>
        <w:shd w:val="clear" w:color="E5EED5" w:fill="E5EED5"/>
      </w:tcPr>
    </w:tblStylePr>
    <w:tblStylePr w:type="band2Horz">
      <w:rPr>
        <w:rFonts w:ascii="Arial" w:hAnsi="Arial"/>
        <w:color w:val="C3D69B"/>
        <w:sz w:val="22"/>
      </w:rPr>
    </w:tblStylePr>
  </w:style>
  <w:style w:type="table" w:customStyle="1" w:styleId="136">
    <w:name w:val="List Table 6 Colorful - Accent 4"/>
    <w:basedOn w:val="32"/>
    <w:qFormat/>
    <w:uiPriority w:val="99"/>
    <w:tblPr>
      <w:tblBorders>
        <w:top w:val="single" w:color="B2A1C6" w:sz="4" w:space="0"/>
        <w:bottom w:val="single" w:color="B2A1C6" w:sz="4" w:space="0"/>
      </w:tblBorders>
      <w:tblCellMar>
        <w:top w:w="0" w:type="dxa"/>
        <w:left w:w="108" w:type="dxa"/>
        <w:bottom w:w="0" w:type="dxa"/>
        <w:right w:w="108" w:type="dxa"/>
      </w:tblCellMar>
    </w:tblPr>
    <w:tblStylePr w:type="firstRow">
      <w:rPr>
        <w:b/>
        <w:color w:val="B2A1C6"/>
      </w:rPr>
      <w:tcPr>
        <w:tcBorders>
          <w:bottom w:val="single" w:color="B2A1C6" w:sz="4" w:space="0"/>
        </w:tcBorders>
      </w:tcPr>
    </w:tblStylePr>
    <w:tblStylePr w:type="lastRow">
      <w:rPr>
        <w:b/>
        <w:color w:val="B2A1C6"/>
      </w:rPr>
      <w:tcPr>
        <w:tcBorders>
          <w:top w:val="single" w:color="B2A1C6" w:sz="4" w:space="0"/>
        </w:tcBorders>
      </w:tcPr>
    </w:tblStylePr>
    <w:tblStylePr w:type="firstCol">
      <w:rPr>
        <w:b/>
        <w:color w:val="B2A1C6"/>
      </w:rPr>
    </w:tblStylePr>
    <w:tblStylePr w:type="lastCol">
      <w:rPr>
        <w:b/>
        <w:color w:val="B2A1C6"/>
      </w:rPr>
    </w:tblStylePr>
    <w:tblStylePr w:type="band1Vert">
      <w:tcPr>
        <w:shd w:val="clear" w:color="DFD8E7" w:fill="DFD8E7"/>
      </w:tcPr>
    </w:tblStylePr>
    <w:tblStylePr w:type="band1Horz">
      <w:rPr>
        <w:rFonts w:ascii="Arial" w:hAnsi="Arial"/>
        <w:color w:val="B2A1C6"/>
        <w:sz w:val="22"/>
      </w:rPr>
      <w:tcPr>
        <w:shd w:val="clear" w:color="DFD8E7" w:fill="DFD8E7"/>
      </w:tcPr>
    </w:tblStylePr>
    <w:tblStylePr w:type="band2Horz">
      <w:rPr>
        <w:rFonts w:ascii="Arial" w:hAnsi="Arial"/>
        <w:color w:val="B2A1C6"/>
        <w:sz w:val="22"/>
      </w:rPr>
    </w:tblStylePr>
  </w:style>
  <w:style w:type="table" w:customStyle="1" w:styleId="137">
    <w:name w:val="List Table 6 Colorful - Accent 5"/>
    <w:basedOn w:val="32"/>
    <w:qFormat/>
    <w:uiPriority w:val="99"/>
    <w:tblPr>
      <w:tblBorders>
        <w:top w:val="single" w:color="92CCDC" w:sz="4" w:space="0"/>
        <w:bottom w:val="single" w:color="92CCDC" w:sz="4" w:space="0"/>
      </w:tblBorders>
      <w:tblCellMar>
        <w:top w:w="0" w:type="dxa"/>
        <w:left w:w="108" w:type="dxa"/>
        <w:bottom w:w="0" w:type="dxa"/>
        <w:right w:w="108" w:type="dxa"/>
      </w:tblCellMar>
    </w:tblPr>
    <w:tblStylePr w:type="firstRow">
      <w:rPr>
        <w:b/>
        <w:color w:val="92CCDC"/>
      </w:rPr>
      <w:tcPr>
        <w:tcBorders>
          <w:bottom w:val="single" w:color="92CCDC" w:sz="4" w:space="0"/>
        </w:tcBorders>
      </w:tcPr>
    </w:tblStylePr>
    <w:tblStylePr w:type="lastRow">
      <w:rPr>
        <w:b/>
        <w:color w:val="92CCDC"/>
      </w:rPr>
      <w:tcPr>
        <w:tcBorders>
          <w:top w:val="single" w:color="92CCDC" w:sz="4" w:space="0"/>
        </w:tcBorders>
      </w:tcPr>
    </w:tblStylePr>
    <w:tblStylePr w:type="firstCol">
      <w:rPr>
        <w:b/>
        <w:color w:val="92CCDC"/>
      </w:rPr>
    </w:tblStylePr>
    <w:tblStylePr w:type="lastCol">
      <w:rPr>
        <w:b/>
        <w:color w:val="92CCDC"/>
      </w:rPr>
    </w:tblStylePr>
    <w:tblStylePr w:type="band1Vert">
      <w:tcPr>
        <w:shd w:val="clear" w:color="D1EAF0" w:fill="D1EAF0"/>
      </w:tcPr>
    </w:tblStylePr>
    <w:tblStylePr w:type="band1Horz">
      <w:rPr>
        <w:rFonts w:ascii="Arial" w:hAnsi="Arial"/>
        <w:color w:val="92CCDC"/>
        <w:sz w:val="22"/>
      </w:rPr>
      <w:tcPr>
        <w:shd w:val="clear" w:color="D1EAF0" w:fill="D1EAF0"/>
      </w:tcPr>
    </w:tblStylePr>
    <w:tblStylePr w:type="band2Horz">
      <w:rPr>
        <w:rFonts w:ascii="Arial" w:hAnsi="Arial"/>
        <w:color w:val="92CCDC"/>
        <w:sz w:val="22"/>
      </w:rPr>
    </w:tblStylePr>
  </w:style>
  <w:style w:type="table" w:customStyle="1" w:styleId="138">
    <w:name w:val="List Table 6 Colorful - Accent 6"/>
    <w:basedOn w:val="32"/>
    <w:qFormat/>
    <w:uiPriority w:val="99"/>
    <w:tblPr>
      <w:tblBorders>
        <w:top w:val="single" w:color="FAC090" w:sz="4" w:space="0"/>
        <w:bottom w:val="single" w:color="FAC090" w:sz="4" w:space="0"/>
      </w:tblBorders>
      <w:tblCellMar>
        <w:top w:w="0" w:type="dxa"/>
        <w:left w:w="108" w:type="dxa"/>
        <w:bottom w:w="0" w:type="dxa"/>
        <w:right w:w="108" w:type="dxa"/>
      </w:tblCellMar>
    </w:tblPr>
    <w:tblStylePr w:type="firstRow">
      <w:rPr>
        <w:b/>
        <w:color w:val="FAC090"/>
      </w:rPr>
      <w:tcPr>
        <w:tcBorders>
          <w:bottom w:val="single" w:color="FAC090" w:sz="4" w:space="0"/>
        </w:tcBorders>
      </w:tcPr>
    </w:tblStylePr>
    <w:tblStylePr w:type="lastRow">
      <w:rPr>
        <w:b/>
        <w:color w:val="FAC090"/>
      </w:rPr>
      <w:tcPr>
        <w:tcBorders>
          <w:top w:val="single" w:color="FAC090" w:sz="4" w:space="0"/>
        </w:tcBorders>
      </w:tcPr>
    </w:tblStylePr>
    <w:tblStylePr w:type="firstCol">
      <w:rPr>
        <w:b/>
        <w:color w:val="FAC090"/>
      </w:rPr>
    </w:tblStylePr>
    <w:tblStylePr w:type="lastCol">
      <w:rPr>
        <w:b/>
        <w:color w:val="FAC090"/>
      </w:rPr>
    </w:tblStylePr>
    <w:tblStylePr w:type="band1Vert">
      <w:tcPr>
        <w:shd w:val="clear" w:color="FDE4D0" w:fill="FDE4D0"/>
      </w:tcPr>
    </w:tblStylePr>
    <w:tblStylePr w:type="band1Horz">
      <w:rPr>
        <w:rFonts w:ascii="Arial" w:hAnsi="Arial"/>
        <w:color w:val="FAC090"/>
        <w:sz w:val="22"/>
      </w:rPr>
      <w:tcPr>
        <w:shd w:val="clear" w:color="FDE4D0" w:fill="FDE4D0"/>
      </w:tcPr>
    </w:tblStylePr>
    <w:tblStylePr w:type="band2Horz">
      <w:rPr>
        <w:rFonts w:ascii="Arial" w:hAnsi="Arial"/>
        <w:color w:val="FAC090"/>
        <w:sz w:val="22"/>
      </w:rPr>
    </w:tblStylePr>
  </w:style>
  <w:style w:type="table" w:customStyle="1" w:styleId="139">
    <w:name w:val="清单表 7 彩色1"/>
    <w:basedOn w:val="32"/>
    <w:qFormat/>
    <w:uiPriority w:val="99"/>
    <w:tblPr>
      <w:tblBorders>
        <w:right w:val="single" w:color="7F7F7F" w:sz="4" w:space="0"/>
      </w:tblBorders>
      <w:tblCellMar>
        <w:top w:w="0" w:type="dxa"/>
        <w:left w:w="108" w:type="dxa"/>
        <w:bottom w:w="0" w:type="dxa"/>
        <w:right w:w="108" w:type="dxa"/>
      </w:tblCellMar>
    </w:tblPr>
    <w:tblStylePr w:type="firstRow">
      <w:rPr>
        <w:rFonts w:ascii="Arial" w:hAnsi="Arial"/>
        <w:i/>
        <w:color w:val="7F7F7F"/>
        <w:sz w:val="22"/>
      </w:rPr>
      <w:tcPr>
        <w:tcBorders>
          <w:top w:val="nil"/>
          <w:left w:val="nil"/>
          <w:bottom w:val="single" w:color="7F7F7F" w:sz="4" w:space="0"/>
          <w:right w:val="nil"/>
        </w:tcBorders>
        <w:shd w:val="clear" w:color="FFFFFF" w:fill="FFFFFF"/>
      </w:tcPr>
    </w:tblStylePr>
    <w:tblStylePr w:type="lastRow">
      <w:rPr>
        <w:rFonts w:ascii="Arial" w:hAnsi="Arial"/>
        <w:i/>
        <w:color w:val="7F7F7F"/>
        <w:sz w:val="22"/>
      </w:rPr>
      <w:tcPr>
        <w:tcBorders>
          <w:top w:val="single" w:color="7F7F7F" w:sz="4" w:space="0"/>
          <w:left w:val="nil"/>
          <w:bottom w:val="nil"/>
          <w:right w:val="nil"/>
        </w:tcBorders>
        <w:shd w:val="clear" w:color="FFFFFF" w:fill="FFFFFF"/>
      </w:tcPr>
    </w:tblStylePr>
    <w:tblStylePr w:type="firstCol">
      <w:pPr>
        <w:jc w:val="right"/>
      </w:pPr>
      <w:rPr>
        <w:rFonts w:ascii="Arial" w:hAnsi="Arial"/>
        <w:i/>
        <w:color w:val="7F7F7F"/>
        <w:sz w:val="22"/>
      </w:rPr>
      <w:tcPr>
        <w:tcBorders>
          <w:top w:val="nil"/>
          <w:left w:val="nil"/>
          <w:bottom w:val="nil"/>
          <w:right w:val="single" w:color="7F7F7F" w:sz="4" w:space="0"/>
        </w:tcBorders>
        <w:shd w:val="clear" w:color="FFFFFF" w:fill="auto"/>
      </w:tcPr>
    </w:tblStylePr>
    <w:tblStylePr w:type="lastCol">
      <w:rPr>
        <w:rFonts w:ascii="Arial" w:hAnsi="Arial"/>
        <w:i/>
        <w:color w:val="7F7F7F"/>
        <w:sz w:val="22"/>
      </w:rPr>
      <w:tcPr>
        <w:tcBorders>
          <w:top w:val="nil"/>
          <w:left w:val="single" w:color="7F7F7F" w:sz="4" w:space="0"/>
          <w:bottom w:val="nil"/>
          <w:right w:val="nil"/>
        </w:tcBorders>
        <w:shd w:val="clear" w:color="FFFFFF" w:fill="auto"/>
      </w:tcPr>
    </w:tblStylePr>
    <w:tblStylePr w:type="band1Vert">
      <w:tcPr>
        <w:shd w:val="clear" w:color="BFBFBF" w:fill="BFBFBF"/>
      </w:tcPr>
    </w:tblStylePr>
    <w:tblStylePr w:type="band1Horz">
      <w:rPr>
        <w:rFonts w:ascii="Arial" w:hAnsi="Arial"/>
        <w:color w:val="7F7F7F"/>
        <w:sz w:val="22"/>
      </w:rPr>
      <w:tcPr>
        <w:shd w:val="clear" w:color="BFBFBF" w:fill="BFBFBF"/>
      </w:tcPr>
    </w:tblStylePr>
    <w:tblStylePr w:type="band2Horz">
      <w:rPr>
        <w:rFonts w:ascii="Arial" w:hAnsi="Arial"/>
        <w:color w:val="7F7F7F"/>
        <w:sz w:val="22"/>
      </w:rPr>
    </w:tblStylePr>
  </w:style>
  <w:style w:type="table" w:customStyle="1" w:styleId="140">
    <w:name w:val="List Table 7 Colorful - Accent 1"/>
    <w:basedOn w:val="32"/>
    <w:qFormat/>
    <w:uiPriority w:val="99"/>
    <w:tblPr>
      <w:tblBorders>
        <w:right w:val="single" w:color="4F81BD" w:sz="4" w:space="0"/>
      </w:tblBorders>
      <w:tblCellMar>
        <w:top w:w="0" w:type="dxa"/>
        <w:left w:w="108" w:type="dxa"/>
        <w:bottom w:w="0" w:type="dxa"/>
        <w:right w:w="108" w:type="dxa"/>
      </w:tblCellMar>
    </w:tblPr>
    <w:tblStylePr w:type="firstRow">
      <w:rPr>
        <w:rFonts w:ascii="Arial" w:hAnsi="Arial"/>
        <w:i/>
        <w:color w:val="2A4A71"/>
        <w:sz w:val="22"/>
      </w:rPr>
      <w:tcPr>
        <w:tcBorders>
          <w:top w:val="nil"/>
          <w:left w:val="nil"/>
          <w:bottom w:val="single" w:color="4F81BD" w:sz="4" w:space="0"/>
          <w:right w:val="nil"/>
        </w:tcBorders>
        <w:shd w:val="clear" w:color="FFFFFF" w:fill="FFFFFF"/>
      </w:tcPr>
    </w:tblStylePr>
    <w:tblStylePr w:type="lastRow">
      <w:rPr>
        <w:rFonts w:ascii="Arial" w:hAnsi="Arial"/>
        <w:i/>
        <w:color w:val="2A4A71"/>
        <w:sz w:val="22"/>
      </w:rPr>
      <w:tcPr>
        <w:tcBorders>
          <w:top w:val="single" w:color="4F81BD" w:sz="4" w:space="0"/>
          <w:left w:val="nil"/>
          <w:bottom w:val="nil"/>
          <w:right w:val="nil"/>
        </w:tcBorders>
        <w:shd w:val="clear" w:color="FFFFFF" w:fill="FFFFFF"/>
      </w:tcPr>
    </w:tblStylePr>
    <w:tblStylePr w:type="firstCol">
      <w:pPr>
        <w:jc w:val="right"/>
      </w:pPr>
      <w:rPr>
        <w:rFonts w:ascii="Arial" w:hAnsi="Arial"/>
        <w:i/>
        <w:color w:val="2A4A71"/>
        <w:sz w:val="22"/>
      </w:rPr>
      <w:tcPr>
        <w:tcBorders>
          <w:top w:val="nil"/>
          <w:left w:val="nil"/>
          <w:bottom w:val="nil"/>
          <w:right w:val="single" w:color="4F81BD" w:sz="4" w:space="0"/>
        </w:tcBorders>
        <w:shd w:val="clear" w:color="FFFFFF" w:fill="auto"/>
      </w:tcPr>
    </w:tblStylePr>
    <w:tblStylePr w:type="lastCol">
      <w:rPr>
        <w:rFonts w:ascii="Arial" w:hAnsi="Arial"/>
        <w:i/>
        <w:color w:val="2A4A71"/>
        <w:sz w:val="22"/>
      </w:rPr>
      <w:tcPr>
        <w:tcBorders>
          <w:top w:val="nil"/>
          <w:left w:val="single" w:color="4F81BD" w:sz="4" w:space="0"/>
          <w:bottom w:val="nil"/>
          <w:right w:val="nil"/>
        </w:tcBorders>
        <w:shd w:val="clear" w:color="FFFFFF" w:fill="auto"/>
      </w:tcPr>
    </w:tblStylePr>
    <w:tblStylePr w:type="band1Vert">
      <w:tcPr>
        <w:shd w:val="clear" w:color="D2DFEE" w:fill="D2DFEE"/>
      </w:tcPr>
    </w:tblStylePr>
    <w:tblStylePr w:type="band1Horz">
      <w:rPr>
        <w:rFonts w:ascii="Arial" w:hAnsi="Arial"/>
        <w:color w:val="2A4A71"/>
        <w:sz w:val="22"/>
      </w:rPr>
      <w:tcPr>
        <w:shd w:val="clear" w:color="D2DFEE" w:fill="D2DFEE"/>
      </w:tcPr>
    </w:tblStylePr>
    <w:tblStylePr w:type="band2Horz">
      <w:rPr>
        <w:rFonts w:ascii="Arial" w:hAnsi="Arial"/>
        <w:color w:val="2A4A71"/>
        <w:sz w:val="22"/>
      </w:rPr>
    </w:tblStylePr>
  </w:style>
  <w:style w:type="table" w:customStyle="1" w:styleId="141">
    <w:name w:val="List Table 7 Colorful - Accent 2"/>
    <w:basedOn w:val="32"/>
    <w:qFormat/>
    <w:uiPriority w:val="99"/>
    <w:tblPr>
      <w:tblBorders>
        <w:right w:val="single" w:color="D99695" w:sz="4" w:space="0"/>
      </w:tblBorders>
      <w:tblCellMar>
        <w:top w:w="0" w:type="dxa"/>
        <w:left w:w="108" w:type="dxa"/>
        <w:bottom w:w="0" w:type="dxa"/>
        <w:right w:w="108" w:type="dxa"/>
      </w:tblCellMar>
    </w:tblPr>
    <w:tblStylePr w:type="firstRow">
      <w:rPr>
        <w:rFonts w:ascii="Arial" w:hAnsi="Arial"/>
        <w:i/>
        <w:color w:val="D99695"/>
        <w:sz w:val="22"/>
      </w:rPr>
      <w:tcPr>
        <w:tcBorders>
          <w:top w:val="nil"/>
          <w:left w:val="nil"/>
          <w:bottom w:val="single" w:color="D99695" w:sz="4" w:space="0"/>
          <w:right w:val="nil"/>
        </w:tcBorders>
        <w:shd w:val="clear" w:color="FFFFFF" w:fill="FFFFFF"/>
      </w:tcPr>
    </w:tblStylePr>
    <w:tblStylePr w:type="lastRow">
      <w:rPr>
        <w:rFonts w:ascii="Arial" w:hAnsi="Arial"/>
        <w:i/>
        <w:color w:val="D99695"/>
        <w:sz w:val="22"/>
      </w:rPr>
      <w:tcPr>
        <w:tcBorders>
          <w:top w:val="single" w:color="D99695" w:sz="4" w:space="0"/>
          <w:left w:val="nil"/>
          <w:bottom w:val="nil"/>
          <w:right w:val="nil"/>
        </w:tcBorders>
        <w:shd w:val="clear" w:color="FFFFFF" w:fill="FFFFFF"/>
      </w:tcPr>
    </w:tblStylePr>
    <w:tblStylePr w:type="firstCol">
      <w:pPr>
        <w:jc w:val="right"/>
      </w:pPr>
      <w:rPr>
        <w:rFonts w:ascii="Arial" w:hAnsi="Arial"/>
        <w:i/>
        <w:color w:val="D99695"/>
        <w:sz w:val="22"/>
      </w:rPr>
      <w:tcPr>
        <w:tcBorders>
          <w:top w:val="nil"/>
          <w:left w:val="nil"/>
          <w:bottom w:val="nil"/>
          <w:right w:val="single" w:color="D99695" w:sz="4" w:space="0"/>
        </w:tcBorders>
        <w:shd w:val="clear" w:color="FFFFFF" w:fill="auto"/>
      </w:tcPr>
    </w:tblStylePr>
    <w:tblStylePr w:type="lastCol">
      <w:rPr>
        <w:rFonts w:ascii="Arial" w:hAnsi="Arial"/>
        <w:i/>
        <w:color w:val="D99695"/>
        <w:sz w:val="22"/>
      </w:rPr>
      <w:tcPr>
        <w:tcBorders>
          <w:top w:val="nil"/>
          <w:left w:val="single" w:color="D99695" w:sz="4" w:space="0"/>
          <w:bottom w:val="nil"/>
          <w:right w:val="nil"/>
        </w:tcBorders>
        <w:shd w:val="clear" w:color="FFFFFF" w:fill="auto"/>
      </w:tcPr>
    </w:tblStylePr>
    <w:tblStylePr w:type="band1Vert">
      <w:tcPr>
        <w:shd w:val="clear" w:color="EFD2D2" w:fill="EFD2D2"/>
      </w:tcPr>
    </w:tblStylePr>
    <w:tblStylePr w:type="band1Horz">
      <w:rPr>
        <w:rFonts w:ascii="Arial" w:hAnsi="Arial"/>
        <w:color w:val="D99695"/>
        <w:sz w:val="22"/>
      </w:rPr>
      <w:tcPr>
        <w:shd w:val="clear" w:color="EFD2D2" w:fill="EFD2D2"/>
      </w:tcPr>
    </w:tblStylePr>
    <w:tblStylePr w:type="band2Horz">
      <w:rPr>
        <w:rFonts w:ascii="Arial" w:hAnsi="Arial"/>
        <w:color w:val="D99695"/>
        <w:sz w:val="22"/>
      </w:rPr>
    </w:tblStylePr>
  </w:style>
  <w:style w:type="table" w:customStyle="1" w:styleId="142">
    <w:name w:val="List Table 7 Colorful - Accent 3"/>
    <w:basedOn w:val="32"/>
    <w:qFormat/>
    <w:uiPriority w:val="99"/>
    <w:tblPr>
      <w:tblBorders>
        <w:right w:val="single" w:color="C3D69B" w:sz="4" w:space="0"/>
      </w:tblBorders>
      <w:tblCellMar>
        <w:top w:w="0" w:type="dxa"/>
        <w:left w:w="108" w:type="dxa"/>
        <w:bottom w:w="0" w:type="dxa"/>
        <w:right w:w="108" w:type="dxa"/>
      </w:tblCellMar>
    </w:tblPr>
    <w:tblStylePr w:type="firstRow">
      <w:rPr>
        <w:rFonts w:ascii="Arial" w:hAnsi="Arial"/>
        <w:i/>
        <w:color w:val="C3D69B"/>
        <w:sz w:val="22"/>
      </w:rPr>
      <w:tcPr>
        <w:tcBorders>
          <w:top w:val="nil"/>
          <w:left w:val="nil"/>
          <w:bottom w:val="single" w:color="C3D69B" w:sz="4" w:space="0"/>
          <w:right w:val="nil"/>
        </w:tcBorders>
        <w:shd w:val="clear" w:color="FFFFFF" w:fill="FFFFFF"/>
      </w:tcPr>
    </w:tblStylePr>
    <w:tblStylePr w:type="lastRow">
      <w:rPr>
        <w:rFonts w:ascii="Arial" w:hAnsi="Arial"/>
        <w:i/>
        <w:color w:val="C3D69B"/>
        <w:sz w:val="22"/>
      </w:rPr>
      <w:tcPr>
        <w:tcBorders>
          <w:top w:val="single" w:color="C3D69B" w:sz="4" w:space="0"/>
          <w:left w:val="nil"/>
          <w:bottom w:val="nil"/>
          <w:right w:val="nil"/>
        </w:tcBorders>
        <w:shd w:val="clear" w:color="FFFFFF" w:fill="FFFFFF"/>
      </w:tcPr>
    </w:tblStylePr>
    <w:tblStylePr w:type="firstCol">
      <w:pPr>
        <w:jc w:val="right"/>
      </w:pPr>
      <w:rPr>
        <w:rFonts w:ascii="Arial" w:hAnsi="Arial"/>
        <w:i/>
        <w:color w:val="C3D69B"/>
        <w:sz w:val="22"/>
      </w:rPr>
      <w:tcPr>
        <w:tcBorders>
          <w:top w:val="nil"/>
          <w:left w:val="nil"/>
          <w:bottom w:val="nil"/>
          <w:right w:val="single" w:color="C3D69B" w:sz="4" w:space="0"/>
        </w:tcBorders>
        <w:shd w:val="clear" w:color="FFFFFF" w:fill="auto"/>
      </w:tcPr>
    </w:tblStylePr>
    <w:tblStylePr w:type="lastCol">
      <w:rPr>
        <w:rFonts w:ascii="Arial" w:hAnsi="Arial"/>
        <w:i/>
        <w:color w:val="C3D69B"/>
        <w:sz w:val="22"/>
      </w:rPr>
      <w:tcPr>
        <w:tcBorders>
          <w:top w:val="nil"/>
          <w:left w:val="single" w:color="C3D69B" w:sz="4" w:space="0"/>
          <w:bottom w:val="nil"/>
          <w:right w:val="nil"/>
        </w:tcBorders>
        <w:shd w:val="clear" w:color="FFFFFF" w:fill="auto"/>
      </w:tcPr>
    </w:tblStylePr>
    <w:tblStylePr w:type="band1Vert">
      <w:tcPr>
        <w:shd w:val="clear" w:color="E5EED5" w:fill="E5EED5"/>
      </w:tcPr>
    </w:tblStylePr>
    <w:tblStylePr w:type="band1Horz">
      <w:rPr>
        <w:rFonts w:ascii="Arial" w:hAnsi="Arial"/>
        <w:color w:val="C3D69B"/>
        <w:sz w:val="22"/>
      </w:rPr>
      <w:tcPr>
        <w:shd w:val="clear" w:color="E5EED5" w:fill="E5EED5"/>
      </w:tcPr>
    </w:tblStylePr>
    <w:tblStylePr w:type="band2Horz">
      <w:rPr>
        <w:rFonts w:ascii="Arial" w:hAnsi="Arial"/>
        <w:color w:val="C3D69B"/>
        <w:sz w:val="22"/>
      </w:rPr>
    </w:tblStylePr>
  </w:style>
  <w:style w:type="table" w:customStyle="1" w:styleId="143">
    <w:name w:val="List Table 7 Colorful - Accent 4"/>
    <w:basedOn w:val="32"/>
    <w:qFormat/>
    <w:uiPriority w:val="99"/>
    <w:tblPr>
      <w:tblBorders>
        <w:right w:val="single" w:color="B2A1C6" w:sz="4" w:space="0"/>
      </w:tblBorders>
      <w:tblCellMar>
        <w:top w:w="0" w:type="dxa"/>
        <w:left w:w="108" w:type="dxa"/>
        <w:bottom w:w="0" w:type="dxa"/>
        <w:right w:w="108" w:type="dxa"/>
      </w:tblCellMar>
    </w:tblPr>
    <w:tblStylePr w:type="firstRow">
      <w:rPr>
        <w:rFonts w:ascii="Arial" w:hAnsi="Arial"/>
        <w:i/>
        <w:color w:val="B2A1C6"/>
        <w:sz w:val="22"/>
      </w:rPr>
      <w:tcPr>
        <w:tcBorders>
          <w:top w:val="nil"/>
          <w:left w:val="nil"/>
          <w:bottom w:val="single" w:color="B2A1C6" w:sz="4" w:space="0"/>
          <w:right w:val="nil"/>
        </w:tcBorders>
        <w:shd w:val="clear" w:color="FFFFFF" w:fill="FFFFFF"/>
      </w:tcPr>
    </w:tblStylePr>
    <w:tblStylePr w:type="lastRow">
      <w:rPr>
        <w:rFonts w:ascii="Arial" w:hAnsi="Arial"/>
        <w:i/>
        <w:color w:val="B2A1C6"/>
        <w:sz w:val="22"/>
      </w:rPr>
      <w:tcPr>
        <w:tcBorders>
          <w:top w:val="single" w:color="B2A1C6" w:sz="4" w:space="0"/>
          <w:left w:val="nil"/>
          <w:bottom w:val="nil"/>
          <w:right w:val="nil"/>
        </w:tcBorders>
        <w:shd w:val="clear" w:color="FFFFFF" w:fill="FFFFFF"/>
      </w:tcPr>
    </w:tblStylePr>
    <w:tblStylePr w:type="firstCol">
      <w:pPr>
        <w:jc w:val="right"/>
      </w:pPr>
      <w:rPr>
        <w:rFonts w:ascii="Arial" w:hAnsi="Arial"/>
        <w:i/>
        <w:color w:val="B2A1C6"/>
        <w:sz w:val="22"/>
      </w:rPr>
      <w:tcPr>
        <w:tcBorders>
          <w:top w:val="nil"/>
          <w:left w:val="nil"/>
          <w:bottom w:val="nil"/>
          <w:right w:val="single" w:color="B2A1C6" w:sz="4" w:space="0"/>
        </w:tcBorders>
        <w:shd w:val="clear" w:color="FFFFFF" w:fill="auto"/>
      </w:tcPr>
    </w:tblStylePr>
    <w:tblStylePr w:type="lastCol">
      <w:rPr>
        <w:rFonts w:ascii="Arial" w:hAnsi="Arial"/>
        <w:i/>
        <w:color w:val="B2A1C6"/>
        <w:sz w:val="22"/>
      </w:rPr>
      <w:tcPr>
        <w:tcBorders>
          <w:top w:val="nil"/>
          <w:left w:val="single" w:color="B2A1C6" w:sz="4" w:space="0"/>
          <w:bottom w:val="nil"/>
          <w:right w:val="nil"/>
        </w:tcBorders>
        <w:shd w:val="clear" w:color="FFFFFF" w:fill="auto"/>
      </w:tcPr>
    </w:tblStylePr>
    <w:tblStylePr w:type="band1Vert">
      <w:tcPr>
        <w:shd w:val="clear" w:color="DFD8E7" w:fill="DFD8E7"/>
      </w:tcPr>
    </w:tblStylePr>
    <w:tblStylePr w:type="band1Horz">
      <w:rPr>
        <w:rFonts w:ascii="Arial" w:hAnsi="Arial"/>
        <w:color w:val="B2A1C6"/>
        <w:sz w:val="22"/>
      </w:rPr>
      <w:tcPr>
        <w:shd w:val="clear" w:color="DFD8E7" w:fill="DFD8E7"/>
      </w:tcPr>
    </w:tblStylePr>
    <w:tblStylePr w:type="band2Horz">
      <w:rPr>
        <w:rFonts w:ascii="Arial" w:hAnsi="Arial"/>
        <w:color w:val="B2A1C6"/>
        <w:sz w:val="22"/>
      </w:rPr>
    </w:tblStylePr>
  </w:style>
  <w:style w:type="table" w:customStyle="1" w:styleId="144">
    <w:name w:val="List Table 7 Colorful - Accent 5"/>
    <w:basedOn w:val="32"/>
    <w:qFormat/>
    <w:uiPriority w:val="99"/>
    <w:tblPr>
      <w:tblBorders>
        <w:right w:val="single" w:color="92CCDC" w:sz="4" w:space="0"/>
      </w:tblBorders>
      <w:tblCellMar>
        <w:top w:w="0" w:type="dxa"/>
        <w:left w:w="108" w:type="dxa"/>
        <w:bottom w:w="0" w:type="dxa"/>
        <w:right w:w="108" w:type="dxa"/>
      </w:tblCellMar>
    </w:tblPr>
    <w:tblStylePr w:type="firstRow">
      <w:rPr>
        <w:rFonts w:ascii="Arial" w:hAnsi="Arial"/>
        <w:i/>
        <w:color w:val="92CCDC"/>
        <w:sz w:val="22"/>
      </w:rPr>
      <w:tcPr>
        <w:tcBorders>
          <w:top w:val="nil"/>
          <w:left w:val="nil"/>
          <w:bottom w:val="single" w:color="92CCDC" w:sz="4" w:space="0"/>
          <w:right w:val="nil"/>
        </w:tcBorders>
        <w:shd w:val="clear" w:color="FFFFFF" w:fill="FFFFFF"/>
      </w:tcPr>
    </w:tblStylePr>
    <w:tblStylePr w:type="lastRow">
      <w:rPr>
        <w:rFonts w:ascii="Arial" w:hAnsi="Arial"/>
        <w:i/>
        <w:color w:val="92CCDC"/>
        <w:sz w:val="22"/>
      </w:rPr>
      <w:tcPr>
        <w:tcBorders>
          <w:top w:val="single" w:color="92CCDC" w:sz="4" w:space="0"/>
          <w:left w:val="nil"/>
          <w:bottom w:val="nil"/>
          <w:right w:val="nil"/>
        </w:tcBorders>
        <w:shd w:val="clear" w:color="FFFFFF" w:fill="FFFFFF"/>
      </w:tcPr>
    </w:tblStylePr>
    <w:tblStylePr w:type="firstCol">
      <w:pPr>
        <w:jc w:val="right"/>
      </w:pPr>
      <w:rPr>
        <w:rFonts w:ascii="Arial" w:hAnsi="Arial"/>
        <w:i/>
        <w:color w:val="92CCDC"/>
        <w:sz w:val="22"/>
      </w:rPr>
      <w:tcPr>
        <w:tcBorders>
          <w:top w:val="nil"/>
          <w:left w:val="nil"/>
          <w:bottom w:val="nil"/>
          <w:right w:val="single" w:color="92CCDC" w:sz="4" w:space="0"/>
        </w:tcBorders>
        <w:shd w:val="clear" w:color="FFFFFF" w:fill="auto"/>
      </w:tcPr>
    </w:tblStylePr>
    <w:tblStylePr w:type="lastCol">
      <w:rPr>
        <w:rFonts w:ascii="Arial" w:hAnsi="Arial"/>
        <w:i/>
        <w:color w:val="92CCDC"/>
        <w:sz w:val="22"/>
      </w:rPr>
      <w:tcPr>
        <w:tcBorders>
          <w:top w:val="nil"/>
          <w:left w:val="single" w:color="92CCDC" w:sz="4" w:space="0"/>
          <w:bottom w:val="nil"/>
          <w:right w:val="nil"/>
        </w:tcBorders>
        <w:shd w:val="clear" w:color="FFFFFF" w:fill="auto"/>
      </w:tcPr>
    </w:tblStylePr>
    <w:tblStylePr w:type="band1Vert">
      <w:tcPr>
        <w:shd w:val="clear" w:color="D1EAF0" w:fill="D1EAF0"/>
      </w:tcPr>
    </w:tblStylePr>
    <w:tblStylePr w:type="band1Horz">
      <w:rPr>
        <w:rFonts w:ascii="Arial" w:hAnsi="Arial"/>
        <w:color w:val="92CCDC"/>
        <w:sz w:val="22"/>
      </w:rPr>
      <w:tcPr>
        <w:shd w:val="clear" w:color="D1EAF0" w:fill="D1EAF0"/>
      </w:tcPr>
    </w:tblStylePr>
    <w:tblStylePr w:type="band2Horz">
      <w:rPr>
        <w:rFonts w:ascii="Arial" w:hAnsi="Arial"/>
        <w:color w:val="92CCDC"/>
        <w:sz w:val="22"/>
      </w:rPr>
    </w:tblStylePr>
  </w:style>
  <w:style w:type="table" w:customStyle="1" w:styleId="145">
    <w:name w:val="List Table 7 Colorful - Accent 6"/>
    <w:basedOn w:val="32"/>
    <w:qFormat/>
    <w:uiPriority w:val="99"/>
    <w:tblPr>
      <w:tblBorders>
        <w:right w:val="single" w:color="FAC090" w:sz="4" w:space="0"/>
      </w:tblBorders>
      <w:tblCellMar>
        <w:top w:w="0" w:type="dxa"/>
        <w:left w:w="108" w:type="dxa"/>
        <w:bottom w:w="0" w:type="dxa"/>
        <w:right w:w="108" w:type="dxa"/>
      </w:tblCellMar>
    </w:tblPr>
    <w:tblStylePr w:type="firstRow">
      <w:rPr>
        <w:rFonts w:ascii="Arial" w:hAnsi="Arial"/>
        <w:i/>
        <w:color w:val="FAC090"/>
        <w:sz w:val="22"/>
      </w:rPr>
      <w:tcPr>
        <w:tcBorders>
          <w:top w:val="nil"/>
          <w:left w:val="nil"/>
          <w:bottom w:val="single" w:color="FAC090" w:sz="4" w:space="0"/>
          <w:right w:val="nil"/>
        </w:tcBorders>
        <w:shd w:val="clear" w:color="FFFFFF" w:fill="FFFFFF"/>
      </w:tcPr>
    </w:tblStylePr>
    <w:tblStylePr w:type="lastRow">
      <w:rPr>
        <w:rFonts w:ascii="Arial" w:hAnsi="Arial"/>
        <w:i/>
        <w:color w:val="FAC090"/>
        <w:sz w:val="22"/>
      </w:rPr>
      <w:tcPr>
        <w:tcBorders>
          <w:top w:val="single" w:color="FAC090" w:sz="4" w:space="0"/>
          <w:left w:val="nil"/>
          <w:bottom w:val="nil"/>
          <w:right w:val="nil"/>
        </w:tcBorders>
        <w:shd w:val="clear" w:color="FFFFFF" w:fill="FFFFFF"/>
      </w:tcPr>
    </w:tblStylePr>
    <w:tblStylePr w:type="firstCol">
      <w:pPr>
        <w:jc w:val="right"/>
      </w:pPr>
      <w:rPr>
        <w:rFonts w:ascii="Arial" w:hAnsi="Arial"/>
        <w:i/>
        <w:color w:val="FAC090"/>
        <w:sz w:val="22"/>
      </w:rPr>
      <w:tcPr>
        <w:tcBorders>
          <w:top w:val="nil"/>
          <w:left w:val="nil"/>
          <w:bottom w:val="nil"/>
          <w:right w:val="single" w:color="FAC090" w:sz="4" w:space="0"/>
        </w:tcBorders>
        <w:shd w:val="clear" w:color="FFFFFF" w:fill="auto"/>
      </w:tcPr>
    </w:tblStylePr>
    <w:tblStylePr w:type="lastCol">
      <w:rPr>
        <w:rFonts w:ascii="Arial" w:hAnsi="Arial"/>
        <w:i/>
        <w:color w:val="FAC090"/>
        <w:sz w:val="22"/>
      </w:rPr>
      <w:tcPr>
        <w:tcBorders>
          <w:top w:val="nil"/>
          <w:left w:val="single" w:color="FAC090" w:sz="4" w:space="0"/>
          <w:bottom w:val="nil"/>
          <w:right w:val="nil"/>
        </w:tcBorders>
        <w:shd w:val="clear" w:color="FFFFFF" w:fill="auto"/>
      </w:tcPr>
    </w:tblStylePr>
    <w:tblStylePr w:type="band1Vert">
      <w:tcPr>
        <w:shd w:val="clear" w:color="FDE4D0" w:fill="FDE4D0"/>
      </w:tcPr>
    </w:tblStylePr>
    <w:tblStylePr w:type="band1Horz">
      <w:rPr>
        <w:rFonts w:ascii="Arial" w:hAnsi="Arial"/>
        <w:color w:val="FAC090"/>
        <w:sz w:val="22"/>
      </w:rPr>
      <w:tcPr>
        <w:shd w:val="clear" w:color="FDE4D0" w:fill="FDE4D0"/>
      </w:tcPr>
    </w:tblStylePr>
    <w:tblStylePr w:type="band2Horz">
      <w:rPr>
        <w:rFonts w:ascii="Arial" w:hAnsi="Arial"/>
        <w:color w:val="FAC090"/>
        <w:sz w:val="22"/>
      </w:rPr>
    </w:tblStylePr>
  </w:style>
  <w:style w:type="table" w:customStyle="1" w:styleId="146">
    <w:name w:val="Lined - Accent"/>
    <w:basedOn w:val="32"/>
    <w:qFormat/>
    <w:uiPriority w:val="99"/>
    <w:rPr>
      <w:color w:val="404040"/>
    </w:rPr>
    <w:tblPr>
      <w:tblCellMar>
        <w:top w:w="0" w:type="dxa"/>
        <w:left w:w="108" w:type="dxa"/>
        <w:bottom w:w="0" w:type="dxa"/>
        <w:right w:w="108" w:type="dxa"/>
      </w:tblCellMar>
    </w:tblPr>
    <w:tblStylePr w:type="firstRow">
      <w:rPr>
        <w:rFonts w:ascii="Arial" w:hAnsi="Arial"/>
        <w:color w:val="F2F2F2"/>
        <w:sz w:val="22"/>
      </w:rPr>
      <w:tcPr>
        <w:shd w:val="clear" w:color="7F7F7F" w:fill="7F7F7F"/>
      </w:tcPr>
    </w:tblStylePr>
    <w:tblStylePr w:type="lastRow">
      <w:rPr>
        <w:rFonts w:ascii="Arial" w:hAnsi="Arial"/>
        <w:color w:val="F2F2F2"/>
        <w:sz w:val="22"/>
      </w:rPr>
      <w:tcPr>
        <w:shd w:val="clear" w:color="7F7F7F" w:fill="7F7F7F"/>
      </w:tcPr>
    </w:tblStylePr>
    <w:tblStylePr w:type="firstCol">
      <w:rPr>
        <w:rFonts w:ascii="Arial" w:hAnsi="Arial"/>
        <w:color w:val="F2F2F2"/>
        <w:sz w:val="22"/>
      </w:rPr>
      <w:tcPr>
        <w:shd w:val="clear" w:color="7F7F7F" w:fill="7F7F7F"/>
      </w:tcPr>
    </w:tblStylePr>
    <w:tblStylePr w:type="lastCol">
      <w:rPr>
        <w:rFonts w:ascii="Arial" w:hAnsi="Arial"/>
        <w:color w:val="F2F2F2"/>
        <w:sz w:val="22"/>
      </w:rPr>
      <w:tcPr>
        <w:shd w:val="clear" w:color="7F7F7F" w:fill="7F7F7F"/>
      </w:tcPr>
    </w:tblStylePr>
    <w:tblStylePr w:type="band1Vert">
      <w:rPr>
        <w:rFonts w:ascii="Arial" w:hAnsi="Arial"/>
        <w:color w:val="404040"/>
        <w:sz w:val="22"/>
      </w:rPr>
    </w:tblStylePr>
    <w:tblStylePr w:type="band2Vert">
      <w:rPr>
        <w:rFonts w:ascii="Arial" w:hAnsi="Arial"/>
        <w:color w:val="404040"/>
        <w:sz w:val="22"/>
      </w:rPr>
      <w:tcPr>
        <w:shd w:val="clear" w:color="F2F2F2" w:fill="F2F2F2"/>
      </w:tcPr>
    </w:tblStylePr>
    <w:tblStylePr w:type="band1Horz">
      <w:rPr>
        <w:rFonts w:ascii="Arial" w:hAnsi="Arial"/>
        <w:color w:val="404040"/>
        <w:sz w:val="22"/>
      </w:rPr>
    </w:tblStylePr>
    <w:tblStylePr w:type="band2Horz">
      <w:rPr>
        <w:rFonts w:ascii="Arial" w:hAnsi="Arial"/>
        <w:color w:val="404040"/>
        <w:sz w:val="22"/>
      </w:rPr>
      <w:tcPr>
        <w:shd w:val="clear" w:color="F2F2F2" w:fill="F2F2F2"/>
      </w:tcPr>
    </w:tblStylePr>
  </w:style>
  <w:style w:type="table" w:customStyle="1" w:styleId="147">
    <w:name w:val="Lined - Accent 1"/>
    <w:basedOn w:val="32"/>
    <w:qFormat/>
    <w:uiPriority w:val="99"/>
    <w:rPr>
      <w:color w:val="404040"/>
    </w:rPr>
    <w:tblPr>
      <w:tblCellMar>
        <w:top w:w="0" w:type="dxa"/>
        <w:left w:w="108" w:type="dxa"/>
        <w:bottom w:w="0" w:type="dxa"/>
        <w:right w:w="108" w:type="dxa"/>
      </w:tblCellMar>
    </w:tblPr>
    <w:tblStylePr w:type="firstRow">
      <w:rPr>
        <w:rFonts w:ascii="Arial" w:hAnsi="Arial"/>
        <w:color w:val="F2F2F2"/>
        <w:sz w:val="22"/>
      </w:rPr>
      <w:tcPr>
        <w:shd w:val="clear" w:color="5D8AC2" w:fill="5D8AC2"/>
      </w:tcPr>
    </w:tblStylePr>
    <w:tblStylePr w:type="lastRow">
      <w:rPr>
        <w:rFonts w:ascii="Arial" w:hAnsi="Arial"/>
        <w:color w:val="F2F2F2"/>
        <w:sz w:val="22"/>
      </w:rPr>
      <w:tcPr>
        <w:shd w:val="clear" w:color="5D8AC2" w:fill="5D8AC2"/>
      </w:tcPr>
    </w:tblStylePr>
    <w:tblStylePr w:type="firstCol">
      <w:rPr>
        <w:rFonts w:ascii="Arial" w:hAnsi="Arial"/>
        <w:color w:val="F2F2F2"/>
        <w:sz w:val="22"/>
      </w:rPr>
      <w:tcPr>
        <w:shd w:val="clear" w:color="5D8AC2" w:fill="5D8AC2"/>
      </w:tcPr>
    </w:tblStylePr>
    <w:tblStylePr w:type="lastCol">
      <w:rPr>
        <w:rFonts w:ascii="Arial" w:hAnsi="Arial"/>
        <w:color w:val="F2F2F2"/>
        <w:sz w:val="22"/>
      </w:rPr>
      <w:tcPr>
        <w:shd w:val="clear" w:color="5D8AC2" w:fill="5D8AC2"/>
      </w:tcPr>
    </w:tblStylePr>
    <w:tblStylePr w:type="band1Vert">
      <w:rPr>
        <w:rFonts w:ascii="Arial" w:hAnsi="Arial"/>
        <w:color w:val="404040"/>
        <w:sz w:val="22"/>
      </w:rPr>
    </w:tblStylePr>
    <w:tblStylePr w:type="band2Vert">
      <w:rPr>
        <w:rFonts w:ascii="Arial" w:hAnsi="Arial"/>
        <w:color w:val="404040"/>
        <w:sz w:val="22"/>
      </w:rPr>
      <w:tcPr>
        <w:shd w:val="clear" w:color="C7D7EA" w:fill="C7D7EA"/>
      </w:tcPr>
    </w:tblStylePr>
    <w:tblStylePr w:type="band1Horz">
      <w:rPr>
        <w:rFonts w:ascii="Arial" w:hAnsi="Arial"/>
        <w:color w:val="404040"/>
        <w:sz w:val="22"/>
      </w:rPr>
    </w:tblStylePr>
    <w:tblStylePr w:type="band2Horz">
      <w:rPr>
        <w:rFonts w:ascii="Arial" w:hAnsi="Arial"/>
        <w:color w:val="404040"/>
        <w:sz w:val="22"/>
      </w:rPr>
      <w:tcPr>
        <w:shd w:val="clear" w:color="C7D7EA" w:fill="C7D7EA"/>
      </w:tcPr>
    </w:tblStylePr>
  </w:style>
  <w:style w:type="table" w:customStyle="1" w:styleId="148">
    <w:name w:val="Lined - Accent 2"/>
    <w:basedOn w:val="32"/>
    <w:qFormat/>
    <w:uiPriority w:val="99"/>
    <w:rPr>
      <w:color w:val="404040"/>
    </w:rPr>
    <w:tblPr>
      <w:tblCellMar>
        <w:top w:w="0" w:type="dxa"/>
        <w:left w:w="108" w:type="dxa"/>
        <w:bottom w:w="0" w:type="dxa"/>
        <w:right w:w="108" w:type="dxa"/>
      </w:tblCellMar>
    </w:tblPr>
    <w:tblStylePr w:type="firstRow">
      <w:rPr>
        <w:rFonts w:ascii="Arial" w:hAnsi="Arial"/>
        <w:color w:val="F2F2F2"/>
        <w:sz w:val="22"/>
      </w:rPr>
      <w:tcPr>
        <w:shd w:val="clear" w:color="D99695" w:fill="D99695"/>
      </w:tcPr>
    </w:tblStylePr>
    <w:tblStylePr w:type="lastRow">
      <w:rPr>
        <w:rFonts w:ascii="Arial" w:hAnsi="Arial"/>
        <w:color w:val="F2F2F2"/>
        <w:sz w:val="22"/>
      </w:rPr>
      <w:tcPr>
        <w:shd w:val="clear" w:color="D99695" w:fill="D99695"/>
      </w:tcPr>
    </w:tblStylePr>
    <w:tblStylePr w:type="firstCol">
      <w:rPr>
        <w:rFonts w:ascii="Arial" w:hAnsi="Arial"/>
        <w:color w:val="F2F2F2"/>
        <w:sz w:val="22"/>
      </w:rPr>
      <w:tcPr>
        <w:shd w:val="clear" w:color="D99695" w:fill="D99695"/>
      </w:tcPr>
    </w:tblStylePr>
    <w:tblStylePr w:type="lastCol">
      <w:rPr>
        <w:rFonts w:ascii="Arial" w:hAnsi="Arial"/>
        <w:color w:val="F2F2F2"/>
        <w:sz w:val="22"/>
      </w:rPr>
      <w:tcPr>
        <w:shd w:val="clear" w:color="D99695" w:fill="D99695"/>
      </w:tcPr>
    </w:tblStylePr>
    <w:tblStylePr w:type="band1Vert">
      <w:rPr>
        <w:rFonts w:ascii="Arial" w:hAnsi="Arial"/>
        <w:color w:val="404040"/>
        <w:sz w:val="22"/>
      </w:rPr>
    </w:tblStylePr>
    <w:tblStylePr w:type="band2Vert">
      <w:rPr>
        <w:rFonts w:ascii="Arial" w:hAnsi="Arial"/>
        <w:color w:val="404040"/>
        <w:sz w:val="22"/>
      </w:rPr>
      <w:tcPr>
        <w:shd w:val="clear" w:color="F2DCDC" w:fill="F2DCDC"/>
      </w:tcPr>
    </w:tblStylePr>
    <w:tblStylePr w:type="band1Horz">
      <w:rPr>
        <w:rFonts w:ascii="Arial" w:hAnsi="Arial"/>
        <w:color w:val="404040"/>
        <w:sz w:val="22"/>
      </w:rPr>
    </w:tblStylePr>
    <w:tblStylePr w:type="band2Horz">
      <w:rPr>
        <w:rFonts w:ascii="Arial" w:hAnsi="Arial"/>
        <w:color w:val="404040"/>
        <w:sz w:val="22"/>
      </w:rPr>
      <w:tcPr>
        <w:shd w:val="clear" w:color="F2DCDC" w:fill="F2DCDC"/>
      </w:tcPr>
    </w:tblStylePr>
  </w:style>
  <w:style w:type="table" w:customStyle="1" w:styleId="149">
    <w:name w:val="Lined - Accent 3"/>
    <w:basedOn w:val="32"/>
    <w:qFormat/>
    <w:uiPriority w:val="99"/>
    <w:rPr>
      <w:color w:val="404040"/>
    </w:rPr>
    <w:tblPr>
      <w:tblCellMar>
        <w:top w:w="0" w:type="dxa"/>
        <w:left w:w="108" w:type="dxa"/>
        <w:bottom w:w="0" w:type="dxa"/>
        <w:right w:w="108" w:type="dxa"/>
      </w:tblCellMar>
    </w:tblPr>
    <w:tblStylePr w:type="firstRow">
      <w:rPr>
        <w:rFonts w:ascii="Arial" w:hAnsi="Arial"/>
        <w:color w:val="F2F2F2"/>
        <w:sz w:val="22"/>
      </w:rPr>
      <w:tcPr>
        <w:shd w:val="clear" w:color="9ABB59" w:fill="9ABB59"/>
      </w:tcPr>
    </w:tblStylePr>
    <w:tblStylePr w:type="lastRow">
      <w:rPr>
        <w:rFonts w:ascii="Arial" w:hAnsi="Arial"/>
        <w:color w:val="F2F2F2"/>
        <w:sz w:val="22"/>
      </w:rPr>
      <w:tcPr>
        <w:shd w:val="clear" w:color="9ABB59" w:fill="9ABB59"/>
      </w:tcPr>
    </w:tblStylePr>
    <w:tblStylePr w:type="firstCol">
      <w:rPr>
        <w:rFonts w:ascii="Arial" w:hAnsi="Arial"/>
        <w:color w:val="F2F2F2"/>
        <w:sz w:val="22"/>
      </w:rPr>
      <w:tcPr>
        <w:shd w:val="clear" w:color="9ABB59" w:fill="9ABB59"/>
      </w:tcPr>
    </w:tblStylePr>
    <w:tblStylePr w:type="lastCol">
      <w:rPr>
        <w:rFonts w:ascii="Arial" w:hAnsi="Arial"/>
        <w:color w:val="F2F2F2"/>
        <w:sz w:val="22"/>
      </w:rPr>
      <w:tcPr>
        <w:shd w:val="clear" w:color="9ABB59" w:fill="9ABB59"/>
      </w:tcPr>
    </w:tblStylePr>
    <w:tblStylePr w:type="band1Vert">
      <w:rPr>
        <w:rFonts w:ascii="Arial" w:hAnsi="Arial"/>
        <w:color w:val="404040"/>
        <w:sz w:val="22"/>
      </w:rPr>
    </w:tblStylePr>
    <w:tblStylePr w:type="band2Vert">
      <w:rPr>
        <w:rFonts w:ascii="Arial" w:hAnsi="Arial"/>
        <w:color w:val="404040"/>
        <w:sz w:val="22"/>
      </w:rPr>
      <w:tcPr>
        <w:shd w:val="clear" w:color="EAF1DC" w:fill="EAF1DC"/>
      </w:tcPr>
    </w:tblStylePr>
    <w:tblStylePr w:type="band1Horz">
      <w:rPr>
        <w:rFonts w:ascii="Arial" w:hAnsi="Arial"/>
        <w:color w:val="404040"/>
        <w:sz w:val="22"/>
      </w:rPr>
    </w:tblStylePr>
    <w:tblStylePr w:type="band2Horz">
      <w:rPr>
        <w:rFonts w:ascii="Arial" w:hAnsi="Arial"/>
        <w:color w:val="404040"/>
        <w:sz w:val="22"/>
      </w:rPr>
      <w:tcPr>
        <w:shd w:val="clear" w:color="EAF1DC" w:fill="EAF1DC"/>
      </w:tcPr>
    </w:tblStylePr>
  </w:style>
  <w:style w:type="table" w:customStyle="1" w:styleId="150">
    <w:name w:val="Lined - Accent 4"/>
    <w:basedOn w:val="32"/>
    <w:qFormat/>
    <w:uiPriority w:val="99"/>
    <w:rPr>
      <w:color w:val="404040"/>
    </w:rPr>
    <w:tblPr>
      <w:tblCellMar>
        <w:top w:w="0" w:type="dxa"/>
        <w:left w:w="108" w:type="dxa"/>
        <w:bottom w:w="0" w:type="dxa"/>
        <w:right w:w="108" w:type="dxa"/>
      </w:tblCellMar>
    </w:tblPr>
    <w:tblStylePr w:type="firstRow">
      <w:rPr>
        <w:rFonts w:ascii="Arial" w:hAnsi="Arial"/>
        <w:color w:val="F2F2F2"/>
        <w:sz w:val="22"/>
      </w:rPr>
      <w:tcPr>
        <w:shd w:val="clear" w:color="B2A1C6" w:fill="B2A1C6"/>
      </w:tcPr>
    </w:tblStylePr>
    <w:tblStylePr w:type="lastRow">
      <w:rPr>
        <w:rFonts w:ascii="Arial" w:hAnsi="Arial"/>
        <w:color w:val="F2F2F2"/>
        <w:sz w:val="22"/>
      </w:rPr>
      <w:tcPr>
        <w:shd w:val="clear" w:color="B2A1C6" w:fill="B2A1C6"/>
      </w:tcPr>
    </w:tblStylePr>
    <w:tblStylePr w:type="firstCol">
      <w:rPr>
        <w:rFonts w:ascii="Arial" w:hAnsi="Arial"/>
        <w:color w:val="F2F2F2"/>
        <w:sz w:val="22"/>
      </w:rPr>
      <w:tcPr>
        <w:shd w:val="clear" w:color="B2A1C6" w:fill="B2A1C6"/>
      </w:tcPr>
    </w:tblStylePr>
    <w:tblStylePr w:type="lastCol">
      <w:rPr>
        <w:rFonts w:ascii="Arial" w:hAnsi="Arial"/>
        <w:color w:val="F2F2F2"/>
        <w:sz w:val="22"/>
      </w:rPr>
      <w:tcPr>
        <w:shd w:val="clear" w:color="B2A1C6" w:fill="B2A1C6"/>
      </w:tcPr>
    </w:tblStylePr>
    <w:tblStylePr w:type="band1Vert">
      <w:rPr>
        <w:rFonts w:ascii="Arial" w:hAnsi="Arial"/>
        <w:color w:val="404040"/>
        <w:sz w:val="22"/>
      </w:rPr>
    </w:tblStylePr>
    <w:tblStylePr w:type="band2Vert">
      <w:rPr>
        <w:rFonts w:ascii="Arial" w:hAnsi="Arial"/>
        <w:color w:val="404040"/>
        <w:sz w:val="22"/>
      </w:rPr>
      <w:tcPr>
        <w:shd w:val="clear" w:color="E5DFEC" w:fill="E5DFEC"/>
      </w:tcPr>
    </w:tblStylePr>
    <w:tblStylePr w:type="band1Horz">
      <w:rPr>
        <w:rFonts w:ascii="Arial" w:hAnsi="Arial"/>
        <w:color w:val="404040"/>
        <w:sz w:val="22"/>
      </w:rPr>
    </w:tblStylePr>
    <w:tblStylePr w:type="band2Horz">
      <w:rPr>
        <w:rFonts w:ascii="Arial" w:hAnsi="Arial"/>
        <w:color w:val="404040"/>
        <w:sz w:val="22"/>
      </w:rPr>
      <w:tcPr>
        <w:shd w:val="clear" w:color="E5DFEC" w:fill="E5DFEC"/>
      </w:tcPr>
    </w:tblStylePr>
  </w:style>
  <w:style w:type="table" w:customStyle="1" w:styleId="151">
    <w:name w:val="Lined - Accent 5"/>
    <w:basedOn w:val="32"/>
    <w:qFormat/>
    <w:uiPriority w:val="99"/>
    <w:rPr>
      <w:color w:val="404040"/>
    </w:rPr>
    <w:tblPr>
      <w:tblCellMar>
        <w:top w:w="0" w:type="dxa"/>
        <w:left w:w="108" w:type="dxa"/>
        <w:bottom w:w="0" w:type="dxa"/>
        <w:right w:w="108" w:type="dxa"/>
      </w:tblCellMar>
    </w:tblPr>
    <w:tblStylePr w:type="firstRow">
      <w:rPr>
        <w:rFonts w:ascii="Arial" w:hAnsi="Arial"/>
        <w:color w:val="F2F2F2"/>
        <w:sz w:val="22"/>
      </w:rPr>
      <w:tcPr>
        <w:shd w:val="clear" w:color="4BACC6" w:fill="4BACC6"/>
      </w:tcPr>
    </w:tblStylePr>
    <w:tblStylePr w:type="lastRow">
      <w:rPr>
        <w:rFonts w:ascii="Arial" w:hAnsi="Arial"/>
        <w:color w:val="F2F2F2"/>
        <w:sz w:val="22"/>
      </w:rPr>
      <w:tcPr>
        <w:shd w:val="clear" w:color="4BACC6" w:fill="4BACC6"/>
      </w:tcPr>
    </w:tblStylePr>
    <w:tblStylePr w:type="firstCol">
      <w:rPr>
        <w:rFonts w:ascii="Arial" w:hAnsi="Arial"/>
        <w:color w:val="F2F2F2"/>
        <w:sz w:val="22"/>
      </w:rPr>
      <w:tcPr>
        <w:shd w:val="clear" w:color="4BACC6" w:fill="4BACC6"/>
      </w:tcPr>
    </w:tblStylePr>
    <w:tblStylePr w:type="lastCol">
      <w:rPr>
        <w:rFonts w:ascii="Arial" w:hAnsi="Arial"/>
        <w:color w:val="F2F2F2"/>
        <w:sz w:val="22"/>
      </w:rPr>
      <w:tcPr>
        <w:shd w:val="clear" w:color="4BACC6" w:fill="4BACC6"/>
      </w:tcPr>
    </w:tblStylePr>
    <w:tblStylePr w:type="band1Vert">
      <w:rPr>
        <w:rFonts w:ascii="Arial" w:hAnsi="Arial"/>
        <w:color w:val="404040"/>
        <w:sz w:val="22"/>
      </w:rPr>
    </w:tblStylePr>
    <w:tblStylePr w:type="band2Vert">
      <w:rPr>
        <w:rFonts w:ascii="Arial" w:hAnsi="Arial"/>
        <w:color w:val="404040"/>
        <w:sz w:val="22"/>
      </w:rPr>
      <w:tcPr>
        <w:shd w:val="clear" w:color="DAEEF3" w:fill="DAEEF3"/>
      </w:tcPr>
    </w:tblStylePr>
    <w:tblStylePr w:type="band1Horz">
      <w:rPr>
        <w:rFonts w:ascii="Arial" w:hAnsi="Arial"/>
        <w:color w:val="404040"/>
        <w:sz w:val="22"/>
      </w:rPr>
    </w:tblStylePr>
    <w:tblStylePr w:type="band2Horz">
      <w:rPr>
        <w:rFonts w:ascii="Arial" w:hAnsi="Arial"/>
        <w:color w:val="404040"/>
        <w:sz w:val="22"/>
      </w:rPr>
      <w:tcPr>
        <w:shd w:val="clear" w:color="DAEEF3" w:fill="DAEEF3"/>
      </w:tcPr>
    </w:tblStylePr>
  </w:style>
  <w:style w:type="table" w:customStyle="1" w:styleId="152">
    <w:name w:val="Lined - Accent 6"/>
    <w:basedOn w:val="32"/>
    <w:qFormat/>
    <w:uiPriority w:val="99"/>
    <w:rPr>
      <w:color w:val="404040"/>
    </w:rPr>
    <w:tblPr>
      <w:tblCellMar>
        <w:top w:w="0" w:type="dxa"/>
        <w:left w:w="108" w:type="dxa"/>
        <w:bottom w:w="0" w:type="dxa"/>
        <w:right w:w="108" w:type="dxa"/>
      </w:tblCellMar>
    </w:tblPr>
    <w:tblStylePr w:type="firstRow">
      <w:rPr>
        <w:rFonts w:ascii="Arial" w:hAnsi="Arial"/>
        <w:color w:val="F2F2F2"/>
        <w:sz w:val="22"/>
      </w:rPr>
      <w:tcPr>
        <w:shd w:val="clear" w:color="F79646" w:fill="F79646"/>
      </w:tcPr>
    </w:tblStylePr>
    <w:tblStylePr w:type="lastRow">
      <w:rPr>
        <w:rFonts w:ascii="Arial" w:hAnsi="Arial"/>
        <w:color w:val="F2F2F2"/>
        <w:sz w:val="22"/>
      </w:rPr>
      <w:tcPr>
        <w:shd w:val="clear" w:color="F79646" w:fill="F79646"/>
      </w:tcPr>
    </w:tblStylePr>
    <w:tblStylePr w:type="firstCol">
      <w:rPr>
        <w:rFonts w:ascii="Arial" w:hAnsi="Arial"/>
        <w:color w:val="F2F2F2"/>
        <w:sz w:val="22"/>
      </w:rPr>
      <w:tcPr>
        <w:shd w:val="clear" w:color="F79646" w:fill="F79646"/>
      </w:tcPr>
    </w:tblStylePr>
    <w:tblStylePr w:type="lastCol">
      <w:rPr>
        <w:rFonts w:ascii="Arial" w:hAnsi="Arial"/>
        <w:color w:val="F2F2F2"/>
        <w:sz w:val="22"/>
      </w:rPr>
      <w:tcPr>
        <w:shd w:val="clear" w:color="F79646" w:fill="F79646"/>
      </w:tcPr>
    </w:tblStylePr>
    <w:tblStylePr w:type="band1Vert">
      <w:rPr>
        <w:rFonts w:ascii="Arial" w:hAnsi="Arial"/>
        <w:color w:val="404040"/>
        <w:sz w:val="22"/>
      </w:rPr>
    </w:tblStylePr>
    <w:tblStylePr w:type="band2Vert">
      <w:rPr>
        <w:rFonts w:ascii="Arial" w:hAnsi="Arial"/>
        <w:color w:val="404040"/>
        <w:sz w:val="22"/>
      </w:rPr>
      <w:tcPr>
        <w:shd w:val="clear" w:color="FDE9D8" w:fill="FDE9D8"/>
      </w:tcPr>
    </w:tblStylePr>
    <w:tblStylePr w:type="band1Horz">
      <w:rPr>
        <w:rFonts w:ascii="Arial" w:hAnsi="Arial"/>
        <w:color w:val="404040"/>
        <w:sz w:val="22"/>
      </w:rPr>
    </w:tblStylePr>
    <w:tblStylePr w:type="band2Horz">
      <w:rPr>
        <w:rFonts w:ascii="Arial" w:hAnsi="Arial"/>
        <w:color w:val="404040"/>
        <w:sz w:val="22"/>
      </w:rPr>
      <w:tcPr>
        <w:shd w:val="clear" w:color="FDE9D8" w:fill="FDE9D8"/>
      </w:tcPr>
    </w:tblStylePr>
  </w:style>
  <w:style w:type="table" w:customStyle="1" w:styleId="153">
    <w:name w:val="Bordered &amp; Lined - Accent"/>
    <w:basedOn w:val="32"/>
    <w:qFormat/>
    <w:uiPriority w:val="99"/>
    <w:rPr>
      <w:color w:val="404040"/>
    </w:rPr>
    <w:tblPr>
      <w:tblBorders>
        <w:top w:val="single" w:color="595959" w:sz="4" w:space="0"/>
        <w:left w:val="single" w:color="595959" w:sz="4" w:space="0"/>
        <w:bottom w:val="single" w:color="595959" w:sz="4" w:space="0"/>
        <w:right w:val="single" w:color="595959" w:sz="4" w:space="0"/>
        <w:insideH w:val="single" w:color="595959" w:sz="4" w:space="0"/>
        <w:insideV w:val="single" w:color="595959" w:sz="4" w:space="0"/>
      </w:tblBorders>
      <w:tblCellMar>
        <w:top w:w="0" w:type="dxa"/>
        <w:left w:w="108" w:type="dxa"/>
        <w:bottom w:w="0" w:type="dxa"/>
        <w:right w:w="108" w:type="dxa"/>
      </w:tblCellMar>
    </w:tblPr>
    <w:tblStylePr w:type="firstRow">
      <w:rPr>
        <w:rFonts w:ascii="Arial" w:hAnsi="Arial"/>
        <w:color w:val="F2F2F2"/>
        <w:sz w:val="22"/>
      </w:rPr>
      <w:tcPr>
        <w:shd w:val="clear" w:color="7F7F7F" w:fill="7F7F7F"/>
      </w:tcPr>
    </w:tblStylePr>
    <w:tblStylePr w:type="lastRow">
      <w:rPr>
        <w:rFonts w:ascii="Arial" w:hAnsi="Arial"/>
        <w:color w:val="F2F2F2"/>
        <w:sz w:val="22"/>
      </w:rPr>
      <w:tcPr>
        <w:shd w:val="clear" w:color="7F7F7F" w:fill="7F7F7F"/>
      </w:tcPr>
    </w:tblStylePr>
    <w:tblStylePr w:type="firstCol">
      <w:rPr>
        <w:rFonts w:ascii="Arial" w:hAnsi="Arial"/>
        <w:color w:val="F2F2F2"/>
        <w:sz w:val="22"/>
      </w:rPr>
      <w:tcPr>
        <w:shd w:val="clear" w:color="7F7F7F" w:fill="7F7F7F"/>
      </w:tcPr>
    </w:tblStylePr>
    <w:tblStylePr w:type="lastCol">
      <w:rPr>
        <w:rFonts w:ascii="Arial" w:hAnsi="Arial"/>
        <w:color w:val="F2F2F2"/>
        <w:sz w:val="22"/>
      </w:rPr>
      <w:tcPr>
        <w:shd w:val="clear" w:color="7F7F7F" w:fill="7F7F7F"/>
      </w:tcPr>
    </w:tblStylePr>
    <w:tblStylePr w:type="band1Vert">
      <w:rPr>
        <w:rFonts w:ascii="Arial" w:hAnsi="Arial"/>
        <w:color w:val="404040"/>
        <w:sz w:val="22"/>
      </w:rPr>
    </w:tblStylePr>
    <w:tblStylePr w:type="band2Vert">
      <w:rPr>
        <w:rFonts w:ascii="Arial" w:hAnsi="Arial"/>
        <w:color w:val="404040"/>
        <w:sz w:val="22"/>
      </w:rPr>
      <w:tcPr>
        <w:shd w:val="clear" w:color="F2F2F2" w:fill="F2F2F2"/>
      </w:tcPr>
    </w:tblStylePr>
    <w:tblStylePr w:type="band1Horz">
      <w:rPr>
        <w:rFonts w:ascii="Arial" w:hAnsi="Arial"/>
        <w:color w:val="404040"/>
        <w:sz w:val="22"/>
      </w:rPr>
    </w:tblStylePr>
    <w:tblStylePr w:type="band2Horz">
      <w:rPr>
        <w:rFonts w:ascii="Arial" w:hAnsi="Arial"/>
        <w:color w:val="404040"/>
        <w:sz w:val="22"/>
      </w:rPr>
      <w:tcPr>
        <w:shd w:val="clear" w:color="F2F2F2" w:fill="F2F2F2"/>
      </w:tcPr>
    </w:tblStylePr>
  </w:style>
  <w:style w:type="table" w:customStyle="1" w:styleId="154">
    <w:name w:val="Bordered &amp; Lined - Accent 1"/>
    <w:basedOn w:val="32"/>
    <w:qFormat/>
    <w:uiPriority w:val="99"/>
    <w:rPr>
      <w:color w:val="404040"/>
    </w:rPr>
    <w:tblPr>
      <w:tblBorders>
        <w:top w:val="single" w:color="2A4A71" w:sz="4" w:space="0"/>
        <w:left w:val="single" w:color="2A4A71" w:sz="4" w:space="0"/>
        <w:bottom w:val="single" w:color="2A4A71" w:sz="4" w:space="0"/>
        <w:right w:val="single" w:color="2A4A71" w:sz="4" w:space="0"/>
        <w:insideH w:val="single" w:color="2A4A71" w:sz="4" w:space="0"/>
        <w:insideV w:val="single" w:color="2A4A71" w:sz="4" w:space="0"/>
      </w:tblBorders>
      <w:tblCellMar>
        <w:top w:w="0" w:type="dxa"/>
        <w:left w:w="108" w:type="dxa"/>
        <w:bottom w:w="0" w:type="dxa"/>
        <w:right w:w="108" w:type="dxa"/>
      </w:tblCellMar>
    </w:tblPr>
    <w:tblStylePr w:type="firstRow">
      <w:rPr>
        <w:rFonts w:ascii="Arial" w:hAnsi="Arial"/>
        <w:color w:val="F2F2F2"/>
        <w:sz w:val="22"/>
      </w:rPr>
      <w:tcPr>
        <w:shd w:val="clear" w:color="5D8AC2" w:fill="5D8AC2"/>
      </w:tcPr>
    </w:tblStylePr>
    <w:tblStylePr w:type="lastRow">
      <w:rPr>
        <w:rFonts w:ascii="Arial" w:hAnsi="Arial"/>
        <w:color w:val="F2F2F2"/>
        <w:sz w:val="22"/>
      </w:rPr>
      <w:tcPr>
        <w:shd w:val="clear" w:color="5D8AC2" w:fill="5D8AC2"/>
      </w:tcPr>
    </w:tblStylePr>
    <w:tblStylePr w:type="firstCol">
      <w:rPr>
        <w:rFonts w:ascii="Arial" w:hAnsi="Arial"/>
        <w:color w:val="F2F2F2"/>
        <w:sz w:val="22"/>
      </w:rPr>
      <w:tcPr>
        <w:shd w:val="clear" w:color="5D8AC2" w:fill="5D8AC2"/>
      </w:tcPr>
    </w:tblStylePr>
    <w:tblStylePr w:type="lastCol">
      <w:rPr>
        <w:rFonts w:ascii="Arial" w:hAnsi="Arial"/>
        <w:color w:val="F2F2F2"/>
        <w:sz w:val="22"/>
      </w:rPr>
      <w:tcPr>
        <w:shd w:val="clear" w:color="5D8AC2" w:fill="5D8AC2"/>
      </w:tcPr>
    </w:tblStylePr>
    <w:tblStylePr w:type="band1Vert">
      <w:rPr>
        <w:rFonts w:ascii="Arial" w:hAnsi="Arial"/>
        <w:color w:val="404040"/>
        <w:sz w:val="22"/>
      </w:rPr>
    </w:tblStylePr>
    <w:tblStylePr w:type="band2Vert">
      <w:rPr>
        <w:rFonts w:ascii="Arial" w:hAnsi="Arial"/>
        <w:color w:val="404040"/>
        <w:sz w:val="22"/>
      </w:rPr>
      <w:tcPr>
        <w:shd w:val="clear" w:color="C7D7EA" w:fill="C7D7EA"/>
      </w:tcPr>
    </w:tblStylePr>
    <w:tblStylePr w:type="band1Horz">
      <w:rPr>
        <w:rFonts w:ascii="Arial" w:hAnsi="Arial"/>
        <w:color w:val="404040"/>
        <w:sz w:val="22"/>
      </w:rPr>
    </w:tblStylePr>
    <w:tblStylePr w:type="band2Horz">
      <w:rPr>
        <w:rFonts w:ascii="Arial" w:hAnsi="Arial"/>
        <w:color w:val="404040"/>
        <w:sz w:val="22"/>
      </w:rPr>
      <w:tcPr>
        <w:shd w:val="clear" w:color="C7D7EA" w:fill="C7D7EA"/>
      </w:tcPr>
    </w:tblStylePr>
  </w:style>
  <w:style w:type="table" w:customStyle="1" w:styleId="155">
    <w:name w:val="Bordered &amp; Lined - Accent 2"/>
    <w:basedOn w:val="32"/>
    <w:qFormat/>
    <w:uiPriority w:val="99"/>
    <w:rPr>
      <w:color w:val="404040"/>
    </w:rPr>
    <w:tblPr>
      <w:tblBorders>
        <w:top w:val="single" w:color="732A29" w:sz="4" w:space="0"/>
        <w:left w:val="single" w:color="732A29" w:sz="4" w:space="0"/>
        <w:bottom w:val="single" w:color="732A29" w:sz="4" w:space="0"/>
        <w:right w:val="single" w:color="732A29" w:sz="4" w:space="0"/>
        <w:insideH w:val="single" w:color="732A29" w:sz="4" w:space="0"/>
        <w:insideV w:val="single" w:color="732A29" w:sz="4" w:space="0"/>
      </w:tblBorders>
      <w:tblCellMar>
        <w:top w:w="0" w:type="dxa"/>
        <w:left w:w="108" w:type="dxa"/>
        <w:bottom w:w="0" w:type="dxa"/>
        <w:right w:w="108" w:type="dxa"/>
      </w:tblCellMar>
    </w:tblPr>
    <w:tblStylePr w:type="firstRow">
      <w:rPr>
        <w:rFonts w:ascii="Arial" w:hAnsi="Arial"/>
        <w:color w:val="F2F2F2"/>
        <w:sz w:val="22"/>
      </w:rPr>
      <w:tcPr>
        <w:shd w:val="clear" w:color="D99695" w:fill="D99695"/>
      </w:tcPr>
    </w:tblStylePr>
    <w:tblStylePr w:type="lastRow">
      <w:rPr>
        <w:rFonts w:ascii="Arial" w:hAnsi="Arial"/>
        <w:color w:val="F2F2F2"/>
        <w:sz w:val="22"/>
      </w:rPr>
      <w:tcPr>
        <w:shd w:val="clear" w:color="D99695" w:fill="D99695"/>
      </w:tcPr>
    </w:tblStylePr>
    <w:tblStylePr w:type="firstCol">
      <w:rPr>
        <w:rFonts w:ascii="Arial" w:hAnsi="Arial"/>
        <w:color w:val="F2F2F2"/>
        <w:sz w:val="22"/>
      </w:rPr>
      <w:tcPr>
        <w:shd w:val="clear" w:color="D99695" w:fill="D99695"/>
      </w:tcPr>
    </w:tblStylePr>
    <w:tblStylePr w:type="lastCol">
      <w:rPr>
        <w:rFonts w:ascii="Arial" w:hAnsi="Arial"/>
        <w:color w:val="F2F2F2"/>
        <w:sz w:val="22"/>
      </w:rPr>
      <w:tcPr>
        <w:shd w:val="clear" w:color="D99695" w:fill="D99695"/>
      </w:tcPr>
    </w:tblStylePr>
    <w:tblStylePr w:type="band1Vert">
      <w:rPr>
        <w:rFonts w:ascii="Arial" w:hAnsi="Arial"/>
        <w:color w:val="404040"/>
        <w:sz w:val="22"/>
      </w:rPr>
    </w:tblStylePr>
    <w:tblStylePr w:type="band2Vert">
      <w:rPr>
        <w:rFonts w:ascii="Arial" w:hAnsi="Arial"/>
        <w:color w:val="404040"/>
        <w:sz w:val="22"/>
      </w:rPr>
      <w:tcPr>
        <w:shd w:val="clear" w:color="F2DCDC" w:fill="F2DCDC"/>
      </w:tcPr>
    </w:tblStylePr>
    <w:tblStylePr w:type="band1Horz">
      <w:rPr>
        <w:rFonts w:ascii="Arial" w:hAnsi="Arial"/>
        <w:color w:val="404040"/>
        <w:sz w:val="22"/>
      </w:rPr>
    </w:tblStylePr>
    <w:tblStylePr w:type="band2Horz">
      <w:rPr>
        <w:rFonts w:ascii="Arial" w:hAnsi="Arial"/>
        <w:color w:val="404040"/>
        <w:sz w:val="22"/>
      </w:rPr>
      <w:tcPr>
        <w:shd w:val="clear" w:color="F2DCDC" w:fill="F2DCDC"/>
      </w:tcPr>
    </w:tblStylePr>
  </w:style>
  <w:style w:type="table" w:customStyle="1" w:styleId="156">
    <w:name w:val="Bordered &amp; Lined - Accent 3"/>
    <w:basedOn w:val="32"/>
    <w:qFormat/>
    <w:uiPriority w:val="99"/>
    <w:rPr>
      <w:color w:val="404040"/>
    </w:rPr>
    <w:tblPr>
      <w:tblBorders>
        <w:top w:val="single" w:color="5B722E" w:sz="4" w:space="0"/>
        <w:left w:val="single" w:color="5B722E" w:sz="4" w:space="0"/>
        <w:bottom w:val="single" w:color="5B722E" w:sz="4" w:space="0"/>
        <w:right w:val="single" w:color="5B722E" w:sz="4" w:space="0"/>
        <w:insideH w:val="single" w:color="5B722E" w:sz="4" w:space="0"/>
        <w:insideV w:val="single" w:color="5B722E" w:sz="4" w:space="0"/>
      </w:tblBorders>
      <w:tblCellMar>
        <w:top w:w="0" w:type="dxa"/>
        <w:left w:w="108" w:type="dxa"/>
        <w:bottom w:w="0" w:type="dxa"/>
        <w:right w:w="108" w:type="dxa"/>
      </w:tblCellMar>
    </w:tblPr>
    <w:tblStylePr w:type="firstRow">
      <w:rPr>
        <w:rFonts w:ascii="Arial" w:hAnsi="Arial"/>
        <w:color w:val="F2F2F2"/>
        <w:sz w:val="22"/>
      </w:rPr>
      <w:tcPr>
        <w:shd w:val="clear" w:color="9ABB59" w:fill="9ABB59"/>
      </w:tcPr>
    </w:tblStylePr>
    <w:tblStylePr w:type="lastRow">
      <w:rPr>
        <w:rFonts w:ascii="Arial" w:hAnsi="Arial"/>
        <w:color w:val="F2F2F2"/>
        <w:sz w:val="22"/>
      </w:rPr>
      <w:tcPr>
        <w:shd w:val="clear" w:color="9ABB59" w:fill="9ABB59"/>
      </w:tcPr>
    </w:tblStylePr>
    <w:tblStylePr w:type="firstCol">
      <w:rPr>
        <w:rFonts w:ascii="Arial" w:hAnsi="Arial"/>
        <w:color w:val="F2F2F2"/>
        <w:sz w:val="22"/>
      </w:rPr>
      <w:tcPr>
        <w:shd w:val="clear" w:color="9ABB59" w:fill="9ABB59"/>
      </w:tcPr>
    </w:tblStylePr>
    <w:tblStylePr w:type="lastCol">
      <w:rPr>
        <w:rFonts w:ascii="Arial" w:hAnsi="Arial"/>
        <w:color w:val="F2F2F2"/>
        <w:sz w:val="22"/>
      </w:rPr>
      <w:tcPr>
        <w:shd w:val="clear" w:color="9ABB59" w:fill="9ABB59"/>
      </w:tcPr>
    </w:tblStylePr>
    <w:tblStylePr w:type="band1Vert">
      <w:rPr>
        <w:rFonts w:ascii="Arial" w:hAnsi="Arial"/>
        <w:color w:val="404040"/>
        <w:sz w:val="22"/>
      </w:rPr>
    </w:tblStylePr>
    <w:tblStylePr w:type="band2Vert">
      <w:rPr>
        <w:rFonts w:ascii="Arial" w:hAnsi="Arial"/>
        <w:color w:val="404040"/>
        <w:sz w:val="22"/>
      </w:rPr>
      <w:tcPr>
        <w:shd w:val="clear" w:color="EAF1DC" w:fill="EAF1DC"/>
      </w:tcPr>
    </w:tblStylePr>
    <w:tblStylePr w:type="band1Horz">
      <w:rPr>
        <w:rFonts w:ascii="Arial" w:hAnsi="Arial"/>
        <w:color w:val="404040"/>
        <w:sz w:val="22"/>
      </w:rPr>
    </w:tblStylePr>
    <w:tblStylePr w:type="band2Horz">
      <w:rPr>
        <w:rFonts w:ascii="Arial" w:hAnsi="Arial"/>
        <w:color w:val="404040"/>
        <w:sz w:val="22"/>
      </w:rPr>
      <w:tcPr>
        <w:shd w:val="clear" w:color="EAF1DC" w:fill="EAF1DC"/>
      </w:tcPr>
    </w:tblStylePr>
  </w:style>
  <w:style w:type="table" w:customStyle="1" w:styleId="157">
    <w:name w:val="Bordered &amp; Lined - Accent 4"/>
    <w:basedOn w:val="32"/>
    <w:qFormat/>
    <w:uiPriority w:val="99"/>
    <w:rPr>
      <w:color w:val="404040"/>
    </w:rPr>
    <w:tblPr>
      <w:tblBorders>
        <w:top w:val="single" w:color="4A395F" w:sz="4" w:space="0"/>
        <w:left w:val="single" w:color="4A395F" w:sz="4" w:space="0"/>
        <w:bottom w:val="single" w:color="4A395F" w:sz="4" w:space="0"/>
        <w:right w:val="single" w:color="4A395F" w:sz="4" w:space="0"/>
        <w:insideH w:val="single" w:color="4A395F" w:sz="4" w:space="0"/>
        <w:insideV w:val="single" w:color="4A395F" w:sz="4" w:space="0"/>
      </w:tblBorders>
      <w:tblCellMar>
        <w:top w:w="0" w:type="dxa"/>
        <w:left w:w="108" w:type="dxa"/>
        <w:bottom w:w="0" w:type="dxa"/>
        <w:right w:w="108" w:type="dxa"/>
      </w:tblCellMar>
    </w:tblPr>
    <w:tblStylePr w:type="firstRow">
      <w:rPr>
        <w:rFonts w:ascii="Arial" w:hAnsi="Arial"/>
        <w:color w:val="F2F2F2"/>
        <w:sz w:val="22"/>
      </w:rPr>
      <w:tcPr>
        <w:shd w:val="clear" w:color="B2A1C6" w:fill="B2A1C6"/>
      </w:tcPr>
    </w:tblStylePr>
    <w:tblStylePr w:type="lastRow">
      <w:rPr>
        <w:rFonts w:ascii="Arial" w:hAnsi="Arial"/>
        <w:color w:val="F2F2F2"/>
        <w:sz w:val="22"/>
      </w:rPr>
      <w:tcPr>
        <w:shd w:val="clear" w:color="B2A1C6" w:fill="B2A1C6"/>
      </w:tcPr>
    </w:tblStylePr>
    <w:tblStylePr w:type="firstCol">
      <w:rPr>
        <w:rFonts w:ascii="Arial" w:hAnsi="Arial"/>
        <w:color w:val="F2F2F2"/>
        <w:sz w:val="22"/>
      </w:rPr>
      <w:tcPr>
        <w:shd w:val="clear" w:color="B2A1C6" w:fill="B2A1C6"/>
      </w:tcPr>
    </w:tblStylePr>
    <w:tblStylePr w:type="lastCol">
      <w:rPr>
        <w:rFonts w:ascii="Arial" w:hAnsi="Arial"/>
        <w:color w:val="F2F2F2"/>
        <w:sz w:val="22"/>
      </w:rPr>
      <w:tcPr>
        <w:shd w:val="clear" w:color="B2A1C6" w:fill="B2A1C6"/>
      </w:tcPr>
    </w:tblStylePr>
    <w:tblStylePr w:type="band1Vert">
      <w:rPr>
        <w:rFonts w:ascii="Arial" w:hAnsi="Arial"/>
        <w:color w:val="404040"/>
        <w:sz w:val="22"/>
      </w:rPr>
    </w:tblStylePr>
    <w:tblStylePr w:type="band2Vert">
      <w:rPr>
        <w:rFonts w:ascii="Arial" w:hAnsi="Arial"/>
        <w:color w:val="404040"/>
        <w:sz w:val="22"/>
      </w:rPr>
      <w:tcPr>
        <w:shd w:val="clear" w:color="E5DFEC" w:fill="E5DFEC"/>
      </w:tcPr>
    </w:tblStylePr>
    <w:tblStylePr w:type="band1Horz">
      <w:rPr>
        <w:rFonts w:ascii="Arial" w:hAnsi="Arial"/>
        <w:color w:val="404040"/>
        <w:sz w:val="22"/>
      </w:rPr>
    </w:tblStylePr>
    <w:tblStylePr w:type="band2Horz">
      <w:rPr>
        <w:rFonts w:ascii="Arial" w:hAnsi="Arial"/>
        <w:color w:val="404040"/>
        <w:sz w:val="22"/>
      </w:rPr>
      <w:tcPr>
        <w:shd w:val="clear" w:color="E5DFEC" w:fill="E5DFEC"/>
      </w:tcPr>
    </w:tblStylePr>
  </w:style>
  <w:style w:type="table" w:customStyle="1" w:styleId="158">
    <w:name w:val="Bordered &amp; Lined - Accent 5"/>
    <w:basedOn w:val="32"/>
    <w:qFormat/>
    <w:uiPriority w:val="99"/>
    <w:rPr>
      <w:color w:val="404040"/>
    </w:rPr>
    <w:tblPr>
      <w:tblBorders>
        <w:top w:val="single" w:color="266779" w:sz="4" w:space="0"/>
        <w:left w:val="single" w:color="266779" w:sz="4" w:space="0"/>
        <w:bottom w:val="single" w:color="266779" w:sz="4" w:space="0"/>
        <w:right w:val="single" w:color="266779" w:sz="4" w:space="0"/>
        <w:insideH w:val="single" w:color="266779" w:sz="4" w:space="0"/>
        <w:insideV w:val="single" w:color="266779" w:sz="4" w:space="0"/>
      </w:tblBorders>
      <w:tblCellMar>
        <w:top w:w="0" w:type="dxa"/>
        <w:left w:w="108" w:type="dxa"/>
        <w:bottom w:w="0" w:type="dxa"/>
        <w:right w:w="108" w:type="dxa"/>
      </w:tblCellMar>
    </w:tblPr>
    <w:tblStylePr w:type="firstRow">
      <w:rPr>
        <w:rFonts w:ascii="Arial" w:hAnsi="Arial"/>
        <w:color w:val="F2F2F2"/>
        <w:sz w:val="22"/>
      </w:rPr>
      <w:tcPr>
        <w:shd w:val="clear" w:color="4BACC6" w:fill="4BACC6"/>
      </w:tcPr>
    </w:tblStylePr>
    <w:tblStylePr w:type="lastRow">
      <w:rPr>
        <w:rFonts w:ascii="Arial" w:hAnsi="Arial"/>
        <w:color w:val="F2F2F2"/>
        <w:sz w:val="22"/>
      </w:rPr>
      <w:tcPr>
        <w:shd w:val="clear" w:color="4BACC6" w:fill="4BACC6"/>
      </w:tcPr>
    </w:tblStylePr>
    <w:tblStylePr w:type="firstCol">
      <w:rPr>
        <w:rFonts w:ascii="Arial" w:hAnsi="Arial"/>
        <w:color w:val="F2F2F2"/>
        <w:sz w:val="22"/>
      </w:rPr>
      <w:tcPr>
        <w:shd w:val="clear" w:color="4BACC6" w:fill="4BACC6"/>
      </w:tcPr>
    </w:tblStylePr>
    <w:tblStylePr w:type="lastCol">
      <w:rPr>
        <w:rFonts w:ascii="Arial" w:hAnsi="Arial"/>
        <w:color w:val="F2F2F2"/>
        <w:sz w:val="22"/>
      </w:rPr>
      <w:tcPr>
        <w:shd w:val="clear" w:color="4BACC6" w:fill="4BACC6"/>
      </w:tcPr>
    </w:tblStylePr>
    <w:tblStylePr w:type="band1Vert">
      <w:rPr>
        <w:rFonts w:ascii="Arial" w:hAnsi="Arial"/>
        <w:color w:val="404040"/>
        <w:sz w:val="22"/>
      </w:rPr>
    </w:tblStylePr>
    <w:tblStylePr w:type="band2Vert">
      <w:rPr>
        <w:rFonts w:ascii="Arial" w:hAnsi="Arial"/>
        <w:color w:val="404040"/>
        <w:sz w:val="22"/>
      </w:rPr>
      <w:tcPr>
        <w:shd w:val="clear" w:color="DAEEF3" w:fill="DAEEF3"/>
      </w:tcPr>
    </w:tblStylePr>
    <w:tblStylePr w:type="band1Horz">
      <w:rPr>
        <w:rFonts w:ascii="Arial" w:hAnsi="Arial"/>
        <w:color w:val="404040"/>
        <w:sz w:val="22"/>
      </w:rPr>
    </w:tblStylePr>
    <w:tblStylePr w:type="band2Horz">
      <w:rPr>
        <w:rFonts w:ascii="Arial" w:hAnsi="Arial"/>
        <w:color w:val="404040"/>
        <w:sz w:val="22"/>
      </w:rPr>
      <w:tcPr>
        <w:shd w:val="clear" w:color="DAEEF3" w:fill="DAEEF3"/>
      </w:tcPr>
    </w:tblStylePr>
  </w:style>
  <w:style w:type="table" w:customStyle="1" w:styleId="159">
    <w:name w:val="Bordered &amp; Lined - Accent 6"/>
    <w:basedOn w:val="32"/>
    <w:qFormat/>
    <w:uiPriority w:val="99"/>
    <w:rPr>
      <w:color w:val="404040"/>
    </w:rPr>
    <w:tblPr>
      <w:tblBorders>
        <w:top w:val="single" w:color="B15407" w:sz="4" w:space="0"/>
        <w:left w:val="single" w:color="B15407" w:sz="4" w:space="0"/>
        <w:bottom w:val="single" w:color="B15407" w:sz="4" w:space="0"/>
        <w:right w:val="single" w:color="B15407" w:sz="4" w:space="0"/>
        <w:insideH w:val="single" w:color="B15407" w:sz="4" w:space="0"/>
        <w:insideV w:val="single" w:color="B15407" w:sz="4" w:space="0"/>
      </w:tblBorders>
      <w:tblCellMar>
        <w:top w:w="0" w:type="dxa"/>
        <w:left w:w="108" w:type="dxa"/>
        <w:bottom w:w="0" w:type="dxa"/>
        <w:right w:w="108" w:type="dxa"/>
      </w:tblCellMar>
    </w:tblPr>
    <w:tblStylePr w:type="firstRow">
      <w:rPr>
        <w:rFonts w:ascii="Arial" w:hAnsi="Arial"/>
        <w:color w:val="F2F2F2"/>
        <w:sz w:val="22"/>
      </w:rPr>
      <w:tcPr>
        <w:shd w:val="clear" w:color="F79646" w:fill="F79646"/>
      </w:tcPr>
    </w:tblStylePr>
    <w:tblStylePr w:type="lastRow">
      <w:rPr>
        <w:rFonts w:ascii="Arial" w:hAnsi="Arial"/>
        <w:color w:val="F2F2F2"/>
        <w:sz w:val="22"/>
      </w:rPr>
      <w:tcPr>
        <w:shd w:val="clear" w:color="F79646" w:fill="F79646"/>
      </w:tcPr>
    </w:tblStylePr>
    <w:tblStylePr w:type="firstCol">
      <w:rPr>
        <w:rFonts w:ascii="Arial" w:hAnsi="Arial"/>
        <w:color w:val="F2F2F2"/>
        <w:sz w:val="22"/>
      </w:rPr>
      <w:tcPr>
        <w:shd w:val="clear" w:color="F79646" w:fill="F79646"/>
      </w:tcPr>
    </w:tblStylePr>
    <w:tblStylePr w:type="lastCol">
      <w:rPr>
        <w:rFonts w:ascii="Arial" w:hAnsi="Arial"/>
        <w:color w:val="F2F2F2"/>
        <w:sz w:val="22"/>
      </w:rPr>
      <w:tcPr>
        <w:shd w:val="clear" w:color="F79646" w:fill="F79646"/>
      </w:tcPr>
    </w:tblStylePr>
    <w:tblStylePr w:type="band1Vert">
      <w:rPr>
        <w:rFonts w:ascii="Arial" w:hAnsi="Arial"/>
        <w:color w:val="404040"/>
        <w:sz w:val="22"/>
      </w:rPr>
    </w:tblStylePr>
    <w:tblStylePr w:type="band2Vert">
      <w:rPr>
        <w:rFonts w:ascii="Arial" w:hAnsi="Arial"/>
        <w:color w:val="404040"/>
        <w:sz w:val="22"/>
      </w:rPr>
      <w:tcPr>
        <w:shd w:val="clear" w:color="FDE9D8" w:fill="FDE9D8"/>
      </w:tcPr>
    </w:tblStylePr>
    <w:tblStylePr w:type="band1Horz">
      <w:rPr>
        <w:rFonts w:ascii="Arial" w:hAnsi="Arial"/>
        <w:color w:val="404040"/>
        <w:sz w:val="22"/>
      </w:rPr>
    </w:tblStylePr>
    <w:tblStylePr w:type="band2Horz">
      <w:rPr>
        <w:rFonts w:ascii="Arial" w:hAnsi="Arial"/>
        <w:color w:val="404040"/>
        <w:sz w:val="22"/>
      </w:rPr>
      <w:tcPr>
        <w:shd w:val="clear" w:color="FDE9D8" w:fill="FDE9D8"/>
      </w:tcPr>
    </w:tblStylePr>
  </w:style>
  <w:style w:type="table" w:customStyle="1" w:styleId="160">
    <w:name w:val="Bordered"/>
    <w:basedOn w:val="32"/>
    <w:qFormat/>
    <w:uiPriority w:val="99"/>
    <w:tblPr>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CellMar>
        <w:top w:w="0" w:type="dxa"/>
        <w:left w:w="108" w:type="dxa"/>
        <w:bottom w:w="0" w:type="dxa"/>
        <w:right w:w="108" w:type="dxa"/>
      </w:tblCellMar>
    </w:tblPr>
    <w:tblStylePr w:type="firstRow">
      <w:rPr>
        <w:rFonts w:ascii="Arial" w:hAnsi="Arial"/>
        <w:color w:val="404040"/>
        <w:sz w:val="22"/>
      </w:rPr>
      <w:tcPr>
        <w:tcBorders>
          <w:bottom w:val="single" w:color="7F7F7F" w:sz="12" w:space="0"/>
        </w:tcBorders>
      </w:tcPr>
    </w:tblStylePr>
    <w:tblStylePr w:type="lastRow">
      <w:rPr>
        <w:rFonts w:ascii="Arial" w:hAnsi="Arial"/>
        <w:color w:val="404040"/>
        <w:sz w:val="22"/>
      </w:rPr>
      <w:tcPr>
        <w:tcBorders>
          <w:top w:val="single" w:color="7F7F7F"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7F7F7F" w:sz="12" w:space="0"/>
        </w:tcBorders>
      </w:tcPr>
    </w:tblStylePr>
    <w:tblStylePr w:type="band1Horz">
      <w:rPr>
        <w:rFonts w:ascii="Arial" w:hAnsi="Arial"/>
        <w:color w:val="404040"/>
        <w:sz w:val="22"/>
      </w:rPr>
      <w:tcPr>
        <w:tcBorders>
          <w:top w:val="single" w:color="D9D9D9" w:sz="4" w:space="0"/>
          <w:left w:val="single" w:color="D9D9D9" w:sz="4" w:space="0"/>
          <w:bottom w:val="single" w:color="D9D9D9" w:sz="4" w:space="0"/>
          <w:right w:val="single" w:color="D9D9D9" w:sz="4" w:space="0"/>
        </w:tcBorders>
      </w:tcPr>
    </w:tblStylePr>
  </w:style>
  <w:style w:type="table" w:customStyle="1" w:styleId="161">
    <w:name w:val="Bordered - Accent 1"/>
    <w:basedOn w:val="32"/>
    <w:qFormat/>
    <w:uiPriority w:val="99"/>
    <w:tblPr>
      <w:tblBorders>
        <w:top w:val="single" w:color="B7CBE4" w:sz="4" w:space="0"/>
        <w:left w:val="single" w:color="B7CBE4" w:sz="4" w:space="0"/>
        <w:bottom w:val="single" w:color="B7CBE4" w:sz="4" w:space="0"/>
        <w:right w:val="single" w:color="B7CBE4" w:sz="4" w:space="0"/>
        <w:insideH w:val="single" w:color="B7CBE4" w:sz="4" w:space="0"/>
        <w:insideV w:val="single" w:color="B7CBE4" w:sz="4" w:space="0"/>
      </w:tblBorders>
      <w:tblCellMar>
        <w:top w:w="0" w:type="dxa"/>
        <w:left w:w="108" w:type="dxa"/>
        <w:bottom w:w="0" w:type="dxa"/>
        <w:right w:w="108" w:type="dxa"/>
      </w:tblCellMar>
    </w:tblPr>
    <w:tblStylePr w:type="firstRow">
      <w:rPr>
        <w:rFonts w:ascii="Arial" w:hAnsi="Arial"/>
        <w:color w:val="404040"/>
        <w:sz w:val="22"/>
      </w:rPr>
      <w:tcPr>
        <w:tcBorders>
          <w:bottom w:val="single" w:color="4F81BD" w:sz="12" w:space="0"/>
        </w:tcBorders>
      </w:tcPr>
    </w:tblStylePr>
    <w:tblStylePr w:type="lastRow">
      <w:rPr>
        <w:rFonts w:ascii="Arial" w:hAnsi="Arial"/>
        <w:color w:val="404040"/>
        <w:sz w:val="22"/>
      </w:rPr>
      <w:tcPr>
        <w:tcBorders>
          <w:top w:val="single" w:color="4F81BD"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4F81BD" w:sz="12" w:space="0"/>
        </w:tcBorders>
      </w:tcPr>
    </w:tblStylePr>
    <w:tblStylePr w:type="band1Horz">
      <w:rPr>
        <w:rFonts w:ascii="Arial" w:hAnsi="Arial"/>
        <w:color w:val="404040"/>
        <w:sz w:val="22"/>
      </w:rPr>
      <w:tcPr>
        <w:tcBorders>
          <w:top w:val="single" w:color="B7CBE4" w:sz="4" w:space="0"/>
          <w:left w:val="single" w:color="B7CBE4" w:sz="4" w:space="0"/>
          <w:bottom w:val="single" w:color="B7CBE4" w:sz="4" w:space="0"/>
          <w:right w:val="single" w:color="B7CBE4" w:sz="4" w:space="0"/>
        </w:tcBorders>
      </w:tcPr>
    </w:tblStylePr>
  </w:style>
  <w:style w:type="table" w:customStyle="1" w:styleId="162">
    <w:name w:val="Bordered - Accent 2"/>
    <w:basedOn w:val="32"/>
    <w:qFormat/>
    <w:uiPriority w:val="99"/>
    <w:tblPr>
      <w:tblBorders>
        <w:top w:val="single" w:color="E5B7B6" w:sz="4" w:space="0"/>
        <w:left w:val="single" w:color="E5B7B6" w:sz="4" w:space="0"/>
        <w:bottom w:val="single" w:color="E5B7B6" w:sz="4" w:space="0"/>
        <w:right w:val="single" w:color="E5B7B6" w:sz="4" w:space="0"/>
        <w:insideH w:val="single" w:color="E5B7B6" w:sz="4" w:space="0"/>
        <w:insideV w:val="single" w:color="E5B7B6" w:sz="4" w:space="0"/>
      </w:tblBorders>
      <w:tblCellMar>
        <w:top w:w="0" w:type="dxa"/>
        <w:left w:w="108" w:type="dxa"/>
        <w:bottom w:w="0" w:type="dxa"/>
        <w:right w:w="108" w:type="dxa"/>
      </w:tblCellMar>
    </w:tblPr>
    <w:tblStylePr w:type="firstRow">
      <w:rPr>
        <w:rFonts w:ascii="Arial" w:hAnsi="Arial"/>
        <w:color w:val="404040"/>
        <w:sz w:val="22"/>
      </w:rPr>
      <w:tcPr>
        <w:tcBorders>
          <w:bottom w:val="single" w:color="D99695" w:sz="12" w:space="0"/>
        </w:tcBorders>
      </w:tcPr>
    </w:tblStylePr>
    <w:tblStylePr w:type="lastRow">
      <w:rPr>
        <w:rFonts w:ascii="Arial" w:hAnsi="Arial"/>
        <w:color w:val="404040"/>
        <w:sz w:val="22"/>
      </w:rPr>
      <w:tcPr>
        <w:tcBorders>
          <w:top w:val="single" w:color="D99695"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D99695" w:sz="12" w:space="0"/>
        </w:tcBorders>
      </w:tcPr>
    </w:tblStylePr>
    <w:tblStylePr w:type="band1Horz">
      <w:rPr>
        <w:rFonts w:ascii="Arial" w:hAnsi="Arial"/>
        <w:color w:val="404040"/>
        <w:sz w:val="22"/>
      </w:rPr>
      <w:tcPr>
        <w:tcBorders>
          <w:top w:val="single" w:color="E5B7B6" w:sz="4" w:space="0"/>
          <w:left w:val="single" w:color="E5B7B6" w:sz="4" w:space="0"/>
          <w:bottom w:val="single" w:color="E5B7B6" w:sz="4" w:space="0"/>
          <w:right w:val="single" w:color="E5B7B6" w:sz="4" w:space="0"/>
        </w:tcBorders>
      </w:tcPr>
    </w:tblStylePr>
  </w:style>
  <w:style w:type="table" w:customStyle="1" w:styleId="163">
    <w:name w:val="Bordered - Accent 3"/>
    <w:basedOn w:val="32"/>
    <w:qFormat/>
    <w:uiPriority w:val="99"/>
    <w:tblPr>
      <w:tblBorders>
        <w:top w:val="single" w:color="D6E3BB" w:sz="4" w:space="0"/>
        <w:left w:val="single" w:color="D6E3BB" w:sz="4" w:space="0"/>
        <w:bottom w:val="single" w:color="D6E3BB" w:sz="4" w:space="0"/>
        <w:right w:val="single" w:color="D6E3BB" w:sz="4" w:space="0"/>
        <w:insideH w:val="single" w:color="D6E3BB" w:sz="4" w:space="0"/>
        <w:insideV w:val="single" w:color="D6E3BB" w:sz="4" w:space="0"/>
      </w:tblBorders>
      <w:tblCellMar>
        <w:top w:w="0" w:type="dxa"/>
        <w:left w:w="108" w:type="dxa"/>
        <w:bottom w:w="0" w:type="dxa"/>
        <w:right w:w="108" w:type="dxa"/>
      </w:tblCellMar>
    </w:tblPr>
    <w:tblStylePr w:type="firstRow">
      <w:rPr>
        <w:rFonts w:ascii="Arial" w:hAnsi="Arial"/>
        <w:color w:val="404040"/>
        <w:sz w:val="22"/>
      </w:rPr>
      <w:tcPr>
        <w:tcBorders>
          <w:bottom w:val="single" w:color="C3D69B" w:sz="12" w:space="0"/>
        </w:tcBorders>
      </w:tcPr>
    </w:tblStylePr>
    <w:tblStylePr w:type="lastRow">
      <w:rPr>
        <w:rFonts w:ascii="Arial" w:hAnsi="Arial"/>
        <w:color w:val="404040"/>
        <w:sz w:val="22"/>
      </w:rPr>
      <w:tcPr>
        <w:tcBorders>
          <w:top w:val="single" w:color="C3D69B"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C3D69B" w:sz="12" w:space="0"/>
        </w:tcBorders>
      </w:tcPr>
    </w:tblStylePr>
    <w:tblStylePr w:type="band1Horz">
      <w:rPr>
        <w:rFonts w:ascii="Arial" w:hAnsi="Arial"/>
        <w:color w:val="404040"/>
        <w:sz w:val="22"/>
      </w:rPr>
      <w:tcPr>
        <w:tcBorders>
          <w:top w:val="single" w:color="D6E3BB" w:sz="4" w:space="0"/>
          <w:left w:val="single" w:color="D6E3BB" w:sz="4" w:space="0"/>
          <w:bottom w:val="single" w:color="D6E3BB" w:sz="4" w:space="0"/>
          <w:right w:val="single" w:color="D6E3BB" w:sz="4" w:space="0"/>
        </w:tcBorders>
      </w:tcPr>
    </w:tblStylePr>
  </w:style>
  <w:style w:type="table" w:customStyle="1" w:styleId="164">
    <w:name w:val="Bordered - Accent 4"/>
    <w:basedOn w:val="32"/>
    <w:qFormat/>
    <w:uiPriority w:val="99"/>
    <w:tblPr>
      <w:tblBorders>
        <w:top w:val="single" w:color="CBC0D9" w:sz="4" w:space="0"/>
        <w:left w:val="single" w:color="CBC0D9" w:sz="4" w:space="0"/>
        <w:bottom w:val="single" w:color="CBC0D9" w:sz="4" w:space="0"/>
        <w:right w:val="single" w:color="CBC0D9" w:sz="4" w:space="0"/>
        <w:insideH w:val="single" w:color="CBC0D9" w:sz="4" w:space="0"/>
        <w:insideV w:val="single" w:color="CBC0D9" w:sz="4" w:space="0"/>
      </w:tblBorders>
      <w:tblCellMar>
        <w:top w:w="0" w:type="dxa"/>
        <w:left w:w="108" w:type="dxa"/>
        <w:bottom w:w="0" w:type="dxa"/>
        <w:right w:w="108" w:type="dxa"/>
      </w:tblCellMar>
    </w:tblPr>
    <w:tblStylePr w:type="firstRow">
      <w:rPr>
        <w:rFonts w:ascii="Arial" w:hAnsi="Arial"/>
        <w:color w:val="404040"/>
        <w:sz w:val="22"/>
      </w:rPr>
      <w:tcPr>
        <w:tcBorders>
          <w:bottom w:val="single" w:color="B2A1C6" w:sz="12" w:space="0"/>
        </w:tcBorders>
      </w:tcPr>
    </w:tblStylePr>
    <w:tblStylePr w:type="lastRow">
      <w:rPr>
        <w:rFonts w:ascii="Arial" w:hAnsi="Arial"/>
        <w:color w:val="404040"/>
        <w:sz w:val="22"/>
      </w:rPr>
      <w:tcPr>
        <w:tcBorders>
          <w:top w:val="single" w:color="B2A1C6"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B2A1C6" w:sz="12" w:space="0"/>
        </w:tcBorders>
      </w:tcPr>
    </w:tblStylePr>
    <w:tblStylePr w:type="band1Horz">
      <w:rPr>
        <w:rFonts w:ascii="Arial" w:hAnsi="Arial"/>
        <w:color w:val="404040"/>
        <w:sz w:val="22"/>
      </w:rPr>
      <w:tcPr>
        <w:tcBorders>
          <w:top w:val="single" w:color="CBC0D9" w:sz="4" w:space="0"/>
          <w:left w:val="single" w:color="CBC0D9" w:sz="4" w:space="0"/>
          <w:bottom w:val="single" w:color="CBC0D9" w:sz="4" w:space="0"/>
          <w:right w:val="single" w:color="CBC0D9" w:sz="4" w:space="0"/>
        </w:tcBorders>
      </w:tcPr>
    </w:tblStylePr>
  </w:style>
  <w:style w:type="table" w:customStyle="1" w:styleId="165">
    <w:name w:val="Bordered - Accent 5"/>
    <w:basedOn w:val="32"/>
    <w:qFormat/>
    <w:uiPriority w:val="99"/>
    <w:tblPr>
      <w:tblBorders>
        <w:top w:val="single" w:color="B6DDE8" w:sz="4" w:space="0"/>
        <w:left w:val="single" w:color="B6DDE8" w:sz="4" w:space="0"/>
        <w:bottom w:val="single" w:color="B6DDE8" w:sz="4" w:space="0"/>
        <w:right w:val="single" w:color="B6DDE8" w:sz="4" w:space="0"/>
        <w:insideH w:val="single" w:color="B6DDE8" w:sz="4" w:space="0"/>
        <w:insideV w:val="single" w:color="B6DDE8" w:sz="4" w:space="0"/>
      </w:tblBorders>
      <w:tblCellMar>
        <w:top w:w="0" w:type="dxa"/>
        <w:left w:w="108" w:type="dxa"/>
        <w:bottom w:w="0" w:type="dxa"/>
        <w:right w:w="108" w:type="dxa"/>
      </w:tblCellMar>
    </w:tblPr>
    <w:tblStylePr w:type="firstRow">
      <w:rPr>
        <w:rFonts w:ascii="Arial" w:hAnsi="Arial"/>
        <w:color w:val="404040"/>
        <w:sz w:val="22"/>
      </w:rPr>
      <w:tcPr>
        <w:tcBorders>
          <w:bottom w:val="single" w:color="92CCDC" w:sz="12" w:space="0"/>
        </w:tcBorders>
      </w:tcPr>
    </w:tblStylePr>
    <w:tblStylePr w:type="lastRow">
      <w:rPr>
        <w:rFonts w:ascii="Arial" w:hAnsi="Arial"/>
        <w:color w:val="404040"/>
        <w:sz w:val="22"/>
      </w:rPr>
      <w:tcPr>
        <w:tcBorders>
          <w:top w:val="single" w:color="92CCDC"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92CCDC" w:sz="12" w:space="0"/>
        </w:tcBorders>
      </w:tcPr>
    </w:tblStylePr>
    <w:tblStylePr w:type="band1Horz">
      <w:rPr>
        <w:rFonts w:ascii="Arial" w:hAnsi="Arial"/>
        <w:color w:val="404040"/>
        <w:sz w:val="22"/>
      </w:rPr>
      <w:tcPr>
        <w:tcBorders>
          <w:top w:val="single" w:color="B6DDE8" w:sz="4" w:space="0"/>
          <w:left w:val="single" w:color="B6DDE8" w:sz="4" w:space="0"/>
          <w:bottom w:val="single" w:color="B6DDE8" w:sz="4" w:space="0"/>
          <w:right w:val="single" w:color="B6DDE8" w:sz="4" w:space="0"/>
        </w:tcBorders>
      </w:tcPr>
    </w:tblStylePr>
  </w:style>
  <w:style w:type="table" w:customStyle="1" w:styleId="166">
    <w:name w:val="Bordered - Accent 6"/>
    <w:basedOn w:val="32"/>
    <w:qFormat/>
    <w:uiPriority w:val="99"/>
    <w:tblPr>
      <w:tblBorders>
        <w:top w:val="single" w:color="FBD4B4" w:sz="4" w:space="0"/>
        <w:left w:val="single" w:color="FBD4B4" w:sz="4" w:space="0"/>
        <w:bottom w:val="single" w:color="FBD4B4" w:sz="4" w:space="0"/>
        <w:right w:val="single" w:color="FBD4B4" w:sz="4" w:space="0"/>
        <w:insideH w:val="single" w:color="FBD4B4" w:sz="4" w:space="0"/>
        <w:insideV w:val="single" w:color="FBD4B4" w:sz="4" w:space="0"/>
      </w:tblBorders>
      <w:tblCellMar>
        <w:top w:w="0" w:type="dxa"/>
        <w:left w:w="108" w:type="dxa"/>
        <w:bottom w:w="0" w:type="dxa"/>
        <w:right w:w="108" w:type="dxa"/>
      </w:tblCellMar>
    </w:tblPr>
    <w:tblStylePr w:type="firstRow">
      <w:rPr>
        <w:rFonts w:ascii="Arial" w:hAnsi="Arial"/>
        <w:color w:val="404040"/>
        <w:sz w:val="22"/>
      </w:rPr>
      <w:tcPr>
        <w:tcBorders>
          <w:bottom w:val="single" w:color="FAC090" w:sz="12" w:space="0"/>
        </w:tcBorders>
      </w:tcPr>
    </w:tblStylePr>
    <w:tblStylePr w:type="lastRow">
      <w:rPr>
        <w:rFonts w:ascii="Arial" w:hAnsi="Arial"/>
        <w:color w:val="404040"/>
        <w:sz w:val="22"/>
      </w:rPr>
      <w:tcPr>
        <w:tcBorders>
          <w:top w:val="single" w:color="FAC090"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FAC090" w:sz="12" w:space="0"/>
        </w:tcBorders>
      </w:tcPr>
    </w:tblStylePr>
    <w:tblStylePr w:type="band1Horz">
      <w:rPr>
        <w:rFonts w:ascii="Arial" w:hAnsi="Arial"/>
        <w:color w:val="404040"/>
        <w:sz w:val="22"/>
      </w:rPr>
      <w:tcPr>
        <w:tcBorders>
          <w:top w:val="single" w:color="FBD4B4" w:sz="4" w:space="0"/>
          <w:left w:val="single" w:color="FBD4B4" w:sz="4" w:space="0"/>
          <w:bottom w:val="single" w:color="FBD4B4" w:sz="4" w:space="0"/>
          <w:right w:val="single" w:color="FBD4B4" w:sz="4" w:space="0"/>
        </w:tcBorders>
      </w:tcPr>
    </w:tblStylePr>
  </w:style>
  <w:style w:type="character" w:customStyle="1" w:styleId="167">
    <w:name w:val="标题 1 Char1"/>
    <w:link w:val="2"/>
    <w:qFormat/>
    <w:uiPriority w:val="9"/>
    <w:rPr>
      <w:rFonts w:ascii="Arial" w:hAnsi="Arial" w:eastAsia="Arial" w:cs="Arial"/>
      <w:color w:val="365F91"/>
      <w:sz w:val="40"/>
      <w:szCs w:val="40"/>
    </w:rPr>
  </w:style>
  <w:style w:type="character" w:customStyle="1" w:styleId="168">
    <w:name w:val="标题 2 Char2"/>
    <w:link w:val="3"/>
    <w:qFormat/>
    <w:uiPriority w:val="9"/>
    <w:rPr>
      <w:rFonts w:ascii="Arial" w:hAnsi="Arial" w:eastAsia="Arial" w:cs="Arial"/>
      <w:color w:val="365F91"/>
      <w:sz w:val="32"/>
      <w:szCs w:val="32"/>
    </w:rPr>
  </w:style>
  <w:style w:type="character" w:customStyle="1" w:styleId="169">
    <w:name w:val="标题 3 Char1"/>
    <w:link w:val="4"/>
    <w:qFormat/>
    <w:uiPriority w:val="9"/>
    <w:rPr>
      <w:rFonts w:ascii="Arial" w:hAnsi="Arial" w:eastAsia="Arial" w:cs="Arial"/>
      <w:color w:val="365F91"/>
      <w:sz w:val="28"/>
      <w:szCs w:val="28"/>
    </w:rPr>
  </w:style>
  <w:style w:type="character" w:customStyle="1" w:styleId="170">
    <w:name w:val="标题 4 Char"/>
    <w:link w:val="5"/>
    <w:qFormat/>
    <w:uiPriority w:val="9"/>
    <w:rPr>
      <w:rFonts w:ascii="Arial" w:hAnsi="Arial" w:eastAsia="Arial" w:cs="Arial"/>
      <w:i/>
      <w:iCs/>
      <w:color w:val="365F91"/>
    </w:rPr>
  </w:style>
  <w:style w:type="character" w:customStyle="1" w:styleId="171">
    <w:name w:val="标题 5 Char1"/>
    <w:link w:val="6"/>
    <w:qFormat/>
    <w:uiPriority w:val="9"/>
    <w:rPr>
      <w:rFonts w:ascii="Arial" w:hAnsi="Arial" w:eastAsia="Arial" w:cs="Arial"/>
      <w:color w:val="365F91"/>
    </w:rPr>
  </w:style>
  <w:style w:type="character" w:customStyle="1" w:styleId="172">
    <w:name w:val="标题 6 Char"/>
    <w:link w:val="7"/>
    <w:qFormat/>
    <w:uiPriority w:val="9"/>
    <w:rPr>
      <w:rFonts w:ascii="Arial" w:hAnsi="Arial" w:eastAsia="Arial" w:cs="Arial"/>
      <w:i/>
      <w:iCs/>
      <w:color w:val="595959"/>
    </w:rPr>
  </w:style>
  <w:style w:type="character" w:customStyle="1" w:styleId="173">
    <w:name w:val="标题 7 Char"/>
    <w:link w:val="8"/>
    <w:qFormat/>
    <w:uiPriority w:val="9"/>
    <w:rPr>
      <w:rFonts w:ascii="Arial" w:hAnsi="Arial" w:eastAsia="Arial" w:cs="Arial"/>
      <w:color w:val="595959"/>
    </w:rPr>
  </w:style>
  <w:style w:type="character" w:customStyle="1" w:styleId="174">
    <w:name w:val="标题 8 Char2"/>
    <w:link w:val="9"/>
    <w:qFormat/>
    <w:uiPriority w:val="9"/>
    <w:rPr>
      <w:rFonts w:ascii="Arial" w:hAnsi="Arial" w:eastAsia="Arial" w:cs="Arial"/>
      <w:i/>
      <w:iCs/>
      <w:color w:val="272727"/>
    </w:rPr>
  </w:style>
  <w:style w:type="character" w:customStyle="1" w:styleId="175">
    <w:name w:val="标题 9 Char"/>
    <w:link w:val="10"/>
    <w:qFormat/>
    <w:uiPriority w:val="9"/>
    <w:rPr>
      <w:rFonts w:ascii="Arial" w:hAnsi="Arial" w:eastAsia="Arial" w:cs="Arial"/>
      <w:i/>
      <w:iCs/>
      <w:color w:val="272727"/>
    </w:rPr>
  </w:style>
  <w:style w:type="character" w:customStyle="1" w:styleId="176">
    <w:name w:val="标题 Char"/>
    <w:link w:val="30"/>
    <w:qFormat/>
    <w:uiPriority w:val="10"/>
    <w:rPr>
      <w:rFonts w:ascii="Arial" w:hAnsi="Arial" w:eastAsia="Arial" w:cs="Arial"/>
      <w:spacing w:val="-10"/>
      <w:sz w:val="56"/>
      <w:szCs w:val="56"/>
    </w:rPr>
  </w:style>
  <w:style w:type="character" w:customStyle="1" w:styleId="177">
    <w:name w:val="副标题 Char"/>
    <w:link w:val="24"/>
    <w:qFormat/>
    <w:uiPriority w:val="11"/>
    <w:rPr>
      <w:color w:val="595959"/>
      <w:spacing w:val="15"/>
      <w:sz w:val="28"/>
      <w:szCs w:val="28"/>
    </w:rPr>
  </w:style>
  <w:style w:type="paragraph" w:styleId="178">
    <w:name w:val="Quote"/>
    <w:basedOn w:val="1"/>
    <w:next w:val="1"/>
    <w:link w:val="179"/>
    <w:qFormat/>
    <w:uiPriority w:val="29"/>
    <w:pPr>
      <w:spacing w:before="160"/>
      <w:jc w:val="center"/>
    </w:pPr>
    <w:rPr>
      <w:i/>
      <w:iCs/>
      <w:color w:val="404040"/>
    </w:rPr>
  </w:style>
  <w:style w:type="character" w:customStyle="1" w:styleId="179">
    <w:name w:val="引用 Char"/>
    <w:link w:val="178"/>
    <w:qFormat/>
    <w:uiPriority w:val="29"/>
    <w:rPr>
      <w:i/>
      <w:iCs/>
      <w:color w:val="404040"/>
    </w:rPr>
  </w:style>
  <w:style w:type="paragraph" w:styleId="180">
    <w:name w:val="List Paragraph"/>
    <w:basedOn w:val="1"/>
    <w:qFormat/>
    <w:uiPriority w:val="34"/>
    <w:pPr>
      <w:ind w:left="720"/>
      <w:contextualSpacing/>
    </w:pPr>
  </w:style>
  <w:style w:type="character" w:customStyle="1" w:styleId="181">
    <w:name w:val="明显强调1"/>
    <w:qFormat/>
    <w:uiPriority w:val="21"/>
    <w:rPr>
      <w:i/>
      <w:iCs/>
      <w:color w:val="365F91"/>
    </w:rPr>
  </w:style>
  <w:style w:type="paragraph" w:styleId="182">
    <w:name w:val="Intense Quote"/>
    <w:basedOn w:val="1"/>
    <w:next w:val="1"/>
    <w:link w:val="183"/>
    <w:qFormat/>
    <w:uiPriority w:val="30"/>
    <w:pPr>
      <w:pBdr>
        <w:top w:val="single" w:color="365F91" w:sz="4" w:space="10"/>
        <w:bottom w:val="single" w:color="365F91" w:sz="4" w:space="10"/>
      </w:pBdr>
      <w:spacing w:before="360" w:after="360"/>
      <w:ind w:left="864" w:right="864"/>
      <w:jc w:val="center"/>
    </w:pPr>
    <w:rPr>
      <w:i/>
      <w:iCs/>
      <w:color w:val="365F91"/>
    </w:rPr>
  </w:style>
  <w:style w:type="character" w:customStyle="1" w:styleId="183">
    <w:name w:val="明显引用 Char"/>
    <w:link w:val="182"/>
    <w:qFormat/>
    <w:uiPriority w:val="30"/>
    <w:rPr>
      <w:i/>
      <w:iCs/>
      <w:color w:val="365F91"/>
    </w:rPr>
  </w:style>
  <w:style w:type="character" w:customStyle="1" w:styleId="184">
    <w:name w:val="明显参考1"/>
    <w:qFormat/>
    <w:uiPriority w:val="32"/>
    <w:rPr>
      <w:b/>
      <w:bCs/>
      <w:smallCaps/>
      <w:color w:val="365F91"/>
      <w:spacing w:val="5"/>
    </w:rPr>
  </w:style>
  <w:style w:type="paragraph" w:styleId="185">
    <w:name w:val="No Spacing"/>
    <w:basedOn w:val="1"/>
    <w:qFormat/>
    <w:uiPriority w:val="1"/>
  </w:style>
  <w:style w:type="character" w:customStyle="1" w:styleId="186">
    <w:name w:val="不明显强调1"/>
    <w:qFormat/>
    <w:uiPriority w:val="19"/>
    <w:rPr>
      <w:i/>
      <w:iCs/>
      <w:color w:val="404040"/>
    </w:rPr>
  </w:style>
  <w:style w:type="character" w:customStyle="1" w:styleId="187">
    <w:name w:val="不明显参考1"/>
    <w:qFormat/>
    <w:uiPriority w:val="31"/>
    <w:rPr>
      <w:smallCaps/>
      <w:color w:val="5A5A5A"/>
    </w:rPr>
  </w:style>
  <w:style w:type="character" w:customStyle="1" w:styleId="188">
    <w:name w:val="书籍标题1"/>
    <w:qFormat/>
    <w:uiPriority w:val="33"/>
    <w:rPr>
      <w:b/>
      <w:bCs/>
      <w:i/>
      <w:iCs/>
      <w:spacing w:val="5"/>
    </w:rPr>
  </w:style>
  <w:style w:type="character" w:customStyle="1" w:styleId="189">
    <w:name w:val="页眉 Char1"/>
    <w:basedOn w:val="34"/>
    <w:link w:val="21"/>
    <w:qFormat/>
    <w:uiPriority w:val="99"/>
  </w:style>
  <w:style w:type="character" w:customStyle="1" w:styleId="190">
    <w:name w:val="页脚 Char1"/>
    <w:basedOn w:val="34"/>
    <w:link w:val="20"/>
    <w:qFormat/>
    <w:uiPriority w:val="99"/>
  </w:style>
  <w:style w:type="character" w:customStyle="1" w:styleId="191">
    <w:name w:val="脚注文本 Char"/>
    <w:link w:val="25"/>
    <w:semiHidden/>
    <w:qFormat/>
    <w:uiPriority w:val="99"/>
    <w:rPr>
      <w:sz w:val="20"/>
      <w:szCs w:val="20"/>
    </w:rPr>
  </w:style>
  <w:style w:type="character" w:customStyle="1" w:styleId="192">
    <w:name w:val="尾注文本 Char"/>
    <w:link w:val="18"/>
    <w:semiHidden/>
    <w:qFormat/>
    <w:uiPriority w:val="99"/>
    <w:rPr>
      <w:sz w:val="20"/>
      <w:szCs w:val="20"/>
    </w:rPr>
  </w:style>
  <w:style w:type="character" w:styleId="193">
    <w:name w:val="Placeholder Text"/>
    <w:semiHidden/>
    <w:qFormat/>
    <w:uiPriority w:val="99"/>
    <w:rPr>
      <w:color w:val="666666"/>
    </w:rPr>
  </w:style>
  <w:style w:type="paragraph" w:customStyle="1" w:styleId="194">
    <w:name w:val="TOC 标题1"/>
    <w:unhideWhenUsed/>
    <w:qFormat/>
    <w:uiPriority w:val="39"/>
    <w:rPr>
      <w:rFonts w:ascii="Times New Roman" w:hAnsi="Times New Roman" w:eastAsia="宋体" w:cs="Times New Roman"/>
      <w:lang w:val="en-US" w:eastAsia="zh-CN" w:bidi="ar-SA"/>
    </w:rPr>
  </w:style>
  <w:style w:type="paragraph" w:customStyle="1" w:styleId="195">
    <w:name w:val="标题 11"/>
    <w:basedOn w:val="1"/>
    <w:next w:val="1"/>
    <w:link w:val="204"/>
    <w:qFormat/>
    <w:uiPriority w:val="9"/>
    <w:pPr>
      <w:keepNext/>
      <w:keepLines/>
      <w:spacing w:before="340" w:after="330" w:line="578" w:lineRule="auto"/>
      <w:outlineLvl w:val="0"/>
    </w:pPr>
    <w:rPr>
      <w:b/>
      <w:bCs/>
      <w:sz w:val="44"/>
      <w:szCs w:val="44"/>
    </w:rPr>
  </w:style>
  <w:style w:type="paragraph" w:customStyle="1" w:styleId="196">
    <w:name w:val="标题 21"/>
    <w:basedOn w:val="1"/>
    <w:next w:val="1"/>
    <w:link w:val="205"/>
    <w:qFormat/>
    <w:uiPriority w:val="0"/>
    <w:pPr>
      <w:keepNext/>
      <w:keepLines/>
      <w:spacing w:before="260" w:after="260" w:line="416" w:lineRule="auto"/>
      <w:outlineLvl w:val="1"/>
    </w:pPr>
    <w:rPr>
      <w:rFonts w:ascii="Cambria" w:hAnsi="Cambria"/>
      <w:b/>
      <w:bCs/>
      <w:sz w:val="32"/>
      <w:szCs w:val="32"/>
    </w:rPr>
  </w:style>
  <w:style w:type="paragraph" w:customStyle="1" w:styleId="197">
    <w:name w:val="标题 31"/>
    <w:basedOn w:val="1"/>
    <w:next w:val="1"/>
    <w:link w:val="206"/>
    <w:qFormat/>
    <w:uiPriority w:val="9"/>
    <w:pPr>
      <w:keepNext/>
      <w:keepLines/>
      <w:spacing w:before="260" w:after="260" w:line="416" w:lineRule="auto"/>
      <w:outlineLvl w:val="2"/>
    </w:pPr>
    <w:rPr>
      <w:b/>
      <w:bCs/>
      <w:sz w:val="32"/>
      <w:szCs w:val="32"/>
    </w:rPr>
  </w:style>
  <w:style w:type="paragraph" w:customStyle="1" w:styleId="198">
    <w:name w:val="标题 51"/>
    <w:basedOn w:val="1"/>
    <w:next w:val="199"/>
    <w:link w:val="207"/>
    <w:qFormat/>
    <w:uiPriority w:val="9"/>
    <w:pPr>
      <w:keepNext/>
      <w:keepLines/>
      <w:spacing w:before="280" w:after="290" w:line="376" w:lineRule="auto"/>
      <w:outlineLvl w:val="4"/>
    </w:pPr>
    <w:rPr>
      <w:b/>
      <w:bCs/>
      <w:sz w:val="28"/>
      <w:szCs w:val="28"/>
    </w:rPr>
  </w:style>
  <w:style w:type="paragraph" w:customStyle="1" w:styleId="199">
    <w:name w:val="正文缩进11"/>
    <w:basedOn w:val="1"/>
    <w:qFormat/>
    <w:uiPriority w:val="99"/>
    <w:pPr>
      <w:ind w:firstLine="420"/>
    </w:pPr>
    <w:rPr>
      <w:szCs w:val="20"/>
    </w:rPr>
  </w:style>
  <w:style w:type="paragraph" w:customStyle="1" w:styleId="200">
    <w:name w:val="标题 81"/>
    <w:basedOn w:val="1"/>
    <w:next w:val="1"/>
    <w:link w:val="208"/>
    <w:qFormat/>
    <w:uiPriority w:val="9"/>
    <w:pPr>
      <w:keepNext/>
      <w:keepLines/>
      <w:spacing w:before="240" w:after="64" w:line="320" w:lineRule="auto"/>
      <w:outlineLvl w:val="7"/>
    </w:pPr>
    <w:rPr>
      <w:rFonts w:ascii="等线 Light" w:hAnsi="等线 Light" w:eastAsia="等线 Light"/>
      <w:sz w:val="24"/>
    </w:rPr>
  </w:style>
  <w:style w:type="paragraph" w:customStyle="1" w:styleId="201">
    <w:name w:val="标题 91"/>
    <w:basedOn w:val="1"/>
    <w:next w:val="1"/>
    <w:link w:val="209"/>
    <w:qFormat/>
    <w:uiPriority w:val="9"/>
    <w:pPr>
      <w:keepNext/>
      <w:keepLines/>
      <w:spacing w:before="240" w:after="64" w:line="320" w:lineRule="auto"/>
      <w:outlineLvl w:val="8"/>
    </w:pPr>
    <w:rPr>
      <w:rFonts w:ascii="Cambria" w:hAnsi="Cambria"/>
      <w:szCs w:val="21"/>
    </w:rPr>
  </w:style>
  <w:style w:type="character" w:customStyle="1" w:styleId="202">
    <w:name w:val="默认段落字体1"/>
    <w:unhideWhenUsed/>
    <w:qFormat/>
    <w:uiPriority w:val="1"/>
  </w:style>
  <w:style w:type="table" w:customStyle="1" w:styleId="203">
    <w:name w:val="普通表格1"/>
    <w:unhideWhenUsed/>
    <w:qFormat/>
    <w:uiPriority w:val="99"/>
    <w:tblPr>
      <w:tblCellMar>
        <w:top w:w="0" w:type="dxa"/>
        <w:left w:w="108" w:type="dxa"/>
        <w:bottom w:w="0" w:type="dxa"/>
        <w:right w:w="108" w:type="dxa"/>
      </w:tblCellMar>
    </w:tblPr>
  </w:style>
  <w:style w:type="character" w:customStyle="1" w:styleId="204">
    <w:name w:val="标题 1 字符"/>
    <w:link w:val="195"/>
    <w:qFormat/>
    <w:uiPriority w:val="9"/>
    <w:rPr>
      <w:b/>
      <w:bCs/>
      <w:sz w:val="44"/>
      <w:szCs w:val="44"/>
    </w:rPr>
  </w:style>
  <w:style w:type="character" w:customStyle="1" w:styleId="205">
    <w:name w:val="标题 2 字符"/>
    <w:link w:val="196"/>
    <w:qFormat/>
    <w:uiPriority w:val="0"/>
    <w:rPr>
      <w:rFonts w:ascii="Cambria" w:hAnsi="Cambria" w:eastAsia="宋体" w:cs="Times New Roman"/>
      <w:b/>
      <w:bCs/>
      <w:sz w:val="32"/>
      <w:szCs w:val="32"/>
    </w:rPr>
  </w:style>
  <w:style w:type="character" w:customStyle="1" w:styleId="206">
    <w:name w:val="标题 3 字符"/>
    <w:link w:val="197"/>
    <w:qFormat/>
    <w:uiPriority w:val="9"/>
    <w:rPr>
      <w:b/>
      <w:bCs/>
      <w:sz w:val="32"/>
      <w:szCs w:val="32"/>
    </w:rPr>
  </w:style>
  <w:style w:type="character" w:customStyle="1" w:styleId="207">
    <w:name w:val="标题 5 字符"/>
    <w:link w:val="198"/>
    <w:qFormat/>
    <w:uiPriority w:val="9"/>
    <w:rPr>
      <w:rFonts w:ascii="Times New Roman" w:hAnsi="Times New Roman"/>
      <w:b/>
      <w:bCs/>
      <w:sz w:val="28"/>
      <w:szCs w:val="28"/>
    </w:rPr>
  </w:style>
  <w:style w:type="character" w:customStyle="1" w:styleId="208">
    <w:name w:val="标题 8 字符"/>
    <w:link w:val="200"/>
    <w:qFormat/>
    <w:uiPriority w:val="9"/>
    <w:rPr>
      <w:rFonts w:ascii="等线 Light" w:hAnsi="等线 Light" w:eastAsia="等线 Light" w:cs="Times New Roman"/>
      <w:sz w:val="24"/>
      <w:szCs w:val="24"/>
    </w:rPr>
  </w:style>
  <w:style w:type="character" w:customStyle="1" w:styleId="209">
    <w:name w:val="标题 9 字符"/>
    <w:link w:val="201"/>
    <w:qFormat/>
    <w:uiPriority w:val="9"/>
    <w:rPr>
      <w:rFonts w:ascii="Cambria" w:hAnsi="Cambria" w:eastAsia="宋体" w:cs="Times New Roman"/>
      <w:sz w:val="21"/>
      <w:szCs w:val="21"/>
    </w:rPr>
  </w:style>
  <w:style w:type="paragraph" w:customStyle="1" w:styleId="210">
    <w:name w:val="列表编号1"/>
    <w:basedOn w:val="1"/>
    <w:qFormat/>
    <w:uiPriority w:val="99"/>
    <w:pPr>
      <w:widowControl/>
      <w:tabs>
        <w:tab w:val="left" w:pos="454"/>
        <w:tab w:val="left" w:pos="720"/>
        <w:tab w:val="left" w:pos="840"/>
      </w:tabs>
      <w:spacing w:after="50"/>
      <w:ind w:left="454" w:hanging="284"/>
      <w:jc w:val="left"/>
    </w:pPr>
    <w:rPr>
      <w:sz w:val="24"/>
      <w:szCs w:val="20"/>
    </w:rPr>
  </w:style>
  <w:style w:type="paragraph" w:customStyle="1" w:styleId="211">
    <w:name w:val="批注文字1"/>
    <w:basedOn w:val="1"/>
    <w:link w:val="212"/>
    <w:qFormat/>
    <w:uiPriority w:val="0"/>
    <w:pPr>
      <w:jc w:val="left"/>
    </w:pPr>
  </w:style>
  <w:style w:type="character" w:customStyle="1" w:styleId="212">
    <w:name w:val="批注文字 字符2"/>
    <w:link w:val="211"/>
    <w:qFormat/>
    <w:uiPriority w:val="0"/>
    <w:rPr>
      <w:rFonts w:ascii="Times New Roman" w:hAnsi="Times New Roman"/>
      <w:sz w:val="21"/>
      <w:szCs w:val="24"/>
    </w:rPr>
  </w:style>
  <w:style w:type="paragraph" w:customStyle="1" w:styleId="213">
    <w:name w:val="正文文本 31"/>
    <w:basedOn w:val="1"/>
    <w:link w:val="214"/>
    <w:unhideWhenUsed/>
    <w:qFormat/>
    <w:uiPriority w:val="99"/>
    <w:pPr>
      <w:spacing w:after="120"/>
    </w:pPr>
    <w:rPr>
      <w:sz w:val="16"/>
      <w:szCs w:val="16"/>
    </w:rPr>
  </w:style>
  <w:style w:type="character" w:customStyle="1" w:styleId="214">
    <w:name w:val="正文文本 3 字符"/>
    <w:link w:val="213"/>
    <w:qFormat/>
    <w:uiPriority w:val="99"/>
    <w:rPr>
      <w:sz w:val="16"/>
      <w:szCs w:val="16"/>
    </w:rPr>
  </w:style>
  <w:style w:type="paragraph" w:customStyle="1" w:styleId="215">
    <w:name w:val="正文文本1"/>
    <w:basedOn w:val="1"/>
    <w:link w:val="216"/>
    <w:unhideWhenUsed/>
    <w:qFormat/>
    <w:uiPriority w:val="99"/>
    <w:pPr>
      <w:spacing w:after="120"/>
    </w:pPr>
  </w:style>
  <w:style w:type="character" w:customStyle="1" w:styleId="216">
    <w:name w:val="正文文本 字符1"/>
    <w:link w:val="215"/>
    <w:qFormat/>
    <w:uiPriority w:val="99"/>
    <w:rPr>
      <w:rFonts w:ascii="Times New Roman" w:hAnsi="Times New Roman"/>
      <w:sz w:val="21"/>
      <w:szCs w:val="24"/>
    </w:rPr>
  </w:style>
  <w:style w:type="paragraph" w:customStyle="1" w:styleId="217">
    <w:name w:val="正文文本缩进1"/>
    <w:basedOn w:val="1"/>
    <w:link w:val="218"/>
    <w:qFormat/>
    <w:uiPriority w:val="99"/>
    <w:pPr>
      <w:ind w:firstLine="830"/>
    </w:pPr>
    <w:rPr>
      <w:rFonts w:ascii="仿宋_GB2312" w:eastAsia="仿宋_GB2312"/>
      <w:sz w:val="32"/>
      <w:szCs w:val="20"/>
    </w:rPr>
  </w:style>
  <w:style w:type="character" w:customStyle="1" w:styleId="218">
    <w:name w:val="正文文本缩进 字符1"/>
    <w:link w:val="217"/>
    <w:qFormat/>
    <w:uiPriority w:val="99"/>
    <w:rPr>
      <w:rFonts w:ascii="仿宋_GB2312" w:hAnsi="Times New Roman" w:eastAsia="仿宋_GB2312" w:cs="Times New Roman"/>
      <w:sz w:val="32"/>
      <w:szCs w:val="20"/>
    </w:rPr>
  </w:style>
  <w:style w:type="paragraph" w:customStyle="1" w:styleId="219">
    <w:name w:val="列表 21"/>
    <w:basedOn w:val="1"/>
    <w:unhideWhenUsed/>
    <w:qFormat/>
    <w:uiPriority w:val="99"/>
    <w:pPr>
      <w:ind w:left="100" w:hanging="200"/>
      <w:contextualSpacing/>
    </w:pPr>
  </w:style>
  <w:style w:type="paragraph" w:customStyle="1" w:styleId="220">
    <w:name w:val="目录 31"/>
    <w:basedOn w:val="1"/>
    <w:next w:val="1"/>
    <w:unhideWhenUsed/>
    <w:qFormat/>
    <w:uiPriority w:val="39"/>
    <w:pPr>
      <w:ind w:left="840"/>
    </w:pPr>
  </w:style>
  <w:style w:type="paragraph" w:customStyle="1" w:styleId="221">
    <w:name w:val="纯文本1"/>
    <w:basedOn w:val="1"/>
    <w:link w:val="222"/>
    <w:qFormat/>
    <w:uiPriority w:val="0"/>
    <w:rPr>
      <w:rFonts w:ascii="宋体" w:hAnsi="Courier New"/>
      <w:sz w:val="20"/>
      <w:szCs w:val="21"/>
    </w:rPr>
  </w:style>
  <w:style w:type="character" w:customStyle="1" w:styleId="222">
    <w:name w:val="纯文本 字符3"/>
    <w:link w:val="221"/>
    <w:qFormat/>
    <w:uiPriority w:val="99"/>
    <w:rPr>
      <w:rFonts w:ascii="宋体" w:hAnsi="Courier New" w:eastAsia="宋体" w:cs="Courier New"/>
      <w:szCs w:val="21"/>
    </w:rPr>
  </w:style>
  <w:style w:type="paragraph" w:customStyle="1" w:styleId="223">
    <w:name w:val="日期1"/>
    <w:basedOn w:val="1"/>
    <w:next w:val="1"/>
    <w:link w:val="224"/>
    <w:unhideWhenUsed/>
    <w:qFormat/>
    <w:uiPriority w:val="0"/>
    <w:pPr>
      <w:ind w:left="100"/>
    </w:pPr>
  </w:style>
  <w:style w:type="character" w:customStyle="1" w:styleId="224">
    <w:name w:val="日期 字符"/>
    <w:link w:val="223"/>
    <w:qFormat/>
    <w:uiPriority w:val="99"/>
    <w:rPr>
      <w:rFonts w:ascii="Times New Roman" w:hAnsi="Times New Roman"/>
      <w:sz w:val="21"/>
      <w:szCs w:val="24"/>
    </w:rPr>
  </w:style>
  <w:style w:type="paragraph" w:customStyle="1" w:styleId="225">
    <w:name w:val="批注框文本1"/>
    <w:basedOn w:val="1"/>
    <w:link w:val="226"/>
    <w:qFormat/>
    <w:uiPriority w:val="0"/>
    <w:rPr>
      <w:sz w:val="18"/>
      <w:szCs w:val="18"/>
    </w:rPr>
  </w:style>
  <w:style w:type="character" w:customStyle="1" w:styleId="226">
    <w:name w:val="批注框文本 字符"/>
    <w:link w:val="225"/>
    <w:semiHidden/>
    <w:qFormat/>
    <w:uiPriority w:val="99"/>
    <w:rPr>
      <w:sz w:val="18"/>
      <w:szCs w:val="18"/>
    </w:rPr>
  </w:style>
  <w:style w:type="paragraph" w:customStyle="1" w:styleId="227">
    <w:name w:val="页脚1"/>
    <w:basedOn w:val="1"/>
    <w:link w:val="228"/>
    <w:unhideWhenUsed/>
    <w:qFormat/>
    <w:uiPriority w:val="0"/>
    <w:pPr>
      <w:tabs>
        <w:tab w:val="center" w:pos="4153"/>
        <w:tab w:val="right" w:pos="8306"/>
      </w:tabs>
      <w:jc w:val="left"/>
    </w:pPr>
    <w:rPr>
      <w:sz w:val="18"/>
      <w:szCs w:val="18"/>
    </w:rPr>
  </w:style>
  <w:style w:type="character" w:customStyle="1" w:styleId="228">
    <w:name w:val="页脚 字符"/>
    <w:link w:val="227"/>
    <w:qFormat/>
    <w:uiPriority w:val="99"/>
    <w:rPr>
      <w:sz w:val="18"/>
      <w:szCs w:val="18"/>
    </w:rPr>
  </w:style>
  <w:style w:type="paragraph" w:customStyle="1" w:styleId="229">
    <w:name w:val="页眉1"/>
    <w:basedOn w:val="1"/>
    <w:link w:val="230"/>
    <w:unhideWhenUsed/>
    <w:qFormat/>
    <w:uiPriority w:val="0"/>
    <w:pPr>
      <w:pBdr>
        <w:bottom w:val="single" w:color="000000" w:sz="6" w:space="1"/>
      </w:pBdr>
      <w:tabs>
        <w:tab w:val="center" w:pos="4153"/>
        <w:tab w:val="right" w:pos="8306"/>
      </w:tabs>
      <w:jc w:val="center"/>
    </w:pPr>
    <w:rPr>
      <w:sz w:val="18"/>
      <w:szCs w:val="18"/>
    </w:rPr>
  </w:style>
  <w:style w:type="character" w:customStyle="1" w:styleId="230">
    <w:name w:val="页眉 字符"/>
    <w:link w:val="229"/>
    <w:qFormat/>
    <w:uiPriority w:val="99"/>
    <w:rPr>
      <w:sz w:val="18"/>
      <w:szCs w:val="18"/>
    </w:rPr>
  </w:style>
  <w:style w:type="paragraph" w:customStyle="1" w:styleId="231">
    <w:name w:val="目录 11"/>
    <w:basedOn w:val="1"/>
    <w:next w:val="1"/>
    <w:unhideWhenUsed/>
    <w:qFormat/>
    <w:uiPriority w:val="39"/>
  </w:style>
  <w:style w:type="paragraph" w:customStyle="1" w:styleId="232">
    <w:name w:val="列表1"/>
    <w:basedOn w:val="1"/>
    <w:unhideWhenUsed/>
    <w:qFormat/>
    <w:uiPriority w:val="99"/>
    <w:pPr>
      <w:ind w:left="200" w:hanging="200"/>
      <w:contextualSpacing/>
    </w:pPr>
  </w:style>
  <w:style w:type="paragraph" w:customStyle="1" w:styleId="233">
    <w:name w:val="目录 21"/>
    <w:basedOn w:val="1"/>
    <w:next w:val="1"/>
    <w:unhideWhenUsed/>
    <w:qFormat/>
    <w:uiPriority w:val="39"/>
    <w:pPr>
      <w:tabs>
        <w:tab w:val="right" w:leader="dot" w:pos="8296"/>
      </w:tabs>
      <w:ind w:left="420"/>
    </w:pPr>
  </w:style>
  <w:style w:type="paragraph" w:customStyle="1" w:styleId="234">
    <w:name w:val="普通(网站)1"/>
    <w:basedOn w:val="1"/>
    <w:unhideWhenUsed/>
    <w:qFormat/>
    <w:uiPriority w:val="99"/>
    <w:rPr>
      <w:rFonts w:ascii="Calibri" w:hAnsi="Calibri"/>
      <w:sz w:val="24"/>
    </w:rPr>
  </w:style>
  <w:style w:type="paragraph" w:customStyle="1" w:styleId="235">
    <w:name w:val="标题1"/>
    <w:basedOn w:val="1"/>
    <w:link w:val="236"/>
    <w:qFormat/>
    <w:uiPriority w:val="10"/>
    <w:pPr>
      <w:widowControl/>
      <w:jc w:val="center"/>
    </w:pPr>
    <w:rPr>
      <w:rFonts w:ascii="Cambria" w:hAnsi="Cambria"/>
      <w:b/>
      <w:bCs/>
      <w:sz w:val="32"/>
      <w:szCs w:val="32"/>
    </w:rPr>
  </w:style>
  <w:style w:type="character" w:customStyle="1" w:styleId="236">
    <w:name w:val="标题 字符"/>
    <w:link w:val="235"/>
    <w:qFormat/>
    <w:uiPriority w:val="10"/>
    <w:rPr>
      <w:rFonts w:ascii="Cambria" w:hAnsi="Cambria" w:cs="Times New Roman"/>
      <w:b/>
      <w:bCs/>
      <w:sz w:val="32"/>
      <w:szCs w:val="32"/>
    </w:rPr>
  </w:style>
  <w:style w:type="paragraph" w:customStyle="1" w:styleId="237">
    <w:name w:val="批注主题1"/>
    <w:basedOn w:val="211"/>
    <w:next w:val="211"/>
    <w:link w:val="238"/>
    <w:qFormat/>
    <w:uiPriority w:val="99"/>
    <w:rPr>
      <w:b/>
      <w:bCs/>
    </w:rPr>
  </w:style>
  <w:style w:type="character" w:customStyle="1" w:styleId="238">
    <w:name w:val="批注主题 字符"/>
    <w:link w:val="237"/>
    <w:qFormat/>
    <w:uiPriority w:val="99"/>
    <w:rPr>
      <w:rFonts w:ascii="Times New Roman" w:hAnsi="Times New Roman"/>
      <w:b/>
      <w:bCs/>
      <w:sz w:val="21"/>
      <w:szCs w:val="24"/>
    </w:rPr>
  </w:style>
  <w:style w:type="paragraph" w:customStyle="1" w:styleId="239">
    <w:name w:val="正文首行缩进 21"/>
    <w:basedOn w:val="217"/>
    <w:link w:val="240"/>
    <w:unhideWhenUsed/>
    <w:qFormat/>
    <w:uiPriority w:val="99"/>
    <w:pPr>
      <w:spacing w:after="120"/>
      <w:ind w:left="420" w:firstLine="420"/>
    </w:pPr>
    <w:rPr>
      <w:rFonts w:ascii="Times New Roman" w:eastAsia="宋体"/>
      <w:sz w:val="21"/>
      <w:szCs w:val="24"/>
    </w:rPr>
  </w:style>
  <w:style w:type="character" w:customStyle="1" w:styleId="240">
    <w:name w:val="正文首行缩进 2 字符4"/>
    <w:link w:val="239"/>
    <w:qFormat/>
    <w:uiPriority w:val="99"/>
    <w:rPr>
      <w:sz w:val="21"/>
      <w:szCs w:val="24"/>
    </w:rPr>
  </w:style>
  <w:style w:type="table" w:customStyle="1" w:styleId="241">
    <w:name w:val="网格型1"/>
    <w:basedOn w:val="203"/>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242">
    <w:name w:val="尾注引用1"/>
    <w:unhideWhenUsed/>
    <w:qFormat/>
    <w:uiPriority w:val="99"/>
    <w:rPr>
      <w:vertAlign w:val="superscript"/>
    </w:rPr>
  </w:style>
  <w:style w:type="character" w:customStyle="1" w:styleId="243">
    <w:name w:val="页码1"/>
    <w:qFormat/>
    <w:uiPriority w:val="0"/>
    <w:rPr>
      <w:rFonts w:ascii="Arial" w:hAnsi="Arial" w:eastAsia="黑体" w:cs="Arial"/>
      <w:szCs w:val="21"/>
    </w:rPr>
  </w:style>
  <w:style w:type="character" w:customStyle="1" w:styleId="244">
    <w:name w:val="已访问的超链接1"/>
    <w:unhideWhenUsed/>
    <w:qFormat/>
    <w:uiPriority w:val="99"/>
    <w:rPr>
      <w:color w:val="800080"/>
      <w:u w:val="single"/>
    </w:rPr>
  </w:style>
  <w:style w:type="character" w:customStyle="1" w:styleId="245">
    <w:name w:val="超链接1"/>
    <w:unhideWhenUsed/>
    <w:qFormat/>
    <w:uiPriority w:val="99"/>
    <w:rPr>
      <w:color w:val="0000FF"/>
      <w:u w:val="single"/>
    </w:rPr>
  </w:style>
  <w:style w:type="character" w:customStyle="1" w:styleId="246">
    <w:name w:val="批注引用1"/>
    <w:qFormat/>
    <w:uiPriority w:val="0"/>
    <w:rPr>
      <w:sz w:val="21"/>
      <w:szCs w:val="21"/>
    </w:rPr>
  </w:style>
  <w:style w:type="character" w:customStyle="1" w:styleId="247">
    <w:name w:val="标题 Char1"/>
    <w:qFormat/>
    <w:uiPriority w:val="0"/>
    <w:rPr>
      <w:rFonts w:ascii="Calibri" w:hAnsi="Calibri"/>
      <w:b/>
      <w:sz w:val="24"/>
      <w:lang w:val="en-GB"/>
    </w:rPr>
  </w:style>
  <w:style w:type="character" w:customStyle="1" w:styleId="248">
    <w:name w:val="标题 8 Char"/>
    <w:qFormat/>
    <w:uiPriority w:val="0"/>
    <w:rPr>
      <w:rFonts w:ascii="Arial" w:hAnsi="Arial" w:eastAsia="黑体"/>
      <w:sz w:val="24"/>
      <w:szCs w:val="24"/>
    </w:rPr>
  </w:style>
  <w:style w:type="character" w:customStyle="1" w:styleId="249">
    <w:name w:val="正文文本 (26) + 间距 0 pt"/>
    <w:qFormat/>
    <w:uiPriority w:val="0"/>
    <w:rPr>
      <w:rFonts w:ascii="宋体" w:hAnsi="宋体" w:eastAsia="宋体" w:cs="宋体"/>
      <w:color w:val="000000"/>
      <w:spacing w:val="0"/>
      <w:position w:val="0"/>
      <w:sz w:val="22"/>
      <w:szCs w:val="22"/>
      <w:u w:val="none"/>
      <w:lang w:val="zh-CN" w:eastAsia="zh-CN" w:bidi="zh-CN"/>
    </w:rPr>
  </w:style>
  <w:style w:type="character" w:customStyle="1" w:styleId="250">
    <w:name w:val="正文文本 字符"/>
    <w:qFormat/>
    <w:uiPriority w:val="99"/>
    <w:rPr>
      <w:rFonts w:ascii="Times New Roman" w:hAnsi="Times New Roman"/>
      <w:sz w:val="21"/>
      <w:szCs w:val="24"/>
    </w:rPr>
  </w:style>
  <w:style w:type="character" w:customStyle="1" w:styleId="251">
    <w:name w:val="纯文本 Char"/>
    <w:qFormat/>
    <w:uiPriority w:val="0"/>
    <w:rPr>
      <w:rFonts w:ascii="宋体" w:hAnsi="Courier New" w:eastAsia="宋体" w:cs="Courier New"/>
      <w:szCs w:val="21"/>
    </w:rPr>
  </w:style>
  <w:style w:type="character" w:customStyle="1" w:styleId="252">
    <w:name w:val="正文文本 Char"/>
    <w:qFormat/>
    <w:uiPriority w:val="0"/>
    <w:rPr>
      <w:rFonts w:ascii="Times New Roman" w:hAnsi="Times New Roman"/>
      <w:sz w:val="21"/>
      <w:szCs w:val="24"/>
    </w:rPr>
  </w:style>
  <w:style w:type="character" w:customStyle="1" w:styleId="253">
    <w:name w:val="批注文字 字符1"/>
    <w:qFormat/>
    <w:uiPriority w:val="0"/>
    <w:rPr>
      <w:rFonts w:ascii="Times New Roman" w:hAnsi="Times New Roman"/>
      <w:sz w:val="21"/>
      <w:szCs w:val="24"/>
    </w:rPr>
  </w:style>
  <w:style w:type="character" w:customStyle="1" w:styleId="254">
    <w:name w:val="标题 2 Char"/>
    <w:qFormat/>
    <w:uiPriority w:val="9"/>
    <w:rPr>
      <w:rFonts w:ascii="Cambria" w:hAnsi="Cambria" w:eastAsia="宋体" w:cs="Times New Roman"/>
      <w:b/>
      <w:bCs/>
      <w:sz w:val="32"/>
      <w:szCs w:val="32"/>
    </w:rPr>
  </w:style>
  <w:style w:type="character" w:customStyle="1" w:styleId="255">
    <w:name w:val="批注文字 字符"/>
    <w:qFormat/>
    <w:uiPriority w:val="0"/>
    <w:rPr>
      <w:rFonts w:ascii="Times New Roman" w:hAnsi="Times New Roman"/>
      <w:sz w:val="21"/>
      <w:szCs w:val="24"/>
    </w:rPr>
  </w:style>
  <w:style w:type="character" w:customStyle="1" w:styleId="256">
    <w:name w:val="未处理的提及1"/>
    <w:unhideWhenUsed/>
    <w:qFormat/>
    <w:uiPriority w:val="99"/>
    <w:rPr>
      <w:color w:val="605E5C"/>
      <w:shd w:val="clear" w:color="auto" w:fill="E1DFDD"/>
    </w:rPr>
  </w:style>
  <w:style w:type="character" w:customStyle="1" w:styleId="257">
    <w:name w:val="apple-style-span"/>
    <w:qFormat/>
    <w:uiPriority w:val="0"/>
  </w:style>
  <w:style w:type="character" w:customStyle="1" w:styleId="258">
    <w:name w:val="纯文本 字符2"/>
    <w:qFormat/>
    <w:uiPriority w:val="0"/>
    <w:rPr>
      <w:rFonts w:ascii="宋体" w:hAnsi="Courier New" w:eastAsia="宋体" w:cs="Courier New"/>
      <w:szCs w:val="21"/>
    </w:rPr>
  </w:style>
  <w:style w:type="character" w:customStyle="1" w:styleId="259">
    <w:name w:val="textcontents"/>
    <w:qFormat/>
    <w:uiPriority w:val="0"/>
  </w:style>
  <w:style w:type="character" w:customStyle="1" w:styleId="260">
    <w:name w:val="纯文本 字符1"/>
    <w:qFormat/>
    <w:uiPriority w:val="0"/>
    <w:rPr>
      <w:rFonts w:ascii="宋体" w:hAnsi="Courier New"/>
    </w:rPr>
  </w:style>
  <w:style w:type="character" w:customStyle="1" w:styleId="261">
    <w:name w:val="批注文字 Char"/>
    <w:qFormat/>
    <w:uiPriority w:val="0"/>
    <w:rPr>
      <w:rFonts w:ascii="Times New Roman" w:hAnsi="Times New Roman"/>
      <w:sz w:val="21"/>
      <w:szCs w:val="24"/>
    </w:rPr>
  </w:style>
  <w:style w:type="character" w:customStyle="1" w:styleId="262">
    <w:name w:val="标题 1 字符1"/>
    <w:qFormat/>
    <w:uiPriority w:val="0"/>
    <w:rPr>
      <w:b/>
      <w:bCs/>
      <w:sz w:val="44"/>
      <w:szCs w:val="44"/>
    </w:rPr>
  </w:style>
  <w:style w:type="character" w:customStyle="1" w:styleId="263">
    <w:name w:val="纯文本 字符"/>
    <w:qFormat/>
    <w:uiPriority w:val="0"/>
    <w:rPr>
      <w:rFonts w:ascii="宋体" w:hAnsi="Courier New" w:eastAsia="宋体" w:cs="Courier New"/>
      <w:szCs w:val="21"/>
    </w:rPr>
  </w:style>
  <w:style w:type="paragraph" w:customStyle="1" w:styleId="264">
    <w:name w:val="Char Char Char Char"/>
    <w:basedOn w:val="1"/>
    <w:qFormat/>
    <w:uiPriority w:val="99"/>
    <w:pPr>
      <w:widowControl/>
      <w:spacing w:after="160" w:line="240" w:lineRule="exact"/>
      <w:jc w:val="left"/>
    </w:pPr>
  </w:style>
  <w:style w:type="paragraph" w:customStyle="1" w:styleId="265">
    <w:name w:val="默认段落字体 Para Char Char Char Char Char Char Char Char Char1 Char Char Char Char"/>
    <w:basedOn w:val="1"/>
    <w:qFormat/>
    <w:uiPriority w:val="99"/>
    <w:rPr>
      <w:rFonts w:ascii="Tahoma" w:hAnsi="Tahoma"/>
      <w:sz w:val="24"/>
      <w:szCs w:val="20"/>
    </w:rPr>
  </w:style>
  <w:style w:type="paragraph" w:customStyle="1" w:styleId="266">
    <w:name w:val="列出段落1"/>
    <w:basedOn w:val="1"/>
    <w:qFormat/>
    <w:uiPriority w:val="34"/>
    <w:pPr>
      <w:ind w:firstLine="420"/>
    </w:pPr>
  </w:style>
  <w:style w:type="paragraph" w:customStyle="1" w:styleId="267">
    <w:name w:val="TOC 标题2"/>
    <w:basedOn w:val="195"/>
    <w:next w:val="1"/>
    <w:qFormat/>
    <w:uiPriority w:val="39"/>
    <w:pPr>
      <w:widowControl/>
      <w:spacing w:before="240" w:after="0" w:line="259" w:lineRule="auto"/>
      <w:jc w:val="left"/>
      <w:outlineLvl w:val="9"/>
    </w:pPr>
    <w:rPr>
      <w:rFonts w:ascii="等线 Light" w:hAnsi="等线 Light" w:eastAsia="等线 Light"/>
      <w:b w:val="0"/>
      <w:bCs w:val="0"/>
      <w:color w:val="2F5496"/>
      <w:sz w:val="32"/>
      <w:szCs w:val="32"/>
    </w:rPr>
  </w:style>
  <w:style w:type="paragraph" w:customStyle="1" w:styleId="268">
    <w:name w:val="表内文字"/>
    <w:basedOn w:val="1"/>
    <w:qFormat/>
    <w:uiPriority w:val="99"/>
    <w:pPr>
      <w:spacing w:before="50" w:after="50"/>
      <w:jc w:val="center"/>
    </w:pPr>
    <w:rPr>
      <w:rFonts w:ascii="仿宋_GB2312" w:hAnsi="宋体" w:eastAsia="仿宋_GB2312"/>
      <w:b/>
      <w:color w:val="000000"/>
      <w:sz w:val="32"/>
      <w:szCs w:val="32"/>
    </w:rPr>
  </w:style>
  <w:style w:type="paragraph" w:customStyle="1" w:styleId="269">
    <w:name w:val="Table Paragraph"/>
    <w:basedOn w:val="1"/>
    <w:qFormat/>
    <w:uiPriority w:val="1"/>
    <w:pPr>
      <w:jc w:val="left"/>
    </w:pPr>
    <w:rPr>
      <w:rFonts w:ascii="Calibri" w:hAnsi="Calibri"/>
      <w:sz w:val="22"/>
      <w:szCs w:val="22"/>
      <w:lang w:eastAsia="en-US"/>
    </w:rPr>
  </w:style>
  <w:style w:type="character" w:customStyle="1" w:styleId="270">
    <w:name w:val="正文文本缩进 字符"/>
    <w:qFormat/>
    <w:uiPriority w:val="99"/>
    <w:rPr>
      <w:rFonts w:ascii="仿宋_GB2312" w:hAnsi="Times New Roman" w:eastAsia="仿宋_GB2312" w:cs="Times New Roman"/>
      <w:sz w:val="32"/>
      <w:szCs w:val="20"/>
    </w:rPr>
  </w:style>
  <w:style w:type="character" w:customStyle="1" w:styleId="271">
    <w:name w:val="正文2 Char Char"/>
    <w:link w:val="272"/>
    <w:qFormat/>
    <w:uiPriority w:val="0"/>
    <w:rPr>
      <w:sz w:val="24"/>
    </w:rPr>
  </w:style>
  <w:style w:type="paragraph" w:customStyle="1" w:styleId="272">
    <w:name w:val="正文2"/>
    <w:basedOn w:val="1"/>
    <w:link w:val="271"/>
    <w:qFormat/>
    <w:uiPriority w:val="0"/>
    <w:pPr>
      <w:spacing w:before="156" w:line="360" w:lineRule="auto"/>
      <w:ind w:firstLine="510"/>
    </w:pPr>
    <w:rPr>
      <w:sz w:val="24"/>
      <w:szCs w:val="20"/>
    </w:rPr>
  </w:style>
  <w:style w:type="character" w:customStyle="1" w:styleId="273">
    <w:name w:val="纯文本 Char2"/>
    <w:qFormat/>
    <w:uiPriority w:val="0"/>
    <w:rPr>
      <w:rFonts w:ascii="宋体" w:hAnsi="Courier New" w:cs="Arial"/>
      <w:szCs w:val="21"/>
    </w:rPr>
  </w:style>
  <w:style w:type="paragraph" w:customStyle="1" w:styleId="274">
    <w:name w:val="表格文字"/>
    <w:basedOn w:val="1"/>
    <w:next w:val="215"/>
    <w:qFormat/>
    <w:uiPriority w:val="99"/>
    <w:pPr>
      <w:spacing w:line="420" w:lineRule="atLeast"/>
      <w:jc w:val="left"/>
    </w:pPr>
  </w:style>
  <w:style w:type="paragraph" w:customStyle="1" w:styleId="275">
    <w:name w:val="样式5"/>
    <w:basedOn w:val="1"/>
    <w:qFormat/>
    <w:uiPriority w:val="99"/>
    <w:pPr>
      <w:spacing w:line="440" w:lineRule="exact"/>
      <w:ind w:left="2" w:firstLine="480"/>
    </w:pPr>
    <w:rPr>
      <w:rFonts w:ascii="仿宋_GB2312" w:hAnsi="仿宋" w:eastAsia="仿宋_GB2312"/>
      <w:sz w:val="24"/>
    </w:rPr>
  </w:style>
  <w:style w:type="paragraph" w:customStyle="1" w:styleId="276">
    <w:name w:val="正文缩进1"/>
    <w:basedOn w:val="1"/>
    <w:next w:val="217"/>
    <w:qFormat/>
    <w:uiPriority w:val="99"/>
    <w:pPr>
      <w:spacing w:after="120" w:line="360" w:lineRule="auto"/>
      <w:ind w:left="420" w:firstLine="480"/>
    </w:pPr>
    <w:rPr>
      <w:sz w:val="24"/>
      <w:szCs w:val="21"/>
    </w:rPr>
  </w:style>
  <w:style w:type="character" w:customStyle="1" w:styleId="277">
    <w:name w:val="NormalCharacter1"/>
    <w:qFormat/>
    <w:uiPriority w:val="0"/>
  </w:style>
  <w:style w:type="character" w:customStyle="1" w:styleId="278">
    <w:name w:val="页眉 Char"/>
    <w:qFormat/>
    <w:uiPriority w:val="0"/>
    <w:rPr>
      <w:lang w:eastAsia="zh-CN"/>
    </w:rPr>
  </w:style>
  <w:style w:type="character" w:customStyle="1" w:styleId="279">
    <w:name w:val="正文首行缩进 2 字符"/>
    <w:qFormat/>
    <w:uiPriority w:val="99"/>
    <w:rPr>
      <w:rFonts w:ascii="仿宋_GB2312" w:hAnsi="Times New Roman" w:eastAsia="仿宋_GB2312" w:cs="Times New Roman"/>
      <w:sz w:val="21"/>
      <w:szCs w:val="24"/>
    </w:rPr>
  </w:style>
  <w:style w:type="character" w:customStyle="1" w:styleId="280">
    <w:name w:val="纯文本 Char1"/>
    <w:qFormat/>
    <w:uiPriority w:val="0"/>
    <w:rPr>
      <w:rFonts w:ascii="宋体" w:hAnsi="Courier New" w:eastAsia="宋体" w:cs="Times New Roman"/>
      <w:sz w:val="20"/>
      <w:szCs w:val="21"/>
    </w:rPr>
  </w:style>
  <w:style w:type="paragraph" w:customStyle="1" w:styleId="281">
    <w:name w:val="_Style 93"/>
    <w:basedOn w:val="1"/>
    <w:next w:val="266"/>
    <w:qFormat/>
    <w:uiPriority w:val="99"/>
    <w:pPr>
      <w:ind w:firstLine="420"/>
    </w:pPr>
  </w:style>
  <w:style w:type="character" w:customStyle="1" w:styleId="282">
    <w:name w:val="标题 1 Char"/>
    <w:qFormat/>
    <w:uiPriority w:val="9"/>
    <w:rPr>
      <w:b/>
      <w:bCs/>
      <w:sz w:val="44"/>
      <w:szCs w:val="44"/>
    </w:rPr>
  </w:style>
  <w:style w:type="character" w:customStyle="1" w:styleId="283">
    <w:name w:val="标题 2 Char1"/>
    <w:qFormat/>
    <w:uiPriority w:val="9"/>
    <w:rPr>
      <w:rFonts w:ascii="Cambria" w:hAnsi="Cambria"/>
      <w:b/>
      <w:bCs/>
      <w:sz w:val="32"/>
      <w:szCs w:val="32"/>
    </w:rPr>
  </w:style>
  <w:style w:type="character" w:customStyle="1" w:styleId="284">
    <w:name w:val="标题 3 Char"/>
    <w:qFormat/>
    <w:uiPriority w:val="9"/>
    <w:rPr>
      <w:b/>
      <w:bCs/>
      <w:sz w:val="32"/>
      <w:szCs w:val="32"/>
    </w:rPr>
  </w:style>
  <w:style w:type="character" w:customStyle="1" w:styleId="285">
    <w:name w:val="标题 5 Char"/>
    <w:qFormat/>
    <w:uiPriority w:val="9"/>
    <w:rPr>
      <w:b/>
      <w:bCs/>
      <w:sz w:val="28"/>
      <w:szCs w:val="28"/>
    </w:rPr>
  </w:style>
  <w:style w:type="character" w:customStyle="1" w:styleId="286">
    <w:name w:val="标题 8 Char1"/>
    <w:qFormat/>
    <w:uiPriority w:val="9"/>
    <w:rPr>
      <w:rFonts w:ascii="等线 Light" w:hAnsi="等线 Light" w:eastAsia="等线 Light"/>
      <w:sz w:val="24"/>
      <w:szCs w:val="24"/>
    </w:rPr>
  </w:style>
  <w:style w:type="character" w:customStyle="1" w:styleId="287">
    <w:name w:val="批注文字 Char1"/>
    <w:qFormat/>
    <w:uiPriority w:val="0"/>
    <w:rPr>
      <w:sz w:val="21"/>
      <w:szCs w:val="24"/>
    </w:rPr>
  </w:style>
  <w:style w:type="character" w:customStyle="1" w:styleId="288">
    <w:name w:val="正文文本 3 Char"/>
    <w:qFormat/>
    <w:uiPriority w:val="99"/>
    <w:rPr>
      <w:sz w:val="16"/>
      <w:szCs w:val="16"/>
    </w:rPr>
  </w:style>
  <w:style w:type="character" w:customStyle="1" w:styleId="289">
    <w:name w:val="正文文本 Char1"/>
    <w:qFormat/>
    <w:uiPriority w:val="0"/>
    <w:rPr>
      <w:sz w:val="21"/>
      <w:szCs w:val="24"/>
    </w:rPr>
  </w:style>
  <w:style w:type="character" w:customStyle="1" w:styleId="290">
    <w:name w:val="正文文本缩进 Char"/>
    <w:qFormat/>
    <w:uiPriority w:val="0"/>
    <w:rPr>
      <w:rFonts w:ascii="仿宋_GB2312" w:eastAsia="仿宋_GB2312"/>
      <w:sz w:val="32"/>
    </w:rPr>
  </w:style>
  <w:style w:type="character" w:customStyle="1" w:styleId="291">
    <w:name w:val="日期 Char"/>
    <w:qFormat/>
    <w:uiPriority w:val="0"/>
    <w:rPr>
      <w:sz w:val="21"/>
      <w:szCs w:val="24"/>
    </w:rPr>
  </w:style>
  <w:style w:type="character" w:customStyle="1" w:styleId="292">
    <w:name w:val="页脚 Char"/>
    <w:qFormat/>
    <w:uiPriority w:val="0"/>
    <w:rPr>
      <w:sz w:val="18"/>
      <w:szCs w:val="18"/>
    </w:rPr>
  </w:style>
  <w:style w:type="character" w:customStyle="1" w:styleId="293">
    <w:name w:val="批注主题 Char"/>
    <w:qFormat/>
    <w:uiPriority w:val="99"/>
    <w:rPr>
      <w:b/>
      <w:bCs/>
      <w:sz w:val="21"/>
      <w:szCs w:val="24"/>
    </w:rPr>
  </w:style>
  <w:style w:type="paragraph" w:customStyle="1" w:styleId="294">
    <w:name w:val="_Style 106"/>
    <w:unhideWhenUsed/>
    <w:qFormat/>
    <w:uiPriority w:val="99"/>
    <w:pPr>
      <w:widowControl w:val="0"/>
      <w:jc w:val="both"/>
    </w:pPr>
    <w:rPr>
      <w:rFonts w:ascii="Times New Roman" w:hAnsi="Times New Roman" w:eastAsia="宋体" w:cs="Times New Roman"/>
      <w:sz w:val="21"/>
      <w:szCs w:val="24"/>
      <w:lang w:val="en-US" w:eastAsia="zh-CN" w:bidi="ar-SA"/>
    </w:rPr>
  </w:style>
  <w:style w:type="paragraph" w:customStyle="1" w:styleId="295">
    <w:name w:val="_Style 107"/>
    <w:basedOn w:val="1"/>
    <w:next w:val="1"/>
    <w:unhideWhenUsed/>
    <w:qFormat/>
    <w:uiPriority w:val="99"/>
    <w:pPr>
      <w:tabs>
        <w:tab w:val="right" w:leader="dot" w:pos="8296"/>
      </w:tabs>
      <w:ind w:left="420"/>
    </w:pPr>
  </w:style>
  <w:style w:type="character" w:customStyle="1" w:styleId="296">
    <w:name w:val="正文首行缩进 2 字符1"/>
    <w:semiHidden/>
    <w:qFormat/>
    <w:uiPriority w:val="99"/>
    <w:rPr>
      <w:rFonts w:ascii="仿宋_GB2312" w:hAnsi="Times New Roman" w:eastAsia="仿宋_GB2312" w:cs="Times New Roman"/>
      <w:sz w:val="21"/>
      <w:szCs w:val="24"/>
    </w:rPr>
  </w:style>
  <w:style w:type="character" w:customStyle="1" w:styleId="297">
    <w:name w:val="正文首行缩进 2 字符2"/>
    <w:semiHidden/>
    <w:qFormat/>
    <w:uiPriority w:val="99"/>
    <w:rPr>
      <w:rFonts w:ascii="仿宋_GB2312" w:hAnsi="Times New Roman" w:eastAsia="仿宋_GB2312" w:cs="Times New Roman"/>
      <w:sz w:val="21"/>
      <w:szCs w:val="24"/>
    </w:rPr>
  </w:style>
  <w:style w:type="paragraph" w:customStyle="1" w:styleId="298">
    <w:name w:val="msonormal"/>
    <w:basedOn w:val="1"/>
    <w:qFormat/>
    <w:uiPriority w:val="99"/>
    <w:rPr>
      <w:rFonts w:ascii="Calibri" w:hAnsi="Calibri"/>
      <w:sz w:val="24"/>
    </w:rPr>
  </w:style>
  <w:style w:type="character" w:customStyle="1" w:styleId="299">
    <w:name w:val="正文首行缩进 2 字符3"/>
    <w:semiHidden/>
    <w:qFormat/>
    <w:uiPriority w:val="99"/>
    <w:rPr>
      <w:rFonts w:ascii="仿宋_GB2312" w:hAnsi="Times New Roman" w:eastAsia="仿宋_GB2312" w:cs="Times New Roman"/>
      <w:sz w:val="21"/>
      <w:szCs w:val="24"/>
    </w:rPr>
  </w:style>
  <w:style w:type="paragraph" w:customStyle="1" w:styleId="300">
    <w:name w:val="_Style 73"/>
    <w:basedOn w:val="195"/>
    <w:next w:val="1"/>
    <w:qFormat/>
    <w:uiPriority w:val="39"/>
    <w:pPr>
      <w:widowControl/>
      <w:spacing w:before="240" w:after="0" w:line="256" w:lineRule="auto"/>
      <w:jc w:val="left"/>
      <w:outlineLvl w:val="9"/>
    </w:pPr>
    <w:rPr>
      <w:rFonts w:ascii="等线 Light" w:hAnsi="等线 Light" w:eastAsia="等线 Light"/>
      <w:b w:val="0"/>
      <w:bCs w:val="0"/>
      <w:color w:val="2F5496"/>
      <w:sz w:val="32"/>
      <w:szCs w:val="32"/>
    </w:rPr>
  </w:style>
  <w:style w:type="character" w:customStyle="1" w:styleId="301">
    <w:name w:val="未处理的提及11"/>
    <w:qFormat/>
    <w:uiPriority w:val="99"/>
    <w:rPr>
      <w:color w:val="605E5C"/>
      <w:shd w:val="clear" w:color="auto" w:fill="E1DFDD"/>
    </w:rPr>
  </w:style>
  <w:style w:type="character" w:customStyle="1" w:styleId="302">
    <w:name w:val="fontstyle01"/>
    <w:qFormat/>
    <w:uiPriority w:val="0"/>
    <w:rPr>
      <w:rFonts w:hint="eastAsia" w:ascii="宋体" w:hAnsi="宋体" w:eastAsia="宋体"/>
      <w:color w:val="000000"/>
      <w:sz w:val="20"/>
      <w:szCs w:val="20"/>
    </w:rPr>
  </w:style>
  <w:style w:type="character" w:customStyle="1" w:styleId="303">
    <w:name w:val="批注框文本 Char"/>
    <w:qFormat/>
    <w:uiPriority w:val="0"/>
    <w:rPr>
      <w:rFonts w:ascii="Calibri" w:hAnsi="Calibri"/>
      <w:sz w:val="18"/>
      <w:szCs w:val="18"/>
    </w:rPr>
  </w:style>
  <w:style w:type="character" w:customStyle="1" w:styleId="304">
    <w:name w:val="font31"/>
    <w:qFormat/>
    <w:uiPriority w:val="0"/>
    <w:rPr>
      <w:rFonts w:hint="eastAsia" w:ascii="宋体" w:hAnsi="宋体" w:eastAsia="宋体" w:cs="宋体"/>
      <w:color w:val="000000"/>
      <w:sz w:val="18"/>
      <w:szCs w:val="18"/>
      <w:u w:val="none"/>
    </w:rPr>
  </w:style>
  <w:style w:type="character" w:customStyle="1" w:styleId="305">
    <w:name w:val="font81"/>
    <w:qFormat/>
    <w:uiPriority w:val="0"/>
    <w:rPr>
      <w:rFonts w:hint="eastAsia" w:ascii="华文中宋" w:hAnsi="华文中宋" w:eastAsia="华文中宋" w:cs="华文中宋"/>
      <w:color w:val="000000"/>
      <w:sz w:val="36"/>
      <w:szCs w:val="36"/>
      <w:u w:val="none"/>
    </w:rPr>
  </w:style>
  <w:style w:type="character" w:customStyle="1" w:styleId="306">
    <w:name w:val="font71"/>
    <w:qFormat/>
    <w:uiPriority w:val="0"/>
    <w:rPr>
      <w:rFonts w:ascii="Arial" w:hAnsi="Arial" w:cs="Arial"/>
      <w:color w:val="000000"/>
      <w:sz w:val="24"/>
      <w:szCs w:val="24"/>
      <w:u w:val="none"/>
    </w:rPr>
  </w:style>
  <w:style w:type="character" w:customStyle="1" w:styleId="307">
    <w:name w:val="font91"/>
    <w:qFormat/>
    <w:uiPriority w:val="0"/>
    <w:rPr>
      <w:rFonts w:hint="eastAsia" w:ascii="宋体" w:hAnsi="宋体" w:eastAsia="宋体" w:cs="宋体"/>
      <w:color w:val="000000"/>
      <w:sz w:val="24"/>
      <w:szCs w:val="24"/>
      <w:u w:val="none"/>
    </w:rPr>
  </w:style>
  <w:style w:type="character" w:customStyle="1" w:styleId="308">
    <w:name w:val="font61"/>
    <w:qFormat/>
    <w:uiPriority w:val="0"/>
    <w:rPr>
      <w:rFonts w:hint="eastAsia" w:ascii="宋体" w:hAnsi="宋体" w:eastAsia="宋体" w:cs="宋体"/>
      <w:color w:val="000000"/>
      <w:sz w:val="24"/>
      <w:szCs w:val="24"/>
      <w:u w:val="none"/>
    </w:rPr>
  </w:style>
  <w:style w:type="character" w:customStyle="1" w:styleId="309">
    <w:name w:val="font21"/>
    <w:qFormat/>
    <w:uiPriority w:val="0"/>
    <w:rPr>
      <w:rFonts w:hint="eastAsia" w:ascii="华文中宋" w:hAnsi="华文中宋" w:eastAsia="华文中宋" w:cs="华文中宋"/>
      <w:b/>
      <w:color w:val="000000"/>
      <w:sz w:val="44"/>
      <w:szCs w:val="44"/>
      <w:u w:val="none"/>
    </w:rPr>
  </w:style>
  <w:style w:type="paragraph" w:customStyle="1" w:styleId="310">
    <w:name w:val="修订1"/>
    <w:semiHidden/>
    <w:qFormat/>
    <w:uiPriority w:val="99"/>
    <w:rPr>
      <w:rFonts w:ascii="Calibri" w:hAnsi="Calibri" w:eastAsia="宋体" w:cs="Times New Roman"/>
      <w:sz w:val="21"/>
      <w:szCs w:val="24"/>
      <w:lang w:val="en-US" w:eastAsia="zh-CN" w:bidi="ar-SA"/>
    </w:rPr>
  </w:style>
  <w:style w:type="character" w:customStyle="1" w:styleId="311">
    <w:name w:val="批注框文本 Char1"/>
    <w:link w:val="19"/>
    <w:semiHidden/>
    <w:qFormat/>
    <w:uiPriority w:val="99"/>
    <w:rPr>
      <w:sz w:val="18"/>
      <w:szCs w:val="18"/>
    </w:rPr>
  </w:style>
  <w:style w:type="character" w:customStyle="1" w:styleId="312">
    <w:name w:val="批注文字 Char2"/>
    <w:link w:val="14"/>
    <w:semiHidden/>
    <w:qFormat/>
    <w:uiPriority w:val="99"/>
    <w:rPr>
      <w:sz w:val="21"/>
      <w:szCs w:val="24"/>
    </w:rPr>
  </w:style>
  <w:style w:type="character" w:customStyle="1" w:styleId="313">
    <w:name w:val="批注主题 Char1"/>
    <w:link w:val="31"/>
    <w:semiHidden/>
    <w:qFormat/>
    <w:uiPriority w:val="99"/>
    <w:rPr>
      <w:b/>
      <w:bCs/>
      <w:sz w:val="21"/>
      <w:szCs w:val="24"/>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https://www.gov.cn/zhengce/content/202509/W020250930645245947614.png" TargetMode="External"/><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8" Type="http://schemas.openxmlformats.org/officeDocument/2006/relationships/font" Target="fonts/font18.odttf"/><Relationship Id="rId17" Type="http://schemas.openxmlformats.org/officeDocument/2006/relationships/font" Target="fonts/font17.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黑体"/>
        <a:cs typeface="Arial"/>
      </a:majorFont>
      <a:minorFont>
        <a:latin typeface="Arial"/>
        <a:ea typeface="宋体"/>
        <a:cs typeface="Arial"/>
      </a:minorFont>
    </a:fontScheme>
    <a:fmtScheme nam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rgbClr val="000000"/>
        </a:solidFill>
        <a:solidFill>
          <a:srgbClr val="000000"/>
        </a:soli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3073"/>
    <customShpInfo spid="_x0000_s3074"/>
    <customShpInfo spid="_x0000_s1026"/>
  </customShpExts>
</s:customData>
</file>

<file path=customXml/item2.xml><?xml version="1.0" encoding="utf-8"?>
<contractReview xmlns="http://schemas.wps.cn/vas-ai-hub/contract-review">
  <reviewItems>
    <reviewItem>
      <errorID>058bd87f-5363-4963-9b8e-6c1b424897c6</errorID>
      <errorWord>)</errorWord>
      <group>L1_Format</group>
      <groupName>格式问题</groupName>
      <ability>L2_HalfPunc_CN</ability>
      <abilityName/>
      <candidateList>
        <item>）</item>
      </candidateList>
      <explain>文本全半角错误。</explain>
      <paraID>37FFE889</paraID>
      <start>46</start>
      <end>47</end>
      <status>unmodified</status>
      <modifiedWord/>
      <trackRevisions>false</trackRevisions>
    </reviewItem>
    <reviewItem>
      <errorID>34fe5f47-e90f-47d1-81c6-47f64e01b35d</errorID>
      <errorWord>中国</errorWord>
      <group>L1_Sensitive</group>
      <groupName>敏感问题</groupName>
      <ability>L2_UserSensitive</ability>
      <abilityName>自定义敏感词</abilityName>
      <candidateList/>
      <explain>来自自定义敏感词库。</explain>
      <paraID>6CA032FD</paraID>
      <start>7</start>
      <end>9</end>
      <status>unmodified</status>
      <modifiedWord/>
      <trackRevisions>false</trackRevisions>
    </reviewItem>
    <reviewItem>
      <errorID>ebf8d618-9975-40a2-84bd-f5c84b7ea7d0</errorID>
      <errorWord>(</errorWord>
      <group>L1_Format</group>
      <groupName>格式问题</groupName>
      <ability>L2_HalfPunc_CN</ability>
      <abilityName/>
      <candidateList>
        <item>（</item>
      </candidateList>
      <explain>文本全半角错误。</explain>
      <paraID>6CA032FD</paraID>
      <start>12</start>
      <end>13</end>
      <status>unmodified</status>
      <modifiedWord/>
      <trackRevisions>false</trackRevisions>
    </reviewItem>
    <reviewItem>
      <errorID>5b7abf5c-8d12-431a-a2ad-35e8ee476335</errorID>
      <errorWord>)</errorWord>
      <group>L1_Format</group>
      <groupName>格式问题</groupName>
      <ability>L2_HalfPunc_CN</ability>
      <abilityName/>
      <candidateList>
        <item>）</item>
      </candidateList>
      <explain>文本全半角错误。</explain>
      <paraID>6CA032FD</paraID>
      <start>35</start>
      <end>36</end>
      <status>unmodified</status>
      <modifiedWord/>
      <trackRevisions>false</trackRevisions>
    </reviewItem>
    <reviewItem>
      <errorID>eee2c932-818e-4f9f-abde-9a637a1528ae</errorID>
      <errorWord>中国</errorWord>
      <group>L1_Sensitive</group>
      <groupName>敏感问题</groupName>
      <ability>L2_UserSensitive</ability>
      <abilityName>自定义敏感词</abilityName>
      <candidateList/>
      <explain>来自自定义敏感词库。</explain>
      <paraID>6CA032FD</paraID>
      <start>38</start>
      <end>40</end>
      <status>unmodified</status>
      <modifiedWord/>
      <trackRevisions>false</trackRevisions>
    </reviewItem>
    <reviewItem>
      <errorID>dec32bf1-7a59-4440-8b8b-f25e432c496d</errorID>
      <errorWord>(</errorWord>
      <group>L1_Format</group>
      <groupName>格式问题</groupName>
      <ability>L2_HalfPunc_CN</ability>
      <abilityName/>
      <candidateList>
        <item>（</item>
      </candidateList>
      <explain>文本全半角错误。</explain>
      <paraID>6CA032FD</paraID>
      <start>45</start>
      <end>46</end>
      <status>unmodified</status>
      <modifiedWord/>
      <trackRevisions>false</trackRevisions>
    </reviewItem>
    <reviewItem>
      <errorID>274aa182-c0a4-4c80-8a80-9ecbf9690afe</errorID>
      <errorWord>)</errorWord>
      <group>L1_Format</group>
      <groupName>格式问题</groupName>
      <ability>L2_HalfPunc_CN</ability>
      <abilityName/>
      <candidateList>
        <item>）</item>
      </candidateList>
      <explain>文本全半角错误。</explain>
      <paraID>6CA032FD</paraID>
      <start>61</start>
      <end>62</end>
      <status>unmodified</status>
      <modifiedWord/>
      <trackRevisions>false</trackRevisions>
    </reviewItem>
    <reviewItem>
      <errorID>135bb5cb-03c1-405b-84d9-5bb6e7a118c8</errorID>
      <errorWord>-</errorWord>
      <group>L1_Format</group>
      <groupName>格式问题</groupName>
      <ability>L2_HalfPunc_CN</ability>
      <abilityName/>
      <candidateList>
        <item>－</item>
      </candidateList>
      <explain>文本全半角错误。</explain>
      <paraID>7A8B1CFB</paraID>
      <start>97</start>
      <end>98</end>
      <status>unmodified</status>
      <modifiedWord/>
      <trackRevisions>false</trackRevisions>
    </reviewItem>
    <reviewItem>
      <errorID>cb0dd964-005c-426a-b47a-2dc1c4df621a</errorID>
      <errorWord>-</errorWord>
      <group>L1_Format</group>
      <groupName>格式问题</groupName>
      <ability>L2_HalfPunc_CN</ability>
      <abilityName/>
      <candidateList>
        <item>－</item>
      </candidateList>
      <explain>文本全半角错误。</explain>
      <paraID>7A8B1CFB</paraID>
      <start>102</start>
      <end>103</end>
      <status>unmodified</status>
      <modifiedWord/>
      <trackRevisions>false</trackRevisions>
    </reviewItem>
    <reviewItem>
      <errorID>7be19240-7ced-4bed-90e1-cc1d20cffab2</errorID>
      <errorWord>-</errorWord>
      <group>L1_Format</group>
      <groupName>格式问题</groupName>
      <ability>L2_HalfPunc_CN</ability>
      <abilityName/>
      <candidateList>
        <item>－</item>
      </candidateList>
      <explain>文本全半角错误。</explain>
      <paraID>7A8B1CFB</paraID>
      <start>109</start>
      <end>110</end>
      <status>unmodified</status>
      <modifiedWord/>
      <trackRevisions>false</trackRevisions>
    </reviewItem>
    <reviewItem>
      <errorID>aa5316e7-a445-44fd-9da0-09573f3162c4</errorID>
      <errorWord>-</errorWord>
      <group>L1_Format</group>
      <groupName>格式问题</groupName>
      <ability>L2_HalfPunc_CN</ability>
      <abilityName/>
      <candidateList>
        <item>－</item>
      </candidateList>
      <explain>文本全半角错误。</explain>
      <paraID>7A8B1CFB</paraID>
      <start>115</start>
      <end>116</end>
      <status>unmodified</status>
      <modifiedWord/>
      <trackRevisions>false</trackRevisions>
    </reviewItem>
    <reviewItem>
      <errorID>4bc3cadf-e354-4f6b-af61-d41d52b52b1d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565EA5D0</paraID>
      <start>0</start>
      <end>2</end>
      <status>unmodified</status>
      <modifiedWord/>
      <trackRevisions>false</trackRevisions>
    </reviewItem>
    <reviewItem>
      <errorID>2f7a0bb7-b5ae-457e-8197-160410944810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6B1E5F9D</paraID>
      <start>0</start>
      <end>2</end>
      <status>unmodified</status>
      <modifiedWord/>
      <trackRevisions>false</trackRevisions>
    </reviewItem>
    <reviewItem>
      <errorID>ef1acc10-edb8-456f-bcaa-204209ca08ac</errorID>
      <errorWord>应要</errorWord>
      <group>L1_Word</group>
      <groupName>字词问题</groupName>
      <ability>L2_Typo</ability>
      <abilityName>字词错误</abilityName>
      <candidateList>
        <item>应</item>
      </candidateList>
      <explain/>
      <paraID>7B43B810</paraID>
      <start>47</start>
      <end>49</end>
      <status>unmodified</status>
      <modifiedWord/>
      <trackRevisions>false</trackRevisions>
    </reviewItem>
    <reviewItem>
      <errorID>8d85f576-58e2-4198-8a84-30cd67f7adeb</errorID>
      <errorWord>操作合</errorWord>
      <group>L1_Word</group>
      <groupName>字词问题</groupName>
      <ability>L2_Typo</ability>
      <abilityName>字词错误</abilityName>
      <candidateList>
        <item>操作台</item>
      </candidateList>
      <explain/>
      <paraID> 54D9227</paraID>
      <start>8</start>
      <end>11</end>
      <status>unmodified</status>
      <modifiedWord/>
      <trackRevisions>false</trackRevisions>
    </reviewItem>
    <reviewItem>
      <errorID>9e1f5ec6-24f1-48c4-97e0-621ee2f58e7e</errorID>
      <errorWord>，</errorWord>
      <group>L1_Word</group>
      <groupName>字词问题</groupName>
      <ability>L2_Typo</ability>
      <abilityName>字词错误</abilityName>
      <candidateList>
        <item>，在</item>
      </candidateList>
      <explain/>
      <paraID> 291ACDF</paraID>
      <start>35</start>
      <end>36</end>
      <status>unmodified</status>
      <modifiedWord/>
      <trackRevisions>false</trackRevisions>
    </reviewItem>
    <reviewItem>
      <errorID>76a765a5-e656-4135-8d03-33907e38e057</errorID>
      <errorWord>间</errorWord>
      <group>L1_Word</group>
      <groupName>字词问题</groupName>
      <ability>L2_Typo</ability>
      <abilityName>字词错误</abilityName>
      <candidateList>
        <item>间之</item>
      </candidateList>
      <explain/>
      <paraID> 291ACDF</paraID>
      <start>104</start>
      <end>105</end>
      <status>unmodified</status>
      <modifiedWord/>
      <trackRevisions>false</trackRevisions>
    </reviewItem>
    <reviewItem>
      <errorID>e269ee0a-745d-4c93-848f-1ed21c7c8250</errorID>
      <errorWord>须要</errorWord>
      <group>L1_Word</group>
      <groupName>字词问题</groupName>
      <ability>L2_Typo</ability>
      <abilityName>字词错误</abilityName>
      <candidateList>
        <item>需要</item>
      </candidateList>
      <explain>存在发音相同字词的误用。</explain>
      <paraID>3040C544</paraID>
      <start>21</start>
      <end>23</end>
      <status>unmodified</status>
      <modifiedWord/>
      <trackRevisions>false</trackRevisions>
    </reviewItem>
    <reviewItem>
      <errorID>538ee45f-d687-44b5-bb14-1965c5481e80</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3EE87905</paraID>
      <start>0</start>
      <end>2</end>
      <status>unmodified</status>
      <modifiedWord/>
      <trackRevisions>false</trackRevisions>
    </reviewItem>
    <reviewItem>
      <errorID>589d9d3d-f784-4b12-8416-cbf46b1e9276</errorID>
      <errorWord>具备有</errorWord>
      <group>L1_Word</group>
      <groupName>字词问题</groupName>
      <ability>L2_Typo</ability>
      <abilityName>字词错误</abilityName>
      <candidateList>
        <item>具备</item>
      </candidateList>
      <explain/>
      <paraID>3EE87905</paraID>
      <start>8</start>
      <end>11</end>
      <status>unmodified</status>
      <modifiedWord/>
      <trackRevisions>false</trackRevisions>
    </reviewItem>
    <reviewItem>
      <errorID>b393de17-0055-44c8-a960-5b017d005973</errorID>
      <errorWord>(</errorWord>
      <group>L1_Format</group>
      <groupName>格式问题</groupName>
      <ability>L2_HalfPunc_CN</ability>
      <abilityName/>
      <candidateList>
        <item>（</item>
      </candidateList>
      <explain>文本全半角错误。</explain>
      <paraID>58E1A3E8</paraID>
      <start>23</start>
      <end>24</end>
      <status>unmodified</status>
      <modifiedWord/>
      <trackRevisions>false</trackRevisions>
    </reviewItem>
    <reviewItem>
      <errorID>4d4cbe8a-44b5-44b2-a422-ae6ef85f15d0</errorID>
      <errorWord>中国</errorWord>
      <group>L1_Sensitive</group>
      <groupName>敏感问题</groupName>
      <ability>L2_UserSensitive</ability>
      <abilityName>自定义敏感词</abilityName>
      <candidateList/>
      <explain>来自自定义敏感词库。</explain>
      <paraID>58E1A3E8</paraID>
      <start>24</start>
      <end>26</end>
      <status>unmodified</status>
      <modifiedWord/>
      <trackRevisions>false</trackRevisions>
    </reviewItem>
    <reviewItem>
      <errorID>95c5cf20-b621-4253-b221-56042a09cf9d</errorID>
      <errorWord>)</errorWord>
      <group>L1_Format</group>
      <groupName>格式问题</groupName>
      <ability>L2_HalfPunc_CN</ability>
      <abilityName/>
      <candidateList>
        <item>）</item>
      </candidateList>
      <explain>文本全半角错误。</explain>
      <paraID>58E1A3E8</paraID>
      <start>31</start>
      <end>32</end>
      <status>unmodified</status>
      <modifiedWord/>
      <trackRevisions>false</trackRevisions>
    </reviewItem>
    <reviewItem>
      <errorID>c86d20de-c3e8-42ab-b133-f26a63f5f201</errorID>
      <errorWord>(</errorWord>
      <group>L1_Format</group>
      <groupName>格式问题</groupName>
      <ability>L2_HalfPunc_CN</ability>
      <abilityName/>
      <candidateList>
        <item>（</item>
      </candidateList>
      <explain>文本全半角错误。</explain>
      <paraID>58E1A3E8</paraID>
      <start>57</start>
      <end>58</end>
      <status>unmodified</status>
      <modifiedWord/>
      <trackRevisions>false</trackRevisions>
    </reviewItem>
    <reviewItem>
      <errorID>30674b81-358f-4309-9a11-355731a227ee</errorID>
      <errorWord>)</errorWord>
      <group>L1_Format</group>
      <groupName>格式问题</groupName>
      <ability>L2_HalfPunc_CN</ability>
      <abilityName/>
      <candidateList>
        <item>）</item>
      </candidateList>
      <explain>文本全半角错误。</explain>
      <paraID>58E1A3E8</paraID>
      <start>65</start>
      <end>66</end>
      <status>unmodified</status>
      <modifiedWord/>
      <trackRevisions>false</trackRevisions>
    </reviewItem>
    <reviewItem>
      <errorID>92673551-133b-4545-be71-6dc23ef8697d</errorID>
      <errorWord>（</errorWord>
      <group>L1_Punc</group>
      <groupName>标点问题</groupName>
      <ability>L2_Punc_CN</ability>
      <abilityName/>
      <candidateList/>
      <explain>同一形式括号套用。</explain>
      <paraID>58E1A3E8</paraID>
      <start>116</start>
      <end>117</end>
      <status>unmodified</status>
      <modifiedWord/>
      <trackRevisions>false</trackRevisions>
    </reviewItem>
    <reviewItem>
      <errorID>89bc9fbe-7d8b-42ef-9807-cf00c8ed5c93</errorID>
      <errorWord>）</errorWord>
      <group>L1_Punc</group>
      <groupName>标点问题</groupName>
      <ability>L2_Punc_CN</ability>
      <abilityName/>
      <candidateList/>
      <explain>同一形式括号套用。</explain>
      <paraID>58E1A3E8</paraID>
      <start>122</start>
      <end>123</end>
      <status>unmodified</status>
      <modifiedWord/>
      <trackRevisions>false</trackRevisions>
    </reviewItem>
    <reviewItem>
      <errorID>20fc5863-a3e1-4ddb-8fb3-984b01b6c329</errorID>
      <errorWord>（</errorWord>
      <group>L1_Punc</group>
      <groupName>标点问题</groupName>
      <ability>L2_Punc_CN</ability>
      <abilityName/>
      <candidateList/>
      <explain>同一形式括号套用。</explain>
      <paraID>4E73466F</paraID>
      <start>165</start>
      <end>166</end>
      <status>unmodified</status>
      <modifiedWord/>
      <trackRevisions>false</trackRevisions>
    </reviewItem>
    <reviewItem>
      <errorID>749d24ec-9229-4990-984c-0122de22c621</errorID>
      <errorWord>）</errorWord>
      <group>L1_Punc</group>
      <groupName>标点问题</groupName>
      <ability>L2_Punc_CN</ability>
      <abilityName/>
      <candidateList/>
      <explain>同一形式括号套用。</explain>
      <paraID>4E73466F</paraID>
      <start>173</start>
      <end>174</end>
      <status>unmodified</status>
      <modifiedWord/>
      <trackRevisions>false</trackRevisions>
    </reviewItem>
    <reviewItem>
      <errorID>c9de629b-8846-4dfd-adb1-7e3c6473294d</errorID>
      <errorWord>（</errorWord>
      <group>L1_Punc</group>
      <groupName>标点问题</groupName>
      <ability>L2_Punc_CN</ability>
      <abilityName/>
      <candidateList/>
      <explain>同一形式括号套用。</explain>
      <paraID>4E73466F</paraID>
      <start>212</start>
      <end>213</end>
      <status>unmodified</status>
      <modifiedWord/>
      <trackRevisions>false</trackRevisions>
    </reviewItem>
    <reviewItem>
      <errorID>b0d85321-e163-4cd9-ac4a-e77ef17bf72a</errorID>
      <errorWord>）</errorWord>
      <group>L1_Punc</group>
      <groupName>标点问题</groupName>
      <ability>L2_Punc_CN</ability>
      <abilityName/>
      <candidateList/>
      <explain>同一形式括号套用。</explain>
      <paraID>4E73466F</paraID>
      <start>221</start>
      <end>222</end>
      <status>unmodified</status>
      <modifiedWord/>
      <trackRevisions>false</trackRevisions>
    </reviewItem>
    <reviewItem>
      <errorID>a3624374-9878-4c1d-b5ca-a6ea5b103880</errorID>
      <errorWord>（</errorWord>
      <group>L1_Punc</group>
      <groupName>标点问题</groupName>
      <ability>L2_Punc_CN</ability>
      <abilityName/>
      <candidateList/>
      <explain>同一形式括号套用。</explain>
      <paraID>7D1B45FD</paraID>
      <start>50</start>
      <end>51</end>
      <status>unmodified</status>
      <modifiedWord/>
      <trackRevisions>false</trackRevisions>
    </reviewItem>
    <reviewItem>
      <errorID>3828b9f8-4528-4b2b-be4e-9ce2d9b0bf08</errorID>
      <errorWord>）</errorWord>
      <group>L1_Punc</group>
      <groupName>标点问题</groupName>
      <ability>L2_Punc_CN</ability>
      <abilityName/>
      <candidateList/>
      <explain>同一形式括号套用。</explain>
      <paraID>7D1B45FD</paraID>
      <start>59</start>
      <end>60</end>
      <status>unmodified</status>
      <modifiedWord/>
      <trackRevisions>false</trackRevisions>
    </reviewItem>
    <reviewItem>
      <errorID>2f642fa2-4003-43e4-b6d9-982db9297c15</errorID>
      <errorWord>-</errorWord>
      <group>L1_Format</group>
      <groupName>格式问题</groupName>
      <ability>L2_HalfPunc_CN</ability>
      <abilityName/>
      <candidateList>
        <item>－</item>
      </candidateList>
      <explain>文本全半角错误。</explain>
      <paraID>7D1B45FD</paraID>
      <start>60</start>
      <end>61</end>
      <status>unmodified</status>
      <modifiedWord/>
      <trackRevisions>false</trackRevisions>
    </reviewItem>
    <reviewItem>
      <errorID>d30c4275-5be1-45f4-897f-06de6f61b548</errorID>
      <errorWord>年</errorWord>
      <group>L1_Word</group>
      <groupName>字词问题</groupName>
      <ability>L2_Typo</ability>
      <abilityName>字词错误</abilityName>
      <candidateList>
        <item>年第</item>
      </candidateList>
      <explain/>
      <paraID>32E10A83</paraID>
      <start>35</start>
      <end>36</end>
      <status>unmodified</status>
      <modifiedWord/>
      <trackRevisions>false</trackRevisions>
    </reviewItem>
    <reviewItem>
      <errorID>f8c63044-678c-459d-9236-3ca8231eba52</errorID>
      <errorWord>》</errorWord>
      <group>L1_Word</group>
      <groupName>字词问题</groupName>
      <ability>L2_Typo</ability>
      <abilityName>字词错误</abilityName>
      <candidateList>
        <item>》中</item>
      </candidateList>
      <explain/>
      <paraID>32E10A83</paraID>
      <start>75</start>
      <end>76</end>
      <status>unmodified</status>
      <modifiedWord/>
      <trackRevisions>false</trackRevisions>
    </reviewItem>
    <reviewItem>
      <errorID>9667e0c2-e5c8-463b-aeea-df2f937853d6</errorID>
      <errorWord>中国</errorWord>
      <group>L1_Sensitive</group>
      <groupName>敏感问题</groupName>
      <ability>L2_UserSensitive</ability>
      <abilityName>自定义敏感词</abilityName>
      <candidateList/>
      <explain>来自自定义敏感词库。</explain>
      <paraID>32E10A83</paraID>
      <start>140</start>
      <end>142</end>
      <status>unmodified</status>
      <modifiedWord/>
      <trackRevisions>false</trackRevisions>
    </reviewItem>
    <reviewItem>
      <errorID>2c1d60d0-2f17-4dea-8ed3-edb965d4c792</errorID>
      <errorWord>中的</errorWord>
      <group>L1_Word</group>
      <groupName>字词问题</groupName>
      <ability>L2_Typo</ability>
      <abilityName>字词错误</abilityName>
      <candidateList>
        <item>中</item>
      </candidateList>
      <explain>〈动〉❶正对上；恰好合上：～选｜猜～了｜三枪都打～了目标。❷受到；遭受：～毒｜～暑｜胳膊上～了一枪。</explain>
      <paraID>32E10A83</paraID>
      <start>337</start>
      <end>339</end>
      <status>unmodified</status>
      <modifiedWord/>
      <trackRevisions>false</trackRevisions>
    </reviewItem>
    <reviewItem>
      <errorID>06a498a1-840d-4f89-a753-2fac60509c00</errorID>
      <errorWord>通讯枢纽</errorWord>
      <group>L1_Word</group>
      <groupName>字词问题</groupName>
      <ability>L2_Alias</ability>
      <abilityName>也作/曾用词</abilityName>
      <candidateList>
        <item>通信枢纽</item>
      </candidateList>
      <explain>词汇[通讯枢纽]为不规范表述或旧称，其规范书面表述为[通信枢纽]。</explain>
      <paraID>2A343E78</paraID>
      <start>341</start>
      <end>345</end>
      <status>unmodified</status>
      <modifiedWord/>
      <trackRevisions>false</trackRevisions>
    </reviewItem>
    <reviewItem>
      <errorID>9ce014fb-ed21-4e6d-9de3-8b5d2c472051</errorID>
      <errorWord>调解</errorWord>
      <group>L1_Word</group>
      <groupName>字词问题</groupName>
      <ability>L2_Typo</ability>
      <abilityName>字词错误</abilityName>
      <candidateList>
        <item>调节</item>
      </candidateList>
      <explain>〈动〉从数量上或程度上调整，使适合要求：水能～动物的体温｜经过水库的～，航运条件大为改善。</explain>
      <paraID>2A343E78</paraID>
      <start>541</start>
      <end>543</end>
      <status>unmodified</status>
      <modifiedWord/>
      <trackRevisions>false</trackRevisions>
    </reviewItem>
    <reviewItem>
      <errorID>18ce3eb2-7da8-472d-a2b6-3c4b9655a08d</errorID>
      <errorWord>(</errorWord>
      <group>L1_Format</group>
      <groupName>格式问题</groupName>
      <ability>L2_HalfPunc_CN</ability>
      <abilityName/>
      <candidateList>
        <item>（</item>
      </candidateList>
      <explain>文本全半角错误。</explain>
      <paraID>2A343E78</paraID>
      <start>555</start>
      <end>556</end>
      <status>unmodified</status>
      <modifiedWord/>
      <trackRevisions>false</trackRevisions>
    </reviewItem>
    <reviewItem>
      <errorID>5ed73177-3b23-4f2d-86d3-c7e858f5ad99</errorID>
      <errorWord>)</errorWord>
      <group>L1_Format</group>
      <groupName>格式问题</groupName>
      <ability>L2_HalfPunc_CN</ability>
      <abilityName/>
      <candidateList>
        <item>）</item>
      </candidateList>
      <explain>文本全半角错误。</explain>
      <paraID>2A343E78</paraID>
      <start>563</start>
      <end>564</end>
      <status>unmodified</status>
      <modifiedWord/>
      <trackRevisions>false</trackRevisions>
    </reviewItem>
    <reviewItem>
      <errorID>2743b371-d415-4c53-9082-7aef5b3f239b</errorID>
      <errorWord>(</errorWord>
      <group>L1_Format</group>
      <groupName>格式问题</groupName>
      <ability>L2_HalfPunc_CN</ability>
      <abilityName/>
      <candidateList>
        <item>（</item>
      </candidateList>
      <explain>文本全半角错误。</explain>
      <paraID>2A343E78</paraID>
      <start>576</start>
      <end>577</end>
      <status>unmodified</status>
      <modifiedWord/>
      <trackRevisions>false</trackRevisions>
    </reviewItem>
    <reviewItem>
      <errorID>253a0cbd-d3f2-479d-ad9a-08c75d4d5a28</errorID>
      <errorWord>)</errorWord>
      <group>L1_Format</group>
      <groupName>格式问题</groupName>
      <ability>L2_HalfPunc_CN</ability>
      <abilityName/>
      <candidateList>
        <item>）</item>
      </candidateList>
      <explain>文本全半角错误。</explain>
      <paraID>2A343E78</paraID>
      <start>584</start>
      <end>585</end>
      <status>unmodified</status>
      <modifiedWord/>
      <trackRevisions>false</trackRevisions>
    </reviewItem>
    <reviewItem>
      <errorID>3c8c5a31-4a8f-40c8-808e-a98f20bcb097</errorID>
      <errorWord>~</errorWord>
      <group>L1_Format</group>
      <groupName>格式问题</groupName>
      <ability>L2_HalfPunc_CN</ability>
      <abilityName/>
      <candidateList>
        <item>～</item>
      </candidateList>
      <explain>文本全半角错误。</explain>
      <paraID>2A343E78</paraID>
      <start>640</start>
      <end>641</end>
      <status>unmodified</status>
      <modifiedWord/>
      <trackRevisions>false</trackRevisions>
    </reviewItem>
    <reviewItem>
      <errorID>da3eaece-5ae7-4199-ab8d-908829544808</errorID>
      <errorWord>)</errorWord>
      <group>L1_Format</group>
      <groupName>格式问题</groupName>
      <ability>L2_HalfPunc_CN</ability>
      <abilityName/>
      <candidateList>
        <item>）</item>
      </candidateList>
      <explain>文本全半角错误。</explain>
      <paraID>2A343E78</paraID>
      <start>646</start>
      <end>647</end>
      <status>unmodified</status>
      <modifiedWord/>
      <trackRevisions>false</trackRevisions>
    </reviewItem>
    <reviewItem>
      <errorID>ab614007-3a37-4cdb-a954-dc86868a8b31</errorID>
      <errorWord>)</errorWord>
      <group>L1_Format</group>
      <groupName>格式问题</groupName>
      <ability>L2_HalfPunc_CN</ability>
      <abilityName/>
      <candidateList>
        <item>）</item>
      </candidateList>
      <explain>文本全半角错误。</explain>
      <paraID>2A343E78</paraID>
      <start>680</start>
      <end>681</end>
      <status>unmodified</status>
      <modifiedWord/>
      <trackRevisions>false</trackRevisions>
    </reviewItem>
    <reviewItem>
      <errorID>48aa0e90-94cc-41b5-bc63-9a32fb66a389</errorID>
      <errorWord>(</errorWord>
      <group>L1_Format</group>
      <groupName>格式问题</groupName>
      <ability>L2_HalfPunc_CN</ability>
      <abilityName/>
      <candidateList>
        <item>（</item>
      </candidateList>
      <explain>文本全半角错误。</explain>
      <paraID>2A343E78</paraID>
      <start>723</start>
      <end>724</end>
      <status>unmodified</status>
      <modifiedWord/>
      <trackRevisions>false</trackRevisions>
    </reviewItem>
    <reviewItem>
      <errorID>2350d0ff-ffe0-4a04-9b95-471b30aa17f1</errorID>
      <errorWord>)</errorWord>
      <group>L1_Format</group>
      <groupName>格式问题</groupName>
      <ability>L2_HalfPunc_CN</ability>
      <abilityName/>
      <candidateList>
        <item>）</item>
      </candidateList>
      <explain>文本全半角错误。</explain>
      <paraID>2A343E78</paraID>
      <start>730</start>
      <end>731</end>
      <status>unmodified</status>
      <modifiedWord/>
      <trackRevisions>false</trackRevisions>
    </reviewItem>
    <reviewItem>
      <errorID>f7c3b8e2-919a-477a-a34b-37bb2eefb7f4</errorID>
      <errorWord>)</errorWord>
      <group>L1_Format</group>
      <groupName>格式问题</groupName>
      <ability>L2_HalfPunc_CN</ability>
      <abilityName/>
      <candidateList>
        <item>）</item>
      </candidateList>
      <explain>文本全半角错误。</explain>
      <paraID>2A343E78</paraID>
      <start>814</start>
      <end>815</end>
      <status>unmodified</status>
      <modifiedWord/>
      <trackRevisions>false</trackRevisions>
    </reviewItem>
    <reviewItem>
      <errorID>eacaaa35-bffc-4b69-8f58-0cfaedebd775</errorID>
      <errorWord>)</errorWord>
      <group>L1_Format</group>
      <groupName>格式问题</groupName>
      <ability>L2_HalfPunc_CN</ability>
      <abilityName/>
      <candidateList>
        <item>）</item>
      </candidateList>
      <explain>文本全半角错误。</explain>
      <paraID>2A343E78</paraID>
      <start>871</start>
      <end>872</end>
      <status>unmodified</status>
      <modifiedWord/>
      <trackRevisions>false</trackRevisions>
    </reviewItem>
    <reviewItem>
      <errorID>a11d19c8-2a63-4d55-a823-86ae333d1c4f</errorID>
      <errorWord>(</errorWord>
      <group>L1_Format</group>
      <groupName>格式问题</groupName>
      <ability>L2_HalfPunc_CN</ability>
      <abilityName/>
      <candidateList>
        <item>（</item>
      </candidateList>
      <explain>文本全半角错误。</explain>
      <paraID>2A343E78</paraID>
      <start>1018</start>
      <end>1019</end>
      <status>unmodified</status>
      <modifiedWord/>
      <trackRevisions>false</trackRevisions>
    </reviewItem>
    <reviewItem>
      <errorID>024e85be-5623-422c-a4f0-1d38315744d5</errorID>
      <errorWord>)</errorWord>
      <group>L1_Format</group>
      <groupName>格式问题</groupName>
      <ability>L2_HalfPunc_CN</ability>
      <abilityName/>
      <candidateList>
        <item>）</item>
      </candidateList>
      <explain>文本全半角错误。</explain>
      <paraID>2A343E78</paraID>
      <start>1023</start>
      <end>1024</end>
      <status>unmodified</status>
      <modifiedWord/>
      <trackRevisions>false</trackRevisions>
    </reviewItem>
    <reviewItem>
      <errorID>369277d4-e9d1-4295-a0da-26aa16f80a1c</errorID>
      <errorWord>监控</errorWord>
      <group>L1_Sensitive</group>
      <groupName>敏感问题</groupName>
      <ability>L2_UserSensitive</ability>
      <abilityName>自定义敏感词</abilityName>
      <candidateList/>
      <explain>来自自定义敏感词库。</explain>
      <paraID>2A343E78</paraID>
      <start>1049</start>
      <end>1051</end>
      <status>unmodified</status>
      <modifiedWord/>
      <trackRevisions>false</trackRevisions>
    </reviewItem>
    <reviewItem>
      <errorID>3bcfe9bf-8856-4d72-a8d9-b9560434f565</errorID>
      <errorWord>档位</errorWord>
      <group>L1_Word</group>
      <groupName>字词问题</groupName>
      <ability>L2_Typo</ability>
      <abilityName>字词错误</abilityName>
      <candidateList>
        <item>挡位</item>
      </candidateList>
      <explain>存在发音相同字词的误用。</explain>
      <paraID>2A343E78</paraID>
      <start>1148</start>
      <end>1150</end>
      <status>unmodified</status>
      <modifiedWord/>
      <trackRevisions>false</trackRevisions>
    </reviewItem>
    <reviewItem>
      <errorID>dc9e8c71-c535-48f5-89b9-ec6e4abd711d</errorID>
      <errorWord>(</errorWord>
      <group>L1_Format</group>
      <groupName>格式问题</groupName>
      <ability>L2_HalfPunc_CN</ability>
      <abilityName/>
      <candidateList>
        <item>（</item>
      </candidateList>
      <explain>文本全半角错误。</explain>
      <paraID>2A343E78</paraID>
      <start>1522</start>
      <end>1523</end>
      <status>unmodified</status>
      <modifiedWord/>
      <trackRevisions>false</trackRevisions>
    </reviewItem>
    <reviewItem>
      <errorID>aee5091d-f98b-43c1-9164-2c1db1150686</errorID>
      <errorWord>)</errorWord>
      <group>L1_Format</group>
      <groupName>格式问题</groupName>
      <ability>L2_HalfPunc_CN</ability>
      <abilityName/>
      <candidateList>
        <item>）</item>
      </candidateList>
      <explain>文本全半角错误。</explain>
      <paraID>2A343E78</paraID>
      <start>1527</start>
      <end>1528</end>
      <status>unmodified</status>
      <modifiedWord/>
      <trackRevisions>false</trackRevisions>
    </reviewItem>
    <reviewItem>
      <errorID>80ed297a-c9e0-4bfd-9c07-29e334412e1c</errorID>
      <errorWord>监控</errorWord>
      <group>L1_Sensitive</group>
      <groupName>敏感问题</groupName>
      <ability>L2_UserSensitive</ability>
      <abilityName>自定义敏感词</abilityName>
      <candidateList/>
      <explain>来自自定义敏感词库。</explain>
      <paraID>2A343E78</paraID>
      <start>1553</start>
      <end>1555</end>
      <status>unmodified</status>
      <modifiedWord/>
      <trackRevisions>false</trackRevisions>
    </reviewItem>
    <reviewItem>
      <errorID>6566d34e-1f37-4063-93d3-3bde60d108e0</errorID>
      <errorWord>监测</errorWord>
      <group>L1_Sensitive</group>
      <groupName>敏感问题</groupName>
      <ability>L2_UserSensitive</ability>
      <abilityName>自定义敏感词</abilityName>
      <candidateList/>
      <explain>来自自定义敏感词库。</explain>
      <paraID>2A343E78</paraID>
      <start>1560</start>
      <end>1562</end>
      <status>unmodified</status>
      <modifiedWord/>
      <trackRevisions>false</trackRevisions>
    </reviewItem>
    <reviewItem>
      <errorID>d19b34fc-06b1-4f30-b735-1bb4b4ffd721</errorID>
      <errorWord>(</errorWord>
      <group>L1_Format</group>
      <groupName>格式问题</groupName>
      <ability>L2_HalfPunc_CN</ability>
      <abilityName/>
      <candidateList>
        <item>（</item>
      </candidateList>
      <explain>文本全半角错误。</explain>
      <paraID>2A343E78</paraID>
      <start>1780</start>
      <end>1781</end>
      <status>unmodified</status>
      <modifiedWord/>
      <trackRevisions>false</trackRevisions>
    </reviewItem>
    <reviewItem>
      <errorID>0883f344-0157-472b-8ce6-e3ee59d9c743</errorID>
      <errorWord>)</errorWord>
      <group>L1_Format</group>
      <groupName>格式问题</groupName>
      <ability>L2_HalfPunc_CN</ability>
      <abilityName/>
      <candidateList>
        <item>）</item>
      </candidateList>
      <explain>文本全半角错误。</explain>
      <paraID>2A343E78</paraID>
      <start>1783</start>
      <end>1784</end>
      <status>unmodified</status>
      <modifiedWord/>
      <trackRevisions>false</trackRevisions>
    </reviewItem>
    <reviewItem>
      <errorID>3396ab8a-2e1a-4f95-829f-b5e60ce2a256</errorID>
      <errorWord>。</errorWord>
      <group>L1_Punc</group>
      <groupName>标点问题</groupName>
      <ability>L2_Punc_CN</ability>
      <abilityName/>
      <candidateList/>
      <explain/>
      <paraID>2A343E78</paraID>
      <start>2047</start>
      <end>2048</end>
      <status>unmodified</status>
      <modifiedWord/>
      <trackRevisions>false</trackRevisions>
    </reviewItem>
    <reviewItem>
      <errorID>72f660ce-f477-4bea-9e00-cd40fa392928</errorID>
      <errorWord>监控</errorWord>
      <group>L1_Sensitive</group>
      <groupName>敏感问题</groupName>
      <ability>L2_UserSensitive</ability>
      <abilityName>自定义敏感词</abilityName>
      <candidateList/>
      <explain>来自自定义敏感词库。</explain>
      <paraID>2A343E78</paraID>
      <start>2057</start>
      <end>2059</end>
      <status>unmodified</status>
      <modifiedWord/>
      <trackRevisions>false</trackRevisions>
    </reviewItem>
    <reviewItem>
      <errorID>67e0df36-ca95-429f-be1c-5ac9edc7cf93</errorID>
      <errorWord>(</errorWord>
      <group>L1_Format</group>
      <groupName>格式问题</groupName>
      <ability>L2_HalfPunc_CN</ability>
      <abilityName/>
      <candidateList>
        <item>（</item>
      </candidateList>
      <explain>文本全半角错误。</explain>
      <paraID>2A343E78</paraID>
      <start>2075</start>
      <end>2076</end>
      <status>unmodified</status>
      <modifiedWord/>
      <trackRevisions>false</trackRevisions>
    </reviewItem>
    <reviewItem>
      <errorID>39f3b67f-6e4f-4626-9edb-6023978364bf</errorID>
      <errorWord>)</errorWord>
      <group>L1_Format</group>
      <groupName>格式问题</groupName>
      <ability>L2_HalfPunc_CN</ability>
      <abilityName/>
      <candidateList>
        <item>）</item>
      </candidateList>
      <explain>文本全半角错误。</explain>
      <paraID>2A343E78</paraID>
      <start>2080</start>
      <end>2081</end>
      <status>unmodified</status>
      <modifiedWord/>
      <trackRevisions>false</trackRevisions>
    </reviewItem>
    <reviewItem>
      <errorID>5d59fa45-b891-423d-b6b4-6f534cf1be48</errorID>
      <errorWord>监控</errorWord>
      <group>L1_Sensitive</group>
      <groupName>敏感问题</groupName>
      <ability>L2_UserSensitive</ability>
      <abilityName>自定义敏感词</abilityName>
      <candidateList/>
      <explain>来自自定义敏感词库。</explain>
      <paraID>2A343E78</paraID>
      <start>2106</start>
      <end>2108</end>
      <status>unmodified</status>
      <modifiedWord/>
      <trackRevisions>false</trackRevisions>
    </reviewItem>
    <reviewItem>
      <errorID>58dbcf84-fe4c-47bc-bd9d-513e3dd5da8f</errorID>
      <errorWord>通讯枢纽</errorWord>
      <group>L1_Word</group>
      <groupName>字词问题</groupName>
      <ability>L2_Alias</ability>
      <abilityName>也作/曾用词</abilityName>
      <candidateList>
        <item>通信枢纽</item>
      </candidateList>
      <explain>词汇[通讯枢纽]为不规范表述或旧称，其规范书面表述为[通信枢纽]。</explain>
      <paraID>2A343E78</paraID>
      <start>2150</start>
      <end>2154</end>
      <status>unmodified</status>
      <modifiedWord/>
      <trackRevisions>false</trackRevisions>
    </reviewItem>
    <reviewItem>
      <errorID>9279ac23-b5fc-4e43-a9bb-792646cec66f</errorID>
      <errorWord>监测</errorWord>
      <group>L1_Sensitive</group>
      <groupName>敏感问题</groupName>
      <ability>L2_UserSensitive</ability>
      <abilityName>自定义敏感词</abilityName>
      <candidateList/>
      <explain>来自自定义敏感词库。</explain>
      <paraID>2A343E78</paraID>
      <start>2177</start>
      <end>2179</end>
      <status>unmodified</status>
      <modifiedWord/>
      <trackRevisions>false</trackRevisions>
    </reviewItem>
    <reviewItem>
      <errorID>912556f0-5980-4419-9605-10814d2dbbb7</errorID>
      <errorWord>(</errorWord>
      <group>L1_Format</group>
      <groupName>格式问题</groupName>
      <ability>L2_HalfPunc_CN</ability>
      <abilityName/>
      <candidateList>
        <item>（</item>
      </candidateList>
      <explain>文本全半角错误。</explain>
      <paraID>2A343E78</paraID>
      <start>2273</start>
      <end>2274</end>
      <status>unmodified</status>
      <modifiedWord/>
      <trackRevisions>false</trackRevisions>
    </reviewItem>
    <reviewItem>
      <errorID>bc1aee16-9de2-4ef9-8923-036a4991ded9</errorID>
      <errorWord>)</errorWord>
      <group>L1_Format</group>
      <groupName>格式问题</groupName>
      <ability>L2_HalfPunc_CN</ability>
      <abilityName/>
      <candidateList>
        <item>）</item>
      </candidateList>
      <explain>文本全半角错误。</explain>
      <paraID>2A343E78</paraID>
      <start>2278</start>
      <end>2279</end>
      <status>unmodified</status>
      <modifiedWord/>
      <trackRevisions>false</trackRevisions>
    </reviewItem>
    <reviewItem>
      <errorID>bd66e01a-5642-4fbe-beb7-b63de57bc789</errorID>
      <errorWord>(</errorWord>
      <group>L1_Format</group>
      <groupName>格式问题</groupName>
      <ability>L2_HalfPunc_CN</ability>
      <abilityName/>
      <candidateList>
        <item>（</item>
      </candidateList>
      <explain>文本全半角错误。</explain>
      <paraID>2A343E78</paraID>
      <start>2291</start>
      <end>2292</end>
      <status>unmodified</status>
      <modifiedWord/>
      <trackRevisions>false</trackRevisions>
    </reviewItem>
    <reviewItem>
      <errorID>bd722213-c333-4cd5-8f5a-989f00bc061b</errorID>
      <errorWord>)</errorWord>
      <group>L1_Format</group>
      <groupName>格式问题</groupName>
      <ability>L2_HalfPunc_CN</ability>
      <abilityName/>
      <candidateList>
        <item>）</item>
      </candidateList>
      <explain>文本全半角错误。</explain>
      <paraID>2A343E78</paraID>
      <start>2308</start>
      <end>2309</end>
      <status>unmodified</status>
      <modifiedWord/>
      <trackRevisions>false</trackRevisions>
    </reviewItem>
    <reviewItem>
      <errorID>d677c685-a514-4118-8bc6-220dfb6fcb4b</errorID>
      <errorWord>监控</errorWord>
      <group>L1_Sensitive</group>
      <groupName>敏感问题</groupName>
      <ability>L2_UserSensitive</ability>
      <abilityName>自定义敏感词</abilityName>
      <candidateList/>
      <explain>来自自定义敏感词库。</explain>
      <paraID>2A343E78</paraID>
      <start>2312</start>
      <end>2314</end>
      <status>unmodified</status>
      <modifiedWord/>
      <trackRevisions>false</trackRevisions>
    </reviewItem>
    <reviewItem>
      <errorID>e4c4711a-35a8-46ae-9a12-8c00467f260e</errorID>
      <errorWord>监控</errorWord>
      <group>L1_Sensitive</group>
      <groupName>敏感问题</groupName>
      <ability>L2_UserSensitive</ability>
      <abilityName>自定义敏感词</abilityName>
      <candidateList/>
      <explain>来自自定义敏感词库。</explain>
      <paraID>2A343E78</paraID>
      <start>2360</start>
      <end>2362</end>
      <status>unmodified</status>
      <modifiedWord/>
      <trackRevisions>false</trackRevisions>
    </reviewItem>
    <reviewItem>
      <errorID>07de5ee5-2da8-43b0-b8a5-88e9580d00e1</errorID>
      <errorWord>通讯枢纽</errorWord>
      <group>L1_Word</group>
      <groupName>字词问题</groupName>
      <ability>L2_Alias</ability>
      <abilityName>也作/曾用词</abilityName>
      <candidateList>
        <item>通信枢纽</item>
      </candidateList>
      <explain>词汇[通讯枢纽]为不规范表述或旧称，其规范书面表述为[通信枢纽]。</explain>
      <paraID>2A343E78</paraID>
      <start>2573</start>
      <end>2577</end>
      <status>unmodified</status>
      <modifiedWord/>
      <trackRevisions>false</trackRevisions>
    </reviewItem>
    <reviewItem>
      <errorID>f0697c76-fae5-4aba-8fae-545d81bb5202</errorID>
      <errorWord>监测</errorWord>
      <group>L1_Sensitive</group>
      <groupName>敏感问题</groupName>
      <ability>L2_UserSensitive</ability>
      <abilityName>自定义敏感词</abilityName>
      <candidateList/>
      <explain>来自自定义敏感词库。</explain>
      <paraID>2A343E78</paraID>
      <start>2627</start>
      <end>2629</end>
      <status>unmodified</status>
      <modifiedWord/>
      <trackRevisions>false</trackRevisions>
    </reviewItem>
    <reviewItem>
      <errorID>f13ee1f6-e884-4bba-b375-5dc2f3a7b552</errorID>
      <errorWord>监控</errorWord>
      <group>L1_Sensitive</group>
      <groupName>敏感问题</groupName>
      <ability>L2_UserSensitive</ability>
      <abilityName>自定义敏感词</abilityName>
      <candidateList/>
      <explain>来自自定义敏感词库。</explain>
      <paraID>2A343E78</paraID>
      <start>2660</start>
      <end>2662</end>
      <status>unmodified</status>
      <modifiedWord/>
      <trackRevisions>false</trackRevisions>
    </reviewItem>
    <reviewItem>
      <errorID>561c40c1-8fbd-4f54-81c8-e52b677c5bf9</errorID>
      <errorWord>增强</errorWord>
      <group>L1_Grammar</group>
      <groupName>语法问题</groupName>
      <ability>L2_Grammar</ability>
      <abilityName>语法错误</abilityName>
      <candidateList>
        <item>提高</item>
      </candidateList>
      <explain>“增强～效率”搭配不当，建议修改为“提高～效率”。</explain>
      <paraID>2A343E78</paraID>
      <start>2759</start>
      <end>2761</end>
      <status>unmodified</status>
      <modifiedWord/>
      <trackRevisions>false</trackRevisions>
    </reviewItem>
    <reviewItem>
      <errorID>d20190a3-b8f8-49c2-bef3-18296a29cc82</errorID>
      <errorWord>：</errorWord>
      <group>L1_Format</group>
      <groupName>格式问题</groupName>
      <ability>L2_HalfPunc_CN</ability>
      <abilityName/>
      <candidateList>
        <item>:</item>
      </candidateList>
      <explain>文本全半角错误。</explain>
      <paraID>2A343E78</paraID>
      <start>3121</start>
      <end>3122</end>
      <status>unmodified</status>
      <modifiedWord/>
      <trackRevisions>false</trackRevisions>
    </reviewItem>
    <reviewItem>
      <errorID>6fceedfc-1847-42d3-b75e-8b9dece6f12e</errorID>
      <errorWord>监控</errorWord>
      <group>L1_Sensitive</group>
      <groupName>敏感问题</groupName>
      <ability>L2_UserSensitive</ability>
      <abilityName>自定义敏感词</abilityName>
      <candidateList/>
      <explain>来自自定义敏感词库。</explain>
      <paraID>2A343E78</paraID>
      <start>3229</start>
      <end>3231</end>
      <status>unmodified</status>
      <modifiedWord/>
      <trackRevisions>false</trackRevisions>
    </reviewItem>
    <reviewItem>
      <errorID>57513517-449c-4dc5-a208-635335e27864</errorID>
      <errorWord>监控</errorWord>
      <group>L1_Sensitive</group>
      <groupName>敏感问题</groupName>
      <ability>L2_UserSensitive</ability>
      <abilityName>自定义敏感词</abilityName>
      <candidateList/>
      <explain>来自自定义敏感词库。</explain>
      <paraID>2A343E78</paraID>
      <start>3301</start>
      <end>3303</end>
      <status>unmodified</status>
      <modifiedWord/>
      <trackRevisions>false</trackRevisions>
    </reviewItem>
    <reviewItem>
      <errorID>2fa653e6-cfe4-43da-9e86-56567ccf3d2e</errorID>
      <errorWord>监控</errorWord>
      <group>L1_Sensitive</group>
      <groupName>敏感问题</groupName>
      <ability>L2_UserSensitive</ability>
      <abilityName>自定义敏感词</abilityName>
      <candidateList/>
      <explain>来自自定义敏感词库。</explain>
      <paraID>2A343E78</paraID>
      <start>3369</start>
      <end>3371</end>
      <status>unmodified</status>
      <modifiedWord/>
      <trackRevisions>false</trackRevisions>
    </reviewItem>
    <reviewItem>
      <errorID>f332f593-1363-4586-88a4-db48f1eca9fc</errorID>
      <errorWord>监测</errorWord>
      <group>L1_Sensitive</group>
      <groupName>敏感问题</groupName>
      <ability>L2_UserSensitive</ability>
      <abilityName>自定义敏感词</abilityName>
      <candidateList/>
      <explain>来自自定义敏感词库。</explain>
      <paraID>2A343E78</paraID>
      <start>3399</start>
      <end>3401</end>
      <status>unmodified</status>
      <modifiedWord/>
      <trackRevisions>false</trackRevisions>
    </reviewItem>
    <reviewItem>
      <errorID>0d5b9fe1-180c-422e-9e67-fa0179301ed3</errorID>
      <errorWord>监控</errorWord>
      <group>L1_Sensitive</group>
      <groupName>敏感问题</groupName>
      <ability>L2_UserSensitive</ability>
      <abilityName>自定义敏感词</abilityName>
      <candidateList/>
      <explain>来自自定义敏感词库。</explain>
      <paraID>2A343E78</paraID>
      <start>3552</start>
      <end>3554</end>
      <status>unmodified</status>
      <modifiedWord/>
      <trackRevisions>false</trackRevisions>
    </reviewItem>
    <reviewItem>
      <errorID>e4df3929-7351-4adf-b88e-6ddc0e632f8a</errorID>
      <errorWord>监控</errorWord>
      <group>L1_Sensitive</group>
      <groupName>敏感问题</groupName>
      <ability>L2_UserSensitive</ability>
      <abilityName>自定义敏感词</abilityName>
      <candidateList/>
      <explain>来自自定义敏感词库。</explain>
      <paraID>2A343E78</paraID>
      <start>3600</start>
      <end>3602</end>
      <status>unmodified</status>
      <modifiedWord/>
      <trackRevisions>false</trackRevisions>
    </reviewItem>
    <reviewItem>
      <errorID>b0d28cdb-cfb7-4746-ad46-1ffbaa73e72b</errorID>
      <errorWord>做报告</errorWord>
      <group>L1_Word</group>
      <groupName>字词问题</groupName>
      <ability>L2_Typo</ability>
      <abilityName>字词错误</abilityName>
      <candidateList>
        <item>作报告</item>
      </candidateList>
      <explain/>
      <paraID>2A343E78</paraID>
      <start>3868</start>
      <end>3871</end>
      <status>unmodified</status>
      <modifiedWord/>
      <trackRevisions>false</trackRevisions>
    </reviewItem>
    <reviewItem>
      <errorID>20cecbeb-7df4-460e-88d0-887babdf19fc</errorID>
      <errorWord>WiFi</errorWord>
      <group>L1_Punc</group>
      <groupName>标点问题</groupName>
      <ability>L2_Punc_CN</ability>
      <abilityName/>
      <candidateList>
        <item>Wi-Fi</item>
      </candidateList>
      <explain/>
      <paraID>2A343E78</paraID>
      <start>4454</start>
      <end>4458</end>
      <status>unmodified</status>
      <modifiedWord/>
      <trackRevisions>false</trackRevisions>
    </reviewItem>
    <reviewItem>
      <errorID>73cea55b-ee66-42f7-84e9-4a33068d3d90</errorID>
      <errorWord>)</errorWord>
      <group>L1_Format</group>
      <groupName>格式问题</groupName>
      <ability>L2_HalfPunc_CN</ability>
      <abilityName/>
      <candidateList>
        <item>）</item>
      </candidateList>
      <explain>文本全半角错误。</explain>
      <paraID>2A343E78</paraID>
      <start>5232</start>
      <end>5233</end>
      <status>unmodified</status>
      <modifiedWord/>
      <trackRevisions>false</trackRevisions>
    </reviewItem>
    <reviewItem>
      <errorID>7397e2b0-1bbb-4a0a-925f-08d4fe213f2e</errorID>
      <errorWord>)</errorWord>
      <group>L1_Format</group>
      <groupName>格式问题</groupName>
      <ability>L2_HalfPunc_CN</ability>
      <abilityName/>
      <candidateList>
        <item>）</item>
      </candidateList>
      <explain>文本全半角错误。</explain>
      <paraID>2A343E78</paraID>
      <start>5268</start>
      <end>5269</end>
      <status>unmodified</status>
      <modifiedWord/>
      <trackRevisions>false</trackRevisions>
    </reviewItem>
    <reviewItem>
      <errorID>d0738d3e-7a84-4a05-9599-3168ae5c1c02</errorID>
      <errorWord>(</errorWord>
      <group>L1_Format</group>
      <groupName>格式问题</groupName>
      <ability>L2_HalfPunc_CN</ability>
      <abilityName/>
      <candidateList>
        <item>（</item>
      </candidateList>
      <explain>文本全半角错误。</explain>
      <paraID>3751C490</paraID>
      <start>436</start>
      <end>437</end>
      <status>unmodified</status>
      <modifiedWord/>
      <trackRevisions>false</trackRevisions>
    </reviewItem>
    <reviewItem>
      <errorID>8a95db0e-2e2c-4a07-9836-22ace0a12434</errorID>
      <errorWord>)</errorWord>
      <group>L1_Format</group>
      <groupName>格式问题</groupName>
      <ability>L2_HalfPunc_CN</ability>
      <abilityName/>
      <candidateList>
        <item>）</item>
      </candidateList>
      <explain>文本全半角错误。</explain>
      <paraID>3751C490</paraID>
      <start>441</start>
      <end>442</end>
      <status>unmodified</status>
      <modifiedWord/>
      <trackRevisions>false</trackRevisions>
    </reviewItem>
    <reviewItem>
      <errorID>4b0c1455-f409-4ae2-8ae3-432aeb3687fc</errorID>
      <errorWord>(</errorWord>
      <group>L1_Format</group>
      <groupName>格式问题</groupName>
      <ability>L2_HalfPunc_CN</ability>
      <abilityName/>
      <candidateList>
        <item>（</item>
      </candidateList>
      <explain>文本全半角错误。</explain>
      <paraID>3751C490</paraID>
      <start>1126</start>
      <end>1127</end>
      <status>unmodified</status>
      <modifiedWord/>
      <trackRevisions>false</trackRevisions>
    </reviewItem>
    <reviewItem>
      <errorID>001e11bd-fb9f-43bf-9b4d-a3659ac9aadf</errorID>
      <errorWord>)</errorWord>
      <group>L1_Format</group>
      <groupName>格式问题</groupName>
      <ability>L2_HalfPunc_CN</ability>
      <abilityName/>
      <candidateList>
        <item>）</item>
      </candidateList>
      <explain>文本全半角错误。</explain>
      <paraID>3751C490</paraID>
      <start>1129</start>
      <end>1130</end>
      <status>unmodified</status>
      <modifiedWord/>
      <trackRevisions>false</trackRevisions>
    </reviewItem>
    <reviewItem>
      <errorID>dffac521-59c6-4b18-af61-4d7a23088311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2C09C82</paraID>
      <start>0</start>
      <end>2</end>
      <status>unmodified</status>
      <modifiedWord/>
      <trackRevisions>false</trackRevisions>
    </reviewItem>
    <reviewItem>
      <errorID>62d9bd76-9c2b-4365-aa15-a45ed5a7263c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169F4EFA</paraID>
      <start>0</start>
      <end>2</end>
      <status>unmodified</status>
      <modifiedWord/>
      <trackRevisions>false</trackRevisions>
    </reviewItem>
    <reviewItem>
      <errorID>41bd6181-c9e7-4ea0-8a28-57d0bf6379f6</errorID>
      <errorWord>(</errorWord>
      <group>L1_Format</group>
      <groupName>格式问题</groupName>
      <ability>L2_HalfPunc_CN</ability>
      <abilityName/>
      <candidateList>
        <item>（</item>
      </candidateList>
      <explain>文本全半角错误。</explain>
      <paraID>169F4EFA</paraID>
      <start>5</start>
      <end>6</end>
      <status>unmodified</status>
      <modifiedWord/>
      <trackRevisions>false</trackRevisions>
    </reviewItem>
    <reviewItem>
      <errorID>33c80235-2200-422e-86e7-c4ecb5c1b1a7</errorID>
      <errorWord>)</errorWord>
      <group>L1_Format</group>
      <groupName>格式问题</groupName>
      <ability>L2_HalfPunc_CN</ability>
      <abilityName/>
      <candidateList>
        <item>）</item>
      </candidateList>
      <explain>文本全半角错误。</explain>
      <paraID>169F4EFA</paraID>
      <start>8</start>
      <end>9</end>
      <status>unmodified</status>
      <modifiedWord/>
      <trackRevisions>false</trackRevisions>
    </reviewItem>
    <reviewItem>
      <errorID>fcfc2944-99ac-4bf8-85db-ca14886c2b4f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1E554A54</paraID>
      <start>0</start>
      <end>2</end>
      <status>unmodified</status>
      <modifiedWord/>
      <trackRevisions>false</trackRevisions>
    </reviewItem>
    <reviewItem>
      <errorID>52320517-7752-4141-b28e-a0742eb91d09</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27952C5C</paraID>
      <start>0</start>
      <end>2</end>
      <status>unmodified</status>
      <modifiedWord/>
      <trackRevisions>false</trackRevisions>
    </reviewItem>
    <reviewItem>
      <errorID>f3d30a67-5078-41ad-8576-92958979583f</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7C94D43A</paraID>
      <start>0</start>
      <end>2</end>
      <status>unmodified</status>
      <modifiedWord/>
      <trackRevisions>false</trackRevisions>
    </reviewItem>
    <reviewItem>
      <errorID>72cb8bac-b625-413c-bf9d-2bc7facfbade</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6639D6A1</paraID>
      <start>0</start>
      <end>2</end>
      <status>unmodified</status>
      <modifiedWord/>
      <trackRevisions>false</trackRevisions>
    </reviewItem>
    <reviewItem>
      <errorID>b1b01e5c-d963-4d37-a48e-d62736640219</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402CA0FF</paraID>
      <start>0</start>
      <end>2</end>
      <status>unmodified</status>
      <modifiedWord/>
      <trackRevisions>false</trackRevisions>
    </reviewItem>
    <reviewItem>
      <errorID>adc7d271-ac08-45f2-8faf-01a9c11a79c4</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76A48D2E</paraID>
      <start>0</start>
      <end>2</end>
      <status>unmodified</status>
      <modifiedWord/>
      <trackRevisions>false</trackRevisions>
    </reviewItem>
    <reviewItem>
      <errorID>1068ca3d-37ec-4eef-b6cb-b590c9ed94ff</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4AABD437</paraID>
      <start>0</start>
      <end>2</end>
      <status>unmodified</status>
      <modifiedWord/>
      <trackRevisions>false</trackRevisions>
    </reviewItem>
    <reviewItem>
      <errorID>031ebf57-630f-4b06-a843-49e14a9ffd8e</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2F52EED3</paraID>
      <start>0</start>
      <end>3</end>
      <status>unmodified</status>
      <modifiedWord/>
      <trackRevisions>false</trackRevisions>
    </reviewItem>
    <reviewItem>
      <errorID>70ac8fa3-3176-4625-815c-8fd73ec65413</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BE2CE0A</paraID>
      <start>0</start>
      <end>3</end>
      <status>unmodified</status>
      <modifiedWord/>
      <trackRevisions>false</trackRevisions>
    </reviewItem>
    <reviewItem>
      <errorID>a275861d-569e-4834-849b-6067a2658251</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6FCEB367</paraID>
      <start>0</start>
      <end>3</end>
      <status>unmodified</status>
      <modifiedWord/>
      <trackRevisions>false</trackRevisions>
    </reviewItem>
    <reviewItem>
      <errorID>7c4f9565-c3af-4751-9a29-5deabaf0d410</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52B9587F</paraID>
      <start>0</start>
      <end>3</end>
      <status>unmodified</status>
      <modifiedWord/>
      <trackRevisions>false</trackRevisions>
    </reviewItem>
    <reviewItem>
      <errorID>95c2539a-04ff-47f0-a1b3-002af5dcbea0</errorID>
      <errorWord>14、</errorWord>
      <group>L1_Format</group>
      <groupName>格式问题</groupName>
      <ability>L2_Ordinal</ability>
      <abilityName>序号格式</abilityName>
      <candidateList>
        <item>14.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45F1E099</paraID>
      <start>0</start>
      <end>3</end>
      <status>unmodified</status>
      <modifiedWord/>
      <trackRevisions>false</trackRevisions>
    </reviewItem>
    <reviewItem>
      <errorID>4200b3b3-0dae-4805-8d04-0e82a5e9db7d</errorID>
      <errorWord>15、</errorWord>
      <group>L1_Format</group>
      <groupName>格式问题</groupName>
      <ability>L2_Ordinal</ability>
      <abilityName>序号格式</abilityName>
      <candidateList>
        <item>15.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75ACFC08</paraID>
      <start>0</start>
      <end>3</end>
      <status>unmodified</status>
      <modifiedWord/>
      <trackRevisions>false</trackRevisions>
    </reviewItem>
    <reviewItem>
      <errorID>ffaa2f13-a97d-4724-9ab8-7f369bcfd8d2</errorID>
      <errorWord>16、</errorWord>
      <group>L1_Format</group>
      <groupName>格式问题</groupName>
      <ability>L2_Ordinal</ability>
      <abilityName>序号格式</abilityName>
      <candidateList>
        <item>16.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B5E355E</paraID>
      <start>0</start>
      <end>3</end>
      <status>unmodified</status>
      <modifiedWord/>
      <trackRevisions>false</trackRevisions>
    </reviewItem>
    <reviewItem>
      <errorID>678ea8d1-fc30-4894-ab9b-5e80cfb53f92</errorID>
      <errorWord>17、</errorWord>
      <group>L1_Format</group>
      <groupName>格式问题</groupName>
      <ability>L2_Ordinal</ability>
      <abilityName>序号格式</abilityName>
      <candidateList>
        <item>17.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7132C59</paraID>
      <start>0</start>
      <end>3</end>
      <status>unmodified</status>
      <modifiedWord/>
      <trackRevisions>false</trackRevisions>
    </reviewItem>
    <reviewItem>
      <errorID>0454f1fb-b504-4625-8a21-42d8e258019f</errorID>
      <errorWord>18、</errorWord>
      <group>L1_Format</group>
      <groupName>格式问题</groupName>
      <ability>L2_Ordinal</ability>
      <abilityName>序号格式</abilityName>
      <candidateList>
        <item>18.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5214B8CB</paraID>
      <start>0</start>
      <end>3</end>
      <status>unmodified</status>
      <modifiedWord/>
      <trackRevisions>false</trackRevisions>
    </reviewItem>
    <reviewItem>
      <errorID>b650337c-4fb0-47d6-b726-c0e408984ca0</errorID>
      <errorWord>19、</errorWord>
      <group>L1_Format</group>
      <groupName>格式问题</groupName>
      <ability>L2_Ordinal</ability>
      <abilityName>序号格式</abilityName>
      <candidateList>
        <item>19.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10A3A607</paraID>
      <start>0</start>
      <end>3</end>
      <status>unmodified</status>
      <modifiedWord/>
      <trackRevisions>false</trackRevisions>
    </reviewItem>
    <reviewItem>
      <errorID>e871ec64-106b-4ed3-b45c-052d31af33a0</errorID>
      <errorWord>20、</errorWord>
      <group>L1_Format</group>
      <groupName>格式问题</groupName>
      <ability>L2_Ordinal</ability>
      <abilityName>序号格式</abilityName>
      <candidateList>
        <item>20.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32CFB84E</paraID>
      <start>0</start>
      <end>3</end>
      <status>unmodified</status>
      <modifiedWord/>
      <trackRevisions>false</trackRevisions>
    </reviewItem>
    <reviewItem>
      <errorID>c78a93ec-f347-4658-8423-ad3feb2193de</errorID>
      <errorWord>21、</errorWord>
      <group>L1_Format</group>
      <groupName>格式问题</groupName>
      <ability>L2_Ordinal</ability>
      <abilityName>序号格式</abilityName>
      <candidateList>
        <item>21.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1D2DEBA7</paraID>
      <start>0</start>
      <end>3</end>
      <status>unmodified</status>
      <modifiedWord/>
      <trackRevisions>false</trackRevisions>
    </reviewItem>
    <reviewItem>
      <errorID>10bd7e01-b76f-430e-99e4-8ee3e46190ac</errorID>
      <errorWord>22、</errorWord>
      <group>L1_Format</group>
      <groupName>格式问题</groupName>
      <ability>L2_Ordinal</ability>
      <abilityName>序号格式</abilityName>
      <candidateList>
        <item>22.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24CA1684</paraID>
      <start>0</start>
      <end>3</end>
      <status>unmodified</status>
      <modifiedWord/>
      <trackRevisions>false</trackRevisions>
    </reviewItem>
    <reviewItem>
      <errorID>39090ac2-9a07-48fd-9d36-f0b87a48e09b</errorID>
      <errorWord>23、</errorWord>
      <group>L1_Format</group>
      <groupName>格式问题</groupName>
      <ability>L2_Ordinal</ability>
      <abilityName>序号格式</abilityName>
      <candidateList>
        <item>23.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1BBF5D01</paraID>
      <start>0</start>
      <end>3</end>
      <status>unmodified</status>
      <modifiedWord/>
      <trackRevisions>false</trackRevisions>
    </reviewItem>
    <reviewItem>
      <errorID>c007cd08-6e6e-47f4-9067-f37a40c7afea</errorID>
      <errorWord>24、</errorWord>
      <group>L1_Format</group>
      <groupName>格式问题</groupName>
      <ability>L2_Ordinal</ability>
      <abilityName>序号格式</abilityName>
      <candidateList>
        <item>24.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34129366</paraID>
      <start>0</start>
      <end>3</end>
      <status>unmodified</status>
      <modifiedWord/>
      <trackRevisions>false</trackRevisions>
    </reviewItem>
    <reviewItem>
      <errorID>f291bb2a-4b3b-4e3f-a91b-1ec352e79795</errorID>
      <errorWord>25、</errorWord>
      <group>L1_Format</group>
      <groupName>格式问题</groupName>
      <ability>L2_Ordinal</ability>
      <abilityName>序号格式</abilityName>
      <candidateList>
        <item>25.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55729C71</paraID>
      <start>0</start>
      <end>3</end>
      <status>unmodified</status>
      <modifiedWord/>
      <trackRevisions>false</trackRevisions>
    </reviewItem>
    <reviewItem>
      <errorID>9a5b49d5-0c5b-40c4-9c7e-ca2a4161013a</errorID>
      <errorWord>26、</errorWord>
      <group>L1_Format</group>
      <groupName>格式问题</groupName>
      <ability>L2_Ordinal</ability>
      <abilityName>序号格式</abilityName>
      <candidateList>
        <item>26.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494A6979</paraID>
      <start>0</start>
      <end>3</end>
      <status>unmodified</status>
      <modifiedWord/>
      <trackRevisions>false</trackRevisions>
    </reviewItem>
    <reviewItem>
      <errorID>e1a3e937-408d-4341-bc54-c55a74284111</errorID>
      <errorWord>27、</errorWord>
      <group>L1_Format</group>
      <groupName>格式问题</groupName>
      <ability>L2_Ordinal</ability>
      <abilityName>序号格式</abilityName>
      <candidateList>
        <item>27.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1DE23997</paraID>
      <start>0</start>
      <end>3</end>
      <status>unmodified</status>
      <modifiedWord/>
      <trackRevisions>false</trackRevisions>
    </reviewItem>
    <reviewItem>
      <errorID>2385b91d-51e2-4b86-a8dc-a216ab3a94e8</errorID>
      <errorWord>28、</errorWord>
      <group>L1_Format</group>
      <groupName>格式问题</groupName>
      <ability>L2_Ordinal</ability>
      <abilityName>序号格式</abilityName>
      <candidateList>
        <item>28.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1E480099</paraID>
      <start>0</start>
      <end>3</end>
      <status>unmodified</status>
      <modifiedWord/>
      <trackRevisions>false</trackRevisions>
    </reviewItem>
    <reviewItem>
      <errorID>2a0ba17a-08ad-4506-ac84-64bb1ec3b171</errorID>
      <errorWord>29、</errorWord>
      <group>L1_Format</group>
      <groupName>格式问题</groupName>
      <ability>L2_Ordinal</ability>
      <abilityName>序号格式</abilityName>
      <candidateList>
        <item>29.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B95D7B1</paraID>
      <start>0</start>
      <end>3</end>
      <status>unmodified</status>
      <modifiedWord/>
      <trackRevisions>false</trackRevisions>
    </reviewItem>
    <reviewItem>
      <errorID>55194b1e-ef3f-45b4-abf1-5d0c8b725b69</errorID>
      <errorWord>30、</errorWord>
      <group>L1_Format</group>
      <groupName>格式问题</groupName>
      <ability>L2_Ordinal</ability>
      <abilityName>序号格式</abilityName>
      <candidateList>
        <item>30.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27E12F54</paraID>
      <start>0</start>
      <end>3</end>
      <status>unmodified</status>
      <modifiedWord/>
      <trackRevisions>false</trackRevisions>
    </reviewItem>
    <reviewItem>
      <errorID>2e0f648b-4986-405c-9244-896533165060</errorID>
      <errorWord>31、</errorWord>
      <group>L1_Format</group>
      <groupName>格式问题</groupName>
      <ability>L2_Ordinal</ability>
      <abilityName>序号格式</abilityName>
      <candidateList>
        <item>31.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4994F7FD</paraID>
      <start>0</start>
      <end>3</end>
      <status>unmodified</status>
      <modifiedWord/>
      <trackRevisions>false</trackRevisions>
    </reviewItem>
    <reviewItem>
      <errorID>2573ffd6-b505-4143-86c3-1c6e864e0b44</errorID>
      <errorWord>32、</errorWord>
      <group>L1_Format</group>
      <groupName>格式问题</groupName>
      <ability>L2_Ordinal</ability>
      <abilityName>序号格式</abilityName>
      <candidateList>
        <item>32.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3AC91445</paraID>
      <start>0</start>
      <end>3</end>
      <status>unmodified</status>
      <modifiedWord/>
      <trackRevisions>false</trackRevisions>
    </reviewItem>
    <reviewItem>
      <errorID>4af14d8a-0864-497b-8fb6-750254199524</errorID>
      <errorWord>33、</errorWord>
      <group>L1_Format</group>
      <groupName>格式问题</groupName>
      <ability>L2_Ordinal</ability>
      <abilityName>序号格式</abilityName>
      <candidateList>
        <item>33.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1AC6BAF9</paraID>
      <start>0</start>
      <end>3</end>
      <status>unmodified</status>
      <modifiedWord/>
      <trackRevisions>false</trackRevisions>
    </reviewItem>
    <reviewItem>
      <errorID>88dc1626-b622-4e9a-9f0c-981bdef46e8a</errorID>
      <errorWord>34、</errorWord>
      <group>L1_Format</group>
      <groupName>格式问题</groupName>
      <ability>L2_Ordinal</ability>
      <abilityName>序号格式</abilityName>
      <candidateList>
        <item>34.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4B1E1804</paraID>
      <start>0</start>
      <end>3</end>
      <status>unmodified</status>
      <modifiedWord/>
      <trackRevisions>false</trackRevisions>
    </reviewItem>
    <reviewItem>
      <errorID>dd32e1fa-81be-480e-8739-b99937994230</errorID>
      <errorWord>35、</errorWord>
      <group>L1_Format</group>
      <groupName>格式问题</groupName>
      <ability>L2_Ordinal</ability>
      <abilityName>序号格式</abilityName>
      <candidateList>
        <item>35.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358D43B9</paraID>
      <start>0</start>
      <end>3</end>
      <status>unmodified</status>
      <modifiedWord/>
      <trackRevisions>false</trackRevisions>
    </reviewItem>
    <reviewItem>
      <errorID>5ac8b38c-76cd-45de-80f8-ee04e2290b14</errorID>
      <errorWord>36、</errorWord>
      <group>L1_Format</group>
      <groupName>格式问题</groupName>
      <ability>L2_Ordinal</ability>
      <abilityName>序号格式</abilityName>
      <candidateList>
        <item>36.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204D09E7</paraID>
      <start>0</start>
      <end>3</end>
      <status>unmodified</status>
      <modifiedWord/>
      <trackRevisions>false</trackRevisions>
    </reviewItem>
    <reviewItem>
      <errorID>29be5d95-84a7-466f-b560-1cf71c8c5da7</errorID>
      <errorWord>37、</errorWord>
      <group>L1_Format</group>
      <groupName>格式问题</groupName>
      <ability>L2_Ordinal</ability>
      <abilityName>序号格式</abilityName>
      <candidateList>
        <item>37.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346F98A8</paraID>
      <start>0</start>
      <end>3</end>
      <status>unmodified</status>
      <modifiedWord/>
      <trackRevisions>false</trackRevisions>
    </reviewItem>
    <reviewItem>
      <errorID>efcf973a-b43e-4be3-bb98-915e4b3d8087</errorID>
      <errorWord>38、</errorWord>
      <group>L1_Format</group>
      <groupName>格式问题</groupName>
      <ability>L2_Ordinal</ability>
      <abilityName>序号格式</abilityName>
      <candidateList>
        <item>38.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4B6B01C9</paraID>
      <start>0</start>
      <end>3</end>
      <status>unmodified</status>
      <modifiedWord/>
      <trackRevisions>false</trackRevisions>
    </reviewItem>
    <reviewItem>
      <errorID>ac050e3f-fd6c-49d7-9798-d9592c2de6eb</errorID>
      <errorWord>39、</errorWord>
      <group>L1_Format</group>
      <groupName>格式问题</groupName>
      <ability>L2_Ordinal</ability>
      <abilityName>序号格式</abilityName>
      <candidateList>
        <item>39.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5ED01558</paraID>
      <start>0</start>
      <end>3</end>
      <status>unmodified</status>
      <modifiedWord/>
      <trackRevisions>false</trackRevisions>
    </reviewItem>
    <reviewItem>
      <errorID>8b13be0c-2e61-4c57-89f4-3ac43c60db40</errorID>
      <errorWord>40、</errorWord>
      <group>L1_Format</group>
      <groupName>格式问题</groupName>
      <ability>L2_Ordinal</ability>
      <abilityName>序号格式</abilityName>
      <candidateList>
        <item>40.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6F82CBD0</paraID>
      <start>0</start>
      <end>3</end>
      <status>unmodified</status>
      <modifiedWord/>
      <trackRevisions>false</trackRevisions>
    </reviewItem>
    <reviewItem>
      <errorID>65566a3c-0e04-4644-98d2-b746f8dcc011</errorID>
      <errorWord>41、</errorWord>
      <group>L1_Format</group>
      <groupName>格式问题</groupName>
      <ability>L2_Ordinal</ability>
      <abilityName>序号格式</abilityName>
      <candidateList>
        <item>41.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3246E43</paraID>
      <start>0</start>
      <end>3</end>
      <status>unmodified</status>
      <modifiedWord/>
      <trackRevisions>false</trackRevisions>
    </reviewItem>
    <reviewItem>
      <errorID>b14f0f86-f460-48e9-ad31-51cf588f71c5</errorID>
      <errorWord>42、</errorWord>
      <group>L1_Format</group>
      <groupName>格式问题</groupName>
      <ability>L2_Ordinal</ability>
      <abilityName>序号格式</abilityName>
      <candidateList>
        <item>42.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56165C51</paraID>
      <start>0</start>
      <end>3</end>
      <status>unmodified</status>
      <modifiedWord/>
      <trackRevisions>false</trackRevisions>
    </reviewItem>
    <reviewItem>
      <errorID>954c2504-03aa-4fc3-b0ff-e0ccbb782028</errorID>
      <errorWord>43、</errorWord>
      <group>L1_Format</group>
      <groupName>格式问题</groupName>
      <ability>L2_Ordinal</ability>
      <abilityName>序号格式</abilityName>
      <candidateList>
        <item>43.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174F431D</paraID>
      <start>0</start>
      <end>3</end>
      <status>unmodified</status>
      <modifiedWord/>
      <trackRevisions>false</trackRevisions>
    </reviewItem>
    <reviewItem>
      <errorID>915a2429-0206-4bdc-86b4-ac500e28d790</errorID>
      <errorWord>44、</errorWord>
      <group>L1_Format</group>
      <groupName>格式问题</groupName>
      <ability>L2_Ordinal</ability>
      <abilityName>序号格式</abilityName>
      <candidateList>
        <item>44.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19B59237</paraID>
      <start>0</start>
      <end>3</end>
      <status>unmodified</status>
      <modifiedWord/>
      <trackRevisions>false</trackRevisions>
    </reviewItem>
    <reviewItem>
      <errorID>4a84fa78-845a-4db3-b1d3-67ed4eee7e0f</errorID>
      <errorWord>45、</errorWord>
      <group>L1_Format</group>
      <groupName>格式问题</groupName>
      <ability>L2_Ordinal</ability>
      <abilityName>序号格式</abilityName>
      <candidateList>
        <item>45.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212FE971</paraID>
      <start>0</start>
      <end>3</end>
      <status>unmodified</status>
      <modifiedWord/>
      <trackRevisions>false</trackRevisions>
    </reviewItem>
    <reviewItem>
      <errorID>29433458-3611-4531-9d70-fc2b32203e53</errorID>
      <errorWord>46、</errorWord>
      <group>L1_Format</group>
      <groupName>格式问题</groupName>
      <ability>L2_Ordinal</ability>
      <abilityName>序号格式</abilityName>
      <candidateList>
        <item>46.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52DB1DF</paraID>
      <start>0</start>
      <end>3</end>
      <status>unmodified</status>
      <modifiedWord/>
      <trackRevisions>false</trackRevisions>
    </reviewItem>
    <reviewItem>
      <errorID>775134f1-31ae-4ba8-9c01-7d8a2e81f075</errorID>
      <errorWord>：~</errorWord>
      <group>L1_Punc</group>
      <groupName>标点问题</groupName>
      <ability>L2_Punc_CN</ability>
      <abilityName/>
      <candidateList>
        <item>：</item>
      </candidateList>
      <explain/>
      <paraID> 52DB1DF</paraID>
      <start>46</start>
      <end>48</end>
      <status>unmodified</status>
      <modifiedWord/>
      <trackRevisions>false</trackRevisions>
    </reviewItem>
    <reviewItem>
      <errorID>302a01bc-134a-488f-a604-3df8358bb557</errorID>
      <errorWord>47、</errorWord>
      <group>L1_Format</group>
      <groupName>格式问题</groupName>
      <ability>L2_Ordinal</ability>
      <abilityName>序号格式</abilityName>
      <candidateList>
        <item>47.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26A289C4</paraID>
      <start>0</start>
      <end>3</end>
      <status>unmodified</status>
      <modifiedWord/>
      <trackRevisions>false</trackRevisions>
    </reviewItem>
    <reviewItem>
      <errorID>5f931d59-fb05-4f05-9d39-6e80a7832aeb</errorID>
      <errorWord>48、</errorWord>
      <group>L1_Format</group>
      <groupName>格式问题</groupName>
      <ability>L2_Ordinal</ability>
      <abilityName>序号格式</abilityName>
      <candidateList>
        <item>48.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5B7676C2</paraID>
      <start>0</start>
      <end>3</end>
      <status>unmodified</status>
      <modifiedWord/>
      <trackRevisions>false</trackRevisions>
    </reviewItem>
    <reviewItem>
      <errorID>7bf6aa5c-e2de-4e1a-8139-29bcb958021e</errorID>
      <errorWord>49、</errorWord>
      <group>L1_Format</group>
      <groupName>格式问题</groupName>
      <ability>L2_Ordinal</ability>
      <abilityName>序号格式</abilityName>
      <candidateList>
        <item>49.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75BE19F0</paraID>
      <start>0</start>
      <end>3</end>
      <status>unmodified</status>
      <modifiedWord/>
      <trackRevisions>false</trackRevisions>
    </reviewItem>
    <reviewItem>
      <errorID>57da924e-5142-4896-b3f8-b4780a17fffb</errorID>
      <errorWord>50、</errorWord>
      <group>L1_Format</group>
      <groupName>格式问题</groupName>
      <ability>L2_Ordinal</ability>
      <abilityName>序号格式</abilityName>
      <candidateList>
        <item>50.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45DDB359</paraID>
      <start>0</start>
      <end>3</end>
      <status>unmodified</status>
      <modifiedWord/>
      <trackRevisions>false</trackRevisions>
    </reviewItem>
    <reviewItem>
      <errorID>6dc17ab5-e4b5-4ff3-9c51-491b02a3f0cd</errorID>
      <errorWord>51、</errorWord>
      <group>L1_Format</group>
      <groupName>格式问题</groupName>
      <ability>L2_Ordinal</ability>
      <abilityName>序号格式</abilityName>
      <candidateList>
        <item>51.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6D8AA3B</paraID>
      <start>0</start>
      <end>3</end>
      <status>unmodified</status>
      <modifiedWord/>
      <trackRevisions>false</trackRevisions>
    </reviewItem>
    <reviewItem>
      <errorID>ad045a84-7abe-4da2-b12d-861b9190c79a</errorID>
      <errorWord>52、</errorWord>
      <group>L1_Format</group>
      <groupName>格式问题</groupName>
      <ability>L2_Ordinal</ability>
      <abilityName>序号格式</abilityName>
      <candidateList>
        <item>52.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183D2175</paraID>
      <start>0</start>
      <end>3</end>
      <status>unmodified</status>
      <modifiedWord/>
      <trackRevisions>false</trackRevisions>
    </reviewItem>
    <reviewItem>
      <errorID>cc145424-8662-4657-b3c1-30797b20a2bd</errorID>
      <errorWord>53、</errorWord>
      <group>L1_Format</group>
      <groupName>格式问题</groupName>
      <ability>L2_Ordinal</ability>
      <abilityName>序号格式</abilityName>
      <candidateList>
        <item>53.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5259139D</paraID>
      <start>0</start>
      <end>3</end>
      <status>unmodified</status>
      <modifiedWord/>
      <trackRevisions>false</trackRevisions>
    </reviewItem>
    <reviewItem>
      <errorID>0737c1b8-7656-4b6b-806b-865134a3add5</errorID>
      <errorWord>54、</errorWord>
      <group>L1_Format</group>
      <groupName>格式问题</groupName>
      <ability>L2_Ordinal</ability>
      <abilityName>序号格式</abilityName>
      <candidateList>
        <item>54.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5D0F1EB3</paraID>
      <start>0</start>
      <end>3</end>
      <status>unmodified</status>
      <modifiedWord/>
      <trackRevisions>false</trackRevisions>
    </reviewItem>
    <reviewItem>
      <errorID>09b93c04-a30f-4553-bc38-24acad7d4710</errorID>
      <errorWord>55、</errorWord>
      <group>L1_Format</group>
      <groupName>格式问题</groupName>
      <ability>L2_Ordinal</ability>
      <abilityName>序号格式</abilityName>
      <candidateList>
        <item>55.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58168453</paraID>
      <start>0</start>
      <end>3</end>
      <status>unmodified</status>
      <modifiedWord/>
      <trackRevisions>false</trackRevisions>
    </reviewItem>
    <reviewItem>
      <errorID>06b35ffc-8038-4f38-a9b1-9c8feed3d34c</errorID>
      <errorWord>56、</errorWord>
      <group>L1_Format</group>
      <groupName>格式问题</groupName>
      <ability>L2_Ordinal</ability>
      <abilityName>序号格式</abilityName>
      <candidateList>
        <item>56.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68AC37BA</paraID>
      <start>0</start>
      <end>3</end>
      <status>unmodified</status>
      <modifiedWord/>
      <trackRevisions>false</trackRevisions>
    </reviewItem>
    <reviewItem>
      <errorID>c50de0cb-b3ec-40f9-9d4c-f47116f9bd6e</errorID>
      <errorWord>57、</errorWord>
      <group>L1_Format</group>
      <groupName>格式问题</groupName>
      <ability>L2_Ordinal</ability>
      <abilityName>序号格式</abilityName>
      <candidateList>
        <item>57.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4DAEF47E</paraID>
      <start>0</start>
      <end>3</end>
      <status>unmodified</status>
      <modifiedWord/>
      <trackRevisions>false</trackRevisions>
    </reviewItem>
    <reviewItem>
      <errorID>536899ad-d3ee-470c-a544-5e63728740c2</errorID>
      <errorWord>58、</errorWord>
      <group>L1_Format</group>
      <groupName>格式问题</groupName>
      <ability>L2_Ordinal</ability>
      <abilityName>序号格式</abilityName>
      <candidateList>
        <item>58.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13195469</paraID>
      <start>0</start>
      <end>3</end>
      <status>unmodified</status>
      <modifiedWord/>
      <trackRevisions>false</trackRevisions>
    </reviewItem>
    <reviewItem>
      <errorID>6708fc57-a7c0-4411-901f-d03e9817d7f7</errorID>
      <errorWord>59、</errorWord>
      <group>L1_Format</group>
      <groupName>格式问题</groupName>
      <ability>L2_Ordinal</ability>
      <abilityName>序号格式</abilityName>
      <candidateList>
        <item>59.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4C07D66D</paraID>
      <start>0</start>
      <end>3</end>
      <status>unmodified</status>
      <modifiedWord/>
      <trackRevisions>false</trackRevisions>
    </reviewItem>
    <reviewItem>
      <errorID>9b5eec0c-0705-42f6-9365-54f0f2cdfaea</errorID>
      <errorWord>60、</errorWord>
      <group>L1_Format</group>
      <groupName>格式问题</groupName>
      <ability>L2_Ordinal</ability>
      <abilityName>序号格式</abilityName>
      <candidateList>
        <item>60.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3D7BE997</paraID>
      <start>0</start>
      <end>3</end>
      <status>unmodified</status>
      <modifiedWord/>
      <trackRevisions>false</trackRevisions>
    </reviewItem>
    <reviewItem>
      <errorID>9c79ba5b-2138-40a0-8066-71f1fe4c708a</errorID>
      <errorWord>61、</errorWord>
      <group>L1_Format</group>
      <groupName>格式问题</groupName>
      <ability>L2_Ordinal</ability>
      <abilityName>序号格式</abilityName>
      <candidateList>
        <item>61.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34B1911B</paraID>
      <start>0</start>
      <end>3</end>
      <status>unmodified</status>
      <modifiedWord/>
      <trackRevisions>false</trackRevisions>
    </reviewItem>
    <reviewItem>
      <errorID>16b70e18-338f-4496-aaff-eb0668fc3ce5</errorID>
      <errorWord>62、</errorWord>
      <group>L1_Format</group>
      <groupName>格式问题</groupName>
      <ability>L2_Ordinal</ability>
      <abilityName>序号格式</abilityName>
      <candidateList>
        <item>62.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D779451</paraID>
      <start>0</start>
      <end>3</end>
      <status>unmodified</status>
      <modifiedWord/>
      <trackRevisions>false</trackRevisions>
    </reviewItem>
    <reviewItem>
      <errorID>bd109eec-d61e-4b91-a4bf-d7d2b33ce4eb</errorID>
      <errorWord>63、</errorWord>
      <group>L1_Format</group>
      <groupName>格式问题</groupName>
      <ability>L2_Ordinal</ability>
      <abilityName>序号格式</abilityName>
      <candidateList>
        <item>63.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29BF32E7</paraID>
      <start>0</start>
      <end>3</end>
      <status>unmodified</status>
      <modifiedWord/>
      <trackRevisions>false</trackRevisions>
    </reviewItem>
    <reviewItem>
      <errorID>d39b820b-969f-49f5-9f1d-208456063a36</errorID>
      <errorWord>64、</errorWord>
      <group>L1_Format</group>
      <groupName>格式问题</groupName>
      <ability>L2_Ordinal</ability>
      <abilityName>序号格式</abilityName>
      <candidateList>
        <item>64.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5EAA7461</paraID>
      <start>0</start>
      <end>3</end>
      <status>unmodified</status>
      <modifiedWord/>
      <trackRevisions>false</trackRevisions>
    </reviewItem>
    <reviewItem>
      <errorID>a6a2b371-c9be-4f89-9fd3-8f77ab50ecda</errorID>
      <errorWord>65、</errorWord>
      <group>L1_Format</group>
      <groupName>格式问题</groupName>
      <ability>L2_Ordinal</ability>
      <abilityName>序号格式</abilityName>
      <candidateList>
        <item>65.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4A00D83C</paraID>
      <start>0</start>
      <end>3</end>
      <status>unmodified</status>
      <modifiedWord/>
      <trackRevisions>false</trackRevisions>
    </reviewItem>
    <reviewItem>
      <errorID>9afc4f89-4231-491e-993c-f409fd5fa2c7</errorID>
      <errorWord>66、</errorWord>
      <group>L1_Format</group>
      <groupName>格式问题</groupName>
      <ability>L2_Ordinal</ability>
      <abilityName>序号格式</abilityName>
      <candidateList>
        <item>66.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2F5EC8E6</paraID>
      <start>0</start>
      <end>3</end>
      <status>unmodified</status>
      <modifiedWord/>
      <trackRevisions>false</trackRevisions>
    </reviewItem>
    <reviewItem>
      <errorID>c0e6af57-ca08-48d9-8fd7-41b821956817</errorID>
      <errorWord>67、</errorWord>
      <group>L1_Format</group>
      <groupName>格式问题</groupName>
      <ability>L2_Ordinal</ability>
      <abilityName>序号格式</abilityName>
      <candidateList>
        <item>67.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5BE3E5F7</paraID>
      <start>0</start>
      <end>3</end>
      <status>unmodified</status>
      <modifiedWord/>
      <trackRevisions>false</trackRevisions>
    </reviewItem>
    <reviewItem>
      <errorID>29d8ef87-7c1d-41eb-bffb-ff3954b35841</errorID>
      <errorWord>68、</errorWord>
      <group>L1_Format</group>
      <groupName>格式问题</groupName>
      <ability>L2_Ordinal</ability>
      <abilityName>序号格式</abilityName>
      <candidateList>
        <item>68.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5F695ED7</paraID>
      <start>0</start>
      <end>3</end>
      <status>unmodified</status>
      <modifiedWord/>
      <trackRevisions>false</trackRevisions>
    </reviewItem>
    <reviewItem>
      <errorID>7c6193b8-74ff-4ba3-b9a9-24f00a8ce04f</errorID>
      <errorWord>69、</errorWord>
      <group>L1_Format</group>
      <groupName>格式问题</groupName>
      <ability>L2_Ordinal</ability>
      <abilityName>序号格式</abilityName>
      <candidateList>
        <item>69.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55079A39</paraID>
      <start>0</start>
      <end>3</end>
      <status>unmodified</status>
      <modifiedWord/>
      <trackRevisions>false</trackRevisions>
    </reviewItem>
    <reviewItem>
      <errorID>bf7c0877-0380-4f8e-9622-6015bf077a09</errorID>
      <errorWord>70、</errorWord>
      <group>L1_Format</group>
      <groupName>格式问题</groupName>
      <ability>L2_Ordinal</ability>
      <abilityName>序号格式</abilityName>
      <candidateList>
        <item>70.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7D1B45A9</paraID>
      <start>0</start>
      <end>3</end>
      <status>unmodified</status>
      <modifiedWord/>
      <trackRevisions>false</trackRevisions>
    </reviewItem>
    <reviewItem>
      <errorID>b428b046-2d45-4579-8d62-69dc9c3b85b8</errorID>
      <errorWord>71、</errorWord>
      <group>L1_Format</group>
      <groupName>格式问题</groupName>
      <ability>L2_Ordinal</ability>
      <abilityName>序号格式</abilityName>
      <candidateList>
        <item>71.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476D8C5C</paraID>
      <start>0</start>
      <end>3</end>
      <status>unmodified</status>
      <modifiedWord/>
      <trackRevisions>false</trackRevisions>
    </reviewItem>
    <reviewItem>
      <errorID>facf8e3c-570e-494e-adf8-357e6deae4ba</errorID>
      <errorWord>72、</errorWord>
      <group>L1_Format</group>
      <groupName>格式问题</groupName>
      <ability>L2_Ordinal</ability>
      <abilityName>序号格式</abilityName>
      <candidateList>
        <item>72.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5D8F8177</paraID>
      <start>0</start>
      <end>3</end>
      <status>unmodified</status>
      <modifiedWord/>
      <trackRevisions>false</trackRevisions>
    </reviewItem>
    <reviewItem>
      <errorID>270e1375-70da-4495-b297-b78613a448e3</errorID>
      <errorWord>73、</errorWord>
      <group>L1_Format</group>
      <groupName>格式问题</groupName>
      <ability>L2_Ordinal</ability>
      <abilityName>序号格式</abilityName>
      <candidateList>
        <item>73.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10F2581</paraID>
      <start>0</start>
      <end>3</end>
      <status>unmodified</status>
      <modifiedWord/>
      <trackRevisions>false</trackRevisions>
    </reviewItem>
    <reviewItem>
      <errorID>2504e889-9a26-4016-8fa5-2455aa0e50c5</errorID>
      <errorWord>74、</errorWord>
      <group>L1_Format</group>
      <groupName>格式问题</groupName>
      <ability>L2_Ordinal</ability>
      <abilityName>序号格式</abilityName>
      <candidateList>
        <item>74.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F52D0AC</paraID>
      <start>0</start>
      <end>3</end>
      <status>unmodified</status>
      <modifiedWord/>
      <trackRevisions>false</trackRevisions>
    </reviewItem>
    <reviewItem>
      <errorID>40f0b1a3-b7d0-4ca9-838f-777cef20205d</errorID>
      <errorWord>最终</errorWord>
      <group>L1_Sensitive</group>
      <groupName>敏感问题</groupName>
      <ability>L2_UserSensitive</ability>
      <abilityName>自定义敏感词</abilityName>
      <candidateList/>
      <explain>来自自定义敏感词库。</explain>
      <paraID> F52D0AC</paraID>
      <start>144</start>
      <end>146</end>
      <status>unmodified</status>
      <modifiedWord/>
      <trackRevisions>false</trackRevisions>
    </reviewItem>
    <reviewItem>
      <errorID>d320cbb8-74ff-4b51-aecb-1a89bb885f78</errorID>
      <errorWord>75、</errorWord>
      <group>L1_Format</group>
      <groupName>格式问题</groupName>
      <ability>L2_Ordinal</ability>
      <abilityName>序号格式</abilityName>
      <candidateList>
        <item>75.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17193F51</paraID>
      <start>0</start>
      <end>3</end>
      <status>unmodified</status>
      <modifiedWord/>
      <trackRevisions>false</trackRevisions>
    </reviewItem>
    <reviewItem>
      <errorID>d7c41176-5fc6-4e5b-9711-b21c5025aba7</errorID>
      <errorWord>76、</errorWord>
      <group>L1_Format</group>
      <groupName>格式问题</groupName>
      <ability>L2_Ordinal</ability>
      <abilityName>序号格式</abilityName>
      <candidateList>
        <item>76.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299578CE</paraID>
      <start>0</start>
      <end>3</end>
      <status>unmodified</status>
      <modifiedWord/>
      <trackRevisions>false</trackRevisions>
    </reviewItem>
    <reviewItem>
      <errorID>ecb19577-39f7-46b0-a500-f3028e71a77c</errorID>
      <errorWord>77、</errorWord>
      <group>L1_Format</group>
      <groupName>格式问题</groupName>
      <ability>L2_Ordinal</ability>
      <abilityName>序号格式</abilityName>
      <candidateList>
        <item>77.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60406756</paraID>
      <start>0</start>
      <end>3</end>
      <status>unmodified</status>
      <modifiedWord/>
      <trackRevisions>false</trackRevisions>
    </reviewItem>
    <reviewItem>
      <errorID>67422882-70ab-4a00-943e-345382fad148</errorID>
      <errorWord>网路</errorWord>
      <group>L1_Word</group>
      <groupName>字词问题</groupName>
      <ability>L2_Alias</ability>
      <abilityName>也作/曾用词</abilityName>
      <candidateList>
        <item>网络</item>
      </candidateList>
      <explain>词汇[网路]为不规范表述或旧称，其规范书面表述为[网络]。</explain>
      <paraID>60406756</paraID>
      <start>27</start>
      <end>29</end>
      <status>unmodified</status>
      <modifiedWord/>
      <trackRevisions>false</trackRevisions>
    </reviewItem>
    <reviewItem>
      <errorID>8da7da6c-f5c8-4610-893c-3fd7a5ce43f7</errorID>
      <errorWord>78、</errorWord>
      <group>L1_Format</group>
      <groupName>格式问题</groupName>
      <ability>L2_Ordinal</ability>
      <abilityName>序号格式</abilityName>
      <candidateList>
        <item>78.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58C24D0D</paraID>
      <start>0</start>
      <end>3</end>
      <status>unmodified</status>
      <modifiedWord/>
      <trackRevisions>false</trackRevisions>
    </reviewItem>
    <reviewItem>
      <errorID>5ee137fd-ea3c-44ab-94f6-b2a7e5ece85e</errorID>
      <errorWord>79、</errorWord>
      <group>L1_Format</group>
      <groupName>格式问题</groupName>
      <ability>L2_Ordinal</ability>
      <abilityName>序号格式</abilityName>
      <candidateList>
        <item>79.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1BC4D9C7</paraID>
      <start>0</start>
      <end>3</end>
      <status>unmodified</status>
      <modifiedWord/>
      <trackRevisions>false</trackRevisions>
    </reviewItem>
    <reviewItem>
      <errorID>952e886e-bc0c-4445-9b22-29919a48b0f7</errorID>
      <errorWord>80、</errorWord>
      <group>L1_Format</group>
      <groupName>格式问题</groupName>
      <ability>L2_Ordinal</ability>
      <abilityName>序号格式</abilityName>
      <candidateList>
        <item>80.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72CBA686</paraID>
      <start>0</start>
      <end>3</end>
      <status>unmodified</status>
      <modifiedWord/>
      <trackRevisions>false</trackRevisions>
    </reviewItem>
    <reviewItem>
      <errorID>3e45dbe8-de40-4cb1-841f-3acbedf8425d</errorID>
      <errorWord>81、</errorWord>
      <group>L1_Format</group>
      <groupName>格式问题</groupName>
      <ability>L2_Ordinal</ability>
      <abilityName>序号格式</abilityName>
      <candidateList>
        <item>81.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3B3E84FC</paraID>
      <start>0</start>
      <end>3</end>
      <status>unmodified</status>
      <modifiedWord/>
      <trackRevisions>false</trackRevisions>
    </reviewItem>
    <reviewItem>
      <errorID>92e0d3a9-3623-4ff6-a06f-90ac9fad5af4</errorID>
      <errorWord>82、</errorWord>
      <group>L1_Format</group>
      <groupName>格式问题</groupName>
      <ability>L2_Ordinal</ability>
      <abilityName>序号格式</abilityName>
      <candidateList>
        <item>82.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5256D57A</paraID>
      <start>0</start>
      <end>3</end>
      <status>unmodified</status>
      <modifiedWord/>
      <trackRevisions>false</trackRevisions>
    </reviewItem>
    <reviewItem>
      <errorID>59a869d8-9130-4683-bb11-b5a22472d396</errorID>
      <errorWord>83、</errorWord>
      <group>L1_Format</group>
      <groupName>格式问题</groupName>
      <ability>L2_Ordinal</ability>
      <abilityName>序号格式</abilityName>
      <candidateList>
        <item>83.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6120B98B</paraID>
      <start>0</start>
      <end>3</end>
      <status>unmodified</status>
      <modifiedWord/>
      <trackRevisions>false</trackRevisions>
    </reviewItem>
    <reviewItem>
      <errorID>c06d0f2d-51a3-4ce9-94c3-cbf21e463266</errorID>
      <errorWord>84、</errorWord>
      <group>L1_Format</group>
      <groupName>格式问题</groupName>
      <ability>L2_Ordinal</ability>
      <abilityName>序号格式</abilityName>
      <candidateList>
        <item>84.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7730DDEF</paraID>
      <start>0</start>
      <end>3</end>
      <status>unmodified</status>
      <modifiedWord/>
      <trackRevisions>false</trackRevisions>
    </reviewItem>
    <reviewItem>
      <errorID>2b1caf79-5444-475a-ae12-00201f46c603</errorID>
      <errorWord>85、</errorWord>
      <group>L1_Format</group>
      <groupName>格式问题</groupName>
      <ability>L2_Ordinal</ability>
      <abilityName>序号格式</abilityName>
      <candidateList>
        <item>85.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1BE480EC</paraID>
      <start>0</start>
      <end>3</end>
      <status>unmodified</status>
      <modifiedWord/>
      <trackRevisions>false</trackRevisions>
    </reviewItem>
    <reviewItem>
      <errorID>ab32b0e9-1def-4890-9a56-25e12cf76731</errorID>
      <errorWord>86、</errorWord>
      <group>L1_Format</group>
      <groupName>格式问题</groupName>
      <ability>L2_Ordinal</ability>
      <abilityName>序号格式</abilityName>
      <candidateList>
        <item>86.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65DD876D</paraID>
      <start>0</start>
      <end>3</end>
      <status>unmodified</status>
      <modifiedWord/>
      <trackRevisions>false</trackRevisions>
    </reviewItem>
    <reviewItem>
      <errorID>f28c38ed-0e48-46ae-8403-3f627a19a877</errorID>
      <errorWord>87、</errorWord>
      <group>L1_Format</group>
      <groupName>格式问题</groupName>
      <ability>L2_Ordinal</ability>
      <abilityName>序号格式</abilityName>
      <candidateList>
        <item>87.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421B6D18</paraID>
      <start>0</start>
      <end>3</end>
      <status>unmodified</status>
      <modifiedWord/>
      <trackRevisions>false</trackRevisions>
    </reviewItem>
    <reviewItem>
      <errorID>3a427824-7ba8-4e03-b60d-b7dce67e3b9d</errorID>
      <errorWord>88、</errorWord>
      <group>L1_Format</group>
      <groupName>格式问题</groupName>
      <ability>L2_Ordinal</ability>
      <abilityName>序号格式</abilityName>
      <candidateList>
        <item>88.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236020D8</paraID>
      <start>0</start>
      <end>3</end>
      <status>unmodified</status>
      <modifiedWord/>
      <trackRevisions>false</trackRevisions>
    </reviewItem>
    <reviewItem>
      <errorID>2fcab1a2-75c5-4fc6-a8b4-56250ae2e9cf</errorID>
      <errorWord>89、</errorWord>
      <group>L1_Format</group>
      <groupName>格式问题</groupName>
      <ability>L2_Ordinal</ability>
      <abilityName>序号格式</abilityName>
      <candidateList>
        <item>89.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193D6F40</paraID>
      <start>0</start>
      <end>3</end>
      <status>unmodified</status>
      <modifiedWord/>
      <trackRevisions>false</trackRevisions>
    </reviewItem>
    <reviewItem>
      <errorID>6362645d-695d-4a5e-9db8-bd38f0e4f052</errorID>
      <errorWord>90、</errorWord>
      <group>L1_Format</group>
      <groupName>格式问题</groupName>
      <ability>L2_Ordinal</ability>
      <abilityName>序号格式</abilityName>
      <candidateList>
        <item>90.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23CF20C6</paraID>
      <start>0</start>
      <end>3</end>
      <status>unmodified</status>
      <modifiedWord/>
      <trackRevisions>false</trackRevisions>
    </reviewItem>
    <reviewItem>
      <errorID>3c66aea4-2653-495d-8f6e-42fde11a1514</errorID>
      <errorWord>91、</errorWord>
      <group>L1_Format</group>
      <groupName>格式问题</groupName>
      <ability>L2_Ordinal</ability>
      <abilityName>序号格式</abilityName>
      <candidateList>
        <item>91.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4370AC84</paraID>
      <start>0</start>
      <end>3</end>
      <status>unmodified</status>
      <modifiedWord/>
      <trackRevisions>false</trackRevisions>
    </reviewItem>
    <reviewItem>
      <errorID>b0b3d51b-87f3-4c14-93cd-a3c00ff05e9d</errorID>
      <errorWord>92、</errorWord>
      <group>L1_Format</group>
      <groupName>格式问题</groupName>
      <ability>L2_Ordinal</ability>
      <abilityName>序号格式</abilityName>
      <candidateList>
        <item>92.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29B4C35F</paraID>
      <start>0</start>
      <end>3</end>
      <status>unmodified</status>
      <modifiedWord/>
      <trackRevisions>false</trackRevisions>
    </reviewItem>
    <reviewItem>
      <errorID>03b2366c-56fc-4935-9ed8-e57be541d494</errorID>
      <errorWord>93、</errorWord>
      <group>L1_Format</group>
      <groupName>格式问题</groupName>
      <ability>L2_Ordinal</ability>
      <abilityName>序号格式</abilityName>
      <candidateList>
        <item>93.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6D8A106A</paraID>
      <start>0</start>
      <end>3</end>
      <status>unmodified</status>
      <modifiedWord/>
      <trackRevisions>false</trackRevisions>
    </reviewItem>
    <reviewItem>
      <errorID>5f3487a5-698c-49e5-b692-49c0b10b0f8a</errorID>
      <errorWord>94、</errorWord>
      <group>L1_Format</group>
      <groupName>格式问题</groupName>
      <ability>L2_Ordinal</ability>
      <abilityName>序号格式</abilityName>
      <candidateList>
        <item>94.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47A814C0</paraID>
      <start>0</start>
      <end>3</end>
      <status>unmodified</status>
      <modifiedWord/>
      <trackRevisions>false</trackRevisions>
    </reviewItem>
    <reviewItem>
      <errorID>3772d312-366f-4c1c-80b6-d1a0bbd77a54</errorID>
      <errorWord>95、</errorWord>
      <group>L1_Format</group>
      <groupName>格式问题</groupName>
      <ability>L2_Ordinal</ability>
      <abilityName>序号格式</abilityName>
      <candidateList>
        <item>95.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A768320</paraID>
      <start>0</start>
      <end>3</end>
      <status>unmodified</status>
      <modifiedWord/>
      <trackRevisions>false</trackRevisions>
    </reviewItem>
    <reviewItem>
      <errorID>b2a1376b-f55b-4807-af20-dd7daeb1a8c2</errorID>
      <errorWord>96、</errorWord>
      <group>L1_Format</group>
      <groupName>格式问题</groupName>
      <ability>L2_Ordinal</ability>
      <abilityName>序号格式</abilityName>
      <candidateList>
        <item>96.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313DCEB7</paraID>
      <start>0</start>
      <end>3</end>
      <status>unmodified</status>
      <modifiedWord/>
      <trackRevisions>false</trackRevisions>
    </reviewItem>
    <reviewItem>
      <errorID>4c1986f8-bc4e-404e-803b-0b2f1ef59df4</errorID>
      <errorWord>97、</errorWord>
      <group>L1_Format</group>
      <groupName>格式问题</groupName>
      <ability>L2_Ordinal</ability>
      <abilityName>序号格式</abilityName>
      <candidateList>
        <item>97.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3E765339</paraID>
      <start>0</start>
      <end>3</end>
      <status>unmodified</status>
      <modifiedWord/>
      <trackRevisions>false</trackRevisions>
    </reviewItem>
    <reviewItem>
      <errorID>5bdaf0e0-5119-4828-915f-dfb3012d0fb2</errorID>
      <errorWord>98、</errorWord>
      <group>L1_Format</group>
      <groupName>格式问题</groupName>
      <ability>L2_Ordinal</ability>
      <abilityName>序号格式</abilityName>
      <candidateList>
        <item>98.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2FEF00E9</paraID>
      <start>0</start>
      <end>3</end>
      <status>unmodified</status>
      <modifiedWord/>
      <trackRevisions>false</trackRevisions>
    </reviewItem>
    <reviewItem>
      <errorID>2cbf8500-8575-4632-b823-8191ccd8a871</errorID>
      <errorWord>99、</errorWord>
      <group>L1_Format</group>
      <groupName>格式问题</groupName>
      <ability>L2_Ordinal</ability>
      <abilityName>序号格式</abilityName>
      <candidateList>
        <item>99.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6B5EB75D</paraID>
      <start>0</start>
      <end>3</end>
      <status>unmodified</status>
      <modifiedWord/>
      <trackRevisions>false</trackRevisions>
    </reviewItem>
    <reviewItem>
      <errorID>dc74f708-9b1f-4c28-95bd-3df51fabaea3</errorID>
      <errorWord>五挡</errorWord>
      <group>L1_Word</group>
      <groupName>字词问题</groupName>
      <ability>L2_Typo</ability>
      <abilityName>字词错误</abilityName>
      <candidateList>
        <item>五档</item>
      </candidateList>
      <explain>存在发音相同字词的误用。</explain>
      <paraID>4BAA54DB</paraID>
      <start>63</start>
      <end>65</end>
      <status>unmodified</status>
      <modifiedWord/>
      <trackRevisions>false</trackRevisions>
    </reviewItem>
    <reviewItem>
      <errorID>808f4642-1378-42b2-b5cc-2575d550e580</errorID>
      <errorWord>监测</errorWord>
      <group>L1_Sensitive</group>
      <groupName>敏感问题</groupName>
      <ability>L2_UserSensitive</ability>
      <abilityName>自定义敏感词</abilityName>
      <candidateList/>
      <explain>来自自定义敏感词库。</explain>
      <paraID>34A0E962</paraID>
      <start>11</start>
      <end>13</end>
      <status>unmodified</status>
      <modifiedWord/>
      <trackRevisions>false</trackRevisions>
    </reviewItem>
    <reviewItem>
      <errorID>6a6c0a00-f3ef-48c8-90d9-1468e92b6e05</errorID>
      <errorWord>时</errorWord>
      <group>L1_Word</group>
      <groupName>字词问题</groupName>
      <ability>L2_Typo</ability>
      <abilityName>字词错误</abilityName>
      <candidateList>
        <item>时间</item>
      </candidateList>
      <explain>〈名〉❶物质动动中的一种存在方式，由过去、现在、将来构成的连绵不断的系统。是物质的运动、变化的持续性、顺序性的表现。❷有起点和终点的一段时间：地球自转一周的～是二十四小时｜盖这么一所房子要多少～？❸时间里的某一点：现在的～是三点十五分。</explain>
      <paraID>480A1D8F</paraID>
      <start>9</start>
      <end>10</end>
      <status>unmodified</status>
      <modifiedWord/>
      <trackRevisions>false</trackRevisions>
    </reviewItem>
    <reviewItem>
      <errorID>ae3a1978-3611-43e2-a9aa-85478dc56dad</errorID>
      <errorWord>~</errorWord>
      <group>L1_Format</group>
      <groupName>格式问题</groupName>
      <ability>L2_HalfPunc_CN</ability>
      <abilityName/>
      <candidateList>
        <item>～</item>
      </candidateList>
      <explain>文本全半角错误。</explain>
      <paraID>40525A84</paraID>
      <start>11</start>
      <end>12</end>
      <status>unmodified</status>
      <modifiedWord/>
      <trackRevisions>false</trackRevisions>
    </reviewItem>
    <reviewItem>
      <errorID>b0c7e441-1428-4722-89e1-3a911a910d09</errorID>
      <errorWord>外挂</errorWord>
      <group>L1_Sensitive</group>
      <groupName>敏感问题</groupName>
      <ability>L2_Prohibited</ability>
      <abilityName>违禁内容</abilityName>
      <candidateList/>
      <explain>【违禁内容】句中涉及国家法律明令禁止的违禁内容，请注意甄别。</explain>
      <paraID>744542BA</paraID>
      <start>19</start>
      <end>21</end>
      <status>unmodified</status>
      <modifiedWord/>
      <trackRevisions>false</trackRevisions>
    </reviewItem>
    <reviewItem>
      <errorID>82011e30-f939-4dbc-9020-6741b7d7818e</errorID>
      <errorWord>Bambu</errorWord>
      <group>L1_English</group>
      <groupName>英文问题</groupName>
      <ability>L2_Spell</ability>
      <abilityName>拼写问题</abilityName>
      <candidateList>
        <item>Bamboo</item>
      </candidateList>
      <explain>疑似单词拼写有误，建议将Bambu修改为Bamboo</explain>
      <paraID>54808279</paraID>
      <start>6</start>
      <end>11</end>
      <status>unmodified</status>
      <modifiedWord/>
      <trackRevisions>false</trackRevisions>
    </reviewItem>
    <reviewItem>
      <errorID>f0d208d2-c3bd-4ed3-8d37-b514b4e9d6aa</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50C8AF0F</paraID>
      <start>11</start>
      <end>12</end>
      <status>unmodified</status>
      <modifiedWord/>
      <trackRevisions>false</trackRevisions>
    </reviewItem>
    <reviewItem>
      <errorID>786dd305-61dd-4476-9c9d-95c5d34af327</errorID>
      <errorWord>成相机</errorWord>
      <group>L1_Word</group>
      <groupName>字词问题</groupName>
      <ability>L2_Typo</ability>
      <abilityName>字词错误</abilityName>
      <candidateList>
        <item>成像机</item>
      </candidateList>
      <explain/>
      <paraID>46D06ABE</paraID>
      <start>9</start>
      <end>12</end>
      <status>unmodified</status>
      <modifiedWord/>
      <trackRevisions>false</trackRevisions>
    </reviewItem>
    <reviewItem>
      <errorID>479cdba1-0ed8-4b73-8ebf-216805d66006</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672A4BA4</paraID>
      <start>122</start>
      <end>123</end>
      <status>unmodified</status>
      <modifiedWord/>
      <trackRevisions>false</trackRevisions>
    </reviewItem>
    <reviewItem>
      <errorID>b9e3f15d-870b-4660-91d5-9548809f11a7</errorID>
      <errorWord>期</errorWord>
      <group>L1_Word</group>
      <groupName>字词问题</groupName>
      <ability>L2_Typo</ability>
      <abilityName>字词错误</abilityName>
      <candidateList>
        <item>期限</item>
      </candidateList>
      <explain/>
      <paraID>5C98F1A9</paraID>
      <start>6</start>
      <end>7</end>
      <status>unmodified</status>
      <modifiedWord/>
      <trackRevisions>false</trackRevisions>
    </reviewItem>
    <reviewItem>
      <errorID>ebe9e53a-8bc3-41af-8644-daf95dfddbaf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7EC9CC78</paraID>
      <start>0</start>
      <end>2</end>
      <status>unmodified</status>
      <modifiedWord/>
      <trackRevisions>false</trackRevisions>
    </reviewItem>
    <reviewItem>
      <errorID>ad0ef0b9-d347-4d3e-8ced-ae765a7a7716</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62A1D88A</paraID>
      <start>0</start>
      <end>2</end>
      <status>unmodified</status>
      <modifiedWord/>
      <trackRevisions>false</trackRevisions>
    </reviewItem>
    <reviewItem>
      <errorID>041f985b-fb78-4c0a-a8d8-aabc9719e420</errorID>
      <errorWord>问题所</errorWord>
      <group>L1_Word</group>
      <groupName>字词问题</groupName>
      <ability>L2_Typo</ability>
      <abilityName>字词错误</abilityName>
      <candidateList>
        <item>问题</item>
      </candidateList>
      <explain>〈名〉❶要求回答或解释的题目：这次考试一共有五个～｜我想答复一下这一类的～。❷须要研究讨论并加以解决的矛盾、疑难：思想～｜这种药治感冒很解决～。❸关键；重要之点：重要的～在善于学习。❹事故或麻烦：那部车床又出～了。</explain>
      <paraID>62A1D88A</paraID>
      <start>21</start>
      <end>24</end>
      <status>unmodified</status>
      <modifiedWord/>
      <trackRevisions>false</trackRevisions>
    </reviewItem>
    <reviewItem>
      <errorID>de91df27-2bc8-418f-8767-46b6355c36fa</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195B9A67</paraID>
      <start>0</start>
      <end>2</end>
      <status>unmodified</status>
      <modifiedWord/>
      <trackRevisions>false</trackRevisions>
    </reviewItem>
    <reviewItem>
      <errorID>1abd22e9-770d-4b8c-8860-e484018400af</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39A7231C</paraID>
      <start>0</start>
      <end>2</end>
      <status>unmodified</status>
      <modifiedWord/>
      <trackRevisions>false</trackRevisions>
    </reviewItem>
    <reviewItem>
      <errorID>d0b7e757-df10-473b-97c9-87085eea92b9</errorID>
      <errorWord>既</errorWord>
      <group>L1_Word</group>
      <groupName>字词问题</groupName>
      <ability>L2_Typo</ability>
      <abilityName>字词错误</abilityName>
      <candidateList>
        <item>即</item>
      </candidateList>
      <explain>〈书〉❶就是：荷花～莲花｜非此～彼。❷〈副〉就；便：一触～发｜招之～来｜闻过～改。❸〈连〉即使：～无他方之支援，也能按期完成任务。参看733页“就2”。</explain>
      <paraID>6561C70B</paraID>
      <start>92</start>
      <end>93</end>
      <status>unmodified</status>
      <modifiedWord/>
      <trackRevisions>false</trackRevisions>
    </reviewItem>
    <reviewItem>
      <errorID>8914df77-58db-4aaf-98e8-858689cc4044</errorID>
      <errorWord>我</errorWord>
      <group>L1_Word</group>
      <groupName>字词问题</groupName>
      <ability>L2_Typo</ability>
      <abilityName>字词错误</abilityName>
      <candidateList>
        <item>方</item>
      </candidateList>
      <explain/>
      <paraID>6561C70B</paraID>
      <start>97</start>
      <end>98</end>
      <status>unmodified</status>
      <modifiedWord/>
      <trackRevisions>false</trackRevisions>
    </reviewItem>
    <reviewItem>
      <errorID>262212a1-bdc4-4ec7-88c0-84b3e709fe3c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1691CB78</paraID>
      <start>0</start>
      <end>2</end>
      <status>unmodified</status>
      <modifiedWord/>
      <trackRevisions>false</trackRevisions>
    </reviewItem>
    <reviewItem>
      <errorID>0bb7ee89-74be-4bc2-8dcb-e80d36face5b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338F633C</paraID>
      <start>0</start>
      <end>2</end>
      <status>unmodified</status>
      <modifiedWord/>
      <trackRevisions>false</trackRevisions>
    </reviewItem>
    <reviewItem>
      <errorID>3b7b96bc-ca25-4edf-b078-0b723f408543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49DD5B8F</paraID>
      <start>0</start>
      <end>2</end>
      <status>unmodified</status>
      <modifiedWord/>
      <trackRevisions>false</trackRevisions>
    </reviewItem>
    <reviewItem>
      <errorID>0e5a5083-c097-4e2e-9762-c3a1f66e18ce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9D25C63</paraID>
      <start>0</start>
      <end>2</end>
      <status>unmodified</status>
      <modifiedWord/>
      <trackRevisions>false</trackRevisions>
    </reviewItem>
    <reviewItem>
      <errorID>ac1ad451-2c94-4303-8815-f4a3969169a3</errorID>
      <errorWord>做</errorWord>
      <group>L1_Word</group>
      <groupName>字词问题</groupName>
      <ability>L2_Typo</ability>
      <abilityName>字词错误</abilityName>
      <candidateList>
        <item>作</item>
      </candidateList>
      <explain>存在发音相同字词的误用。</explain>
      <paraID> 9D25C63</paraID>
      <start>91</start>
      <end>92</end>
      <status>unmodified</status>
      <modifiedWord/>
      <trackRevisions>false</trackRevisions>
    </reviewItem>
    <reviewItem>
      <errorID>5dbc0bc5-45f3-4cb9-b702-532abb1d61ed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7D3F25A2</paraID>
      <start>0</start>
      <end>2</end>
      <status>unmodified</status>
      <modifiedWord/>
      <trackRevisions>false</trackRevisions>
    </reviewItem>
    <reviewItem>
      <errorID>cc884956-c2e1-46e3-85f5-03faf1be9597</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501A15C3</paraID>
      <start>0</start>
      <end>2</end>
      <status>unmodified</status>
      <modifiedWord/>
      <trackRevisions>false</trackRevisions>
    </reviewItem>
    <reviewItem>
      <errorID>94bc104b-a932-432e-8f50-a16269e1a3bb</errorID>
      <errorWord>法律、法规</errorWord>
      <group>L1_Word</group>
      <groupName>字词问题</groupName>
      <ability>L2_Typo</ability>
      <abilityName>字词错误</abilityName>
      <candidateList>
        <item>法律法规</item>
      </candidateList>
      <explain/>
      <paraID>501A15C3</paraID>
      <start>6</start>
      <end>11</end>
      <status>unmodified</status>
      <modifiedWord/>
      <trackRevisions>false</trackRevisions>
    </reviewItem>
    <reviewItem>
      <errorID>7504e087-a101-484e-9ee8-b0e78d4a5cd0</errorID>
      <errorWord>可选</errorWord>
      <group>L1_Sensitive</group>
      <groupName>敏感问题</groupName>
      <ability>L2_UserSensitive</ability>
      <abilityName>自定义敏感词</abilityName>
      <candidateList/>
      <explain>来自自定义敏感词库。</explain>
      <paraID>6E47EEBD</paraID>
      <start>35</start>
      <end>37</end>
      <status>unmodified</status>
      <modifiedWord/>
      <trackRevisions>false</trackRevisions>
    </reviewItem>
    <reviewItem>
      <errorID>1ab04721-9b21-420b-a76f-ef7c7b6e8539</errorID>
      <errorWord>中国</errorWord>
      <group>L1_Sensitive</group>
      <groupName>敏感问题</groupName>
      <ability>L2_UserSensitive</ability>
      <abilityName>自定义敏感词</abilityName>
      <candidateList/>
      <explain>来自自定义敏感词库。</explain>
      <paraID>6E47EEBD</paraID>
      <start>67</start>
      <end>69</end>
      <status>unmodified</status>
      <modifiedWord/>
      <trackRevisions>false</trackRevisions>
    </reviewItem>
    <reviewItem>
      <errorID>2143275f-404f-4be8-82b3-ff704f4cf0d9</errorID>
      <errorWord>中国</errorWord>
      <group>L1_Sensitive</group>
      <groupName>敏感问题</groupName>
      <ability>L2_UserSensitive</ability>
      <abilityName>自定义敏感词</abilityName>
      <candidateList/>
      <explain>来自自定义敏感词库。</explain>
      <paraID>6E47EEBD</paraID>
      <start>77</start>
      <end>79</end>
      <status>unmodified</status>
      <modifiedWord/>
      <trackRevisions>false</trackRevisions>
    </reviewItem>
    <reviewItem>
      <errorID>5ecf6b5b-1814-408b-aec9-743e2e8dfd61</errorID>
      <errorWord>中国</errorWord>
      <group>L1_Sensitive</group>
      <groupName>敏感问题</groupName>
      <ability>L2_UserSensitive</ability>
      <abilityName>自定义敏感词</abilityName>
      <candidateList/>
      <explain>来自自定义敏感词库。</explain>
      <paraID>47381E34</paraID>
      <start>22</start>
      <end>24</end>
      <status>unmodified</status>
      <modifiedWord/>
      <trackRevisions>false</trackRevisions>
    </reviewItem>
    <reviewItem>
      <errorID>8e8f2141-292a-409a-a474-71e0037f4e01</errorID>
      <errorWord>中国</errorWord>
      <group>L1_Sensitive</group>
      <groupName>敏感问题</groupName>
      <ability>L2_UserSensitive</ability>
      <abilityName>自定义敏感词</abilityName>
      <candidateList/>
      <explain>来自自定义敏感词库。</explain>
      <paraID>47381E34</paraID>
      <start>32</start>
      <end>34</end>
      <status>unmodified</status>
      <modifiedWord/>
      <trackRevisions>false</trackRevisions>
    </reviewItem>
    <reviewItem>
      <errorID>1c95663b-c2d9-4689-9513-48e63a91a7d3</errorID>
      <errorWord>（</errorWord>
      <group>L1_Punc</group>
      <groupName>标点问题</groupName>
      <ability>L2_Punc_CN</ability>
      <abilityName/>
      <candidateList/>
      <explain>此处标点可能未正确匹配，请检查句子中是否存在标点冗余、缺失或使用错误的情况。</explain>
      <paraID> 2B73FAF</paraID>
      <start>25</start>
      <end>26</end>
      <status>unmodified</status>
      <modifiedWord/>
      <trackRevisions>false</trackRevisions>
    </reviewItem>
    <reviewItem>
      <errorID>8bc0c67b-8f84-46d7-bcb5-44a95537812d</errorID>
      <errorWord>(</errorWord>
      <group>L1_Format</group>
      <groupName>格式问题</groupName>
      <ability>L2_HalfPunc_CN</ability>
      <abilityName/>
      <candidateList>
        <item>（</item>
      </candidateList>
      <explain>文本全半角错误。</explain>
      <paraID>1A954535</paraID>
      <start>11</start>
      <end>12</end>
      <status>unmodified</status>
      <modifiedWord/>
      <trackRevisions>false</trackRevisions>
    </reviewItem>
    <reviewItem>
      <errorID>4baf8d16-3792-417b-bb44-ba0a2370397d</errorID>
      <errorWord>)</errorWord>
      <group>L1_Format</group>
      <groupName>格式问题</groupName>
      <ability>L2_HalfPunc_CN</ability>
      <abilityName/>
      <candidateList>
        <item>）</item>
      </candidateList>
      <explain>文本全半角错误。</explain>
      <paraID>1A954535</paraID>
      <start>22</start>
      <end>23</end>
      <status>unmodified</status>
      <modifiedWord/>
      <trackRevisions>false</trackRevisions>
    </reviewItem>
    <reviewItem>
      <errorID>fa5c455b-fe9f-4327-a9fb-119acfa1c0a1</errorID>
      <errorWord>(</errorWord>
      <group>L1_Punc</group>
      <groupName>标点问题</groupName>
      <ability>L2_Punc_CN</ability>
      <abilityName/>
      <candidateList/>
      <explain>此处标点可能未正确匹配，请检查句子中是否存在标点冗余、缺失或使用错误的情况。</explain>
      <paraID>39760243</paraID>
      <start>8</start>
      <end>9</end>
      <status>unmodified</status>
      <modifiedWord/>
      <trackRevisions>false</trackRevisions>
    </reviewItem>
    <reviewItem>
      <errorID>0ccc7de1-1199-493b-aa20-f8bb51b8062a</errorID>
      <errorWord>（</errorWord>
      <group>L1_Punc</group>
      <groupName>标点问题</groupName>
      <ability>L2_Punc_CN</ability>
      <abilityName/>
      <candidateList/>
      <explain>此处标点可能未正确匹配，请检查句子中是否存在标点冗余、缺失或使用错误的情况。</explain>
      <paraID>4F63420D</paraID>
      <start>71</start>
      <end>72</end>
      <status>unmodified</status>
      <modifiedWord/>
      <trackRevisions>false</trackRevisions>
    </reviewItem>
    <reviewItem>
      <errorID>ccd36587-071a-43b4-9e1c-538a95721421</errorID>
      <errorWord>(</errorWord>
      <group>L1_Format</group>
      <groupName>格式问题</groupName>
      <ability>L2_HalfPunc_CN</ability>
      <abilityName/>
      <candidateList>
        <item>（</item>
      </candidateList>
      <explain>文本全半角错误。</explain>
      <paraID>5C87C07A</paraID>
      <start>8</start>
      <end>9</end>
      <status>unmodified</status>
      <modifiedWord/>
      <trackRevisions>false</trackRevisions>
    </reviewItem>
    <reviewItem>
      <errorID>4e9a2a17-04a6-4b9d-894a-10b01561a237</errorID>
      <errorWord>)</errorWord>
      <group>L1_Format</group>
      <groupName>格式问题</groupName>
      <ability>L2_HalfPunc_CN</ability>
      <abilityName/>
      <candidateList>
        <item>）</item>
      </candidateList>
      <explain>文本全半角错误。</explain>
      <paraID>5C87C07A</paraID>
      <start>19</start>
      <end>20</end>
      <status>unmodified</status>
      <modifiedWord/>
      <trackRevisions>false</trackRevisions>
    </reviewItem>
    <reviewItem>
      <errorID>6c3fafb2-aa7c-428a-b03d-f4c197b5e89f</errorID>
      <errorWord>监控</errorWord>
      <group>L1_Sensitive</group>
      <groupName>敏感问题</groupName>
      <ability>L2_UserSensitive</ability>
      <abilityName>自定义敏感词</abilityName>
      <candidateList/>
      <explain>来自自定义敏感词库。</explain>
      <paraID>754700B0</paraID>
      <start>11</start>
      <end>13</end>
      <status>unmodified</status>
      <modifiedWord/>
      <trackRevisions>false</trackRevisions>
    </reviewItem>
    <reviewItem>
      <errorID>633af389-e2f9-4a7b-8f5a-158c2f761ea1</errorID>
      <errorWord>[2011]300号</errorWord>
      <group>L1_Knowledge</group>
      <groupName>知识性问题</groupName>
      <ability>L2_Knowledge</ability>
      <abilityName>其他知识</abilityName>
      <candidateList>
        <item>〔2011〕300号</item>
      </candidateList>
      <explain>发文字号格式错误。</explain>
      <paraID>2D3B0896</paraID>
      <start>35</start>
      <end>45</end>
      <status>unmodified</status>
      <modifiedWord/>
      <trackRevisions>false</trackRevisions>
    </reviewItem>
    <reviewItem>
      <errorID>d32b41d4-3089-430c-96f7-796cc4b7bc99</errorID>
      <errorWord>须</errorWord>
      <group>L1_Word</group>
      <groupName>字词问题</groupName>
      <ability>L2_Typo</ability>
      <abilityName>字词错误</abilityName>
      <candidateList>
        <item>需</item>
      </candidateList>
      <explain>存在发音相同字词的误用。</explain>
      <paraID>2D3B0896</paraID>
      <start>82</start>
      <end>83</end>
      <status>unmodified</status>
      <modifiedWord/>
      <trackRevisions>false</trackRevisions>
    </reviewItem>
    <reviewItem>
      <errorID>214f73d1-9356-4762-9c9b-879dae184f64</errorID>
      <errorWord>：。</errorWord>
      <group>L1_Punc</group>
      <groupName>标点问题</groupName>
      <ability>L2_Punc_CN</ability>
      <abilityName/>
      <candidateList>
        <item>：</item>
      </candidateList>
      <explain/>
      <paraID> 78A7F65</paraID>
      <start>4</start>
      <end>6</end>
      <status>unmodified</status>
      <modifiedWord/>
      <trackRevisions>false</trackRevisions>
    </reviewItem>
    <reviewItem>
      <errorID>a7f54359-105c-460e-8c6e-db39f3d59a2c</errorID>
      <errorWord>：。</errorWord>
      <group>L1_Punc</group>
      <groupName>标点问题</groupName>
      <ability>L2_Punc_CN</ability>
      <abilityName/>
      <candidateList>
        <item>：</item>
      </candidateList>
      <explain/>
      <paraID>35055DD7</paraID>
      <start>8</start>
      <end>10</end>
      <status>unmodified</status>
      <modifiedWord/>
      <trackRevisions>false</trackRevisions>
    </reviewItem>
    <reviewItem>
      <errorID>a67ed642-304a-4094-9628-822c22260e32</errorID>
      <errorWord>）</errorWord>
      <group>L1_Punc</group>
      <groupName>标点问题</groupName>
      <ability>L2_Punc_CN</ability>
      <abilityName/>
      <candidateList/>
      <explain>此处标点可能未正确匹配，请检查句子中是否存在标点冗余、缺失或使用错误的情况。</explain>
      <paraID>61DC2816</paraID>
      <start>138</start>
      <end>139</end>
      <status>unmodified</status>
      <modifiedWord/>
      <trackRevisions>false</trackRevisions>
    </reviewItem>
    <reviewItem>
      <errorID>9c225ec3-bd38-4b45-a91d-70f5e2196805</errorID>
      <errorWord>]</errorWord>
      <group>L1_Punc</group>
      <groupName>标点问题</groupName>
      <ability>L2_Punc_CN</ability>
      <abilityName/>
      <candidateList/>
      <explain>此处标点可能未正确匹配，请检查句子中是否存在标点冗余、缺失或使用错误的情况。</explain>
      <paraID>758B70F5</paraID>
      <start>180</start>
      <end>181</end>
      <status>unmodified</status>
      <modifiedWord/>
      <trackRevisions>false</trackRevisions>
    </reviewItem>
    <reviewItem>
      <errorID>e31312eb-a6bb-4888-a83c-a9ccf10914f8</errorID>
      <errorWord>下</errorWord>
      <group>L1_Word</group>
      <groupName>字词问题</groupName>
      <ability>L2_Typo</ability>
      <abilityName>字词错误</abilityName>
      <candidateList>
        <item>下简</item>
      </candidateList>
      <explain/>
      <paraID>241B144F</paraID>
      <start>119</start>
      <end>120</end>
      <status>unmodified</status>
      <modifiedWord/>
      <trackRevisions>false</trackRevisions>
    </reviewItem>
    <reviewItem>
      <errorID>f367dd90-3a7c-4fe4-9a1c-af4d8d34e00c</errorID>
      <errorWord>下</errorWord>
      <group>L1_Word</group>
      <groupName>字词问题</groupName>
      <ability>L2_Typo</ability>
      <abilityName>字词错误</abilityName>
      <candidateList>
        <item>下简</item>
      </candidateList>
      <explain/>
      <paraID>241B144F</paraID>
      <start>168</start>
      <end>169</end>
      <status>unmodified</status>
      <modifiedWord/>
      <trackRevisions>false</trackRevisions>
    </reviewItem>
    <reviewItem>
      <errorID>2d166780-ffc3-4ffe-b211-51a1c2454486</errorID>
      <errorWord>)</errorWord>
      <group>L1_Format</group>
      <groupName>格式问题</groupName>
      <ability>L2_HalfPunc_CN</ability>
      <abilityName/>
      <candidateList>
        <item>）</item>
      </candidateList>
      <explain>文本全半角错误。</explain>
      <paraID>241B144F</paraID>
      <start>217</start>
      <end>218</end>
      <status>unmodified</status>
      <modifiedWord/>
      <trackRevisions>false</trackRevisions>
    </reviewItem>
    <reviewItem>
      <errorID>e68c0e23-52f9-4e78-96e0-695fef6814f1</errorID>
      <errorWord>、</errorWord>
      <group>L1_Word</group>
      <groupName>字词问题</groupName>
      <ability>L2_Typo</ability>
      <abilityName>字词错误</abilityName>
      <candidateList>
        <item>、小</item>
      </candidateList>
      <explain/>
      <paraID> 49CE456</paraID>
      <start>38</start>
      <end>39</end>
      <status>unmodified</status>
      <modifiedWord/>
      <trackRevisions>false</trackRevisions>
    </reviewItem>
    <reviewItem>
      <errorID>53f4d25c-8621-4c43-a2a2-f23575368df3</errorID>
      <errorWord>项项</errorWord>
      <group>L1_Word</group>
      <groupName>字词问题</groupName>
      <ability>L2_Typo</ability>
      <abilityName>字词错误</abilityName>
      <candidateList>
        <item>项</item>
      </candidateList>
      <explain/>
      <paraID>61188C93</paraID>
      <start>13</start>
      <end>15</end>
      <status>unmodified</status>
      <modifiedWord/>
      <trackRevisions>false</trackRevisions>
    </reviewItem>
    <reviewItem>
      <errorID>5f0bedf5-ed0e-4130-b75f-2ba7eaacf7fc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2ED08511</paraID>
      <start>0</start>
      <end>2</end>
      <status>unmodified</status>
      <modifiedWord/>
      <trackRevisions>false</trackRevisions>
    </reviewItem>
    <reviewItem>
      <errorID>ef137fb5-e15e-4b26-aab7-6fce7b380b70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27C191D0</paraID>
      <start>0</start>
      <end>2</end>
      <status>unmodified</status>
      <modifiedWord/>
      <trackRevisions>false</trackRevisions>
    </reviewItem>
    <reviewItem>
      <errorID>f2380c28-9e93-49c7-900f-dace866035b9</errorID>
      <errorWord>[2002] 1980号</errorWord>
      <group>L1_Knowledge</group>
      <groupName>知识性问题</groupName>
      <ability>L2_Knowledge</ability>
      <abilityName>其他知识</abilityName>
      <candidateList>
        <item>〔2002〕1980号</item>
      </candidateList>
      <explain>发文字号格式错误。</explain>
      <paraID>729FD158</paraID>
      <start>101</start>
      <end>113</end>
      <status>unmodified</status>
      <modifiedWord/>
      <trackRevisions>false</trackRevisions>
    </reviewItem>
    <reviewItem>
      <errorID>104aeb1f-32d2-48c9-ba6a-b89320bd226c</errorID>
      <errorWord>国家发改委</errorWord>
      <group>L1_Knowledge</group>
      <groupName>知识性问题</groupName>
      <ability>L2_Knowledge</ability>
      <abilityName>其他知识</abilityName>
      <candidateList>
        <item>国家发展改革委</item>
      </candidateList>
      <explain/>
      <paraID>729FD158</paraID>
      <start>115</start>
      <end>120</end>
      <status>unmodified</status>
      <modifiedWord/>
      <trackRevisions>false</trackRevisions>
    </reviewItem>
    <reviewItem>
      <errorID>0193fc7a-1732-4ba4-9b44-5c5b8d6b1666</errorID>
      <errorWord>[2003]857号</errorWord>
      <group>L1_Knowledge</group>
      <groupName>知识性问题</groupName>
      <ability>L2_Knowledge</ability>
      <abilityName>其他知识</abilityName>
      <candidateList>
        <item>〔2003〕857号</item>
      </candidateList>
      <explain>发文字号格式错误。</explain>
      <paraID>729FD158</paraID>
      <start>155</start>
      <end>165</end>
      <status>unmodified</status>
      <modifiedWord/>
      <trackRevisions>false</trackRevisions>
    </reviewItem>
    <reviewItem>
      <errorID>9c412413-45b9-41bb-952b-0347ad8e13b4</errorID>
      <errorWord>》、《</errorWord>
      <group>L1_Punc</group>
      <groupName>标点问题</groupName>
      <ability>L2_Punc_CN</ability>
      <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52203B49</paraID>
      <start>22</start>
      <end>25</end>
      <status>unmodified</status>
      <modifiedWord/>
      <trackRevisions>false</trackRevisions>
    </reviewItem>
    <reviewItem>
      <errorID>741193a5-0001-441d-8cf2-7e53a6270abb</errorID>
      <errorWord>》、《</errorWord>
      <group>L1_Punc</group>
      <groupName>标点问题</groupName>
      <ability>L2_Punc_CN</ability>
      <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52203B49</paraID>
      <start>54</start>
      <end>57</end>
      <status>unmodified</status>
      <modifiedWord/>
      <trackRevisions>false</trackRevisions>
    </reviewItem>
    <reviewItem>
      <errorID>72466671-e155-4fef-a49c-8453401cd952</errorID>
      <errorWord>法律、法规</errorWord>
      <group>L1_Word</group>
      <groupName>字词问题</groupName>
      <ability>L2_Typo</ability>
      <abilityName>字词错误</abilityName>
      <candidateList>
        <item>法律法规</item>
      </candidateList>
      <explain/>
      <paraID>52203B49</paraID>
      <start>76</start>
      <end>81</end>
      <status>unmodified</status>
      <modifiedWord/>
      <trackRevisions>false</trackRevisions>
    </reviewItem>
    <reviewItem>
      <errorID>c6fe55b0-8fce-491d-9444-6b78be262db6</errorID>
      <errorWord>法律、法规</errorWord>
      <group>L1_Word</group>
      <groupName>字词问题</groupName>
      <ability>L2_Typo</ability>
      <abilityName>字词错误</abilityName>
      <candidateList>
        <item>法律法规</item>
      </candidateList>
      <explain/>
      <paraID>4D7DDC2F</paraID>
      <start>38</start>
      <end>43</end>
      <status>unmodified</status>
      <modifiedWord/>
      <trackRevisions>false</trackRevisions>
    </reviewItem>
    <reviewItem>
      <errorID>ccd5f18f-072e-4453-a2fe-e7c82d75239c</errorID>
      <errorWord>式</errorWord>
      <group>L1_Word</group>
      <groupName>字词问题</groupName>
      <ability>L2_Typo</ability>
      <abilityName>字词错误</abilityName>
      <candidateList>
        <item>式向</item>
      </candidateList>
      <explain/>
      <paraID>59FE3651</paraID>
      <start>30</start>
      <end>31</end>
      <status>unmodified</status>
      <modifiedWord/>
      <trackRevisions>false</trackRevisions>
    </reviewItem>
    <reviewItem>
      <errorID>a221aeda-906b-40b6-8a08-e1476cfe05de</errorID>
      <errorWord>[2020]46号</errorWord>
      <group>L1_Knowledge</group>
      <groupName>知识性问题</groupName>
      <ability>L2_Knowledge</ability>
      <abilityName>其他知识</abilityName>
      <candidateList>
        <item>〔2020〕46号</item>
      </candidateList>
      <explain>发文字号格式错误。</explain>
      <paraID>58AFEE94</paraID>
      <start>26</start>
      <end>35</end>
      <status>unmodified</status>
      <modifiedWord/>
      <trackRevisions>false</trackRevisions>
    </reviewItem>
    <reviewItem>
      <errorID>eff74cab-3024-498d-9f39-0783e6f6214e</errorID>
      <errorWord>4%-6%</errorWord>
      <group>L1_Knowledge</group>
      <groupName>知识性问题</groupName>
      <ability>L2_Knowledge</ability>
      <abilityName>其他知识</abilityName>
      <candidateList>
        <item>4%—6%</item>
      </candidateList>
      <explain>1. “4%-6%”中的单位“%”仅出现在后一个数字上，容易引起歧义；根据《现代汉语标点符号数字用法规范手册》，数字表示范围两边需要使用统一的格式。2. 根据标点国标 4.13 中的规则，数字、时间或地域连接符应使用（视觉上更长的）“—”或“～”。</explain>
      <paraID>58AFEE94</paraID>
      <start>170</start>
      <end>175</end>
      <status>unmodified</status>
      <modifiedWord/>
      <trackRevisions>false</trackRevisions>
    </reviewItem>
    <reviewItem>
      <errorID>e1b36b3f-241c-4865-aa9e-f7c9f78347ca</errorID>
      <errorWord>[2020]46号</errorWord>
      <group>L1_Knowledge</group>
      <groupName>知识性问题</groupName>
      <ability>L2_Knowledge</ability>
      <abilityName>其他知识</abilityName>
      <candidateList>
        <item>〔2020〕46号</item>
      </candidateList>
      <explain>发文字号格式错误。</explain>
      <paraID>41130EC4</paraID>
      <start>26</start>
      <end>35</end>
      <status>unmodified</status>
      <modifiedWord/>
      <trackRevisions>false</trackRevisions>
    </reviewItem>
    <reviewItem>
      <errorID>d0a6405a-dfc5-4263-92b5-e8c6552d2cf5</errorID>
      <errorWord>4%-6%</errorWord>
      <group>L1_Knowledge</group>
      <groupName>知识性问题</groupName>
      <ability>L2_Knowledge</ability>
      <abilityName>其他知识</abilityName>
      <candidateList>
        <item>4%—6%</item>
      </candidateList>
      <explain>1. “4%-6%”中的单位“%”仅出现在后一个数字上，容易引起歧义；根据《现代汉语标点符号数字用法规范手册》，数字表示范围两边需要使用统一的格式。2. 根据标点国标 4.13 中的规则，数字、时间或地域连接符应使用（视觉上更长的）“—”或“～”。</explain>
      <paraID>41130EC4</paraID>
      <start>177</start>
      <end>182</end>
      <status>unmodified</status>
      <modifiedWord/>
      <trackRevisions>false</trackRevisions>
    </reviewItem>
    <reviewItem>
      <errorID>140b3eb2-d0c2-4437-a695-c7d5c743c18f</errorID>
      <errorWord>,</errorWord>
      <group>L1_Word</group>
      <groupName>字词问题</groupName>
      <ability>L2_Typo</ability>
      <abilityName>字词错误</abilityName>
      <candidateList>
        <item>,对</item>
      </candidateList>
      <explain/>
      <paraID>3B7B9A37</paraID>
      <start>20</start>
      <end>21</end>
      <status>unmodified</status>
      <modifiedWord/>
      <trackRevisions>false</trackRevisions>
    </reviewItem>
    <reviewItem>
      <errorID>81ae32ad-29ea-4404-b715-100df8508bc9</errorID>
      <errorWord>,</errorWord>
      <group>L1_Format</group>
      <groupName>格式问题</groupName>
      <ability>L2_HalfPunc_CN</ability>
      <abilityName/>
      <candidateList>
        <item>，</item>
      </candidateList>
      <explain>文本全半角错误。</explain>
      <paraID>3B7B9A37</paraID>
      <start>49</start>
      <end>50</end>
      <status>unmodified</status>
      <modifiedWord/>
      <trackRevisions>false</trackRevisions>
    </reviewItem>
    <reviewItem>
      <errorID>ae7f1112-0e3f-4a5b-a761-c929e228ae52</errorID>
      <errorWord>,</errorWord>
      <group>L1_Format</group>
      <groupName>格式问题</groupName>
      <ability>L2_HalfPunc_CN</ability>
      <abilityName/>
      <candidateList>
        <item>，</item>
      </candidateList>
      <explain>文本全半角错误。</explain>
      <paraID>65081264</paraID>
      <start>22</start>
      <end>23</end>
      <status>unmodified</status>
      <modifiedWord/>
      <trackRevisions>false</trackRevisions>
    </reviewItem>
    <reviewItem>
      <errorID>d1f0cd49-dd61-4273-9074-e8f2dc0fa053</errorID>
      <errorWord>,</errorWord>
      <group>L1_Format</group>
      <groupName>格式问题</groupName>
      <ability>L2_HalfPunc_CN</ability>
      <abilityName/>
      <candidateList>
        <item>，</item>
      </candidateList>
      <explain>文本全半角错误。</explain>
      <paraID>65081264</paraID>
      <start>50</start>
      <end>51</end>
      <status>unmodified</status>
      <modifiedWord/>
      <trackRevisions>false</trackRevisions>
    </reviewItem>
    <reviewItem>
      <errorID>93b4dfea-12cf-4aef-b99d-dcbf81b56bf5</errorID>
      <errorWord>,</errorWord>
      <group>L1_Format</group>
      <groupName>格式问题</groupName>
      <ability>L2_HalfPunc_CN</ability>
      <abilityName/>
      <candidateList>
        <item>，</item>
      </candidateList>
      <explain>文本全半角错误。</explain>
      <paraID>65081264</paraID>
      <start>67</start>
      <end>68</end>
      <status>unmodified</status>
      <modifiedWord/>
      <trackRevisions>false</trackRevisions>
    </reviewItem>
    <reviewItem>
      <errorID>92aa6724-60e9-4268-a80e-8498712ca785</errorID>
      <errorWord>供应商尽</errorWord>
      <group>L1_Word</group>
      <groupName>字词问题</groupName>
      <ability>L2_Typo</ability>
      <abilityName>字词错误</abilityName>
      <candidateList>
        <item>供应商</item>
      </candidateList>
      <explain/>
      <paraID>4377FAAA</paraID>
      <start>48</start>
      <end>52</end>
      <status>unmodified</status>
      <modifiedWord/>
      <trackRevisions>false</trackRevisions>
    </reviewItem>
    <reviewItem>
      <errorID>48a2246d-c9f2-4ece-90b0-af98317014eb</errorID>
      <errorWord>，将</errorWord>
      <group>L1_Word</group>
      <groupName>字词问题</groupName>
      <ability>L2_Typo</ability>
      <abilityName>字词错误</abilityName>
      <candidateList>
        <item>，</item>
      </candidateList>
      <explain/>
      <paraID>2973F9F4</paraID>
      <start>45</start>
      <end>47</end>
      <status>unmodified</status>
      <modifiedWord/>
      <trackRevisions>false</trackRevisions>
    </reviewItem>
    <reviewItem>
      <errorID>a76207f7-b361-47e5-ad03-4e1e86b8dd4c</errorID>
      <errorWord>操作合</errorWord>
      <group>L1_Word</group>
      <groupName>字词问题</groupName>
      <ability>L2_Typo</ability>
      <abilityName>字词错误</abilityName>
      <candidateList>
        <item>操作台</item>
      </candidateList>
      <explain/>
      <paraID>17572B2E</paraID>
      <start>9</start>
      <end>12</end>
      <status>unmodified</status>
      <modifiedWord/>
      <trackRevisions>false</trackRevisions>
    </reviewItem>
    <reviewItem>
      <errorID>45396aa7-18f3-4446-8174-15be60efb291</errorID>
      <errorWord>时</errorWord>
      <group>L1_Word</group>
      <groupName>字词问题</groupName>
      <ability>L2_Typo</ability>
      <abilityName>字词错误</abilityName>
      <candidateList>
        <item>时间</item>
      </candidateList>
      <explain>〈名〉❶物质动动中的一种存在方式，由过去、现在、将来构成的连绵不断的系统。是物质的运动、变化的持续性、顺序性的表现。❷有起点和终点的一段时间：地球自转一周的～是二十四小时｜盖这么一所房子要多少～？❸时间里的某一点：现在的～是三点十五分。</explain>
      <paraID>1563635D</paraID>
      <start>25</start>
      <end>26</end>
      <status>unmodified</status>
      <modifiedWord/>
      <trackRevisions>false</trackRevisions>
    </reviewItem>
    <reviewItem>
      <errorID>2b0d1b0e-75f4-4eae-b2ea-dd0566840197</errorID>
      <errorWord>详见在</errorWord>
      <group>L1_Word</group>
      <groupName>字词问题</groupName>
      <ability>L2_Typo</ability>
      <abilityName>字词错误</abilityName>
      <candidateList>
        <item>详见</item>
      </candidateList>
      <explain/>
      <paraID>255952BF</paraID>
      <start>11</start>
      <end>14</end>
      <status>unmodified</status>
      <modifiedWord/>
      <trackRevisions>false</trackRevisions>
    </reviewItem>
    <reviewItem>
      <errorID>b0fb917d-2d94-488b-9645-f387cc075b89</errorID>
      <errorWord>间</errorWord>
      <group>L1_Word</group>
      <groupName>字词问题</groupName>
      <ability>L2_Typo</ability>
      <abilityName>字词错误</abilityName>
      <candidateList>
        <item>间之</item>
      </candidateList>
      <explain/>
      <paraID>32B87115</paraID>
      <start>90</start>
      <end>91</end>
      <status>unmodified</status>
      <modifiedWord/>
      <trackRevisions>false</trackRevisions>
    </reviewItem>
    <reviewItem>
      <errorID>a65b233d-b2ce-4139-b545-4c9f329b15d7</errorID>
      <errorWord>（</errorWord>
      <group>L1_Punc</group>
      <groupName>标点问题</groupName>
      <ability>L2_Punc_CN</ability>
      <abilityName/>
      <candidateList/>
      <explain>同一形式括号套用。</explain>
      <paraID>3BD0DBCF</paraID>
      <start>100</start>
      <end>101</end>
      <status>unmodified</status>
      <modifiedWord/>
      <trackRevisions>false</trackRevisions>
    </reviewItem>
    <reviewItem>
      <errorID>7cf0ac03-e783-470b-bdb0-e11a56a99fb7</errorID>
      <errorWord>）</errorWord>
      <group>L1_Punc</group>
      <groupName>标点问题</groupName>
      <ability>L2_Punc_CN</ability>
      <abilityName/>
      <candidateList/>
      <explain>同一形式括号套用。</explain>
      <paraID>3BD0DBCF</paraID>
      <start>107</start>
      <end>108</end>
      <status>unmodified</status>
      <modifiedWord/>
      <trackRevisions>false</trackRevisions>
    </reviewItem>
    <reviewItem>
      <errorID>5f885032-8030-435f-9dd6-a06aa47e4199</errorID>
      <errorWord>-</errorWord>
      <group>L1_Format</group>
      <groupName>格式问题</groupName>
      <ability>L2_HalfPunc_CN</ability>
      <abilityName/>
      <candidateList>
        <item>－</item>
      </candidateList>
      <explain>文本全半角错误。</explain>
      <paraID>7953A0EB</paraID>
      <start>55</start>
      <end>56</end>
      <status>unmodified</status>
      <modifiedWord/>
      <trackRevisions>false</trackRevisions>
    </reviewItem>
    <reviewItem>
      <errorID>14f7dfda-a25a-4ed6-ba52-6ff0cff03047</errorID>
      <errorWord>中国</errorWord>
      <group>L1_Sensitive</group>
      <groupName>敏感问题</groupName>
      <ability>L2_UserSensitive</ability>
      <abilityName>自定义敏感词</abilityName>
      <candidateList/>
      <explain>来自自定义敏感词库。</explain>
      <paraID>1C09574F</paraID>
      <start>98</start>
      <end>100</end>
      <status>unmodified</status>
      <modifiedWord/>
      <trackRevisions>false</trackRevisions>
    </reviewItem>
    <reviewItem>
      <errorID>ccb8ade4-decf-464d-a4c0-48dae04ba97d</errorID>
      <errorWord>文</errorWord>
      <group>L1_Word</group>
      <groupName>字词问题</groupName>
      <ability>L2_Typo</ability>
      <abilityName>字词错误</abilityName>
      <candidateList>
        <item>文件</item>
      </candidateList>
      <explain/>
      <paraID>1C09574F</paraID>
      <start>155</start>
      <end>156</end>
      <status>unmodified</status>
      <modifiedWord/>
      <trackRevisions>false</trackRevisions>
    </reviewItem>
    <reviewItem>
      <errorID>cc2441ad-ca32-4951-885a-34d0f014383d</errorID>
      <errorWord>中国</errorWord>
      <group>L1_Sensitive</group>
      <groupName>敏感问题</groupName>
      <ability>L2_UserSensitive</ability>
      <abilityName>自定义敏感词</abilityName>
      <candidateList/>
      <explain>来自自定义敏感词库。</explain>
      <paraID>4FC00AE1</paraID>
      <start>20</start>
      <end>22</end>
      <status>unmodified</status>
      <modifiedWord/>
      <trackRevisions>false</trackRevisions>
    </reviewItem>
    <reviewItem>
      <errorID>5389edc2-4521-4599-bea5-fa9d3f1ea54d</errorID>
      <errorWord>(</errorWord>
      <group>L1_Format</group>
      <groupName>格式问题</groupName>
      <ability>L2_HalfPunc_CN</ability>
      <abilityName/>
      <candidateList>
        <item>（</item>
      </candidateList>
      <explain>文本全半角错误。</explain>
      <paraID>4FC00AE1</paraID>
      <start>25</start>
      <end>26</end>
      <status>unmodified</status>
      <modifiedWord/>
      <trackRevisions>false</trackRevisions>
    </reviewItem>
    <reviewItem>
      <errorID>0622b9bc-2a8b-4f6d-b6a7-d116cfe41371</errorID>
      <errorWord>)</errorWord>
      <group>L1_Format</group>
      <groupName>格式问题</groupName>
      <ability>L2_HalfPunc_CN</ability>
      <abilityName/>
      <candidateList>
        <item>）</item>
      </candidateList>
      <explain>文本全半角错误。</explain>
      <paraID>4FC00AE1</paraID>
      <start>93</start>
      <end>94</end>
      <status>unmodified</status>
      <modifiedWord/>
      <trackRevisions>false</trackRevisions>
    </reviewItem>
    <reviewItem>
      <errorID>5c0f3bdd-1c80-4bcc-a122-d3c969375946</errorID>
      <errorWord>中国</errorWord>
      <group>L1_Sensitive</group>
      <groupName>敏感问题</groupName>
      <ability>L2_UserSensitive</ability>
      <abilityName>自定义敏感词</abilityName>
      <candidateList/>
      <explain>来自自定义敏感词库。</explain>
      <paraID>4FC00AE1</paraID>
      <start>96</start>
      <end>98</end>
      <status>unmodified</status>
      <modifiedWord/>
      <trackRevisions>false</trackRevisions>
    </reviewItem>
    <reviewItem>
      <errorID>a1bc1a68-066d-4027-9988-e63d6c4fb070</errorID>
      <errorWord>(</errorWord>
      <group>L1_Format</group>
      <groupName>格式问题</groupName>
      <ability>L2_HalfPunc_CN</ability>
      <abilityName/>
      <candidateList>
        <item>（</item>
      </candidateList>
      <explain>文本全半角错误。</explain>
      <paraID>4FC00AE1</paraID>
      <start>103</start>
      <end>104</end>
      <status>unmodified</status>
      <modifiedWord/>
      <trackRevisions>false</trackRevisions>
    </reviewItem>
    <reviewItem>
      <errorID>a8a3db7a-2ae8-4722-aaa3-3c3337c11a4e</errorID>
      <errorWord>)</errorWord>
      <group>L1_Format</group>
      <groupName>格式问题</groupName>
      <ability>L2_HalfPunc_CN</ability>
      <abilityName/>
      <candidateList>
        <item>）</item>
      </candidateList>
      <explain>文本全半角错误。</explain>
      <paraID>4FC00AE1</paraID>
      <start>157</start>
      <end>158</end>
      <status>unmodified</status>
      <modifiedWord/>
      <trackRevisions>false</trackRevisions>
    </reviewItem>
    <reviewItem>
      <errorID>feb8387e-afb2-4d4c-ae3b-d08ce594046e</errorID>
      <errorWord>中国</errorWord>
      <group>L1_Sensitive</group>
      <groupName>敏感问题</groupName>
      <ability>L2_UserSensitive</ability>
      <abilityName>自定义敏感词</abilityName>
      <candidateList/>
      <explain>来自自定义敏感词库。</explain>
      <paraID>318553A1</paraID>
      <start>17</start>
      <end>19</end>
      <status>unmodified</status>
      <modifiedWord/>
      <trackRevisions>false</trackRevisions>
    </reviewItem>
    <reviewItem>
      <errorID>a926b2b5-d6e2-4ed3-b475-31c9eaaee707</errorID>
      <errorWord>(</errorWord>
      <group>L1_Format</group>
      <groupName>格式问题</groupName>
      <ability>L2_HalfPunc_CN</ability>
      <abilityName/>
      <candidateList>
        <item>（</item>
      </candidateList>
      <explain>文本全半角错误。</explain>
      <paraID>318553A1</paraID>
      <start>22</start>
      <end>23</end>
      <status>unmodified</status>
      <modifiedWord/>
      <trackRevisions>false</trackRevisions>
    </reviewItem>
    <reviewItem>
      <errorID>90f96ce9-d4c7-4346-9c02-53863b50573d</errorID>
      <errorWord>)</errorWord>
      <group>L1_Format</group>
      <groupName>格式问题</groupName>
      <ability>L2_HalfPunc_CN</ability>
      <abilityName/>
      <candidateList>
        <item>）</item>
      </candidateList>
      <explain>文本全半角错误。</explain>
      <paraID>318553A1</paraID>
      <start>45</start>
      <end>46</end>
      <status>unmodified</status>
      <modifiedWord/>
      <trackRevisions>false</trackRevisions>
    </reviewItem>
    <reviewItem>
      <errorID>98113f6c-dee6-47d1-bd2a-c2ce377bd565</errorID>
      <errorWord>中国</errorWord>
      <group>L1_Sensitive</group>
      <groupName>敏感问题</groupName>
      <ability>L2_UserSensitive</ability>
      <abilityName>自定义敏感词</abilityName>
      <candidateList/>
      <explain>来自自定义敏感词库。</explain>
      <paraID>318553A1</paraID>
      <start>48</start>
      <end>50</end>
      <status>unmodified</status>
      <modifiedWord/>
      <trackRevisions>false</trackRevisions>
    </reviewItem>
    <reviewItem>
      <errorID>e6c73065-0bf4-40ea-9c81-551238f26a99</errorID>
      <errorWord>(</errorWord>
      <group>L1_Format</group>
      <groupName>格式问题</groupName>
      <ability>L2_HalfPunc_CN</ability>
      <abilityName/>
      <candidateList>
        <item>（</item>
      </candidateList>
      <explain>文本全半角错误。</explain>
      <paraID>318553A1</paraID>
      <start>55</start>
      <end>56</end>
      <status>unmodified</status>
      <modifiedWord/>
      <trackRevisions>false</trackRevisions>
    </reviewItem>
    <reviewItem>
      <errorID>299e6c18-04fa-423d-b6f4-6d6b4b0f095e</errorID>
      <errorWord>)</errorWord>
      <group>L1_Format</group>
      <groupName>格式问题</groupName>
      <ability>L2_HalfPunc_CN</ability>
      <abilityName/>
      <candidateList>
        <item>）</item>
      </candidateList>
      <explain>文本全半角错误。</explain>
      <paraID>318553A1</paraID>
      <start>71</start>
      <end>72</end>
      <status>unmodified</status>
      <modifiedWord/>
      <trackRevisions>false</trackRevisions>
    </reviewItem>
    <reviewItem>
      <errorID>f8d164b6-0c52-4a6c-a4b1-191397162582</errorID>
      <errorWord>已</errorWord>
      <group>L1_Word</group>
      <groupName>字词问题</groupName>
      <ability>L2_Typo</ability>
      <abilityName>字词错误</abilityName>
      <candidateList>
        <item>以</item>
      </candidateList>
      <explain>用在单纯的方位词前，组成合成的方位词或方位结构，表示时间、方位、数量的界限：～前｜～上｜三日～后｜县级～上｜长江～南｜五千～内｜二十岁～下。</explain>
      <paraID>2B76673A</paraID>
      <start>53</start>
      <end>54</end>
      <status>unmodified</status>
      <modifiedWord/>
      <trackRevisions>false</trackRevisions>
    </reviewItem>
    <reviewItem>
      <errorID>9e934888-a32d-4349-921f-02a314774816</errorID>
      <errorWord>相应</errorWord>
      <group>L1_Word</group>
      <groupName>字词问题</groupName>
      <ability>L2_Typo</ability>
      <abilityName>字词错误</abilityName>
      <candidateList>
        <item>响应</item>
      </candidateList>
      <explain>〈动〉回声相应，比喻用言语行动表示赞同、支持某种号召或倡议：～号召。</explain>
      <paraID>798C9718</paraID>
      <start>19</start>
      <end>21</end>
      <status>unmodified</status>
      <modifiedWord/>
      <trackRevisions>false</trackRevisions>
    </reviewItem>
    <reviewItem>
      <errorID>d1a54c84-aff8-412c-829d-cdf25e9ac111</errorID>
      <errorWord>-</errorWord>
      <group>L1_Format</group>
      <groupName>格式问题</groupName>
      <ability>L2_HalfPunc_CN</ability>
      <abilityName/>
      <candidateList>
        <item>－</item>
      </candidateList>
      <explain>文本全半角错误。</explain>
      <paraID>5C9E86F2</paraID>
      <start>20</start>
      <end>21</end>
      <status>unmodified</status>
      <modifiedWord/>
      <trackRevisions>false</trackRevisions>
    </reviewItem>
    <reviewItem>
      <errorID>809fcabf-c92b-490c-af2b-0eee7a5a153c</errorID>
      <errorWord>法律、法规</errorWord>
      <group>L1_Word</group>
      <groupName>字词问题</groupName>
      <ability>L2_Typo</ability>
      <abilityName>字词错误</abilityName>
      <candidateList>
        <item>法律法规</item>
      </candidateList>
      <explain/>
      <paraID>2E7B6196</paraID>
      <start>3</start>
      <end>8</end>
      <status>unmodified</status>
      <modifiedWord/>
      <trackRevisions>false</trackRevisions>
    </reviewItem>
    <reviewItem>
      <errorID>17255a60-401a-4440-8379-b77a73d4b334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20F2C236</paraID>
      <start>0</start>
      <end>2</end>
      <status>unmodified</status>
      <modifiedWord/>
      <trackRevisions>false</trackRevisions>
    </reviewItem>
    <reviewItem>
      <errorID>8975d207-1e5f-4a73-b08b-695c16e1e859</errorID>
      <errorWord>程</errorWord>
      <group>L1_Word</group>
      <groupName>字词问题</groupName>
      <ability>L2_Typo</ability>
      <abilityName>字词错误</abilityName>
      <candidateList>
        <item>程中</item>
      </candidateList>
      <explain/>
      <paraID>36764E3D</paraID>
      <start>7</start>
      <end>8</end>
      <status>unmodified</status>
      <modifiedWord/>
      <trackRevisions>false</trackRevisions>
    </reviewItem>
    <reviewItem>
      <errorID>18bb1263-645a-441b-a7e4-3103b85e8675</errorID>
      <errorWord>最终</errorWord>
      <group>L1_Sensitive</group>
      <groupName>敏感问题</groupName>
      <ability>L2_UserSensitive</ability>
      <abilityName>自定义敏感词</abilityName>
      <candidateList/>
      <explain>来自自定义敏感词库。</explain>
      <paraID>6A425899</paraID>
      <start>3</start>
      <end>5</end>
      <status>unmodified</status>
      <modifiedWord/>
      <trackRevisions>false</trackRevisions>
    </reviewItem>
    <reviewItem>
      <errorID>a6232e15-2583-484c-a117-0bbd3c598efc</errorID>
      <errorWord>最终</errorWord>
      <group>L1_Sensitive</group>
      <groupName>敏感问题</groupName>
      <ability>L2_UserSensitive</ability>
      <abilityName>自定义敏感词</abilityName>
      <candidateList/>
      <explain>来自自定义敏感词库。</explain>
      <paraID>3C0FA7E2</paraID>
      <start>7</start>
      <end>9</end>
      <status>unmodified</status>
      <modifiedWord/>
      <trackRevisions>false</trackRevisions>
    </reviewItem>
    <reviewItem>
      <errorID>e51c12b4-82c8-4bd8-acbb-da4c2977e144</errorID>
      <errorWord>最终</errorWord>
      <group>L1_Sensitive</group>
      <groupName>敏感问题</groupName>
      <ability>L2_UserSensitive</ability>
      <abilityName>自定义敏感词</abilityName>
      <candidateList/>
      <explain>来自自定义敏感词库。</explain>
      <paraID>28702C9D</paraID>
      <start>40</start>
      <end>42</end>
      <status>unmodified</status>
      <modifiedWord/>
      <trackRevisions>false</trackRevisions>
    </reviewItem>
    <reviewItem>
      <errorID>4f340bfe-bcca-47c3-8a07-f014fd852ab9</errorID>
      <errorWord>50%-65%</errorWord>
      <group>L1_Knowledge</group>
      <groupName>知识性问题</groupName>
      <ability>L2_Knowledge</ability>
      <abilityName>其他知识</abilityName>
      <candidateList>
        <item>50%—65%</item>
      </candidateList>
      <explain>1. “50%-65%”中的单位“%”仅出现在后一个数字上，容易引起歧义；根据《现代汉语标点符号数字用法规范手册》，数字表示范围两边需要使用统一的格式。2. 根据标点国标 4.13 中的规则，数字、时间或地域连接符应使用（视觉上更长的）“—”或“～”。</explain>
      <paraID>594043EB</paraID>
      <start>69</start>
      <end>76</end>
      <status>unmodified</status>
      <modifiedWord/>
      <trackRevisions>false</trackRevisions>
    </reviewItem>
    <reviewItem>
      <errorID>8f9a336a-1e2b-491a-98ed-7e26f9977f10</errorID>
      <errorWord>50%-65%</errorWord>
      <group>L1_Knowledge</group>
      <groupName>知识性问题</groupName>
      <ability>L2_Knowledge</ability>
      <abilityName>其他知识</abilityName>
      <candidateList>
        <item>50%—65%</item>
      </candidateList>
      <explain>1. “50%-65%”中的单位“%”仅出现在后一个数字上，容易引起歧义；根据《现代汉语标点符号数字用法规范手册》，数字表示范围两边需要使用统一的格式。2. 根据标点国标 4.13 中的规则，数字、时间或地域连接符应使用（视觉上更长的）“—”或“～”。</explain>
      <paraID>49988DE6</paraID>
      <start>70</start>
      <end>77</end>
      <status>unmodified</status>
      <modifiedWord/>
      <trackRevisions>false</trackRevisions>
    </reviewItem>
    <reviewItem>
      <errorID>6c801261-34ee-4afe-b3ad-098c48f692d9</errorID>
      <errorWord>45%-65%</errorWord>
      <group>L1_Knowledge</group>
      <groupName>知识性问题</groupName>
      <ability>L2_Knowledge</ability>
      <abilityName>其他知识</abilityName>
      <candidateList>
        <item>45%—65%</item>
      </candidateList>
      <explain>1. “45%-65%”中的单位“%”仅出现在后一个数字上，容易引起歧义；根据《现代汉语标点符号数字用法规范手册》，数字表示范围两边需要使用统一的格式。2. 根据标点国标 4.13 中的规则，数字、时间或地域连接符应使用（视觉上更长的）“—”或“～”。</explain>
      <paraID>7B765E12</paraID>
      <start>48</start>
      <end>55</end>
      <status>unmodified</status>
      <modifiedWord/>
      <trackRevisions>false</trackRevisions>
    </reviewItem>
    <reviewItem>
      <errorID>97c98049-98da-43aa-824a-42358b807a58</errorID>
      <errorWord>做出</errorWord>
      <group>L1_Word</group>
      <groupName>字词问题</groupName>
      <ability>L2_Typo</ability>
      <abilityName>字词错误</abilityName>
      <candidateList>
        <item>作出</item>
      </candidateList>
      <explain/>
      <paraID>18628D15</paraID>
      <start>63</start>
      <end>65</end>
      <status>unmodified</status>
      <modifiedWord/>
      <trackRevisions>false</trackRevisions>
    </reviewItem>
    <reviewItem>
      <errorID>8089056c-7234-4e03-b7b4-bc2931e8d457</errorID>
      <errorWord>-</errorWord>
      <group>L1_Format</group>
      <groupName>格式问题</groupName>
      <ability>L2_HalfPunc_CN</ability>
      <abilityName/>
      <candidateList>
        <item>－</item>
      </candidateList>
      <explain>文本全半角错误。</explain>
      <paraID>6E44786A</paraID>
      <start>10</start>
      <end>11</end>
      <status>unmodified</status>
      <modifiedWord/>
      <trackRevisions>false</trackRevisions>
    </reviewItem>
    <reviewItem>
      <errorID>89207526-1f20-4941-ad28-d84446a6ec9d</errorID>
      <errorWord>-</errorWord>
      <group>L1_Format</group>
      <groupName>格式问题</groupName>
      <ability>L2_HalfPunc_CN</ability>
      <abilityName/>
      <candidateList>
        <item>－</item>
      </candidateList>
      <explain>文本全半角错误。</explain>
      <paraID>5FA46992</paraID>
      <start>10</start>
      <end>11</end>
      <status>unmodified</status>
      <modifiedWord/>
      <trackRevisions>false</trackRevisions>
    </reviewItem>
    <reviewItem>
      <errorID>3c0ca737-2e84-42bc-9994-fab3914a1095</errorID>
      <errorWord>-</errorWord>
      <group>L1_Format</group>
      <groupName>格式问题</groupName>
      <ability>L2_HalfPunc_CN</ability>
      <abilityName/>
      <candidateList>
        <item>－</item>
      </candidateList>
      <explain>文本全半角错误。</explain>
      <paraID>3BE80065</paraID>
      <start>10</start>
      <end>11</end>
      <status>unmodified</status>
      <modifiedWord/>
      <trackRevisions>false</trackRevisions>
    </reviewItem>
    <reviewItem>
      <errorID>485320a1-6c8a-42fa-b2df-e8ed3ebbaf9d</errorID>
      <errorWord>-</errorWord>
      <group>L1_Format</group>
      <groupName>格式问题</groupName>
      <ability>L2_HalfPunc_CN</ability>
      <abilityName/>
      <candidateList>
        <item>－</item>
      </candidateList>
      <explain>文本全半角错误。</explain>
      <paraID>31960716</paraID>
      <start>10</start>
      <end>11</end>
      <status>unmodified</status>
      <modifiedWord/>
      <trackRevisions>false</trackRevisions>
    </reviewItem>
    <reviewItem>
      <errorID>f46568f0-e44d-446a-a229-7f185fc21c26</errorID>
      <errorWord>(</errorWord>
      <group>L1_Format</group>
      <groupName>格式问题</groupName>
      <ability>L2_HalfPunc_CN</ability>
      <abilityName/>
      <candidateList>
        <item>（</item>
      </candidateList>
      <explain>文本全半角错误。</explain>
      <paraID> 51A9C21</paraID>
      <start>6</start>
      <end>7</end>
      <status>unmodified</status>
      <modifiedWord/>
      <trackRevisions>false</trackRevisions>
    </reviewItem>
    <reviewItem>
      <errorID>8e6fbd34-d4df-4e2b-9d7b-79b47db791b7</errorID>
      <errorWord>)</errorWord>
      <group>L1_Format</group>
      <groupName>格式问题</groupName>
      <ability>L2_HalfPunc_CN</ability>
      <abilityName/>
      <candidateList>
        <item>）</item>
      </candidateList>
      <explain>文本全半角错误。</explain>
      <paraID> 51A9C21</paraID>
      <start>27</start>
      <end>28</end>
      <status>unmodified</status>
      <modifiedWord/>
      <trackRevisions>false</trackRevisions>
    </reviewItem>
    <reviewItem>
      <errorID>f4ba5a50-c6a5-4e6e-8ffa-c3cfebea8140</errorID>
      <errorWord>(</errorWord>
      <group>L1_Format</group>
      <groupName>格式问题</groupName>
      <ability>L2_HalfPunc_CN</ability>
      <abilityName/>
      <candidateList>
        <item>（</item>
      </candidateList>
      <explain>文本全半角错误。</explain>
      <paraID> 8D853BF</paraID>
      <start>6</start>
      <end>7</end>
      <status>unmodified</status>
      <modifiedWord/>
      <trackRevisions>false</trackRevisions>
    </reviewItem>
    <reviewItem>
      <errorID>2401851c-ee07-46d3-becf-23397e5ef15f</errorID>
      <errorWord>)</errorWord>
      <group>L1_Format</group>
      <groupName>格式问题</groupName>
      <ability>L2_HalfPunc_CN</ability>
      <abilityName/>
      <candidateList>
        <item>）</item>
      </candidateList>
      <explain>文本全半角错误。</explain>
      <paraID> 8D853BF</paraID>
      <start>27</start>
      <end>28</end>
      <status>unmodified</status>
      <modifiedWord/>
      <trackRevisions>false</trackRevisions>
    </reviewItem>
    <reviewItem>
      <errorID>9c56cd29-56db-474f-a119-482ed26b1278</errorID>
      <errorWord>股东大会</errorWord>
      <group>L1_Word</group>
      <groupName>字词问题</groupName>
      <ability>L2_Typo</ability>
      <abilityName>字词错误</abilityName>
      <candidateList>
        <item>股东会</item>
      </candidateList>
      <explain/>
      <paraID>18A1649A</paraID>
      <start>113</start>
      <end>117</end>
      <status>unmodified</status>
      <modifiedWord/>
      <trackRevisions>false</trackRevisions>
    </reviewItem>
    <reviewItem>
      <errorID>896cfb5f-75b4-428c-bbc1-66c8f5a9a668</errorID>
      <errorWord>-</errorWord>
      <group>L1_Format</group>
      <groupName>格式问题</groupName>
      <ability>L2_HalfPunc_CN</ability>
      <abilityName/>
      <candidateList>
        <item>－</item>
      </candidateList>
      <explain>文本全半角错误。</explain>
      <paraID> CE34EF5</paraID>
      <start>7</start>
      <end>8</end>
      <status>unmodified</status>
      <modifiedWord/>
      <trackRevisions>false</trackRevisions>
    </reviewItem>
    <reviewItem>
      <errorID>d008e327-45ed-4c76-86d3-76cba10787a6</errorID>
      <errorWord>-</errorWord>
      <group>L1_Format</group>
      <groupName>格式问题</groupName>
      <ability>L2_HalfPunc_CN</ability>
      <abilityName/>
      <candidateList>
        <item>－</item>
      </candidateList>
      <explain>文本全半角错误。</explain>
      <paraID>7B31B13B</paraID>
      <start>16</start>
      <end>17</end>
      <status>unmodified</status>
      <modifiedWord/>
      <trackRevisions>false</trackRevisions>
    </reviewItem>
    <reviewItem>
      <errorID>c776aa71-08cc-4224-98b0-585d9b3b32ab</errorID>
      <errorWord>：；</errorWord>
      <group>L1_Punc</group>
      <groupName>标点问题</groupName>
      <ability>L2_Punc_CN</ability>
      <abilityName/>
      <candidateList>
        <item>：</item>
      </candidateList>
      <explain/>
      <paraID> 7ACCE3C</paraID>
      <start>19</start>
      <end>21</end>
      <status>unmodified</status>
      <modifiedWord/>
      <trackRevisions>false</trackRevisions>
    </reviewItem>
    <reviewItem>
      <errorID>468a1777-b019-43b9-bdef-466a30c03f0f</errorID>
      <errorWord>-</errorWord>
      <group>L1_Format</group>
      <groupName>格式问题</groupName>
      <ability>L2_HalfPunc_CN</ability>
      <abilityName/>
      <candidateList>
        <item>－</item>
      </candidateList>
      <explain>文本全半角错误。</explain>
      <paraID>3F552E00</paraID>
      <start>27</start>
      <end>28</end>
      <status>unmodified</status>
      <modifiedWord/>
      <trackRevisions>false</trackRevisions>
    </reviewItem>
    <reviewItem>
      <errorID>62a8efe7-9c2d-4c9f-81d5-56f0ad6e1abe</errorID>
      <errorWord>-</errorWord>
      <group>L1_Format</group>
      <groupName>格式问题</groupName>
      <ability>L2_HalfPunc_CN</ability>
      <abilityName/>
      <candidateList>
        <item>－</item>
      </candidateList>
      <explain>文本全半角错误。</explain>
      <paraID>3F552E00</paraID>
      <start>44</start>
      <end>45</end>
      <status>unmodified</status>
      <modifiedWord/>
      <trackRevisions>false</trackRevisions>
    </reviewItem>
    <reviewItem>
      <errorID>ff8c8d12-3c45-4df5-89f0-18c2d1e0f862</errorID>
      <errorWord>-</errorWord>
      <group>L1_Format</group>
      <groupName>格式问题</groupName>
      <ability>L2_HalfPunc_CN</ability>
      <abilityName/>
      <candidateList>
        <item>－</item>
      </candidateList>
      <explain>文本全半角错误。</explain>
      <paraID>3F552E00</paraID>
      <start>62</start>
      <end>63</end>
      <status>unmodified</status>
      <modifiedWord/>
      <trackRevisions>false</trackRevisions>
    </reviewItem>
    <reviewItem>
      <errorID>ab409ac0-ddb7-42c1-8f9e-95f66d85857b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19FCF345</paraID>
      <start>0</start>
      <end>2</end>
      <status>unmodified</status>
      <modifiedWord/>
      <trackRevisions>false</trackRevisions>
    </reviewItem>
    <reviewItem>
      <errorID>cfa835cb-a3ff-4598-b5d9-3ecfb13bcfb5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6F527C4D</paraID>
      <start>0</start>
      <end>2</end>
      <status>unmodified</status>
      <modifiedWord/>
      <trackRevisions>false</trackRevisions>
    </reviewItem>
    <reviewItem>
      <errorID>2900ad52-5a5c-405f-b0da-1046b55bdffc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2B29F129</paraID>
      <start>0</start>
      <end>2</end>
      <status>unmodified</status>
      <modifiedWord/>
      <trackRevisions>false</trackRevisions>
    </reviewItem>
    <reviewItem>
      <errorID>3ff63357-3550-4038-bee0-6f90249e7689</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60A46254</paraID>
      <start>0</start>
      <end>2</end>
      <status>unmodified</status>
      <modifiedWord/>
      <trackRevisions>false</trackRevisions>
    </reviewItem>
    <reviewItem>
      <errorID>75de71e7-ff12-4b41-89f5-0007bbb2940b</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56B753CC</paraID>
      <start>0</start>
      <end>2</end>
      <status>unmodified</status>
      <modifiedWord/>
      <trackRevisions>false</trackRevisions>
    </reviewItem>
    <reviewItem>
      <errorID>71a1cc6a-4a6c-4e2a-a77e-1473f9292c24</errorID>
      <errorWord>。】</errorWord>
      <group>L1_Punc</group>
      <groupName>标点问题</groupName>
      <ability>L2_Punc_CN</ability>
      <abilityName/>
      <candidateList>
        <item>】</item>
      </candidateList>
      <explain/>
      <paraID>56B753CC</paraID>
      <start>147</start>
      <end>149</end>
      <status>unmodified</status>
      <modifiedWord/>
      <trackRevisions>false</trackRevisions>
    </reviewItem>
    <reviewItem>
      <errorID>24ded212-2872-4865-aac5-764bac6c229c</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5AD89B6E</paraID>
      <start>0</start>
      <end>2</end>
      <status>unmodified</status>
      <modifiedWord/>
      <trackRevisions>false</trackRevisions>
    </reviewItem>
    <reviewItem>
      <errorID>49eb5e6a-6c6b-4ffd-9d68-c43fa3bfd97d</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7E3CEE97</paraID>
      <start>0</start>
      <end>2</end>
      <status>unmodified</status>
      <modifiedWord/>
      <trackRevisions>false</trackRevisions>
    </reviewItem>
    <reviewItem>
      <errorID>00e3c452-6d0f-49f5-8a04-2d8d6c890a84</errorID>
      <errorWord>-</errorWord>
      <group>L1_Format</group>
      <groupName>格式问题</groupName>
      <ability>L2_HalfPunc_CN</ability>
      <abilityName/>
      <candidateList>
        <item>－</item>
      </candidateList>
      <explain>文本全半角错误。</explain>
      <paraID>2DF5C85B</paraID>
      <start>65</start>
      <end>66</end>
      <status>unmodified</status>
      <modifiedWord/>
      <trackRevisions>false</trackRevisions>
    </reviewItem>
    <reviewItem>
      <errorID>a9a2fa62-3a8d-4184-9c1c-d30e4481efa8</errorID>
      <errorWord>-</errorWord>
      <group>L1_Format</group>
      <groupName>格式问题</groupName>
      <ability>L2_HalfPunc_CN</ability>
      <abilityName/>
      <candidateList>
        <item>－</item>
      </candidateList>
      <explain>文本全半角错误。</explain>
      <paraID>2DF5C85B</paraID>
      <start>80</start>
      <end>81</end>
      <status>unmodified</status>
      <modifiedWord/>
      <trackRevisions>false</trackRevisions>
    </reviewItem>
    <reviewItem>
      <errorID>7213f629-1d03-478f-98a8-2882d3bdfc23</errorID>
      <errorWord>(</errorWord>
      <group>L1_Punc</group>
      <groupName>标点问题</groupName>
      <ability>L2_Punc_CN</ability>
      <abilityName/>
      <candidateList>
        <item/>
      </candidateList>
      <explain>同一形式括号套用。</explain>
      <paraID>1F0E9C06</paraID>
      <start>0</start>
      <end>1</end>
      <status>unmodified</status>
      <modifiedWord/>
      <trackRevisions>false</trackRevisions>
    </reviewItem>
    <reviewItem>
      <errorID>5497523b-8de9-457b-8193-df7c789d6f70</errorID>
      <errorWord>（</errorWord>
      <group>L1_Punc</group>
      <groupName>标点问题</groupName>
      <ability>L2_Punc_CN</ability>
      <abilityName/>
      <candidateList/>
      <explain>同一形式括号套用。</explain>
      <paraID>1F0E9C06</paraID>
      <start>26</start>
      <end>27</end>
      <status>unmodified</status>
      <modifiedWord/>
      <trackRevisions>false</trackRevisions>
    </reviewItem>
    <reviewItem>
      <errorID>c4bd6b43-4498-4b69-a25f-ab30baf50e19</errorID>
      <errorWord>）</errorWord>
      <group>L1_Punc</group>
      <groupName>标点问题</groupName>
      <ability>L2_Punc_CN</ability>
      <abilityName/>
      <candidateList/>
      <explain>同一形式括号套用。</explain>
      <paraID>1F0E9C06</paraID>
      <start>36</start>
      <end>37</end>
      <status>unmodified</status>
      <modifiedWord/>
      <trackRevisions>false</trackRevisions>
    </reviewItem>
    <reviewItem>
      <errorID>782fb7b9-c14e-4d50-a59e-c2995ba6cb36</errorID>
      <errorWord>)</errorWord>
      <group>L1_Punc</group>
      <groupName>标点问题</groupName>
      <ability>L2_Punc_CN</ability>
      <abilityName/>
      <candidateList/>
      <explain>同一形式括号套用。</explain>
      <paraID>1F0E9C06</paraID>
      <start>53</start>
      <end>54</end>
      <status>unmodified</status>
      <modifiedWord/>
      <trackRevisions>false</trackRevisions>
    </reviewItem>
    <reviewItem>
      <errorID>b36a2f3d-f63d-48ce-86f0-7dae261cb5a7</errorID>
      <errorWord>-</errorWord>
      <group>L1_Format</group>
      <groupName>格式问题</groupName>
      <ability>L2_HalfPunc_CN</ability>
      <abilityName/>
      <candidateList>
        <item>－</item>
      </candidateList>
      <explain>文本全半角错误。</explain>
      <paraID>2A0AF38A</paraID>
      <start>10</start>
      <end>11</end>
      <status>unmodified</status>
      <modifiedWord/>
      <trackRevisions>false</trackRevisions>
    </reviewItem>
    <reviewItem>
      <errorID>77003ae9-a017-4cf0-a9de-521ca981880d</errorID>
      <errorWord>-</errorWord>
      <group>L1_Format</group>
      <groupName>格式问题</groupName>
      <ability>L2_HalfPunc_CN</ability>
      <abilityName/>
      <candidateList>
        <item>－</item>
      </candidateList>
      <explain>文本全半角错误。</explain>
      <paraID>21B658E0</paraID>
      <start>10</start>
      <end>11</end>
      <status>unmodified</status>
      <modifiedWord/>
      <trackRevisions>false</trackRevisions>
    </reviewItem>
    <reviewItem>
      <errorID>f563acc0-b7c6-4368-b0c4-0e3b5816d052</errorID>
      <errorWord>………</errorWord>
      <group>L1_Punc</group>
      <groupName>标点问题</groupName>
      <ability>L2_Punc_CN</ability>
      <abilityName/>
      <candidateList>
        <item>…</item>
      </candidateList>
      <explain/>
      <paraID>14090EC1</paraID>
      <start>28</start>
      <end>31</end>
      <status>unmodified</status>
      <modifiedWord/>
      <trackRevisions>false</trackRevisions>
    </reviewItem>
    <reviewItem>
      <errorID>11ac9eb5-5252-4bd5-a61a-2f887b9ceffd</errorID>
      <errorWord>,</errorWord>
      <group>L1_Format</group>
      <groupName>格式问题</groupName>
      <ability>L2_HalfPunc_CN</ability>
      <abilityName/>
      <candidateList>
        <item>，</item>
      </candidateList>
      <explain>文本全半角错误。</explain>
      <paraID>2E89A716</paraID>
      <start>23</start>
      <end>24</end>
      <status>unmodified</status>
      <modifiedWord/>
      <trackRevisions>false</trackRevisions>
    </reviewItem>
    <reviewItem>
      <errorID>bac4d172-e5a2-408d-a192-bc3e6fb60bb0</errorID>
      <errorWord>,</errorWord>
      <group>L1_Format</group>
      <groupName>格式问题</groupName>
      <ability>L2_HalfPunc_CN</ability>
      <abilityName/>
      <candidateList>
        <item>，</item>
      </candidateList>
      <explain>文本全半角错误。</explain>
      <paraID>2E89A716</paraID>
      <start>52</start>
      <end>53</end>
      <status>unmodified</status>
      <modifiedWord/>
      <trackRevisions>false</trackRevisions>
    </reviewItem>
    <reviewItem>
      <errorID>811a202d-031d-4b68-b3dd-eacdb5eeab20</errorID>
      <errorWord>,</errorWord>
      <group>L1_Format</group>
      <groupName>格式问题</groupName>
      <ability>L2_HalfPunc_CN</ability>
      <abilityName/>
      <candidateList>
        <item>，</item>
      </candidateList>
      <explain>文本全半角错误。</explain>
      <paraID>2E89A716</paraID>
      <start>69</start>
      <end>70</end>
      <status>unmodified</status>
      <modifiedWord/>
      <trackRevisions>false</trackRevisions>
    </reviewItem>
    <reviewItem>
      <errorID>a22eee0b-675c-4e63-9962-5f0d8198620a</errorID>
      <errorWord>表</errorWord>
      <group>L1_Word</group>
      <groupName>字词问题</groupName>
      <ability>L2_Typo</ability>
      <abilityName>字词错误</abilityName>
      <candidateList>
        <item>表人</item>
      </candidateList>
      <explain/>
      <paraID>694F2A1E</paraID>
      <start>3</start>
      <end>4</end>
      <status>unmodified</status>
      <modifiedWord/>
      <trackRevisions>false</trackRevisions>
    </reviewItem>
    <reviewItem>
      <errorID>91fe7baa-9bbf-4619-80fa-5b7422e722fc</errorID>
      <errorWord>粘帖</errorWord>
      <group>L1_Word</group>
      <groupName>字词问题</groupName>
      <ability>L2_Typo</ability>
      <abilityName>字词错误</abilityName>
      <candidateList>
        <item>粘贴</item>
      </candidateList>
      <explain>存在发音相同字词的误用。</explain>
      <paraID>694F2A1E</paraID>
      <start>10</start>
      <end>12</end>
      <status>unmodified</status>
      <modifiedWord/>
      <trackRevisions>false</trackRevisions>
    </reviewItem>
    <reviewItem>
      <errorID>f82edef8-571b-45a3-b8b5-2fa43ccf1526</errorID>
      <errorWord>-</errorWord>
      <group>L1_Format</group>
      <groupName>格式问题</groupName>
      <ability>L2_HalfPunc_CN</ability>
      <abilityName/>
      <candidateList>
        <item>－</item>
      </candidateList>
      <explain>文本全半角错误。</explain>
      <paraID>4C9E9C53</paraID>
      <start>7</start>
      <end>8</end>
      <status>unmodified</status>
      <modifiedWord/>
      <trackRevisions>false</trackRevisions>
    </reviewItem>
    <reviewItem>
      <errorID>feb1731a-06d1-4057-9271-abb5ace69440</errorID>
      <errorWord>-</errorWord>
      <group>L1_Format</group>
      <groupName>格式问题</groupName>
      <ability>L2_HalfPunc_CN</ability>
      <abilityName/>
      <candidateList>
        <item>－</item>
      </candidateList>
      <explain>文本全半角错误。</explain>
      <paraID> 3A15479</paraID>
      <start>55</start>
      <end>56</end>
      <status>unmodified</status>
      <modifiedWord/>
      <trackRevisions>false</trackRevisions>
    </reviewItem>
    <reviewItem>
      <errorID>b8854057-0b73-4a54-a2c3-15e4a23068a1</errorID>
      <errorWord>”、“</errorWord>
      <group>L1_Punc</group>
      <groupName>标点问题</groupName>
      <ability>L2_Punc_CN</ability>
      <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1F5E14E5</paraID>
      <start>37</start>
      <end>40</end>
      <status>unmodified</status>
      <modifiedWord/>
      <trackRevisions>false</trackRevisions>
    </reviewItem>
    <reviewItem>
      <errorID>8e4d7979-b6be-4181-b125-f39e733b9d67</errorID>
      <errorWord>:</errorWord>
      <group>L1_Format</group>
      <groupName>格式问题</groupName>
      <ability>L2_HalfPunc_CN</ability>
      <abilityName/>
      <candidateList>
        <item>：</item>
      </candidateList>
      <explain>文本全半角错误。</explain>
      <paraID>787B47A2</paraID>
      <start>3</start>
      <end>4</end>
      <status>unmodified</status>
      <modifiedWord/>
      <trackRevisions>false</trackRevisions>
    </reviewItem>
    <reviewItem>
      <errorID>c81836ab-cb4d-4787-8d77-b9eba7d3bccc</errorID>
      <errorWord>上述的</errorWord>
      <group>L1_Word</group>
      <groupName>字词问题</groupName>
      <ability>L2_Typo</ability>
      <abilityName>字词错误</abilityName>
      <candidateList>
        <item>上述</item>
      </candidateList>
      <explain>〈形〉属性词。上面所说的：～各条，望切实执行。</explain>
      <paraID>62B7CF75</paraID>
      <start>7</start>
      <end>10</end>
      <status>unmodified</status>
      <modifiedWord/>
      <trackRevisions>false</trackRevisions>
    </reviewItem>
    <reviewItem>
      <errorID>48179355-381c-4153-a0b7-741085092547</errorID>
      <errorWord>”、“</errorWord>
      <group>L1_Punc</group>
      <groupName>标点问题</groupName>
      <ability>L2_Punc_CN</ability>
      <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4C621854</paraID>
      <start>37</start>
      <end>40</end>
      <status>unmodified</status>
      <modifiedWord/>
      <trackRevisions>false</trackRevisions>
    </reviewItem>
    <reviewItem>
      <errorID>cf4fd4a5-459c-4fde-817a-9dc2721c5390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2346AD05</paraID>
      <start>0</start>
      <end>2</end>
      <status>unmodified</status>
      <modifiedWord/>
      <trackRevisions>false</trackRevisions>
    </reviewItem>
    <reviewItem>
      <errorID>fed12c73-aba4-4b70-b267-3f6c06fab45c</errorID>
      <errorWord>:</errorWord>
      <group>L1_Format</group>
      <groupName>格式问题</groupName>
      <ability>L2_HalfPunc_CN</ability>
      <abilityName/>
      <candidateList>
        <item>：</item>
      </candidateList>
      <explain>文本全半角错误。</explain>
      <paraID>5054EAAB</paraID>
      <start>3</start>
      <end>4</end>
      <status>unmodified</status>
      <modifiedWord/>
      <trackRevisions>false</trackRevisions>
    </reviewItem>
    <reviewItem>
      <errorID>9d1b740f-26a1-473e-8c8c-8eecdbc0ee0b</errorID>
      <errorWord>:</errorWord>
      <group>L1_Format</group>
      <groupName>格式问题</groupName>
      <ability>L2_HalfPunc_CN</ability>
      <abilityName/>
      <candidateList>
        <item>：</item>
      </candidateList>
      <explain>文本全半角错误。</explain>
      <paraID> EBD7C5E</paraID>
      <start>3</start>
      <end>4</end>
      <status>unmodified</status>
      <modifiedWord/>
      <trackRevisions>false</trackRevisions>
    </reviewItem>
    <reviewItem>
      <errorID>fcad0ae3-8d9a-4082-924d-b9764aa3f873</errorID>
      <errorWord>:</errorWord>
      <group>L1_Format</group>
      <groupName>格式问题</groupName>
      <ability>L2_HalfPunc_CN</ability>
      <abilityName/>
      <candidateList>
        <item>：</item>
      </candidateList>
      <explain>文本全半角错误。</explain>
      <paraID>5E3698EA</paraID>
      <start>3</start>
      <end>4</end>
      <status>unmodified</status>
      <modifiedWord/>
      <trackRevisions>false</trackRevisions>
    </reviewItem>
    <reviewItem>
      <errorID>1b5df915-50a5-4695-85b1-369df8c4da20</errorID>
      <errorWord>(</errorWord>
      <group>L1_Format</group>
      <groupName>格式问题</groupName>
      <ability>L2_HalfPunc_CN</ability>
      <abilityName/>
      <candidateList>
        <item>（</item>
      </candidateList>
      <explain>文本全半角错误。</explain>
      <paraID>42FE3CE7</paraID>
      <start>0</start>
      <end>1</end>
      <status>unmodified</status>
      <modifiedWord/>
      <trackRevisions>false</trackRevisions>
    </reviewItem>
    <reviewItem>
      <errorID>947d367b-f6f5-40c2-a6aa-09e7bbb16464</errorID>
      <errorWord>)</errorWord>
      <group>L1_Format</group>
      <groupName>格式问题</groupName>
      <ability>L2_HalfPunc_CN</ability>
      <abilityName/>
      <candidateList>
        <item>）</item>
      </candidateList>
      <explain>文本全半角错误。</explain>
      <paraID>42FE3CE7</paraID>
      <start>3</start>
      <end>4</end>
      <status>unmodified</status>
      <modifiedWord/>
      <trackRevisions>false</trackRevisions>
    </reviewItem>
    <reviewItem>
      <errorID>fc8f577d-c4a0-4ce9-97e3-ddd2268e7b54</errorID>
      <errorWord>(</errorWord>
      <group>L1_Format</group>
      <groupName>格式问题</groupName>
      <ability>L2_HalfPunc_CN</ability>
      <abilityName/>
      <candidateList>
        <item>（</item>
      </candidateList>
      <explain>文本全半角错误。</explain>
      <paraID>7F2416A4</paraID>
      <start>0</start>
      <end>1</end>
      <status>unmodified</status>
      <modifiedWord/>
      <trackRevisions>false</trackRevisions>
    </reviewItem>
    <reviewItem>
      <errorID>b741e2e2-ce8e-4e1c-b0ac-d74547ba3023</errorID>
      <errorWord>)</errorWord>
      <group>L1_Format</group>
      <groupName>格式问题</groupName>
      <ability>L2_HalfPunc_CN</ability>
      <abilityName/>
      <candidateList>
        <item>）</item>
      </candidateList>
      <explain>文本全半角错误。</explain>
      <paraID>7F2416A4</paraID>
      <start>3</start>
      <end>4</end>
      <status>unmodified</status>
      <modifiedWord/>
      <trackRevisions>false</trackRevisions>
    </reviewItem>
    <reviewItem>
      <errorID>b4e5a52d-20d4-4296-ba64-db289df8e9da</errorID>
      <errorWord>(</errorWord>
      <group>L1_Format</group>
      <groupName>格式问题</groupName>
      <ability>L2_HalfPunc_CN</ability>
      <abilityName/>
      <candidateList>
        <item>（</item>
      </candidateList>
      <explain>文本全半角错误。</explain>
      <paraID>384A052D</paraID>
      <start>0</start>
      <end>1</end>
      <status>unmodified</status>
      <modifiedWord/>
      <trackRevisions>false</trackRevisions>
    </reviewItem>
    <reviewItem>
      <errorID>24c47e2a-af83-4a1d-9a03-8b2b0a1038c1</errorID>
      <errorWord>)</errorWord>
      <group>L1_Format</group>
      <groupName>格式问题</groupName>
      <ability>L2_HalfPunc_CN</ability>
      <abilityName/>
      <candidateList>
        <item>）</item>
      </candidateList>
      <explain>文本全半角错误。</explain>
      <paraID>384A052D</paraID>
      <start>3</start>
      <end>4</end>
      <status>unmodified</status>
      <modifiedWord/>
      <trackRevisions>false</trackRevisions>
    </reviewItem>
    <reviewItem>
      <errorID>ab32192b-a0d9-47bc-9844-1ea2e17d918d</errorID>
      <errorWord>上述的</errorWord>
      <group>L1_Word</group>
      <groupName>字词问题</groupName>
      <ability>L2_Typo</ability>
      <abilityName>字词错误</abilityName>
      <candidateList>
        <item>上述</item>
      </candidateList>
      <explain>〈形〉属性词。上面所说的：～各条，望切实执行。</explain>
      <paraID> 29E524E</paraID>
      <start>7</start>
      <end>10</end>
      <status>unmodified</status>
      <modifiedWord/>
      <trackRevisions>false</trackRevisions>
    </reviewItem>
    <reviewItem>
      <errorID>c61d0fa8-a177-485f-b384-179b9343866a</errorID>
      <errorWord>:</errorWord>
      <group>L1_Format</group>
      <groupName>格式问题</groupName>
      <ability>L2_HalfPunc_CN</ability>
      <abilityName/>
      <candidateList>
        <item>：</item>
      </candidateList>
      <explain>文本全半角错误。</explain>
      <paraID>61AB8525</paraID>
      <start>3</start>
      <end>4</end>
      <status>unmodified</status>
      <modifiedWord/>
      <trackRevisions>false</trackRevisions>
    </reviewItem>
    <reviewItem>
      <errorID>cc248fd4-44a2-467b-a515-084f04b01ce8</errorID>
      <errorWord>-</errorWord>
      <group>L1_Format</group>
      <groupName>格式问题</groupName>
      <ability>L2_HalfPunc_CN</ability>
      <abilityName/>
      <candidateList>
        <item>－</item>
      </candidateList>
      <explain>文本全半角错误。</explain>
      <paraID>2F838E68</paraID>
      <start>10</start>
      <end>11</end>
      <status>unmodified</status>
      <modifiedWord/>
      <trackRevisions>false</trackRevisions>
    </reviewItem>
    <reviewItem>
      <errorID>bd01bf18-ae58-4875-9fb1-dc059312e01a</errorID>
      <errorWord>-</errorWord>
      <group>L1_Format</group>
      <groupName>格式问题</groupName>
      <ability>L2_HalfPunc_CN</ability>
      <abilityName/>
      <candidateList>
        <item>－</item>
      </candidateList>
      <explain>文本全半角错误。</explain>
      <paraID>258CAB3C</paraID>
      <start>10</start>
      <end>11</end>
      <status>unmodified</status>
      <modifiedWord/>
      <trackRevisions>false</trackRevisions>
    </reviewItem>
    <reviewItem>
      <errorID>2a1a9e38-554c-4859-bcab-d5d1143728bc</errorID>
      <errorWord>-</errorWord>
      <group>L1_Format</group>
      <groupName>格式问题</groupName>
      <ability>L2_HalfPunc_CN</ability>
      <abilityName/>
      <candidateList>
        <item>－</item>
      </candidateList>
      <explain>文本全半角错误。</explain>
      <paraID>52E0C37C</paraID>
      <start>7</start>
      <end>8</end>
      <status>unmodified</status>
      <modifiedWord/>
      <trackRevisions>false</trackRevisions>
    </reviewItem>
    <reviewItem>
      <errorID>a74748cd-2f90-47d7-ae2e-19ab9421e039</errorID>
      <errorWord>-</errorWord>
      <group>L1_Format</group>
      <groupName>格式问题</groupName>
      <ability>L2_HalfPunc_CN</ability>
      <abilityName/>
      <candidateList>
        <item>－</item>
      </candidateList>
      <explain>文本全半角错误。</explain>
      <paraID>4EA7B11B</paraID>
      <start>18</start>
      <end>19</end>
      <status>unmodified</status>
      <modifiedWord/>
      <trackRevisions>false</trackRevisions>
    </reviewItem>
    <reviewItem>
      <errorID>b9326285-9b00-4348-a601-2c6a6d5782c4</errorID>
      <errorWord>-</errorWord>
      <group>L1_Format</group>
      <groupName>格式问题</groupName>
      <ability>L2_HalfPunc_CN</ability>
      <abilityName/>
      <candidateList>
        <item>－</item>
      </candidateList>
      <explain>文本全半角错误。</explain>
      <paraID>4EA7B11B</paraID>
      <start>38</start>
      <end>39</end>
      <status>unmodified</status>
      <modifiedWord/>
      <trackRevisions>false</trackRevisions>
    </reviewItem>
    <reviewItem>
      <errorID>2f3174dc-40e5-4642-a2b4-a2dc8ce9137c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737B5740</paraID>
      <start>0</start>
      <end>2</end>
      <status>unmodified</status>
      <modifiedWord/>
      <trackRevisions>false</trackRevisions>
    </reviewItem>
    <reviewItem>
      <errorID>8d1eb427-e2f3-4664-a98e-dcc94c629e50</errorID>
      <errorWord>)</errorWord>
      <group>L1_Format</group>
      <groupName>格式问题</groupName>
      <ability>L2_HalfPunc_CN</ability>
      <abilityName/>
      <candidateList>
        <item>）</item>
      </candidateList>
      <explain>文本全半角错误。</explain>
      <paraID>737B5740</paraID>
      <start>41</start>
      <end>42</end>
      <status>unmodified</status>
      <modifiedWord/>
      <trackRevisions>false</trackRevisions>
    </reviewItem>
    <reviewItem>
      <errorID>3ea2be2e-2ddd-4f79-84bf-33e6a9700fdc</errorID>
      <errorWord>)</errorWord>
      <group>L1_Format</group>
      <groupName>格式问题</groupName>
      <ability>L2_HalfPunc_CN</ability>
      <abilityName/>
      <candidateList>
        <item>）</item>
      </candidateList>
      <explain>文本全半角错误。</explain>
      <paraID>48F56413</paraID>
      <start>39</start>
      <end>40</end>
      <status>unmodified</status>
      <modifiedWord/>
      <trackRevisions>false</trackRevisions>
    </reviewItem>
    <reviewItem>
      <errorID>1987a08e-c8b7-4ebb-9b99-012fc456c176</errorID>
      <errorWord>)</errorWord>
      <group>L1_Format</group>
      <groupName>格式问题</groupName>
      <ability>L2_HalfPunc_CN</ability>
      <abilityName/>
      <candidateList>
        <item>）</item>
      </candidateList>
      <explain>文本全半角错误。</explain>
      <paraID>2F6AC829</paraID>
      <start>39</start>
      <end>40</end>
      <status>unmodified</status>
      <modifiedWord/>
      <trackRevisions>false</trackRevisions>
    </reviewItem>
    <reviewItem>
      <errorID>165e2824-d416-4949-ad02-10ea3bc560b8</errorID>
      <errorWord>......</errorWord>
      <group>L1_Punc</group>
      <groupName>标点问题</groupName>
      <ability>L2_Punc_CN</ability>
      <abilityName/>
      <candidateList>
        <item>……</item>
      </candidateList>
      <explain/>
      <paraID> 82974D4</paraID>
      <start>0</start>
      <end>6</end>
      <status>unmodified</status>
      <modifiedWord/>
      <trackRevisions>false</trackRevisions>
    </reviewItem>
    <reviewItem>
      <errorID>cad06e47-74f0-41a9-9239-56a0aeb2d2f2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31DBC9A3</paraID>
      <start>0</start>
      <end>2</end>
      <status>unmodified</status>
      <modifiedWord/>
      <trackRevisions>false</trackRevisions>
    </reviewItem>
    <reviewItem>
      <errorID>7c94c61c-c4d2-4cb3-ae45-59075efcba43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6972DC19</paraID>
      <start>0</start>
      <end>2</end>
      <status>unmodified</status>
      <modifiedWord/>
      <trackRevisions>false</trackRevisions>
    </reviewItem>
    <reviewItem>
      <errorID>35743572-da50-4711-8c5d-89bd134e906b</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3D4E2AC1</paraID>
      <start>0</start>
      <end>2</end>
      <status>unmodified</status>
      <modifiedWord/>
      <trackRevisions>false</trackRevisions>
    </reviewItem>
    <reviewItem>
      <errorID>b38b8ed6-3789-4d84-bc24-296148a67b4d</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62593616</paraID>
      <start>0</start>
      <end>2</end>
      <status>unmodified</status>
      <modifiedWord/>
      <trackRevisions>false</trackRevisions>
    </reviewItem>
    <reviewItem>
      <errorID>dfccaa77-a102-4d3f-b764-8ff268133ac7</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6F2EE60F</paraID>
      <start>0</start>
      <end>2</end>
      <status>unmodified</status>
      <modifiedWord/>
      <trackRevisions>false</trackRevisions>
    </reviewItem>
    <reviewItem>
      <errorID>02638b3a-c170-4b52-b403-b768489bda2f</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1A58735C</paraID>
      <start>0</start>
      <end>2</end>
      <status>unmodified</status>
      <modifiedWord/>
      <trackRevisions>false</trackRevisions>
    </reviewItem>
    <reviewItem>
      <errorID>97c9902f-15ac-4b32-8c4a-47d651205b34</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5F7E7BBC</paraID>
      <start>0</start>
      <end>2</end>
      <status>unmodified</status>
      <modifiedWord/>
      <trackRevisions>false</trackRevisions>
    </reviewItem>
    <reviewItem>
      <errorID>300cc81f-17bd-4ed1-b9db-a8ec5bdd4abb</errorID>
      <errorWord>本</errorWord>
      <group>L1_Word</group>
      <groupName>字词问题</groupName>
      <ability>L2_Typo</ability>
      <abilityName>字词错误</abilityName>
      <candidateList>
        <item>本次</item>
      </candidateList>
      <explain/>
      <paraID>5F7E7BBC</paraID>
      <start>14</start>
      <end>15</end>
      <status>unmodified</status>
      <modifiedWord/>
      <trackRevisions>false</trackRevisions>
    </reviewItem>
    <reviewItem>
      <errorID>59e9b90f-a029-4a06-bee9-6123bbb9285f</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1DAA4D68</paraID>
      <start>0</start>
      <end>2</end>
      <status>unmodified</status>
      <modifiedWord/>
      <trackRevisions>false</trackRevisions>
    </reviewItem>
    <reviewItem>
      <errorID>12453479-306d-4c53-a310-16128f1e0883</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337D01BE</paraID>
      <start>0</start>
      <end>3</end>
      <status>unmodified</status>
      <modifiedWord/>
      <trackRevisions>false</trackRevisions>
    </reviewItem>
    <reviewItem>
      <errorID>a051ce5c-1250-4059-a72d-467fbea27855</errorID>
      <errorWord>-</errorWord>
      <group>L1_Format</group>
      <groupName>格式问题</groupName>
      <ability>L2_HalfPunc_CN</ability>
      <abilityName/>
      <candidateList>
        <item>－</item>
      </candidateList>
      <explain>文本全半角错误。</explain>
      <paraID>36E381F0</paraID>
      <start>10</start>
      <end>11</end>
      <status>unmodified</status>
      <modifiedWord/>
      <trackRevisions>false</trackRevisions>
    </reviewItem>
    <reviewItem>
      <errorID>c05a7f82-cc61-4bdc-b4c6-81c7afe65b93</errorID>
      <errorWord>-</errorWord>
      <group>L1_Format</group>
      <groupName>格式问题</groupName>
      <ability>L2_HalfPunc_CN</ability>
      <abilityName/>
      <candidateList>
        <item>－</item>
      </candidateList>
      <explain>文本全半角错误。</explain>
      <paraID>36E381F0</paraID>
      <start>27</start>
      <end>28</end>
      <status>unmodified</status>
      <modifiedWord/>
      <trackRevisions>false</trackRevisions>
    </reviewItem>
    <reviewItem>
      <errorID>53772ff0-cee2-4768-9ee5-38aeedb018bd</errorID>
      <errorWord>(</errorWord>
      <group>L1_Format</group>
      <groupName>格式问题</groupName>
      <ability>L2_HalfPunc_CN</ability>
      <abilityName/>
      <candidateList>
        <item>（</item>
      </candidateList>
      <explain>文本全半角错误。</explain>
      <paraID>14E6F0FB</paraID>
      <start>2</start>
      <end>3</end>
      <status>unmodified</status>
      <modifiedWord/>
      <trackRevisions>false</trackRevisions>
    </reviewItem>
    <reviewItem>
      <errorID>2f619da5-a684-4d63-bb39-aeb1c16699a6</errorID>
      <errorWord>)</errorWord>
      <group>L1_Format</group>
      <groupName>格式问题</groupName>
      <ability>L2_HalfPunc_CN</ability>
      <abilityName/>
      <candidateList>
        <item>）</item>
      </candidateList>
      <explain>文本全半角错误。</explain>
      <paraID>14E6F0FB</paraID>
      <start>4</start>
      <end>5</end>
      <status>unmodified</status>
      <modifiedWord/>
      <trackRevisions>false</trackRevisions>
    </reviewItem>
    <reviewItem>
      <errorID>5df03c0a-2787-4977-bd94-186a81369ad6</errorID>
      <errorWord>＝</errorWord>
      <group>L1_Format</group>
      <groupName>格式问题</groupName>
      <ability>L2_HalfPunc_CN</ability>
      <abilityName/>
      <candidateList>
        <item>=</item>
      </candidateList>
      <explain>文本全半角错误。</explain>
      <paraID>61E4803E</paraID>
      <start>1</start>
      <end>2</end>
      <status>unmodified</status>
      <modifiedWord/>
      <trackRevisions>false</trackRevisions>
    </reviewItem>
    <reviewItem>
      <errorID>5b71ac9e-9c2f-4fd9-b0e0-7189da9ae81c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2B24C93E</paraID>
      <start>0</start>
      <end>2</end>
      <status>unmodified</status>
      <modifiedWord/>
      <trackRevisions>false</trackRevisions>
    </reviewItem>
    <reviewItem>
      <errorID>72333053-b8b1-4b91-afc4-1833115ded65</errorID>
      <errorWord>,</errorWord>
      <group>L1_Format</group>
      <groupName>格式问题</groupName>
      <ability>L2_HalfPunc_CN</ability>
      <abilityName/>
      <candidateList>
        <item>，</item>
      </candidateList>
      <explain>文本全半角错误。</explain>
      <paraID>2B24C93E</paraID>
      <start>26</start>
      <end>27</end>
      <status>unmodified</status>
      <modifiedWord/>
      <trackRevisions>false</trackRevisions>
    </reviewItem>
    <reviewItem>
      <errorID>33c4e375-544d-4402-b74a-9a3e4b0f9586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6CBA37AE</paraID>
      <start>0</start>
      <end>2</end>
      <status>unmodified</status>
      <modifiedWord/>
      <trackRevisions>false</trackRevisions>
    </reviewItem>
    <reviewItem>
      <errorID>46dfa8e9-cc7a-4a6b-8a39-0b65894e4d43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72E606DF</paraID>
      <start>0</start>
      <end>2</end>
      <status>unmodified</status>
      <modifiedWord/>
      <trackRevisions>false</trackRevisions>
    </reviewItem>
    <reviewItem>
      <errorID>2de677b2-a0cb-4eb0-b09a-0339ae954309</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D42BB5B</paraID>
      <start>0</start>
      <end>2</end>
      <status>unmodified</status>
      <modifiedWord/>
      <trackRevisions>false</trackRevisions>
    </reviewItem>
    <reviewItem>
      <errorID>4858ef89-58f2-4103-b478-b147b02f0f54</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47D86976</paraID>
      <start>0</start>
      <end>2</end>
      <status>unmodified</status>
      <modifiedWord/>
      <trackRevisions>false</trackRevisions>
    </reviewItem>
    <reviewItem>
      <errorID>cbe9eb9e-cf89-4e2b-8718-d2bf5fe043a4</errorID>
      <errorWord>，</errorWord>
      <group>L1_Word</group>
      <groupName>字词问题</groupName>
      <ability>L2_Typo</ability>
      <abilityName>字词错误</abilityName>
      <candidateList>
        <item>，将</item>
      </candidateList>
      <explain/>
      <paraID>47D86976</paraID>
      <start>72</start>
      <end>73</end>
      <status>unmodified</status>
      <modifiedWord/>
      <trackRevisions>false</trackRevisions>
    </reviewItem>
    <reviewItem>
      <errorID>ee30dbae-49ff-4627-b0c9-e059eb34afe3</errorID>
      <errorWord>-</errorWord>
      <group>L1_Format</group>
      <groupName>格式问题</groupName>
      <ability>L2_HalfPunc_CN</ability>
      <abilityName/>
      <candidateList>
        <item>－</item>
      </candidateList>
      <explain>文本全半角错误。</explain>
      <paraID> 4BF1022</paraID>
      <start>65</start>
      <end>66</end>
      <status>unmodified</status>
      <modifiedWord/>
      <trackRevisions>false</trackRevisions>
    </reviewItem>
    <reviewItem>
      <errorID>d5f21f57-4557-42ed-828f-461a32dd6795</errorID>
      <errorWord>-</errorWord>
      <group>L1_Format</group>
      <groupName>格式问题</groupName>
      <ability>L2_HalfPunc_CN</ability>
      <abilityName/>
      <candidateList>
        <item>－</item>
      </candidateList>
      <explain>文本全半角错误。</explain>
      <paraID> 4BF1022</paraID>
      <start>80</start>
      <end>81</end>
      <status>unmodified</status>
      <modifiedWord/>
      <trackRevisions>false</trackRevisions>
    </reviewItem>
    <reviewItem>
      <errorID>30b59a6d-c406-4406-b28f-f030effd9283</errorID>
      <errorWord>(</errorWord>
      <group>L1_Punc</group>
      <groupName>标点问题</groupName>
      <ability>L2_Punc_CN</ability>
      <abilityName/>
      <candidateList>
        <item/>
      </candidateList>
      <explain>同一形式括号套用。</explain>
      <paraID> DE08F4E</paraID>
      <start>0</start>
      <end>1</end>
      <status>unmodified</status>
      <modifiedWord/>
      <trackRevisions>false</trackRevisions>
    </reviewItem>
    <reviewItem>
      <errorID>c725e0b7-28e8-4eed-9e83-ad0a6102591d</errorID>
      <errorWord>（</errorWord>
      <group>L1_Punc</group>
      <groupName>标点问题</groupName>
      <ability>L2_Punc_CN</ability>
      <abilityName/>
      <candidateList/>
      <explain>同一形式括号套用。</explain>
      <paraID> DE08F4E</paraID>
      <start>26</start>
      <end>27</end>
      <status>unmodified</status>
      <modifiedWord/>
      <trackRevisions>false</trackRevisions>
    </reviewItem>
    <reviewItem>
      <errorID>296489c6-b99e-4cd8-b023-06d1193553b7</errorID>
      <errorWord>）</errorWord>
      <group>L1_Punc</group>
      <groupName>标点问题</groupName>
      <ability>L2_Punc_CN</ability>
      <abilityName/>
      <candidateList/>
      <explain>同一形式括号套用。</explain>
      <paraID> DE08F4E</paraID>
      <start>36</start>
      <end>37</end>
      <status>unmodified</status>
      <modifiedWord/>
      <trackRevisions>false</trackRevisions>
    </reviewItem>
    <reviewItem>
      <errorID>c71ed135-8db3-4436-b28c-567eb6a55210</errorID>
      <errorWord>)</errorWord>
      <group>L1_Punc</group>
      <groupName>标点问题</groupName>
      <ability>L2_Punc_CN</ability>
      <abilityName/>
      <candidateList/>
      <explain>同一形式括号套用。</explain>
      <paraID> DE08F4E</paraID>
      <start>53</start>
      <end>54</end>
      <status>unmodified</status>
      <modifiedWord/>
      <trackRevisions>false</trackRevisions>
    </reviewItem>
    <reviewItem>
      <errorID>6aeec910-e7d8-491f-9f98-9de502a49d9d</errorID>
      <errorWord>-</errorWord>
      <group>L1_Format</group>
      <groupName>格式问题</groupName>
      <ability>L2_HalfPunc_CN</ability>
      <abilityName/>
      <candidateList>
        <item>－</item>
      </candidateList>
      <explain>文本全半角错误。</explain>
      <paraID>57649706</paraID>
      <start>44</start>
      <end>45</end>
      <status>unmodified</status>
      <modifiedWord/>
      <trackRevisions>false</trackRevisions>
    </reviewItem>
    <reviewItem>
      <errorID>ae77f122-dbd7-4a3a-af9c-0cd02d98de4e</errorID>
      <errorWord>中国</errorWord>
      <group>L1_Sensitive</group>
      <groupName>敏感问题</groupName>
      <ability>L2_UserSensitive</ability>
      <abilityName>自定义敏感词</abilityName>
      <candidateList/>
      <explain>来自自定义敏感词库。</explain>
      <paraID>57649706</paraID>
      <start>63</start>
      <end>65</end>
      <status>unmodified</status>
      <modifiedWord/>
      <trackRevisions>false</trackRevisions>
    </reviewItem>
    <reviewItem>
      <errorID>6e535206-b333-432d-b8dd-2a8fcf0e6cd4</errorID>
      <errorWord>法律、法规</errorWord>
      <group>L1_Word</group>
      <groupName>字词问题</groupName>
      <ability>L2_Typo</ability>
      <abilityName>字词错误</abilityName>
      <candidateList>
        <item>法律法规</item>
      </candidateList>
      <explain/>
      <paraID>57649706</paraID>
      <start>69</start>
      <end>74</end>
      <status>unmodified</status>
      <modifiedWord/>
      <trackRevisions>false</trackRevisions>
    </reviewItem>
    <reviewItem>
      <errorID>acb02bb6-d169-46cc-b9fc-1afc27104957</errorID>
      <errorWord>中国</errorWord>
      <group>L1_Sensitive</group>
      <groupName>敏感问题</groupName>
      <ability>L2_UserSensitive</ability>
      <abilityName>自定义敏感词</abilityName>
      <candidateList/>
      <explain>来自自定义敏感词库。</explain>
      <paraID>57649706</paraID>
      <start>85</start>
      <end>87</end>
      <status>unmodified</status>
      <modifiedWord/>
      <trackRevisions>false</trackRevisions>
    </reviewItem>
    <reviewItem>
      <errorID>a5e6483f-a2a1-4290-80f6-d3548ee3b3ea</errorID>
      <errorWord>法律、法规</errorWord>
      <group>L1_Word</group>
      <groupName>字词问题</groupName>
      <ability>L2_Typo</ability>
      <abilityName>字词错误</abilityName>
      <candidateList>
        <item>法律法规</item>
      </candidateList>
      <explain/>
      <paraID>57649706</paraID>
      <start>146</start>
      <end>151</end>
      <status>unmodified</status>
      <modifiedWord/>
      <trackRevisions>false</trackRevisions>
    </reviewItem>
    <reviewItem>
      <errorID>525b0343-72bc-4a49-88b3-11eccb082821</errorID>
      <errorWord>(</errorWord>
      <group>L1_Format</group>
      <groupName>格式问题</groupName>
      <ability>L2_HalfPunc_CN</ability>
      <abilityName/>
      <candidateList>
        <item>（</item>
      </candidateList>
      <explain>文本全半角错误。</explain>
      <paraID>3C830E50</paraID>
      <start>5</start>
      <end>6</end>
      <status>unmodified</status>
      <modifiedWord/>
      <trackRevisions>false</trackRevisions>
    </reviewItem>
    <reviewItem>
      <errorID>e38efda8-187c-4530-a690-f351273e3d9b</errorID>
      <errorWord>)</errorWord>
      <group>L1_Format</group>
      <groupName>格式问题</groupName>
      <ability>L2_HalfPunc_CN</ability>
      <abilityName/>
      <candidateList>
        <item>）</item>
      </candidateList>
      <explain>文本全半角错误。</explain>
      <paraID>3C830E50</paraID>
      <start>10</start>
      <end>11</end>
      <status>unmodified</status>
      <modifiedWord/>
      <trackRevisions>false</trackRevisions>
    </reviewItem>
    <reviewItem>
      <errorID>c78662c7-c2b4-496c-8b31-c9140de32067</errorID>
      <errorWord>中国</errorWord>
      <group>L1_Sensitive</group>
      <groupName>敏感问题</groupName>
      <ability>L2_UserSensitive</ability>
      <abilityName>自定义敏感词</abilityName>
      <candidateList/>
      <explain>来自自定义敏感词库。</explain>
      <paraID>17AE5267</paraID>
      <start>17</start>
      <end>19</end>
      <status>unmodified</status>
      <modifiedWord/>
      <trackRevisions>false</trackRevisions>
    </reviewItem>
    <reviewItem>
      <errorID>c42003c8-c21a-4f4d-8975-8a5245501ffc</errorID>
      <errorWord>-</errorWord>
      <group>L1_Format</group>
      <groupName>格式问题</groupName>
      <ability>L2_HalfPunc_CN</ability>
      <abilityName/>
      <candidateList>
        <item>－</item>
      </candidateList>
      <explain>文本全半角错误。</explain>
      <paraID>17AE5267</paraID>
      <start>91</start>
      <end>92</end>
      <status>unmodified</status>
      <modifiedWord/>
      <trackRevisions>false</trackRevisions>
    </reviewItem>
    <reviewItem>
      <errorID>195236f4-470e-4eb0-9ad8-1c04dda73fee</errorID>
      <errorWord>-</errorWord>
      <group>L1_Format</group>
      <groupName>格式问题</groupName>
      <ability>L2_HalfPunc_CN</ability>
      <abilityName/>
      <candidateList>
        <item>－</item>
      </candidateList>
      <explain>文本全半角错误。</explain>
      <paraID>17AE5267</paraID>
      <start>105</start>
      <end>106</end>
      <status>unmodified</status>
      <modifiedWord/>
      <trackRevisions>false</trackRevisions>
    </reviewItem>
    <reviewItem>
      <errorID>d6c4840f-9366-4693-a20b-01dcaae3b750</errorID>
      <errorWord>[2014]68号</errorWord>
      <group>L1_Knowledge</group>
      <groupName>知识性问题</groupName>
      <ability>L2_Knowledge</ability>
      <abilityName>其他知识</abilityName>
      <candidateList>
        <item>〔2014〕68号</item>
      </candidateList>
      <explain>发文字号格式错误。</explain>
      <paraID> 42DDEB1</paraID>
      <start>116</start>
      <end>125</end>
      <status>unmodified</status>
      <modifiedWord/>
      <trackRevisions>false</trackRevisions>
    </reviewItem>
    <reviewItem>
      <errorID>4cfba64b-b68c-4935-87bd-43c0dbbad35e</errorID>
      <errorWord>-</errorWord>
      <group>L1_Format</group>
      <groupName>格式问题</groupName>
      <ability>L2_HalfPunc_CN</ability>
      <abilityName/>
      <candidateList>
        <item>－</item>
      </candidateList>
      <explain>文本全半角错误。</explain>
      <paraID>71534F24</paraID>
      <start>5</start>
      <end>6</end>
      <status>unmodified</status>
      <modifiedWord/>
      <trackRevisions>false</trackRevisions>
    </reviewItem>
    <reviewItem>
      <errorID>7d605d9e-710c-4b93-9c7d-eaaa8d898e41</errorID>
      <errorWord>-</errorWord>
      <group>L1_Format</group>
      <groupName>格式问题</groupName>
      <ability>L2_HalfPunc_CN</ability>
      <abilityName/>
      <candidateList>
        <item>－</item>
      </candidateList>
      <explain>文本全半角错误。</explain>
      <paraID>384155F0</paraID>
      <start>12</start>
      <end>13</end>
      <status>unmodified</status>
      <modifiedWord/>
      <trackRevisions>false</trackRevisions>
    </reviewItem>
    <reviewItem>
      <errorID>0a443abf-142a-425a-ab53-e9abf7aafc29</errorID>
      <errorWord>-</errorWord>
      <group>L1_Format</group>
      <groupName>格式问题</groupName>
      <ability>L2_HalfPunc_CN</ability>
      <abilityName/>
      <candidateList>
        <item>－</item>
      </candidateList>
      <explain>文本全半角错误。</explain>
      <paraID>41619613</paraID>
      <start>9</start>
      <end>10</end>
      <status>unmodified</status>
      <modifiedWord/>
      <trackRevisions>false</trackRevisions>
    </reviewItem>
    <reviewItem>
      <errorID>4f7b98bb-c6ce-4281-8f06-cedcc26da0c1</errorID>
      <errorWord>-</errorWord>
      <group>L1_Format</group>
      <groupName>格式问题</groupName>
      <ability>L2_HalfPunc_CN</ability>
      <abilityName/>
      <candidateList>
        <item>－</item>
      </candidateList>
      <explain>文本全半角错误。</explain>
      <paraID>649FBA02</paraID>
      <start>9</start>
      <end>10</end>
      <status>unmodified</status>
      <modifiedWord/>
      <trackRevisions>false</trackRevisions>
    </reviewItem>
    <reviewItem>
      <errorID>c5987817-928f-4daf-bfa9-4d231cba1fe9</errorID>
      <errorWord>》、《</errorWord>
      <group>L1_Punc</group>
      <groupName>标点问题</groupName>
      <ability>L2_Punc_CN</ability>
      <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7E5F9466</paraID>
      <start>13</start>
      <end>16</end>
      <status>unmodified</status>
      <modifiedWord/>
      <trackRevisions>false</trackRevisions>
    </reviewItem>
    <reviewItem>
      <errorID>a5ffa90e-351f-4258-8a27-18ce720da4f7</errorID>
      <errorWord>-</errorWord>
      <group>L1_Format</group>
      <groupName>格式问题</groupName>
      <ability>L2_HalfPunc_CN</ability>
      <abilityName/>
      <candidateList>
        <item>－</item>
      </candidateList>
      <explain>文本全半角错误。</explain>
      <paraID>7E5F9466</paraID>
      <start>65</start>
      <end>66</end>
      <status>unmodified</status>
      <modifiedWord/>
      <trackRevisions>false</trackRevisions>
    </reviewItem>
    <reviewItem>
      <errorID>940d8aa9-8f54-4409-ad90-d8fad3bc0939</errorID>
      <errorWord>(</errorWord>
      <group>L1_Format</group>
      <groupName>格式问题</groupName>
      <ability>L2_HalfPunc_CN</ability>
      <abilityName/>
      <candidateList>
        <item>（</item>
      </candidateList>
      <explain>文本全半角错误。</explain>
      <paraID>7E5F9466</paraID>
      <start>70</start>
      <end>71</end>
      <status>unmodified</status>
      <modifiedWord/>
      <trackRevisions>false</trackRevisions>
    </reviewItem>
    <reviewItem>
      <errorID>fdc57cb1-b56d-4616-b26b-6aaf21f6293a</errorID>
      <errorWord>)</errorWord>
      <group>L1_Format</group>
      <groupName>格式问题</groupName>
      <ability>L2_HalfPunc_CN</ability>
      <abilityName/>
      <candidateList>
        <item>）</item>
      </candidateList>
      <explain>文本全半角错误。</explain>
      <paraID>7E5F9466</paraID>
      <start>78</start>
      <end>79</end>
      <status>unmodified</status>
      <modifiedWord/>
      <trackRevisions>false</trackRevisions>
    </reviewItem>
    <reviewItem>
      <errorID>04d936a2-351c-42cf-b2a6-a6c3553bfc92</errorID>
      <errorWord>(</errorWord>
      <group>L1_Format</group>
      <groupName>格式问题</groupName>
      <ability>L2_HalfPunc_CN</ability>
      <abilityName/>
      <candidateList>
        <item>（</item>
      </candidateList>
      <explain>文本全半角错误。</explain>
      <paraID>7E5F9466</paraID>
      <start>90</start>
      <end>91</end>
      <status>unmodified</status>
      <modifiedWord/>
      <trackRevisions>false</trackRevisions>
    </reviewItem>
    <reviewItem>
      <errorID>46fa700d-0876-4145-8434-1ab6be3533b5</errorID>
      <errorWord>)</errorWord>
      <group>L1_Format</group>
      <groupName>格式问题</groupName>
      <ability>L2_HalfPunc_CN</ability>
      <abilityName/>
      <candidateList>
        <item>）</item>
      </candidateList>
      <explain>文本全半角错误。</explain>
      <paraID>7E5F9466</paraID>
      <start>98</start>
      <end>99</end>
      <status>unmodified</status>
      <modifiedWord/>
      <trackRevisions>false</trackRevisions>
    </reviewItem>
    <reviewItem>
      <errorID>576f280c-18d4-4449-b469-94983dad0b4c</errorID>
      <errorWord>视</errorWord>
      <group>L1_Word</group>
      <groupName>字词问题</groupName>
      <ability>L2_Typo</ability>
      <abilityName>字词错误</abilityName>
      <candidateList>
        <item>视为</item>
      </candidateList>
      <explain/>
      <paraID>4CBD1430</paraID>
      <start>101</start>
      <end>102</end>
      <status>unmodified</status>
      <modifiedWord/>
      <trackRevisions>false</trackRevisions>
    </reviewItem>
    <reviewItem>
      <errorID>4775c34c-e045-41a5-bcec-4c229e31f99d</errorID>
      <errorWord>:</errorWord>
      <group>L1_Format</group>
      <groupName>格式问题</groupName>
      <ability>L2_HalfPunc_CN</ability>
      <abilityName/>
      <candidateList>
        <item>：</item>
      </candidateList>
      <explain>文本全半角错误。</explain>
      <paraID>12EC58C9</paraID>
      <start>39</start>
      <end>40</end>
      <status>unmodified</status>
      <modifiedWord/>
      <trackRevisions>false</trackRevisions>
    </reviewItem>
    <reviewItem>
      <errorID>a3d1b101-5291-43c0-8ea8-4015c0e84676</errorID>
      <errorWord>:</errorWord>
      <group>L1_Format</group>
      <groupName>格式问题</groupName>
      <ability>L2_HalfPunc_CN</ability>
      <abilityName/>
      <candidateList>
        <item>：</item>
      </candidateList>
      <explain>文本全半角错误。</explain>
      <paraID>2B19C64E</paraID>
      <start>2</start>
      <end>3</end>
      <status>unmodified</status>
      <modifiedWord/>
      <trackRevisions>false</trackRevisions>
    </reviewItem>
    <reviewItem>
      <errorID>88254556-56ce-4da1-bbf6-dfde62e60200</errorID>
      <errorWord>:</errorWord>
      <group>L1_Format</group>
      <groupName>格式问题</groupName>
      <ability>L2_HalfPunc_CN</ability>
      <abilityName/>
      <candidateList>
        <item>：</item>
      </candidateList>
      <explain>文本全半角错误。</explain>
      <paraID>2B19C64E</paraID>
      <start>41</start>
      <end>42</end>
      <status>unmodified</status>
      <modifiedWord/>
      <trackRevisions>false</trackRevisions>
    </reviewItem>
    <reviewItem>
      <errorID>7a8f1b44-24e3-47a8-b092-12356a16d169</errorID>
      <errorWord>:</errorWord>
      <group>L1_Format</group>
      <groupName>格式问题</groupName>
      <ability>L2_HalfPunc_CN</ability>
      <abilityName/>
      <candidateList>
        <item>：</item>
      </candidateList>
      <explain>文本全半角错误。</explain>
      <paraID>2AD5E92D</paraID>
      <start>2</start>
      <end>3</end>
      <status>unmodified</status>
      <modifiedWord/>
      <trackRevisions>false</trackRevisions>
    </reviewItem>
    <reviewItem>
      <errorID>6edc64d0-77bb-46db-b25f-76b2abb95872</errorID>
      <errorWord>:</errorWord>
      <group>L1_Format</group>
      <groupName>格式问题</groupName>
      <ability>L2_HalfPunc_CN</ability>
      <abilityName/>
      <candidateList>
        <item>：</item>
      </candidateList>
      <explain>文本全半角错误。</explain>
      <paraID>2AD5E92D</paraID>
      <start>41</start>
      <end>42</end>
      <status>unmodified</status>
      <modifiedWord/>
      <trackRevisions>false</trackRevisions>
    </reviewItem>
    <reviewItem>
      <errorID>ef25ac04-30b4-4ee2-8619-3e8d7ea198dc</errorID>
      <errorWord>件</errorWord>
      <group>L1_Word</group>
      <groupName>字词问题</groupName>
      <ability>L2_Typo</ability>
      <abilityName>字词错误</abilityName>
      <candidateList>
        <item>件中</item>
      </candidateList>
      <explain/>
      <paraID>14CD7D9C</paraID>
      <start>17</start>
      <end>18</end>
      <status>unmodified</status>
      <modifiedWord/>
      <trackRevisions>false</trackRevisions>
    </reviewItem>
    <reviewItem>
      <errorID>272999f4-0687-4a5b-bb73-9e1645a8b15d</errorID>
      <errorWord>(</errorWord>
      <group>L1_Format</group>
      <groupName>格式问题</groupName>
      <ability>L2_HalfPunc_CN</ability>
      <abilityName/>
      <candidateList>
        <item>（</item>
      </candidateList>
      <explain>文本全半角错误。</explain>
      <paraID>14CD7D9C</paraID>
      <start>32</start>
      <end>33</end>
      <status>unmodified</status>
      <modifiedWord/>
      <trackRevisions>false</trackRevisions>
    </reviewItem>
    <reviewItem>
      <errorID>367d1e6b-b26a-40a9-b52f-20e295b5a103</errorID>
      <errorWord>)</errorWord>
      <group>L1_Format</group>
      <groupName>格式问题</groupName>
      <ability>L2_HalfPunc_CN</ability>
      <abilityName/>
      <candidateList>
        <item>）</item>
      </candidateList>
      <explain>文本全半角错误。</explain>
      <paraID>14CD7D9C</paraID>
      <start>38</start>
      <end>39</end>
      <status>unmodified</status>
      <modifiedWord/>
      <trackRevisions>false</trackRevisions>
    </reviewItem>
    <reviewItem>
      <errorID>6e9b72bb-b95d-46a5-8a3d-a1c51143ee4f</errorID>
      <errorWord>(</errorWord>
      <group>L1_Format</group>
      <groupName>格式问题</groupName>
      <ability>L2_HalfPunc_CN</ability>
      <abilityName/>
      <candidateList>
        <item>（</item>
      </candidateList>
      <explain>文本全半角错误。</explain>
      <paraID>14CD7D9C</paraID>
      <start>48</start>
      <end>49</end>
      <status>unmodified</status>
      <modifiedWord/>
      <trackRevisions>false</trackRevisions>
    </reviewItem>
    <reviewItem>
      <errorID>280f533d-9c2f-42fd-adc4-1ae5f66db8be</errorID>
      <errorWord>)</errorWord>
      <group>L1_Format</group>
      <groupName>格式问题</groupName>
      <ability>L2_HalfPunc_CN</ability>
      <abilityName/>
      <candidateList>
        <item>）</item>
      </candidateList>
      <explain>文本全半角错误。</explain>
      <paraID>14CD7D9C</paraID>
      <start>58</start>
      <end>59</end>
      <status>unmodified</status>
      <modifiedWord/>
      <trackRevisions>false</trackRevisions>
    </reviewItem>
    <reviewItem>
      <errorID>68941cbe-ba88-466c-adff-fe7d65ecca35</errorID>
      <errorWord>,</errorWord>
      <group>L1_Format</group>
      <groupName>格式问题</groupName>
      <ability>L2_HalfPunc_CN</ability>
      <abilityName/>
      <candidateList>
        <item>，</item>
      </candidateList>
      <explain>文本全半角错误。</explain>
      <paraID> 241AD89</paraID>
      <start>17</start>
      <end>18</end>
      <status>unmodified</status>
      <modifiedWord/>
      <trackRevisions>false</trackRevisions>
    </reviewItem>
    <reviewItem>
      <errorID>d759e69d-248e-4b4b-8d25-204ffd143e04</errorID>
      <errorWord>,</errorWord>
      <group>L1_Format</group>
      <groupName>格式问题</groupName>
      <ability>L2_HalfPunc_CN</ability>
      <abilityName/>
      <candidateList>
        <item>，</item>
      </candidateList>
      <explain>文本全半角错误。</explain>
      <paraID> 241AD89</paraID>
      <start>28</start>
      <end>29</end>
      <status>unmodified</status>
      <modifiedWord/>
      <trackRevisions>false</trackRevisions>
    </reviewItem>
    <reviewItem>
      <errorID>8d04b212-3bc8-400b-9ea6-3e9611399ad2</errorID>
      <errorWord>法律、法规</errorWord>
      <group>L1_Word</group>
      <groupName>字词问题</groupName>
      <ability>L2_Typo</ability>
      <abilityName>字词错误</abilityName>
      <candidateList>
        <item>法律法规</item>
      </candidateList>
      <explain/>
      <paraID> 241AD89</paraID>
      <start>85</start>
      <end>90</end>
      <status>unmodified</status>
      <modifiedWord/>
      <trackRevisions>false</trackRevisions>
    </reviewItem>
    <reviewItem>
      <errorID>8529629f-81a8-413c-8c7a-4cf90c520bca</errorID>
      <errorWord>,</errorWord>
      <group>L1_Format</group>
      <groupName>格式问题</groupName>
      <ability>L2_HalfPunc_CN</ability>
      <abilityName/>
      <candidateList>
        <item>，</item>
      </candidateList>
      <explain>文本全半角错误。</explain>
      <paraID>5BDCF8FA</paraID>
      <start>11</start>
      <end>12</end>
      <status>unmodified</status>
      <modifiedWord/>
      <trackRevisions>false</trackRevisions>
    </reviewItem>
    <reviewItem>
      <errorID>d2d6f8e7-e2c4-4b7d-997e-795e3d252bd0</errorID>
      <errorWord>书就</errorWord>
      <group>L1_Word</group>
      <groupName>字词问题</groupName>
      <ability>L2_Typo</ability>
      <abilityName>字词错误</abilityName>
      <candidateList>
        <item>书写</item>
      </candidateList>
      <explain/>
      <paraID>615435F0</paraID>
      <start>13</start>
      <end>15</end>
      <status>unmodified</status>
      <modifiedWord/>
      <trackRevisions>false</trackRevisions>
    </reviewItem>
    <reviewItem>
      <errorID>9c76ad31-9b57-4ac8-b6da-a48ad7b325fb</errorID>
      <errorWord>壹</errorWord>
      <group>L1_Word</group>
      <groupName>字词问题</groupName>
      <ability>L2_Typo</ability>
      <abilityName>字词错误</abilityName>
      <candidateList>
        <item>一</item>
      </candidateList>
      <explain>存在发音相同字词的误用。</explain>
      <paraID>14B734A9</paraID>
      <start>3</start>
      <end>4</end>
      <status>unmodified</status>
      <modifiedWord/>
      <trackRevisions>false</trackRevisions>
    </reviewItem>
    <reviewItem>
      <errorID>d2ba0903-d5b0-4b85-a4ef-20ba0cd1e84f</errorID>
      <errorWord>既</errorWord>
      <group>L1_Word</group>
      <groupName>字词问题</groupName>
      <ability>L2_Typo</ability>
      <abilityName>字词错误</abilityName>
      <candidateList>
        <item>即</item>
      </candidateList>
      <explain>〈书〉❶就是：荷花～莲花｜非此～彼。❷〈副〉就；便：一触～发｜招之～来｜闻过～改。❸〈连〉即使：～无他方之支援，也能按期完成任务。参看733页“就2”。</explain>
      <paraID>1EAD8327</paraID>
      <start>105</start>
      <end>106</end>
      <status>unmodified</status>
      <modifiedWord/>
      <trackRevisions>false</trackRevisions>
    </reviewItem>
    <reviewItem>
      <errorID>9d52bb7e-0492-4c25-8b57-3477b69256c9</errorID>
      <errorWord>[2019]217号</errorWord>
      <group>L1_Knowledge</group>
      <groupName>知识性问题</groupName>
      <ability>L2_Knowledge</ability>
      <abilityName>其他知识</abilityName>
      <candidateList>
        <item>〔2019〕217号</item>
      </candidateList>
      <explain>发文字号格式错误。</explain>
      <paraID>4053411C</paraID>
      <start>35</start>
      <end>45</end>
      <status>unmodified</status>
      <modifiedWord/>
      <trackRevisions>false</trackRevisions>
    </reviewItem>
    <reviewItem>
      <errorID>35778e8a-28d5-463f-9ce3-ba511cdc552d</errorID>
      <errorWord>-</errorWord>
      <group>L1_Format</group>
      <groupName>格式问题</groupName>
      <ability>L2_HalfPunc_CN</ability>
      <abilityName/>
      <candidateList>
        <item>－</item>
      </candidateList>
      <explain>文本全半角错误。</explain>
      <paraID>60A5106B</paraID>
      <start>13</start>
      <end>14</end>
      <status>unmodified</status>
      <modifiedWord/>
      <trackRevisions>false</trackRevisions>
    </reviewItem>
    <reviewItem>
      <errorID>7f9912d7-d155-4aff-965a-552b1cf60daa</errorID>
      <errorWord>-</errorWord>
      <group>L1_Format</group>
      <groupName>格式问题</groupName>
      <ability>L2_HalfPunc_CN</ability>
      <abilityName/>
      <candidateList>
        <item>－</item>
      </candidateList>
      <explain>文本全半角错误。</explain>
      <paraID>408033B2</paraID>
      <start>13</start>
      <end>14</end>
      <status>unmodified</status>
      <modifiedWord/>
      <trackRevisions>false</trackRevisions>
    </reviewItem>
    <reviewItem>
      <errorID>c014166d-6e18-4bdf-9def-e9d2432c8794</errorID>
      <errorWord>-</errorWord>
      <group>L1_Format</group>
      <groupName>格式问题</groupName>
      <ability>L2_HalfPunc_CN</ability>
      <abilityName/>
      <candidateList>
        <item>－</item>
      </candidateList>
      <explain>文本全半角错误。</explain>
      <paraID> 80E6516</paraID>
      <start>11</start>
      <end>12</end>
      <status>unmodified</status>
      <modifiedWord/>
      <trackRevisions>false</trackRevisions>
    </reviewItem>
    <reviewItem>
      <errorID>d831bb45-59d6-436f-8eeb-a6118a5ef40e</errorID>
      <errorWord>采购文件采购文件</errorWord>
      <group>L1_Word</group>
      <groupName>字词问题</groupName>
      <ability>L2_Typo</ability>
      <abilityName>字词错误</abilityName>
      <candidateList>
        <item>采购文件</item>
      </candidateList>
      <explain/>
      <paraID>7C5C6305</paraID>
      <start>1</start>
      <end>9</end>
      <status>unmodified</status>
      <modifiedWord/>
      <trackRevisions>false</trackRevisions>
    </reviewItem>
    <reviewItem>
      <errorID>02ce0d7c-5b3d-48c3-b36c-706ca2644ecc</errorID>
      <errorWord>-</errorWord>
      <group>L1_Format</group>
      <groupName>格式问题</groupName>
      <ability>L2_HalfPunc_CN</ability>
      <abilityName/>
      <candidateList>
        <item>－</item>
      </candidateList>
      <explain>文本全半角错误。</explain>
      <paraID> AEFB757</paraID>
      <start>13</start>
      <end>14</end>
      <status>unmodified</status>
      <modifiedWord/>
      <trackRevisions>false</trackRevisions>
    </reviewItem>
    <reviewItem>
      <errorID>83b9ac12-cbde-4671-9068-33c6da62b9d4</errorID>
      <errorWord>-</errorWord>
      <group>L1_Format</group>
      <groupName>格式问题</groupName>
      <ability>L2_HalfPunc_CN</ability>
      <abilityName/>
      <candidateList>
        <item>－</item>
      </candidateList>
      <explain>文本全半角错误。</explain>
      <paraID>24799CBD</paraID>
      <start>13</start>
      <end>14</end>
      <status>unmodified</status>
      <modifiedWord/>
      <trackRevisions>false</trackRevisions>
    </reviewItem>
    <reviewItem>
      <errorID>43c6a717-e0b2-48d1-886b-69f16a1e6d48</errorID>
      <errorWord>-</errorWord>
      <group>L1_Format</group>
      <groupName>格式问题</groupName>
      <ability>L2_HalfPunc_CN</ability>
      <abilityName/>
      <candidateList>
        <item>－</item>
      </candidateList>
      <explain>文本全半角错误。</explain>
      <paraID>37AA2066</paraID>
      <start>11</start>
      <end>12</end>
      <status>unmodified</status>
      <modifiedWord/>
      <trackRevisions>false</trackRevisions>
    </reviewItem>
    <reviewItem>
      <errorID>e553a8a1-2c9d-4e29-8a3b-ef02bf4b3f87</errorID>
      <errorWord>-</errorWord>
      <group>L1_Format</group>
      <groupName>格式问题</groupName>
      <ability>L2_HalfPunc_CN</ability>
      <abilityName/>
      <candidateList>
        <item>－</item>
      </candidateList>
      <explain>文本全半角错误。</explain>
      <paraID>165A1A73</paraID>
      <start>12</start>
      <end>13</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E5399C3-0213-4069-9676-E591E412483C}">
  <ds:schemaRefs/>
</ds:datastoreItem>
</file>

<file path=docProps/app.xml><?xml version="1.0" encoding="utf-8"?>
<Properties xmlns="http://schemas.openxmlformats.org/officeDocument/2006/extended-properties" xmlns:vt="http://schemas.openxmlformats.org/officeDocument/2006/docPropsVTypes">
  <Template>Normal</Template>
  <Company>广西云龙招</Company>
  <Pages>117</Pages>
  <Words>21072</Words>
  <Characters>25657</Characters>
  <Lines>576</Lines>
  <Paragraphs>162</Paragraphs>
  <TotalTime>16</TotalTime>
  <ScaleCrop>false</ScaleCrop>
  <LinksUpToDate>false</LinksUpToDate>
  <CharactersWithSpaces>25840</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2026-05-19T03:04:00Z</dcterms:created>
  <dc:creator>唐</dc:creator>
  <cp:lastModifiedBy>WPS_1602214612</cp:lastModifiedBy>
  <dcterms:modified xsi:type="dcterms:W3CDTF">2026-06-01T07:01:03Z</dcterms:modified>
  <dc:title>竞争性谈判</dc:title>
  <cp:revision>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eyJoZGlkIjoiYzYyZDllODYwZmNjMmI1MzcyZGY0ODk5ZTE1MjMzZTIiLCJ1c2VySWQiOiIxMTI4ODcwMzU0In0=</vt:lpwstr>
  </property>
  <property fmtid="{D5CDD505-2E9C-101B-9397-08002B2CF9AE}" pid="3" name="KSOProductBuildVer">
    <vt:lpwstr>2052-12.1.0.26375</vt:lpwstr>
  </property>
  <property fmtid="{D5CDD505-2E9C-101B-9397-08002B2CF9AE}" pid="4" name="ICV">
    <vt:lpwstr>F62A084B67434B3DB9C7857E59B3409F_12</vt:lpwstr>
  </property>
</Properties>
</file>