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6A9E2">
      <w:pPr>
        <w:pStyle w:val="2"/>
        <w:keepNext w:val="0"/>
        <w:keepLines w:val="0"/>
        <w:shd w:val="clear" w:color="auto" w:fill="auto"/>
        <w:tabs>
          <w:tab w:val="left" w:pos="0"/>
          <w:tab w:val="left" w:pos="3165"/>
          <w:tab w:val="center" w:pos="4153"/>
        </w:tabs>
        <w:autoSpaceDE w:val="0"/>
        <w:autoSpaceDN w:val="0"/>
        <w:adjustRightInd w:val="0"/>
        <w:spacing w:before="0" w:after="0" w:line="360" w:lineRule="auto"/>
        <w:jc w:val="center"/>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云之龙咨询集团有限公司</w:t>
      </w:r>
    </w:p>
    <w:p w14:paraId="21DC1503">
      <w:pPr>
        <w:pStyle w:val="2"/>
        <w:keepNext w:val="0"/>
        <w:keepLines w:val="0"/>
        <w:shd w:val="clear" w:color="auto" w:fill="auto"/>
        <w:tabs>
          <w:tab w:val="left" w:pos="0"/>
          <w:tab w:val="left" w:pos="3165"/>
          <w:tab w:val="center" w:pos="4153"/>
        </w:tabs>
        <w:autoSpaceDE w:val="0"/>
        <w:autoSpaceDN w:val="0"/>
        <w:adjustRightInd w:val="0"/>
        <w:spacing w:before="0" w:after="0"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sz w:val="28"/>
          <w:szCs w:val="28"/>
        </w:rPr>
        <w:t>联网收费数据物联网服务</w:t>
      </w:r>
      <w:r>
        <w:rPr>
          <w:rFonts w:hint="eastAsia" w:cs="Times New Roman"/>
          <w:color w:val="auto"/>
          <w:sz w:val="28"/>
          <w:szCs w:val="28"/>
          <w:lang w:eastAsia="zh-CN"/>
        </w:rPr>
        <w:t>（项目编号：GXZC2026-G3-001403-YZLZ）</w:t>
      </w:r>
      <w:r>
        <w:rPr>
          <w:rFonts w:hint="eastAsia" w:ascii="Times New Roman" w:hAnsi="Times New Roman" w:eastAsia="宋体" w:cs="Times New Roman"/>
          <w:color w:val="auto"/>
          <w:sz w:val="28"/>
          <w:szCs w:val="28"/>
        </w:rPr>
        <w:t>招标公告</w:t>
      </w:r>
    </w:p>
    <w:p w14:paraId="67049B05">
      <w:pPr>
        <w:pBdr>
          <w:top w:val="single" w:color="auto" w:sz="4" w:space="1"/>
          <w:left w:val="single" w:color="auto" w:sz="4" w:space="4"/>
          <w:bottom w:val="single" w:color="auto" w:sz="4" w:space="1"/>
          <w:right w:val="single" w:color="auto" w:sz="4" w:space="4"/>
        </w:pBdr>
        <w:shd w:val="clear" w:color="auto" w:fill="auto"/>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项目概况</w:t>
      </w:r>
    </w:p>
    <w:p w14:paraId="3FB63A80">
      <w:pPr>
        <w:pBdr>
          <w:top w:val="single" w:color="auto" w:sz="4" w:space="1"/>
          <w:left w:val="single" w:color="auto" w:sz="4" w:space="4"/>
          <w:bottom w:val="single" w:color="auto" w:sz="4" w:space="1"/>
          <w:right w:val="single" w:color="auto" w:sz="4" w:space="4"/>
        </w:pBdr>
        <w:shd w:val="clear" w:color="auto" w:fill="auto"/>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u w:val="single"/>
        </w:rPr>
        <w:t>联网收费数据物联网服务</w:t>
      </w:r>
      <w:r>
        <w:rPr>
          <w:rFonts w:hint="eastAsia" w:ascii="宋体" w:hAnsi="宋体" w:eastAsia="宋体" w:cs="Times New Roman"/>
          <w:color w:val="auto"/>
          <w:szCs w:val="21"/>
        </w:rPr>
        <w:t>招标项目的潜在</w:t>
      </w:r>
      <w:bookmarkStart w:id="35" w:name="_GoBack"/>
      <w:bookmarkEnd w:id="35"/>
      <w:r>
        <w:rPr>
          <w:rFonts w:hint="eastAsia" w:ascii="宋体" w:hAnsi="宋体" w:eastAsia="宋体" w:cs="Times New Roman"/>
          <w:color w:val="auto"/>
          <w:szCs w:val="21"/>
        </w:rPr>
        <w:t>投标人应在广西政府采购云平台（https://www.gcy.zfcg.gxzf.gov.cn/）获取（下载）招标文件，并于</w:t>
      </w:r>
      <w:r>
        <w:rPr>
          <w:rFonts w:ascii="宋体" w:hAnsi="宋体" w:eastAsia="宋体" w:cs="Times New Roman"/>
          <w:color w:val="auto"/>
          <w:szCs w:val="21"/>
          <w:u w:val="single"/>
        </w:rPr>
        <w:t>2026</w:t>
      </w:r>
      <w:r>
        <w:rPr>
          <w:rFonts w:hint="eastAsia" w:ascii="宋体" w:hAnsi="宋体" w:eastAsia="宋体" w:cs="Times New Roman"/>
          <w:bCs/>
          <w:color w:val="auto"/>
          <w:szCs w:val="21"/>
          <w:u w:val="single"/>
        </w:rPr>
        <w:t>年6月</w:t>
      </w:r>
      <w:r>
        <w:rPr>
          <w:rFonts w:hint="eastAsia" w:ascii="宋体" w:hAnsi="宋体" w:eastAsia="宋体" w:cs="Times New Roman"/>
          <w:bCs/>
          <w:color w:val="auto"/>
          <w:szCs w:val="21"/>
          <w:u w:val="single"/>
          <w:lang w:val="en-US" w:eastAsia="zh-CN"/>
        </w:rPr>
        <w:t>22</w:t>
      </w:r>
      <w:r>
        <w:rPr>
          <w:rFonts w:hint="eastAsia" w:ascii="宋体" w:hAnsi="宋体" w:eastAsia="宋体" w:cs="Times New Roman"/>
          <w:bCs/>
          <w:color w:val="auto"/>
          <w:szCs w:val="21"/>
          <w:u w:val="single"/>
        </w:rPr>
        <w:t>日9时30分（</w:t>
      </w:r>
      <w:r>
        <w:rPr>
          <w:rFonts w:hint="eastAsia" w:ascii="宋体" w:hAnsi="宋体" w:eastAsia="宋体" w:cs="Times New Roman"/>
          <w:bCs/>
          <w:color w:val="auto"/>
          <w:szCs w:val="21"/>
        </w:rPr>
        <w:t>北京时间）前按要求递交（上传）投标</w:t>
      </w:r>
      <w:r>
        <w:rPr>
          <w:rFonts w:ascii="宋体" w:hAnsi="宋体" w:eastAsia="宋体" w:cs="Times New Roman"/>
          <w:bCs/>
          <w:color w:val="auto"/>
          <w:szCs w:val="21"/>
        </w:rPr>
        <w:t>文件</w:t>
      </w:r>
      <w:r>
        <w:rPr>
          <w:rFonts w:hint="eastAsia" w:ascii="宋体" w:hAnsi="宋体" w:eastAsia="宋体" w:cs="Times New Roman"/>
          <w:color w:val="auto"/>
          <w:szCs w:val="21"/>
        </w:rPr>
        <w:t>。</w:t>
      </w:r>
    </w:p>
    <w:p w14:paraId="335376A5">
      <w:pPr>
        <w:shd w:val="clear" w:color="auto" w:fill="auto"/>
        <w:spacing w:line="360" w:lineRule="exact"/>
        <w:rPr>
          <w:rFonts w:ascii="宋体" w:hAnsi="宋体" w:eastAsia="宋体" w:cs="Times New Roman"/>
          <w:color w:val="auto"/>
          <w:szCs w:val="21"/>
        </w:rPr>
      </w:pPr>
    </w:p>
    <w:p w14:paraId="4869FA20">
      <w:pPr>
        <w:shd w:val="clear" w:color="auto" w:fill="auto"/>
        <w:spacing w:line="360" w:lineRule="exact"/>
        <w:rPr>
          <w:rFonts w:ascii="黑体" w:hAnsi="黑体" w:eastAsia="黑体" w:cs="Times New Roman"/>
          <w:b/>
          <w:bCs/>
          <w:color w:val="auto"/>
          <w:sz w:val="24"/>
        </w:rPr>
      </w:pPr>
      <w:bookmarkStart w:id="0" w:name="_Toc28359002"/>
      <w:bookmarkStart w:id="1" w:name="_Toc35393621"/>
      <w:bookmarkStart w:id="2" w:name="_Toc28359079"/>
      <w:bookmarkStart w:id="3" w:name="_Toc35393790"/>
      <w:bookmarkStart w:id="4" w:name="_Hlk24379207"/>
      <w:r>
        <w:rPr>
          <w:rFonts w:hint="eastAsia" w:ascii="黑体" w:hAnsi="黑体" w:eastAsia="黑体" w:cs="Times New Roman"/>
          <w:b/>
          <w:bCs/>
          <w:color w:val="auto"/>
          <w:sz w:val="24"/>
        </w:rPr>
        <w:t>一、项目基本情况</w:t>
      </w:r>
      <w:bookmarkEnd w:id="0"/>
      <w:bookmarkEnd w:id="1"/>
      <w:bookmarkEnd w:id="2"/>
      <w:bookmarkEnd w:id="3"/>
    </w:p>
    <w:bookmarkEnd w:id="4"/>
    <w:p w14:paraId="6CEDE8D0">
      <w:pPr>
        <w:shd w:val="clear" w:color="auto" w:fill="auto"/>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项目编号：GXZC2026-G3-001403-YZLZ；政府采购计划编号：广西政采[2026]6023号</w:t>
      </w:r>
    </w:p>
    <w:p w14:paraId="6729099B">
      <w:pPr>
        <w:shd w:val="clear" w:color="auto" w:fill="auto"/>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项目名称：联网收费数据物联网服务</w:t>
      </w:r>
    </w:p>
    <w:p w14:paraId="69E494A1">
      <w:pPr>
        <w:shd w:val="clear" w:color="auto" w:fill="auto"/>
        <w:spacing w:line="36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预算金额：</w:t>
      </w:r>
      <w:r>
        <w:rPr>
          <w:rFonts w:hint="eastAsia" w:ascii="宋体" w:hAnsi="宋体" w:eastAsia="宋体" w:cs="Times New Roman"/>
          <w:color w:val="auto"/>
          <w:szCs w:val="21"/>
          <w:u w:val="single"/>
        </w:rPr>
        <w:t>670.32万元</w:t>
      </w:r>
    </w:p>
    <w:p w14:paraId="68FB43CB">
      <w:pPr>
        <w:shd w:val="clear" w:color="auto" w:fill="auto"/>
        <w:spacing w:line="360" w:lineRule="exact"/>
        <w:ind w:firstLine="420" w:firstLineChars="200"/>
        <w:rPr>
          <w:rFonts w:hint="eastAsia" w:ascii="宋体" w:hAnsi="宋体" w:eastAsia="宋体" w:cs="Times New Roman"/>
          <w:color w:val="auto"/>
          <w:szCs w:val="21"/>
          <w:u w:val="single"/>
        </w:rPr>
      </w:pPr>
      <w:r>
        <w:rPr>
          <w:rFonts w:hint="eastAsia" w:ascii="宋体" w:hAnsi="宋体" w:eastAsia="宋体" w:cs="Times New Roman"/>
          <w:color w:val="auto"/>
          <w:szCs w:val="21"/>
        </w:rPr>
        <w:t>最高限价：</w:t>
      </w:r>
      <w:r>
        <w:rPr>
          <w:rFonts w:hint="eastAsia" w:ascii="宋体" w:hAnsi="宋体" w:eastAsia="宋体" w:cs="Times New Roman"/>
          <w:color w:val="auto"/>
          <w:szCs w:val="21"/>
          <w:u w:val="single"/>
        </w:rPr>
        <w:t>670.32万元</w:t>
      </w:r>
    </w:p>
    <w:p w14:paraId="5E857EC6">
      <w:pPr>
        <w:shd w:val="clear" w:color="auto" w:fill="auto"/>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采购需求：</w:t>
      </w:r>
    </w:p>
    <w:tbl>
      <w:tblPr>
        <w:tblStyle w:val="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2"/>
        <w:gridCol w:w="1756"/>
        <w:gridCol w:w="811"/>
        <w:gridCol w:w="5313"/>
      </w:tblGrid>
      <w:tr w14:paraId="55E7E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0F87BEF1">
            <w:pPr>
              <w:shd w:val="clear" w:color="auto" w:fill="auto"/>
              <w:spacing w:line="360" w:lineRule="exact"/>
              <w:rPr>
                <w:rFonts w:ascii="宋体" w:hAnsi="宋体" w:eastAsia="宋体" w:cs="Times New Roman"/>
                <w:color w:val="auto"/>
              </w:rPr>
            </w:pPr>
            <w:r>
              <w:rPr>
                <w:rFonts w:hint="eastAsia" w:ascii="宋体" w:hAnsi="宋体" w:eastAsia="宋体" w:cs="Times New Roman"/>
                <w:color w:val="auto"/>
              </w:rPr>
              <w:t>单分标；预算金额：</w:t>
            </w:r>
            <w:r>
              <w:rPr>
                <w:rFonts w:ascii="宋体" w:hAnsi="宋体" w:eastAsia="宋体" w:cs="Times New Roman"/>
                <w:color w:val="auto"/>
                <w:szCs w:val="21"/>
                <w:u w:val="single"/>
              </w:rPr>
              <w:t xml:space="preserve"> 670.32</w:t>
            </w:r>
            <w:r>
              <w:rPr>
                <w:rFonts w:hint="eastAsia" w:ascii="宋体" w:hAnsi="宋体" w:eastAsia="宋体" w:cs="Times New Roman"/>
                <w:color w:val="auto"/>
                <w:szCs w:val="21"/>
                <w:u w:val="single"/>
              </w:rPr>
              <w:t>万元</w:t>
            </w:r>
          </w:p>
        </w:tc>
      </w:tr>
      <w:tr w14:paraId="72E2B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4136A02A">
            <w:pPr>
              <w:shd w:val="clear" w:color="auto" w:fill="auto"/>
              <w:spacing w:line="360" w:lineRule="exact"/>
              <w:jc w:val="center"/>
              <w:rPr>
                <w:rFonts w:ascii="宋体" w:hAnsi="宋体" w:eastAsia="宋体" w:cs="Times New Roman"/>
                <w:color w:val="auto"/>
              </w:rPr>
            </w:pPr>
            <w:r>
              <w:rPr>
                <w:rFonts w:hint="eastAsia" w:ascii="宋体" w:hAnsi="宋体" w:eastAsia="宋体" w:cs="Times New Roman"/>
                <w:color w:val="auto"/>
              </w:rPr>
              <w:t>序号</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1CD0BAC5">
            <w:pPr>
              <w:shd w:val="clear" w:color="auto" w:fill="auto"/>
              <w:spacing w:line="360" w:lineRule="exact"/>
              <w:jc w:val="center"/>
              <w:rPr>
                <w:rFonts w:ascii="宋体" w:hAnsi="宋体" w:eastAsia="宋体" w:cs="Times New Roman"/>
                <w:color w:val="auto"/>
              </w:rPr>
            </w:pPr>
            <w:r>
              <w:rPr>
                <w:rFonts w:hint="eastAsia" w:ascii="宋体" w:hAnsi="宋体" w:eastAsia="宋体" w:cs="Times New Roman"/>
                <w:color w:val="auto"/>
              </w:rPr>
              <w:t>标的名称</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3DA30EA3">
            <w:pPr>
              <w:shd w:val="clear" w:color="auto" w:fill="auto"/>
              <w:spacing w:line="360" w:lineRule="exact"/>
              <w:jc w:val="center"/>
              <w:rPr>
                <w:rFonts w:ascii="宋体" w:hAnsi="宋体" w:eastAsia="宋体" w:cs="Times New Roman"/>
                <w:color w:val="auto"/>
              </w:rPr>
            </w:pPr>
            <w:r>
              <w:rPr>
                <w:rFonts w:hint="eastAsia" w:ascii="宋体" w:hAnsi="宋体" w:eastAsia="宋体" w:cs="Times New Roman"/>
                <w:color w:val="auto"/>
              </w:rPr>
              <w:t>数量及单位</w:t>
            </w:r>
          </w:p>
        </w:tc>
        <w:tc>
          <w:tcPr>
            <w:tcW w:w="3117" w:type="pct"/>
            <w:tcBorders>
              <w:top w:val="single" w:color="auto" w:sz="4" w:space="0"/>
              <w:left w:val="single" w:color="auto" w:sz="4" w:space="0"/>
              <w:bottom w:val="single" w:color="auto" w:sz="4" w:space="0"/>
              <w:right w:val="single" w:color="auto" w:sz="4" w:space="0"/>
            </w:tcBorders>
            <w:noWrap w:val="0"/>
            <w:vAlign w:val="center"/>
          </w:tcPr>
          <w:p w14:paraId="6541242A">
            <w:pPr>
              <w:shd w:val="clear" w:color="auto" w:fill="auto"/>
              <w:spacing w:line="360" w:lineRule="exact"/>
              <w:jc w:val="center"/>
              <w:rPr>
                <w:rFonts w:ascii="宋体" w:hAnsi="宋体" w:eastAsia="宋体" w:cs="Times New Roman"/>
                <w:color w:val="auto"/>
              </w:rPr>
            </w:pPr>
            <w:r>
              <w:rPr>
                <w:rFonts w:hint="eastAsia" w:ascii="宋体" w:hAnsi="宋体" w:eastAsia="宋体" w:cs="Times New Roman"/>
                <w:color w:val="auto"/>
              </w:rPr>
              <w:t>简要技术需求或者服务要求</w:t>
            </w:r>
          </w:p>
        </w:tc>
      </w:tr>
      <w:tr w14:paraId="5A604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9EDC247">
            <w:pPr>
              <w:shd w:val="clear" w:color="auto" w:fill="auto"/>
              <w:spacing w:line="360" w:lineRule="exact"/>
              <w:rPr>
                <w:rFonts w:hint="eastAsia" w:ascii="宋体" w:hAnsi="宋体" w:eastAsia="宋体" w:cs="Times New Roman"/>
                <w:b/>
                <w:bCs/>
                <w:color w:val="auto"/>
              </w:rPr>
            </w:pPr>
          </w:p>
        </w:tc>
      </w:tr>
      <w:tr w14:paraId="05721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70C7A835">
            <w:pPr>
              <w:shd w:val="clear" w:color="auto" w:fill="auto"/>
              <w:spacing w:line="360" w:lineRule="exact"/>
              <w:jc w:val="center"/>
              <w:rPr>
                <w:rFonts w:ascii="宋体" w:hAnsi="宋体" w:eastAsia="宋体" w:cs="Times New Roman"/>
                <w:color w:val="auto"/>
              </w:rPr>
            </w:pPr>
            <w:r>
              <w:rPr>
                <w:rFonts w:hint="eastAsia" w:ascii="宋体" w:hAnsi="宋体" w:eastAsia="宋体" w:cs="Times New Roman"/>
                <w:color w:val="auto"/>
              </w:rPr>
              <w:t>1</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0FB2B44C">
            <w:pPr>
              <w:widowControl/>
              <w:shd w:val="clear" w:color="auto" w:fill="auto"/>
              <w:spacing w:line="360" w:lineRule="exact"/>
              <w:jc w:val="center"/>
              <w:rPr>
                <w:rFonts w:ascii="宋体" w:hAnsi="宋体" w:eastAsia="宋体" w:cs="宋体"/>
                <w:color w:val="auto"/>
                <w:kern w:val="0"/>
                <w:szCs w:val="21"/>
              </w:rPr>
            </w:pPr>
            <w:r>
              <w:rPr>
                <w:rFonts w:hint="eastAsia" w:ascii="宋体" w:hAnsi="宋体" w:eastAsia="宋体" w:cs="Times New Roman"/>
                <w:color w:val="auto"/>
              </w:rPr>
              <w:t>自治区联网中心—运营分中心链路租赁服务</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32ACE2DE">
            <w:pPr>
              <w:shd w:val="clear" w:color="auto" w:fill="auto"/>
              <w:spacing w:line="360" w:lineRule="exact"/>
              <w:jc w:val="center"/>
              <w:rPr>
                <w:rFonts w:hint="eastAsia" w:ascii="宋体" w:hAnsi="宋体" w:eastAsia="宋体" w:cs="Times New Roman"/>
                <w:color w:val="auto"/>
                <w:szCs w:val="21"/>
              </w:rPr>
            </w:pPr>
            <w:r>
              <w:rPr>
                <w:rFonts w:hint="eastAsia" w:ascii="宋体" w:hAnsi="宋体" w:eastAsia="宋体" w:cs="Times New Roman"/>
                <w:color w:val="auto"/>
              </w:rPr>
              <w:t>1项</w:t>
            </w:r>
          </w:p>
        </w:tc>
        <w:tc>
          <w:tcPr>
            <w:tcW w:w="3117" w:type="pct"/>
            <w:tcBorders>
              <w:top w:val="single" w:color="auto" w:sz="4" w:space="0"/>
              <w:left w:val="single" w:color="auto" w:sz="4" w:space="0"/>
              <w:bottom w:val="single" w:color="auto" w:sz="4" w:space="0"/>
              <w:right w:val="single" w:color="auto" w:sz="4" w:space="0"/>
            </w:tcBorders>
            <w:noWrap w:val="0"/>
            <w:vAlign w:val="center"/>
          </w:tcPr>
          <w:p w14:paraId="0302601F">
            <w:pPr>
              <w:shd w:val="clear" w:color="auto" w:fill="auto"/>
              <w:tabs>
                <w:tab w:val="left" w:pos="180"/>
                <w:tab w:val="left" w:pos="1620"/>
              </w:tabs>
              <w:spacing w:line="360" w:lineRule="exact"/>
              <w:ind w:firstLine="420" w:firstLineChars="200"/>
              <w:rPr>
                <w:rFonts w:hint="eastAsia" w:ascii="宋体" w:hAnsi="宋体" w:eastAsia="宋体" w:cs="Times New Roman"/>
                <w:color w:val="auto"/>
              </w:rPr>
            </w:pPr>
            <w:r>
              <w:rPr>
                <w:rFonts w:ascii="宋体" w:hAnsi="宋体" w:eastAsia="宋体" w:cs="Times New Roman"/>
                <w:color w:val="auto"/>
              </w:rPr>
              <w:t>……</w:t>
            </w:r>
          </w:p>
          <w:p w14:paraId="2CADE3FB">
            <w:pPr>
              <w:shd w:val="clear" w:color="auto" w:fill="auto"/>
              <w:tabs>
                <w:tab w:val="left" w:pos="180"/>
                <w:tab w:val="left" w:pos="1620"/>
              </w:tabs>
              <w:spacing w:line="360" w:lineRule="exact"/>
              <w:ind w:firstLine="420" w:firstLineChars="200"/>
              <w:rPr>
                <w:rFonts w:ascii="宋体" w:hAnsi="宋体" w:eastAsia="宋体" w:cs="Times New Roman"/>
                <w:color w:val="auto"/>
              </w:rPr>
            </w:pPr>
            <w:r>
              <w:rPr>
                <w:rFonts w:hint="eastAsia" w:ascii="宋体" w:hAnsi="宋体" w:eastAsia="宋体" w:cs="Times New Roman"/>
                <w:color w:val="auto"/>
              </w:rPr>
              <w:t>1.租用点对点数据专线，包括自治区联网中心至高速公路运营公司现有约55条点对点专线，其中：2条专线端口带宽≥800Mbps，3条专线端口带宽≥400Mbps，50条专线端口带宽≥200Mpbs；</w:t>
            </w:r>
          </w:p>
          <w:p w14:paraId="3855265E">
            <w:pPr>
              <w:shd w:val="clear" w:color="auto" w:fill="auto"/>
              <w:tabs>
                <w:tab w:val="left" w:pos="180"/>
                <w:tab w:val="left" w:pos="1620"/>
              </w:tabs>
              <w:spacing w:line="360" w:lineRule="exact"/>
              <w:ind w:firstLine="420" w:firstLineChars="200"/>
              <w:rPr>
                <w:rFonts w:ascii="宋体" w:hAnsi="宋体" w:eastAsia="宋体" w:cs="Times New Roman"/>
                <w:color w:val="auto"/>
              </w:rPr>
            </w:pPr>
            <w:r>
              <w:rPr>
                <w:rFonts w:hint="eastAsia" w:ascii="宋体" w:hAnsi="宋体" w:eastAsia="宋体" w:cs="Times New Roman"/>
                <w:color w:val="auto"/>
              </w:rPr>
              <w:t>2.传输骨干层及接入层要求：二级网全网的电路为光纤接入。二级网络骨干核心汇聚节点均具有自愈环，具有故障自动倒换功能，能保证各电路不会因光缆的意外阻断和部分设备的故障而中断；</w:t>
            </w:r>
          </w:p>
          <w:p w14:paraId="0EE0A8E9">
            <w:pPr>
              <w:shd w:val="clear" w:color="auto" w:fill="auto"/>
              <w:tabs>
                <w:tab w:val="left" w:pos="180"/>
                <w:tab w:val="left" w:pos="1620"/>
              </w:tabs>
              <w:spacing w:line="360" w:lineRule="exact"/>
              <w:ind w:firstLine="420" w:firstLineChars="200"/>
              <w:rPr>
                <w:rFonts w:hint="eastAsia" w:ascii="宋体" w:hAnsi="宋体" w:eastAsia="宋体" w:cs="Times New Roman"/>
                <w:color w:val="auto"/>
              </w:rPr>
            </w:pPr>
            <w:r>
              <w:rPr>
                <w:rFonts w:ascii="宋体" w:hAnsi="宋体" w:eastAsia="宋体" w:cs="Times New Roman"/>
                <w:color w:val="auto"/>
              </w:rPr>
              <w:t>……</w:t>
            </w:r>
            <w:r>
              <w:rPr>
                <w:rFonts w:hint="eastAsia" w:ascii="宋体" w:hAnsi="宋体" w:eastAsia="宋体" w:cs="Times New Roman"/>
                <w:color w:val="auto"/>
              </w:rPr>
              <w:t>具体见公告附件。</w:t>
            </w:r>
          </w:p>
        </w:tc>
      </w:tr>
      <w:tr w14:paraId="3065E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21C9F443">
            <w:pPr>
              <w:shd w:val="clear" w:color="auto" w:fill="auto"/>
              <w:spacing w:line="360" w:lineRule="exact"/>
              <w:jc w:val="center"/>
              <w:rPr>
                <w:rFonts w:hint="eastAsia" w:ascii="宋体" w:hAnsi="宋体" w:eastAsia="宋体" w:cs="Times New Roman"/>
                <w:color w:val="auto"/>
              </w:rPr>
            </w:pPr>
            <w:r>
              <w:rPr>
                <w:rFonts w:hint="eastAsia" w:ascii="宋体" w:hAnsi="宋体" w:eastAsia="宋体" w:cs="Times New Roman"/>
                <w:color w:val="auto"/>
              </w:rPr>
              <w:t>2</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2FDEFE99">
            <w:pPr>
              <w:widowControl/>
              <w:shd w:val="clear" w:color="auto" w:fill="auto"/>
              <w:spacing w:line="360" w:lineRule="exact"/>
              <w:jc w:val="center"/>
              <w:rPr>
                <w:rFonts w:ascii="宋体" w:hAnsi="宋体" w:eastAsia="宋体" w:cs="宋体"/>
                <w:color w:val="auto"/>
                <w:kern w:val="0"/>
                <w:szCs w:val="21"/>
              </w:rPr>
            </w:pPr>
            <w:r>
              <w:rPr>
                <w:rFonts w:hint="eastAsia" w:ascii="宋体" w:hAnsi="宋体" w:eastAsia="宋体" w:cs="Times New Roman"/>
                <w:color w:val="auto"/>
              </w:rPr>
              <w:t>部路网中心—收费站链路租赁服务</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66F1CD94">
            <w:pPr>
              <w:shd w:val="clear" w:color="auto" w:fill="auto"/>
              <w:spacing w:line="360" w:lineRule="exact"/>
              <w:jc w:val="center"/>
              <w:rPr>
                <w:rFonts w:hint="eastAsia" w:ascii="宋体" w:hAnsi="宋体" w:eastAsia="宋体" w:cs="Times New Roman"/>
                <w:color w:val="auto"/>
                <w:szCs w:val="21"/>
              </w:rPr>
            </w:pPr>
            <w:r>
              <w:rPr>
                <w:rFonts w:hint="eastAsia" w:ascii="宋体" w:hAnsi="宋体" w:eastAsia="宋体" w:cs="Times New Roman"/>
                <w:color w:val="auto"/>
              </w:rPr>
              <w:t>1项</w:t>
            </w:r>
          </w:p>
        </w:tc>
        <w:tc>
          <w:tcPr>
            <w:tcW w:w="3117" w:type="pct"/>
            <w:tcBorders>
              <w:top w:val="single" w:color="auto" w:sz="4" w:space="0"/>
              <w:left w:val="single" w:color="auto" w:sz="4" w:space="0"/>
              <w:bottom w:val="single" w:color="auto" w:sz="4" w:space="0"/>
              <w:right w:val="single" w:color="auto" w:sz="4" w:space="0"/>
            </w:tcBorders>
            <w:noWrap w:val="0"/>
            <w:vAlign w:val="center"/>
          </w:tcPr>
          <w:p w14:paraId="3A9F4927">
            <w:pPr>
              <w:shd w:val="clear" w:color="auto" w:fill="auto"/>
              <w:tabs>
                <w:tab w:val="left" w:pos="180"/>
                <w:tab w:val="left" w:pos="1620"/>
              </w:tabs>
              <w:spacing w:line="360" w:lineRule="exact"/>
              <w:ind w:firstLine="420" w:firstLineChars="200"/>
              <w:rPr>
                <w:rFonts w:ascii="宋体" w:hAnsi="宋体" w:eastAsia="宋体" w:cs="Times New Roman"/>
                <w:color w:val="auto"/>
              </w:rPr>
            </w:pPr>
            <w:r>
              <w:rPr>
                <w:rFonts w:ascii="宋体" w:hAnsi="宋体" w:eastAsia="宋体" w:cs="Times New Roman"/>
                <w:color w:val="auto"/>
              </w:rPr>
              <w:t>……</w:t>
            </w:r>
          </w:p>
          <w:p w14:paraId="7D10B957">
            <w:pPr>
              <w:shd w:val="clear" w:color="auto" w:fill="auto"/>
              <w:tabs>
                <w:tab w:val="left" w:pos="180"/>
                <w:tab w:val="left" w:pos="1620"/>
              </w:tabs>
              <w:spacing w:line="360" w:lineRule="exact"/>
              <w:ind w:firstLine="420" w:firstLineChars="200"/>
              <w:rPr>
                <w:rFonts w:ascii="宋体" w:hAnsi="宋体" w:eastAsia="宋体" w:cs="Times New Roman"/>
                <w:color w:val="auto"/>
              </w:rPr>
            </w:pPr>
            <w:r>
              <w:rPr>
                <w:rFonts w:hint="eastAsia" w:ascii="宋体" w:hAnsi="宋体" w:eastAsia="宋体" w:cs="Times New Roman"/>
                <w:color w:val="auto"/>
              </w:rPr>
              <w:t>1.租用基础运营商物联网平台数据流量：包括现有约630个4G物联网无线传输终端和SIM流量卡，每张流量卡每月按照50G计算，4G物联网无线传输终端安装在指定的高速公路收费站（具体收费站信息签订合同后由采购人提供），所有数据通过专有通道上传至基础电信运营商物联网平台后，与交通运输部指定的通信链路对接；</w:t>
            </w:r>
          </w:p>
          <w:p w14:paraId="462414E7">
            <w:pPr>
              <w:shd w:val="clear" w:color="auto" w:fill="auto"/>
              <w:tabs>
                <w:tab w:val="left" w:pos="180"/>
                <w:tab w:val="left" w:pos="1620"/>
              </w:tabs>
              <w:spacing w:line="360" w:lineRule="exact"/>
              <w:ind w:firstLine="420" w:firstLineChars="200"/>
              <w:rPr>
                <w:rFonts w:ascii="宋体" w:hAnsi="宋体" w:eastAsia="宋体" w:cs="Times New Roman"/>
                <w:color w:val="auto"/>
              </w:rPr>
            </w:pPr>
            <w:r>
              <w:rPr>
                <w:rFonts w:hint="eastAsia" w:ascii="宋体" w:hAnsi="宋体" w:eastAsia="宋体" w:cs="Times New Roman"/>
                <w:color w:val="auto"/>
              </w:rPr>
              <w:t>2.具体接入数量以及接入地点以采购人向中标人提供的信息为准。</w:t>
            </w:r>
          </w:p>
          <w:p w14:paraId="00AB04EF">
            <w:pPr>
              <w:shd w:val="clear" w:color="auto" w:fill="auto"/>
              <w:tabs>
                <w:tab w:val="left" w:pos="180"/>
                <w:tab w:val="left" w:pos="1620"/>
              </w:tabs>
              <w:spacing w:line="360" w:lineRule="exact"/>
              <w:ind w:firstLine="420" w:firstLineChars="200"/>
              <w:rPr>
                <w:rFonts w:hint="eastAsia" w:ascii="宋体" w:hAnsi="宋体" w:eastAsia="宋体" w:cs="Times New Roman"/>
                <w:color w:val="auto"/>
              </w:rPr>
            </w:pPr>
            <w:r>
              <w:rPr>
                <w:rFonts w:ascii="宋体" w:hAnsi="宋体" w:eastAsia="宋体" w:cs="Times New Roman"/>
                <w:color w:val="auto"/>
              </w:rPr>
              <w:t>……</w:t>
            </w:r>
            <w:r>
              <w:rPr>
                <w:rFonts w:hint="eastAsia" w:ascii="宋体" w:hAnsi="宋体" w:eastAsia="宋体" w:cs="Times New Roman"/>
                <w:color w:val="auto"/>
              </w:rPr>
              <w:t>具体见公告附件。</w:t>
            </w:r>
          </w:p>
        </w:tc>
      </w:tr>
      <w:tr w14:paraId="391E5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2A583A0B">
            <w:pPr>
              <w:shd w:val="clear" w:color="auto" w:fill="auto"/>
              <w:spacing w:line="360" w:lineRule="exact"/>
              <w:jc w:val="center"/>
              <w:rPr>
                <w:rFonts w:hint="eastAsia" w:ascii="宋体" w:hAnsi="宋体" w:eastAsia="宋体" w:cs="Times New Roman"/>
                <w:color w:val="auto"/>
              </w:rPr>
            </w:pPr>
            <w:r>
              <w:rPr>
                <w:rFonts w:hint="eastAsia" w:ascii="宋体" w:hAnsi="宋体" w:eastAsia="宋体" w:cs="Times New Roman"/>
                <w:color w:val="auto"/>
              </w:rPr>
              <w:t>3</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575A0DC7">
            <w:pPr>
              <w:widowControl/>
              <w:shd w:val="clear" w:color="auto" w:fill="auto"/>
              <w:spacing w:line="360" w:lineRule="exact"/>
              <w:jc w:val="center"/>
              <w:rPr>
                <w:rFonts w:ascii="宋体" w:hAnsi="宋体" w:eastAsia="宋体" w:cs="宋体"/>
                <w:color w:val="auto"/>
                <w:kern w:val="0"/>
                <w:szCs w:val="21"/>
              </w:rPr>
            </w:pPr>
            <w:r>
              <w:rPr>
                <w:rFonts w:hint="eastAsia" w:ascii="宋体" w:hAnsi="宋体" w:eastAsia="宋体" w:cs="Times New Roman"/>
                <w:color w:val="auto"/>
                <w:szCs w:val="21"/>
              </w:rPr>
              <w:t>移动支付互联网专线</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3A82C543">
            <w:pPr>
              <w:shd w:val="clear" w:color="auto" w:fill="auto"/>
              <w:spacing w:line="360" w:lineRule="exact"/>
              <w:jc w:val="center"/>
              <w:rPr>
                <w:rFonts w:hint="eastAsia" w:ascii="宋体" w:hAnsi="宋体" w:eastAsia="宋体" w:cs="Times New Roman"/>
                <w:color w:val="auto"/>
                <w:szCs w:val="21"/>
              </w:rPr>
            </w:pPr>
            <w:r>
              <w:rPr>
                <w:rFonts w:hint="eastAsia" w:ascii="宋体" w:hAnsi="宋体" w:eastAsia="宋体" w:cs="Times New Roman"/>
                <w:color w:val="auto"/>
              </w:rPr>
              <w:t>1项</w:t>
            </w:r>
          </w:p>
        </w:tc>
        <w:tc>
          <w:tcPr>
            <w:tcW w:w="3117" w:type="pct"/>
            <w:tcBorders>
              <w:top w:val="single" w:color="auto" w:sz="4" w:space="0"/>
              <w:left w:val="single" w:color="auto" w:sz="4" w:space="0"/>
              <w:bottom w:val="single" w:color="auto" w:sz="4" w:space="0"/>
              <w:right w:val="single" w:color="auto" w:sz="4" w:space="0"/>
            </w:tcBorders>
            <w:noWrap w:val="0"/>
            <w:vAlign w:val="center"/>
          </w:tcPr>
          <w:p w14:paraId="62C66563">
            <w:pPr>
              <w:shd w:val="clear" w:color="auto" w:fill="auto"/>
              <w:tabs>
                <w:tab w:val="left" w:pos="180"/>
                <w:tab w:val="left" w:pos="1620"/>
              </w:tabs>
              <w:spacing w:line="360" w:lineRule="exact"/>
              <w:ind w:firstLine="420" w:firstLineChars="200"/>
              <w:rPr>
                <w:rFonts w:ascii="宋体" w:hAnsi="宋体" w:eastAsia="宋体" w:cs="Times New Roman"/>
                <w:color w:val="auto"/>
              </w:rPr>
            </w:pPr>
            <w:r>
              <w:rPr>
                <w:rFonts w:hint="eastAsia" w:ascii="宋体" w:hAnsi="宋体" w:eastAsia="宋体" w:cs="Times New Roman"/>
                <w:color w:val="auto"/>
              </w:rPr>
              <w:t>包括400M以上互联网专线服务（包含10个静态IP地址）。</w:t>
            </w:r>
          </w:p>
        </w:tc>
      </w:tr>
      <w:tr w14:paraId="1E121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37978C25">
            <w:pPr>
              <w:shd w:val="clear" w:color="auto" w:fill="auto"/>
              <w:spacing w:line="360" w:lineRule="exact"/>
              <w:jc w:val="center"/>
              <w:rPr>
                <w:rFonts w:hint="eastAsia" w:ascii="宋体" w:hAnsi="宋体" w:eastAsia="宋体" w:cs="Times New Roman"/>
                <w:color w:val="auto"/>
              </w:rPr>
            </w:pPr>
            <w:r>
              <w:rPr>
                <w:rFonts w:hint="eastAsia" w:ascii="宋体" w:hAnsi="宋体" w:eastAsia="宋体" w:cs="Times New Roman"/>
                <w:color w:val="auto"/>
              </w:rPr>
              <w:t>4</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62E6E124">
            <w:pPr>
              <w:widowControl/>
              <w:shd w:val="clear" w:color="auto" w:fill="auto"/>
              <w:spacing w:line="360" w:lineRule="exact"/>
              <w:jc w:val="center"/>
              <w:rPr>
                <w:rFonts w:ascii="宋体" w:hAnsi="宋体" w:eastAsia="宋体" w:cs="宋体"/>
                <w:color w:val="auto"/>
                <w:kern w:val="0"/>
                <w:szCs w:val="21"/>
              </w:rPr>
            </w:pPr>
            <w:r>
              <w:rPr>
                <w:rFonts w:hint="eastAsia" w:ascii="宋体" w:hAnsi="宋体" w:eastAsia="宋体" w:cs="宋体"/>
                <w:color w:val="auto"/>
                <w:kern w:val="0"/>
                <w:szCs w:val="21"/>
              </w:rPr>
              <w:t>收费站网络设备调试服务</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30C1CA8F">
            <w:pPr>
              <w:shd w:val="clear" w:color="auto" w:fill="auto"/>
              <w:spacing w:line="360" w:lineRule="exact"/>
              <w:jc w:val="center"/>
              <w:rPr>
                <w:rFonts w:hint="eastAsia" w:ascii="宋体" w:hAnsi="宋体" w:eastAsia="宋体" w:cs="Times New Roman"/>
                <w:color w:val="auto"/>
                <w:szCs w:val="21"/>
              </w:rPr>
            </w:pPr>
            <w:r>
              <w:rPr>
                <w:rFonts w:hint="eastAsia" w:ascii="宋体" w:hAnsi="宋体" w:eastAsia="宋体" w:cs="Times New Roman"/>
                <w:color w:val="auto"/>
              </w:rPr>
              <w:t>1项</w:t>
            </w:r>
          </w:p>
        </w:tc>
        <w:tc>
          <w:tcPr>
            <w:tcW w:w="3117" w:type="pct"/>
            <w:tcBorders>
              <w:top w:val="single" w:color="auto" w:sz="4" w:space="0"/>
              <w:left w:val="single" w:color="auto" w:sz="4" w:space="0"/>
              <w:bottom w:val="single" w:color="auto" w:sz="4" w:space="0"/>
              <w:right w:val="single" w:color="auto" w:sz="4" w:space="0"/>
            </w:tcBorders>
            <w:noWrap w:val="0"/>
            <w:vAlign w:val="center"/>
          </w:tcPr>
          <w:p w14:paraId="47641509">
            <w:pPr>
              <w:shd w:val="clear" w:color="auto" w:fill="auto"/>
              <w:tabs>
                <w:tab w:val="left" w:pos="180"/>
                <w:tab w:val="left" w:pos="1620"/>
              </w:tabs>
              <w:spacing w:line="360" w:lineRule="exact"/>
              <w:ind w:firstLine="420" w:firstLineChars="200"/>
              <w:rPr>
                <w:rFonts w:ascii="宋体" w:hAnsi="宋体" w:eastAsia="宋体" w:cs="Times New Roman"/>
                <w:color w:val="auto"/>
              </w:rPr>
            </w:pPr>
            <w:r>
              <w:rPr>
                <w:rFonts w:hint="eastAsia" w:ascii="宋体" w:hAnsi="宋体" w:eastAsia="宋体" w:cs="Times New Roman"/>
                <w:color w:val="auto"/>
              </w:rPr>
              <w:t>1.中标人协助采购人对全区各收费站内部管理的交换机、路由器等网络设备进行配置，确保各站点之间业务能够通过运营商链路正常进行传输，并使</w:t>
            </w:r>
            <w:r>
              <w:rPr>
                <w:rFonts w:hint="eastAsia" w:ascii="宋体" w:hAnsi="宋体" w:eastAsia="宋体" w:cs="Times New Roman"/>
                <w:b/>
                <w:color w:val="auto"/>
              </w:rPr>
              <w:t>联网收费数据传输服务项目</w:t>
            </w:r>
            <w:r>
              <w:rPr>
                <w:rFonts w:hint="eastAsia" w:ascii="宋体" w:hAnsi="宋体" w:eastAsia="宋体" w:cs="Times New Roman"/>
                <w:color w:val="auto"/>
              </w:rPr>
              <w:t>与</w:t>
            </w:r>
            <w:r>
              <w:rPr>
                <w:rFonts w:hint="eastAsia" w:ascii="宋体" w:hAnsi="宋体" w:eastAsia="宋体" w:cs="Times New Roman"/>
                <w:b/>
                <w:bCs/>
                <w:color w:val="auto"/>
              </w:rPr>
              <w:t>联网收费数据物联网服务项目</w:t>
            </w:r>
            <w:r>
              <w:rPr>
                <w:rFonts w:hint="eastAsia" w:ascii="宋体" w:hAnsi="宋体" w:eastAsia="宋体" w:cs="Times New Roman"/>
                <w:color w:val="auto"/>
              </w:rPr>
              <w:t>中的链路形成可自动切换的主备链路；</w:t>
            </w:r>
          </w:p>
          <w:p w14:paraId="14FB9241">
            <w:pPr>
              <w:shd w:val="clear" w:color="auto" w:fill="auto"/>
              <w:tabs>
                <w:tab w:val="left" w:pos="180"/>
                <w:tab w:val="left" w:pos="1620"/>
              </w:tabs>
              <w:spacing w:line="360" w:lineRule="exact"/>
              <w:ind w:firstLine="420" w:firstLineChars="200"/>
              <w:rPr>
                <w:rFonts w:ascii="宋体" w:hAnsi="宋体" w:eastAsia="宋体" w:cs="Times New Roman"/>
                <w:color w:val="auto"/>
              </w:rPr>
            </w:pPr>
            <w:r>
              <w:rPr>
                <w:rFonts w:hint="eastAsia" w:ascii="宋体" w:hAnsi="宋体" w:eastAsia="宋体" w:cs="Times New Roman"/>
                <w:color w:val="auto"/>
              </w:rPr>
              <w:t>2.如实现上述功能需使用到相关的网络、通信设备，由中标人提供。</w:t>
            </w:r>
          </w:p>
        </w:tc>
      </w:tr>
      <w:tr w14:paraId="5A6D5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11F1E25E">
            <w:pPr>
              <w:shd w:val="clear" w:color="auto" w:fill="auto"/>
              <w:spacing w:line="360" w:lineRule="exact"/>
              <w:jc w:val="center"/>
              <w:rPr>
                <w:rFonts w:hint="eastAsia" w:ascii="宋体" w:hAnsi="宋体" w:eastAsia="宋体" w:cs="Times New Roman"/>
                <w:color w:val="auto"/>
              </w:rPr>
            </w:pPr>
            <w:r>
              <w:rPr>
                <w:rFonts w:hint="eastAsia" w:ascii="宋体" w:hAnsi="宋体" w:eastAsia="宋体" w:cs="Times New Roman"/>
                <w:color w:val="auto"/>
              </w:rPr>
              <w:t>5</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3D2AA903">
            <w:pPr>
              <w:widowControl/>
              <w:shd w:val="clear" w:color="auto" w:fill="auto"/>
              <w:spacing w:line="360" w:lineRule="exact"/>
              <w:jc w:val="center"/>
              <w:rPr>
                <w:rFonts w:ascii="宋体" w:hAnsi="宋体" w:eastAsia="宋体" w:cs="宋体"/>
                <w:color w:val="auto"/>
                <w:kern w:val="0"/>
                <w:szCs w:val="21"/>
              </w:rPr>
            </w:pPr>
            <w:r>
              <w:rPr>
                <w:rFonts w:hint="eastAsia" w:ascii="宋体" w:hAnsi="宋体" w:eastAsia="宋体" w:cs="Times New Roman"/>
                <w:color w:val="auto"/>
                <w:szCs w:val="21"/>
              </w:rPr>
              <w:t>技术服务</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2A094EA7">
            <w:pPr>
              <w:shd w:val="clear" w:color="auto" w:fill="auto"/>
              <w:spacing w:line="360" w:lineRule="exact"/>
              <w:jc w:val="center"/>
              <w:rPr>
                <w:rFonts w:hint="eastAsia" w:ascii="宋体" w:hAnsi="宋体" w:eastAsia="宋体" w:cs="Times New Roman"/>
                <w:color w:val="auto"/>
                <w:szCs w:val="21"/>
              </w:rPr>
            </w:pPr>
            <w:r>
              <w:rPr>
                <w:rFonts w:hint="eastAsia" w:ascii="宋体" w:hAnsi="宋体" w:eastAsia="宋体" w:cs="Times New Roman"/>
                <w:color w:val="auto"/>
              </w:rPr>
              <w:t>1项</w:t>
            </w:r>
          </w:p>
        </w:tc>
        <w:tc>
          <w:tcPr>
            <w:tcW w:w="3117" w:type="pct"/>
            <w:tcBorders>
              <w:top w:val="single" w:color="auto" w:sz="4" w:space="0"/>
              <w:left w:val="single" w:color="auto" w:sz="4" w:space="0"/>
              <w:bottom w:val="single" w:color="auto" w:sz="4" w:space="0"/>
              <w:right w:val="single" w:color="auto" w:sz="4" w:space="0"/>
            </w:tcBorders>
            <w:noWrap w:val="0"/>
            <w:vAlign w:val="center"/>
          </w:tcPr>
          <w:p w14:paraId="6451EAD3">
            <w:pPr>
              <w:shd w:val="clear" w:color="auto" w:fill="auto"/>
              <w:tabs>
                <w:tab w:val="left" w:pos="180"/>
                <w:tab w:val="left" w:pos="1620"/>
              </w:tabs>
              <w:spacing w:line="360" w:lineRule="exact"/>
              <w:ind w:firstLine="420" w:firstLineChars="200"/>
              <w:rPr>
                <w:rFonts w:ascii="宋体" w:hAnsi="宋体" w:eastAsia="宋体" w:cs="Times New Roman"/>
                <w:color w:val="auto"/>
              </w:rPr>
            </w:pPr>
            <w:r>
              <w:rPr>
                <w:rFonts w:hint="eastAsia" w:ascii="宋体" w:hAnsi="宋体" w:eastAsia="宋体" w:cs="Times New Roman"/>
                <w:color w:val="auto"/>
              </w:rPr>
              <w:t>1.中标人免费提供所有接入设备，并负责所有的安装调试工作，同时需与采购人、</w:t>
            </w:r>
            <w:r>
              <w:rPr>
                <w:rFonts w:hint="eastAsia" w:ascii="宋体" w:hAnsi="宋体" w:eastAsia="宋体" w:cs="Times New Roman"/>
                <w:b/>
                <w:color w:val="auto"/>
              </w:rPr>
              <w:t>联网收费数据传输服务项目</w:t>
            </w:r>
            <w:r>
              <w:rPr>
                <w:rFonts w:hint="eastAsia" w:ascii="宋体" w:hAnsi="宋体" w:eastAsia="宋体" w:cs="Times New Roman"/>
                <w:color w:val="auto"/>
              </w:rPr>
              <w:t>中标人相互配合，使主用、备用链路形成相互保护；</w:t>
            </w:r>
          </w:p>
          <w:p w14:paraId="4A0FC80B">
            <w:pPr>
              <w:shd w:val="clear" w:color="auto" w:fill="auto"/>
              <w:tabs>
                <w:tab w:val="left" w:pos="180"/>
                <w:tab w:val="left" w:pos="1620"/>
              </w:tabs>
              <w:spacing w:line="360" w:lineRule="exact"/>
              <w:ind w:firstLine="420" w:firstLineChars="200"/>
              <w:rPr>
                <w:rFonts w:hint="eastAsia" w:ascii="宋体" w:hAnsi="宋体" w:eastAsia="宋体" w:cs="Times New Roman"/>
                <w:color w:val="auto"/>
              </w:rPr>
            </w:pPr>
            <w:r>
              <w:rPr>
                <w:rFonts w:hint="eastAsia" w:ascii="宋体" w:hAnsi="宋体" w:eastAsia="宋体" w:cs="Times New Roman"/>
                <w:color w:val="auto"/>
              </w:rPr>
              <w:t>2.数据专线要求具有全程网管监控功能，采购人应能对其实行7×24小时实时监控，并在采购人指定的位置展示；</w:t>
            </w:r>
          </w:p>
          <w:p w14:paraId="1C1688B8">
            <w:pPr>
              <w:shd w:val="clear" w:color="auto" w:fill="auto"/>
              <w:tabs>
                <w:tab w:val="left" w:pos="180"/>
                <w:tab w:val="left" w:pos="1620"/>
              </w:tabs>
              <w:spacing w:line="360" w:lineRule="exact"/>
              <w:ind w:firstLine="420" w:firstLineChars="200"/>
              <w:rPr>
                <w:rFonts w:hint="eastAsia" w:ascii="宋体" w:hAnsi="宋体" w:eastAsia="宋体" w:cs="Times New Roman"/>
                <w:color w:val="auto"/>
              </w:rPr>
            </w:pPr>
            <w:r>
              <w:rPr>
                <w:rFonts w:hint="eastAsia" w:ascii="宋体" w:hAnsi="宋体" w:eastAsia="宋体" w:cs="Times New Roman"/>
                <w:color w:val="auto"/>
              </w:rPr>
              <w:t>3.中标人应按日对每条链路的质量指标进行统计，并将统计结果整理后按月整理后形成巡检报告报送给采购人。其中：统计数据包括但不限于链路的正常时长、中断时长、中断开始时间、中断结束时间，链路正常率等指标；月度巡检报告除每条线路的质量情况外，还应包含总体运行情况；</w:t>
            </w:r>
          </w:p>
          <w:p w14:paraId="7F332B69">
            <w:pPr>
              <w:shd w:val="clear" w:color="auto" w:fill="auto"/>
              <w:tabs>
                <w:tab w:val="left" w:pos="180"/>
                <w:tab w:val="left" w:pos="1620"/>
              </w:tabs>
              <w:spacing w:line="360" w:lineRule="exact"/>
              <w:ind w:firstLine="420" w:firstLineChars="200"/>
              <w:rPr>
                <w:rFonts w:ascii="宋体" w:hAnsi="宋体" w:eastAsia="宋体" w:cs="Times New Roman"/>
                <w:color w:val="auto"/>
              </w:rPr>
            </w:pPr>
            <w:r>
              <w:rPr>
                <w:rFonts w:ascii="宋体" w:hAnsi="宋体" w:eastAsia="宋体" w:cs="Times New Roman"/>
                <w:color w:val="auto"/>
              </w:rPr>
              <w:t>……</w:t>
            </w:r>
            <w:r>
              <w:rPr>
                <w:rFonts w:hint="eastAsia" w:ascii="宋体" w:hAnsi="宋体" w:eastAsia="宋体" w:cs="Times New Roman"/>
                <w:color w:val="auto"/>
              </w:rPr>
              <w:t>具体见公告附件。</w:t>
            </w:r>
          </w:p>
        </w:tc>
      </w:tr>
    </w:tbl>
    <w:p w14:paraId="5BD10295">
      <w:pPr>
        <w:shd w:val="clear" w:color="auto" w:fill="auto"/>
        <w:spacing w:line="36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合同履行期限：2026年11月15日至2027年11月14日。</w:t>
      </w:r>
    </w:p>
    <w:p w14:paraId="2B7998C8">
      <w:pPr>
        <w:shd w:val="clear" w:color="auto" w:fill="auto"/>
        <w:spacing w:line="360" w:lineRule="exact"/>
        <w:ind w:firstLine="422" w:firstLineChars="200"/>
        <w:rPr>
          <w:rFonts w:ascii="宋体" w:hAnsi="宋体" w:eastAsia="宋体" w:cs="Times New Roman"/>
          <w:color w:val="auto"/>
          <w:szCs w:val="21"/>
        </w:rPr>
      </w:pPr>
      <w:r>
        <w:rPr>
          <w:rFonts w:hint="eastAsia" w:ascii="宋体" w:hAnsi="宋体" w:eastAsia="宋体" w:cs="Times New Roman"/>
          <w:b/>
          <w:color w:val="auto"/>
          <w:szCs w:val="21"/>
          <w:u w:val="single"/>
        </w:rPr>
        <w:t>本项目不接受联合体投标</w:t>
      </w:r>
      <w:r>
        <w:rPr>
          <w:rFonts w:hint="eastAsia" w:ascii="宋体" w:hAnsi="宋体" w:eastAsia="宋体" w:cs="Times New Roman"/>
          <w:color w:val="auto"/>
          <w:szCs w:val="21"/>
        </w:rPr>
        <w:t>。</w:t>
      </w:r>
    </w:p>
    <w:p w14:paraId="66778931">
      <w:pPr>
        <w:shd w:val="clear" w:color="auto" w:fill="auto"/>
        <w:spacing w:line="360" w:lineRule="exact"/>
        <w:ind w:firstLine="420" w:firstLineChars="200"/>
        <w:rPr>
          <w:rFonts w:hint="eastAsia" w:ascii="宋体" w:hAnsi="宋体" w:eastAsia="宋体" w:cs="Times New Roman"/>
          <w:color w:val="auto"/>
          <w:szCs w:val="21"/>
        </w:rPr>
      </w:pPr>
    </w:p>
    <w:p w14:paraId="4CA8ACC6">
      <w:pPr>
        <w:shd w:val="clear" w:color="auto" w:fill="auto"/>
        <w:spacing w:line="360" w:lineRule="exact"/>
        <w:rPr>
          <w:rFonts w:ascii="黑体" w:hAnsi="黑体" w:eastAsia="黑体" w:cs="Times New Roman"/>
          <w:b/>
          <w:bCs/>
          <w:color w:val="auto"/>
          <w:sz w:val="24"/>
        </w:rPr>
      </w:pPr>
      <w:bookmarkStart w:id="5" w:name="_Toc28359003"/>
      <w:bookmarkStart w:id="6" w:name="_Toc35393622"/>
      <w:bookmarkStart w:id="7" w:name="_Toc35393791"/>
      <w:bookmarkStart w:id="8" w:name="_Toc28359080"/>
      <w:r>
        <w:rPr>
          <w:rFonts w:hint="eastAsia" w:ascii="黑体" w:hAnsi="黑体" w:eastAsia="黑体" w:cs="Times New Roman"/>
          <w:b/>
          <w:bCs/>
          <w:color w:val="auto"/>
          <w:sz w:val="24"/>
        </w:rPr>
        <w:t>二、申请人的资格要求：</w:t>
      </w:r>
      <w:bookmarkEnd w:id="5"/>
      <w:bookmarkEnd w:id="6"/>
      <w:bookmarkEnd w:id="7"/>
      <w:bookmarkEnd w:id="8"/>
    </w:p>
    <w:p w14:paraId="6D1B9154">
      <w:pPr>
        <w:shd w:val="clear" w:color="auto" w:fill="auto"/>
        <w:spacing w:line="360" w:lineRule="exact"/>
        <w:ind w:firstLine="420" w:firstLineChars="200"/>
        <w:rPr>
          <w:rFonts w:ascii="宋体" w:hAnsi="宋体" w:eastAsia="宋体" w:cs="Times New Roman"/>
          <w:color w:val="auto"/>
          <w:szCs w:val="21"/>
        </w:rPr>
      </w:pPr>
      <w:bookmarkStart w:id="9" w:name="_Hlk51746371"/>
      <w:bookmarkStart w:id="10" w:name="_Toc28359081"/>
      <w:bookmarkStart w:id="11" w:name="_Toc35393792"/>
      <w:bookmarkStart w:id="12" w:name="_Toc35393623"/>
      <w:bookmarkStart w:id="13" w:name="_Toc28359004"/>
      <w:r>
        <w:rPr>
          <w:rFonts w:hint="eastAsia" w:ascii="宋体" w:hAnsi="宋体" w:eastAsia="宋体" w:cs="Times New Roman"/>
          <w:color w:val="auto"/>
          <w:szCs w:val="21"/>
        </w:rPr>
        <w:t>1.满足《中华人民共和国政府采购法》第二十二条规定；</w:t>
      </w:r>
    </w:p>
    <w:p w14:paraId="4F52BB6F">
      <w:pPr>
        <w:shd w:val="clear" w:color="auto" w:fill="auto"/>
        <w:spacing w:line="360" w:lineRule="exact"/>
        <w:ind w:firstLine="420" w:firstLineChars="200"/>
        <w:rPr>
          <w:rFonts w:ascii="宋体" w:hAnsi="宋体" w:eastAsia="宋体" w:cs="Times New Roman"/>
          <w:color w:val="auto"/>
          <w:szCs w:val="21"/>
        </w:rPr>
      </w:pPr>
      <w:r>
        <w:rPr>
          <w:rFonts w:ascii="宋体" w:hAnsi="宋体" w:eastAsia="宋体" w:cs="Times New Roman"/>
          <w:color w:val="auto"/>
          <w:szCs w:val="21"/>
        </w:rPr>
        <w:t>2</w:t>
      </w:r>
      <w:r>
        <w:rPr>
          <w:rFonts w:hint="eastAsia" w:ascii="宋体" w:hAnsi="宋体" w:eastAsia="宋体" w:cs="Times New Roman"/>
          <w:color w:val="auto"/>
          <w:szCs w:val="21"/>
        </w:rPr>
        <w:t>.落实政府采购政策需满足的资格要求：无；</w:t>
      </w:r>
    </w:p>
    <w:p w14:paraId="4B13815A">
      <w:pPr>
        <w:shd w:val="clear" w:color="auto" w:fill="auto"/>
        <w:spacing w:line="36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3.本项目的特定资格要求：供应商须具有《基础电信业务经营许可证》或具备该项许可证的供应商授权其子公司（或分公司）参与项目投标。</w:t>
      </w:r>
    </w:p>
    <w:p w14:paraId="0734CEA0">
      <w:pPr>
        <w:shd w:val="clear" w:color="auto" w:fill="auto"/>
        <w:spacing w:line="360" w:lineRule="exact"/>
        <w:ind w:firstLine="422" w:firstLineChars="200"/>
        <w:rPr>
          <w:rFonts w:hint="eastAsia" w:ascii="宋体" w:hAnsi="宋体" w:eastAsia="宋体" w:cs="Times New Roman"/>
          <w:color w:val="auto"/>
          <w:szCs w:val="21"/>
        </w:rPr>
      </w:pPr>
      <w:r>
        <w:rPr>
          <w:rFonts w:hint="eastAsia" w:ascii="宋体" w:hAnsi="宋体" w:eastAsia="宋体" w:cs="Times New Roman"/>
          <w:b/>
          <w:bCs/>
          <w:color w:val="auto"/>
          <w:szCs w:val="21"/>
        </w:rPr>
        <w:t>注：若同一家具备许可证的供应商授权其多个子公司（或分公司）参与项目投标的，按一家投标人计算，评审后得分最高的同被授权投标人获得中标人推荐资格；评审得分相同的，由采购人或者采购人委托评标委员会采取随机抽取方式确定，其他同被授权投标人不作为中标候选人。</w:t>
      </w:r>
    </w:p>
    <w:p w14:paraId="4AFC6478">
      <w:pPr>
        <w:shd w:val="clear" w:color="auto" w:fill="auto"/>
        <w:spacing w:line="360" w:lineRule="exact"/>
        <w:ind w:firstLine="420" w:firstLineChars="200"/>
        <w:rPr>
          <w:rFonts w:hint="eastAsia" w:ascii="宋体" w:hAnsi="宋体" w:eastAsia="宋体" w:cs="Times New Roman"/>
          <w:color w:val="auto"/>
          <w:szCs w:val="21"/>
        </w:rPr>
      </w:pPr>
    </w:p>
    <w:bookmarkEnd w:id="9"/>
    <w:p w14:paraId="32FF65EB">
      <w:pPr>
        <w:shd w:val="clear" w:color="auto" w:fill="auto"/>
        <w:spacing w:line="360" w:lineRule="exact"/>
        <w:rPr>
          <w:rFonts w:ascii="黑体" w:hAnsi="黑体" w:eastAsia="黑体" w:cs="Times New Roman"/>
          <w:b/>
          <w:bCs/>
          <w:color w:val="auto"/>
          <w:sz w:val="24"/>
        </w:rPr>
      </w:pPr>
      <w:r>
        <w:rPr>
          <w:rFonts w:hint="eastAsia" w:ascii="黑体" w:hAnsi="黑体" w:eastAsia="黑体" w:cs="Times New Roman"/>
          <w:b/>
          <w:bCs/>
          <w:color w:val="auto"/>
          <w:sz w:val="24"/>
        </w:rPr>
        <w:t>三、获取招标文件</w:t>
      </w:r>
      <w:bookmarkEnd w:id="10"/>
      <w:bookmarkEnd w:id="11"/>
      <w:bookmarkEnd w:id="12"/>
      <w:bookmarkEnd w:id="13"/>
    </w:p>
    <w:p w14:paraId="5A0B097A">
      <w:pPr>
        <w:shd w:val="clear" w:color="auto" w:fill="auto"/>
        <w:spacing w:line="360" w:lineRule="exact"/>
        <w:ind w:firstLine="420" w:firstLineChars="200"/>
        <w:rPr>
          <w:rFonts w:ascii="宋体" w:hAnsi="宋体" w:eastAsia="宋体" w:cs="宋体"/>
          <w:bCs/>
          <w:color w:val="auto"/>
          <w:kern w:val="0"/>
          <w:szCs w:val="21"/>
        </w:rPr>
      </w:pPr>
      <w:r>
        <w:rPr>
          <w:rFonts w:hint="eastAsia" w:ascii="宋体" w:hAnsi="宋体" w:eastAsia="宋体" w:cs="宋体"/>
          <w:bCs/>
          <w:color w:val="auto"/>
          <w:kern w:val="0"/>
          <w:szCs w:val="21"/>
        </w:rPr>
        <w:t>时间：</w:t>
      </w:r>
      <w:r>
        <w:rPr>
          <w:rFonts w:ascii="宋体" w:hAnsi="宋体" w:eastAsia="宋体" w:cs="宋体"/>
          <w:bCs/>
          <w:color w:val="auto"/>
          <w:kern w:val="0"/>
          <w:szCs w:val="21"/>
          <w:u w:val="single"/>
        </w:rPr>
        <w:t>2026</w:t>
      </w:r>
      <w:r>
        <w:rPr>
          <w:rFonts w:hint="eastAsia" w:ascii="宋体" w:hAnsi="宋体" w:eastAsia="宋体" w:cs="宋体"/>
          <w:bCs/>
          <w:color w:val="auto"/>
          <w:kern w:val="0"/>
          <w:szCs w:val="21"/>
          <w:u w:val="single"/>
        </w:rPr>
        <w:t>年 5 月 26 日</w:t>
      </w:r>
      <w:r>
        <w:rPr>
          <w:rFonts w:hint="eastAsia" w:ascii="宋体" w:hAnsi="宋体" w:eastAsia="宋体" w:cs="宋体"/>
          <w:bCs/>
          <w:color w:val="auto"/>
          <w:kern w:val="0"/>
          <w:szCs w:val="21"/>
        </w:rPr>
        <w:t>至</w:t>
      </w:r>
      <w:r>
        <w:rPr>
          <w:rFonts w:ascii="宋体" w:hAnsi="宋体" w:eastAsia="宋体" w:cs="宋体"/>
          <w:bCs/>
          <w:color w:val="auto"/>
          <w:kern w:val="0"/>
          <w:szCs w:val="21"/>
          <w:u w:val="single"/>
        </w:rPr>
        <w:t>2026</w:t>
      </w:r>
      <w:r>
        <w:rPr>
          <w:rFonts w:hint="eastAsia" w:ascii="宋体" w:hAnsi="宋体" w:eastAsia="宋体" w:cs="宋体"/>
          <w:bCs/>
          <w:color w:val="auto"/>
          <w:kern w:val="0"/>
          <w:szCs w:val="21"/>
          <w:u w:val="single"/>
        </w:rPr>
        <w:t>年 6 月 2 日</w:t>
      </w:r>
      <w:r>
        <w:rPr>
          <w:rFonts w:hint="eastAsia" w:ascii="宋体" w:hAnsi="宋体" w:eastAsia="宋体" w:cs="宋体"/>
          <w:bCs/>
          <w:color w:val="auto"/>
          <w:kern w:val="0"/>
          <w:szCs w:val="21"/>
        </w:rPr>
        <w:t>，每天上午</w:t>
      </w:r>
      <w:r>
        <w:rPr>
          <w:rFonts w:hint="eastAsia" w:ascii="宋体" w:hAnsi="宋体" w:eastAsia="宋体" w:cs="宋体"/>
          <w:bCs/>
          <w:color w:val="auto"/>
          <w:kern w:val="0"/>
          <w:szCs w:val="21"/>
          <w:u w:val="single"/>
        </w:rPr>
        <w:t>0:00至12:00，下午12:00至23:59</w:t>
      </w:r>
      <w:r>
        <w:rPr>
          <w:rFonts w:hint="eastAsia" w:ascii="宋体" w:hAnsi="宋体" w:eastAsia="宋体" w:cs="宋体"/>
          <w:bCs/>
          <w:color w:val="auto"/>
          <w:kern w:val="0"/>
          <w:szCs w:val="21"/>
        </w:rPr>
        <w:t>（北京时间）</w:t>
      </w:r>
    </w:p>
    <w:p w14:paraId="5B4CAD48">
      <w:pPr>
        <w:shd w:val="clear" w:color="auto" w:fill="auto"/>
        <w:spacing w:line="36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地点：广西政府采购云平台（https://www.gcy.zfcg.gxzf.gov.cn/）</w:t>
      </w:r>
    </w:p>
    <w:p w14:paraId="130823B0">
      <w:pPr>
        <w:shd w:val="clear" w:color="auto" w:fill="auto"/>
        <w:spacing w:line="36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Pr>
          <w:rFonts w:hint="eastAsia" w:ascii="宋体" w:hAnsi="宋体" w:eastAsia="宋体" w:cs="Times New Roman"/>
          <w:color w:val="auto"/>
          <w:szCs w:val="21"/>
        </w:rPr>
        <w:t>电子投标文件制作需要基于广西政府采购云平台获取的招标文件编制，</w:t>
      </w:r>
      <w:r>
        <w:rPr>
          <w:rFonts w:hint="eastAsia" w:ascii="宋体" w:hAnsi="宋体" w:eastAsia="宋体" w:cs="宋体"/>
          <w:bCs/>
          <w:color w:val="auto"/>
          <w:kern w:val="0"/>
          <w:szCs w:val="21"/>
        </w:rPr>
        <w:t>通过其他方式获取招标文件的，将有可能导致供应商无法在</w:t>
      </w:r>
      <w:r>
        <w:rPr>
          <w:rFonts w:hint="eastAsia" w:ascii="宋体" w:hAnsi="宋体" w:eastAsia="宋体" w:cs="Times New Roman"/>
          <w:color w:val="auto"/>
          <w:szCs w:val="21"/>
        </w:rPr>
        <w:t>广西政府采购云平台</w:t>
      </w:r>
      <w:r>
        <w:rPr>
          <w:rFonts w:hint="eastAsia" w:ascii="宋体" w:hAnsi="宋体" w:eastAsia="宋体" w:cs="宋体"/>
          <w:bCs/>
          <w:color w:val="auto"/>
          <w:kern w:val="0"/>
          <w:szCs w:val="21"/>
        </w:rPr>
        <w:t>编制及上传投标文件。</w:t>
      </w:r>
    </w:p>
    <w:p w14:paraId="7F8C8F31">
      <w:pPr>
        <w:shd w:val="clear" w:color="auto" w:fill="auto"/>
        <w:spacing w:line="360" w:lineRule="exact"/>
        <w:ind w:firstLine="420" w:firstLineChars="200"/>
        <w:rPr>
          <w:rFonts w:ascii="宋体" w:hAnsi="宋体" w:eastAsia="宋体" w:cs="宋体"/>
          <w:color w:val="auto"/>
          <w:szCs w:val="21"/>
        </w:rPr>
      </w:pPr>
      <w:r>
        <w:rPr>
          <w:rFonts w:hint="eastAsia" w:ascii="宋体" w:hAnsi="宋体" w:eastAsia="宋体" w:cs="宋体"/>
          <w:bCs/>
          <w:color w:val="auto"/>
          <w:kern w:val="0"/>
          <w:szCs w:val="21"/>
        </w:rPr>
        <w:t>售价：</w:t>
      </w:r>
      <w:r>
        <w:rPr>
          <w:rFonts w:hint="eastAsia" w:ascii="宋体" w:hAnsi="宋体" w:eastAsia="宋体" w:cs="宋体"/>
          <w:color w:val="auto"/>
          <w:szCs w:val="21"/>
          <w:u w:val="single"/>
        </w:rPr>
        <w:t>0</w:t>
      </w:r>
      <w:r>
        <w:rPr>
          <w:rFonts w:hint="eastAsia" w:ascii="宋体" w:hAnsi="宋体" w:eastAsia="宋体" w:cs="宋体"/>
          <w:color w:val="auto"/>
          <w:szCs w:val="21"/>
        </w:rPr>
        <w:t>元。</w:t>
      </w:r>
    </w:p>
    <w:p w14:paraId="6395CD98">
      <w:pPr>
        <w:shd w:val="clear" w:color="auto" w:fill="auto"/>
        <w:spacing w:line="360" w:lineRule="exact"/>
        <w:rPr>
          <w:rFonts w:ascii="黑体" w:hAnsi="黑体" w:eastAsia="黑体" w:cs="Times New Roman"/>
          <w:b/>
          <w:bCs/>
          <w:color w:val="auto"/>
          <w:sz w:val="24"/>
        </w:rPr>
      </w:pPr>
      <w:bookmarkStart w:id="14" w:name="_Toc28359005"/>
      <w:bookmarkStart w:id="15" w:name="_Toc28359082"/>
      <w:bookmarkStart w:id="16" w:name="_Toc35393624"/>
      <w:bookmarkStart w:id="17" w:name="_Toc35393793"/>
      <w:r>
        <w:rPr>
          <w:rFonts w:hint="eastAsia" w:ascii="黑体" w:hAnsi="黑体" w:eastAsia="黑体" w:cs="Times New Roman"/>
          <w:b/>
          <w:bCs/>
          <w:color w:val="auto"/>
          <w:sz w:val="24"/>
        </w:rPr>
        <w:t>四、提交投标文件</w:t>
      </w:r>
      <w:bookmarkEnd w:id="14"/>
      <w:bookmarkEnd w:id="15"/>
      <w:r>
        <w:rPr>
          <w:rFonts w:hint="eastAsia" w:ascii="黑体" w:hAnsi="黑体" w:eastAsia="黑体" w:cs="Times New Roman"/>
          <w:b/>
          <w:bCs/>
          <w:color w:val="auto"/>
          <w:sz w:val="24"/>
        </w:rPr>
        <w:t>截止时间、开标时间和地点</w:t>
      </w:r>
      <w:bookmarkEnd w:id="16"/>
      <w:bookmarkEnd w:id="17"/>
    </w:p>
    <w:p w14:paraId="7109D127">
      <w:pPr>
        <w:shd w:val="clear" w:color="auto" w:fill="auto"/>
        <w:spacing w:line="360" w:lineRule="exact"/>
        <w:ind w:firstLine="420" w:firstLineChars="200"/>
        <w:rPr>
          <w:rFonts w:ascii="宋体" w:hAnsi="宋体" w:eastAsia="宋体" w:cs="宋体"/>
          <w:color w:val="auto"/>
          <w:szCs w:val="21"/>
          <w:u w:val="single"/>
        </w:rPr>
      </w:pPr>
      <w:bookmarkStart w:id="18" w:name="_Toc35393625"/>
      <w:bookmarkStart w:id="19" w:name="_Toc28359007"/>
      <w:bookmarkStart w:id="20" w:name="_Toc35393794"/>
      <w:bookmarkStart w:id="21" w:name="_Toc28359084"/>
      <w:r>
        <w:rPr>
          <w:rFonts w:ascii="宋体" w:hAnsi="宋体" w:eastAsia="宋体" w:cs="Times New Roman"/>
          <w:bCs/>
          <w:color w:val="auto"/>
          <w:szCs w:val="21"/>
          <w:u w:val="single"/>
        </w:rPr>
        <w:t>2026</w:t>
      </w:r>
      <w:r>
        <w:rPr>
          <w:rFonts w:hint="eastAsia" w:ascii="宋体" w:hAnsi="宋体" w:eastAsia="宋体" w:cs="Times New Roman"/>
          <w:bCs/>
          <w:color w:val="auto"/>
          <w:szCs w:val="21"/>
          <w:u w:val="single"/>
        </w:rPr>
        <w:t xml:space="preserve">年 6 月 </w:t>
      </w:r>
      <w:r>
        <w:rPr>
          <w:rFonts w:hint="eastAsia" w:ascii="宋体" w:hAnsi="宋体" w:eastAsia="宋体" w:cs="Times New Roman"/>
          <w:bCs/>
          <w:color w:val="auto"/>
          <w:szCs w:val="21"/>
          <w:u w:val="single"/>
          <w:lang w:val="en-US" w:eastAsia="zh-CN"/>
        </w:rPr>
        <w:t>22</w:t>
      </w:r>
      <w:r>
        <w:rPr>
          <w:rFonts w:hint="eastAsia" w:ascii="宋体" w:hAnsi="宋体" w:eastAsia="宋体" w:cs="Times New Roman"/>
          <w:bCs/>
          <w:color w:val="auto"/>
          <w:szCs w:val="21"/>
          <w:u w:val="single"/>
        </w:rPr>
        <w:t xml:space="preserve"> 日9时30分</w:t>
      </w:r>
      <w:r>
        <w:rPr>
          <w:rFonts w:hint="eastAsia" w:ascii="宋体" w:hAnsi="宋体" w:eastAsia="宋体" w:cs="Times New Roman"/>
          <w:bCs/>
          <w:color w:val="auto"/>
          <w:szCs w:val="21"/>
        </w:rPr>
        <w:t>（北京时间）</w:t>
      </w:r>
    </w:p>
    <w:p w14:paraId="713637A2">
      <w:pPr>
        <w:shd w:val="clear" w:color="auto" w:fill="auto"/>
        <w:spacing w:line="36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投标地点：广西政府采购云平台（https://www.gcy.zfcg.gxzf.gov.cn/）</w:t>
      </w:r>
    </w:p>
    <w:p w14:paraId="60B3568B">
      <w:pPr>
        <w:shd w:val="clear" w:color="auto" w:fill="auto"/>
        <w:spacing w:line="36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开标地点：广西政府采购云平台电子开标大厅</w:t>
      </w:r>
    </w:p>
    <w:p w14:paraId="7B84950C">
      <w:pPr>
        <w:shd w:val="clear" w:color="auto" w:fill="auto"/>
        <w:spacing w:line="360" w:lineRule="exact"/>
        <w:rPr>
          <w:rFonts w:ascii="黑体" w:hAnsi="黑体" w:eastAsia="黑体" w:cs="Times New Roman"/>
          <w:b/>
          <w:bCs/>
          <w:color w:val="auto"/>
          <w:sz w:val="24"/>
        </w:rPr>
      </w:pPr>
      <w:r>
        <w:rPr>
          <w:rFonts w:hint="eastAsia" w:ascii="黑体" w:hAnsi="黑体" w:eastAsia="黑体" w:cs="Times New Roman"/>
          <w:b/>
          <w:bCs/>
          <w:color w:val="auto"/>
          <w:sz w:val="24"/>
        </w:rPr>
        <w:t>五、公告期限</w:t>
      </w:r>
      <w:bookmarkEnd w:id="18"/>
      <w:bookmarkEnd w:id="19"/>
      <w:bookmarkEnd w:id="20"/>
      <w:bookmarkEnd w:id="21"/>
    </w:p>
    <w:p w14:paraId="7176AEA5">
      <w:pPr>
        <w:shd w:val="clear" w:color="auto" w:fill="auto"/>
        <w:spacing w:line="36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自本公告发布之日起5个工作日。</w:t>
      </w:r>
    </w:p>
    <w:p w14:paraId="3E7E32BE">
      <w:pPr>
        <w:shd w:val="clear" w:color="auto" w:fill="auto"/>
        <w:spacing w:line="360" w:lineRule="exact"/>
        <w:rPr>
          <w:rFonts w:ascii="黑体" w:hAnsi="黑体" w:eastAsia="黑体" w:cs="Times New Roman"/>
          <w:b/>
          <w:bCs/>
          <w:color w:val="auto"/>
          <w:sz w:val="24"/>
        </w:rPr>
      </w:pPr>
      <w:bookmarkStart w:id="22" w:name="_Toc35393626"/>
      <w:bookmarkStart w:id="23" w:name="_Toc35393795"/>
      <w:r>
        <w:rPr>
          <w:rFonts w:hint="eastAsia" w:ascii="黑体" w:hAnsi="黑体" w:eastAsia="黑体" w:cs="Times New Roman"/>
          <w:b/>
          <w:bCs/>
          <w:color w:val="auto"/>
          <w:sz w:val="24"/>
        </w:rPr>
        <w:t>六、其他补充事宜</w:t>
      </w:r>
      <w:bookmarkEnd w:id="22"/>
      <w:bookmarkEnd w:id="23"/>
    </w:p>
    <w:p w14:paraId="45C71EA7">
      <w:pPr>
        <w:shd w:val="clear" w:color="auto" w:fill="auto"/>
        <w:spacing w:line="360" w:lineRule="exact"/>
        <w:ind w:firstLine="420" w:firstLineChars="200"/>
        <w:rPr>
          <w:rFonts w:ascii="宋体" w:hAnsi="宋体" w:eastAsia="宋体" w:cs="宋体"/>
          <w:color w:val="auto"/>
          <w:kern w:val="0"/>
          <w:szCs w:val="21"/>
        </w:rPr>
      </w:pPr>
      <w:bookmarkStart w:id="24" w:name="_Hlk37429595"/>
      <w:bookmarkStart w:id="25" w:name="_Hlk37429585"/>
      <w:bookmarkStart w:id="26" w:name="_Toc35393627"/>
      <w:bookmarkStart w:id="27" w:name="_Toc28359008"/>
      <w:bookmarkStart w:id="28" w:name="_Toc28359085"/>
      <w:bookmarkStart w:id="29" w:name="_Toc35393796"/>
      <w:r>
        <w:rPr>
          <w:rFonts w:hint="eastAsia" w:ascii="宋体" w:hAnsi="宋体" w:eastAsia="宋体" w:cs="宋体"/>
          <w:color w:val="auto"/>
          <w:kern w:val="0"/>
          <w:szCs w:val="21"/>
        </w:rPr>
        <w:t>1.网上查询地址</w:t>
      </w:r>
    </w:p>
    <w:p w14:paraId="219BA717">
      <w:pPr>
        <w:shd w:val="clear" w:color="auto" w:fill="auto"/>
        <w:spacing w:line="360" w:lineRule="exact"/>
        <w:ind w:firstLine="420" w:firstLineChars="200"/>
        <w:rPr>
          <w:rFonts w:hint="eastAsia" w:ascii="宋体" w:hAnsi="宋体" w:eastAsia="宋体" w:cs="宋体"/>
          <w:i/>
          <w:color w:val="auto"/>
          <w:kern w:val="0"/>
          <w:szCs w:val="21"/>
        </w:rPr>
      </w:pPr>
      <w:r>
        <w:rPr>
          <w:rFonts w:hint="eastAsia" w:ascii="宋体" w:hAnsi="宋体" w:eastAsia="宋体" w:cs="宋体"/>
          <w:color w:val="auto"/>
          <w:kern w:val="0"/>
          <w:szCs w:val="21"/>
        </w:rPr>
        <w:t>中国政府采购网（http://www.ccgp.gov.cn）、广西壮族自治区政府采购网（http://zfcg.gxzf.gov.cn）、广西壮族自治区公共资源交易中心（http://gxggzy.gxzf.gov.cn/）</w:t>
      </w:r>
    </w:p>
    <w:bookmarkEnd w:id="24"/>
    <w:bookmarkEnd w:id="25"/>
    <w:p w14:paraId="1B108649">
      <w:pPr>
        <w:shd w:val="clear" w:color="auto" w:fill="auto"/>
        <w:spacing w:line="360" w:lineRule="exact"/>
        <w:ind w:firstLine="424" w:firstLineChars="202"/>
        <w:rPr>
          <w:rFonts w:hint="eastAsia" w:ascii="宋体" w:hAnsi="宋体" w:eastAsia="宋体" w:cs="宋体"/>
          <w:color w:val="auto"/>
          <w:kern w:val="0"/>
          <w:szCs w:val="21"/>
        </w:rPr>
      </w:pPr>
      <w:bookmarkStart w:id="30" w:name="_Hlk37429674"/>
      <w:r>
        <w:rPr>
          <w:rFonts w:hint="eastAsia" w:ascii="宋体" w:hAnsi="宋体" w:eastAsia="宋体" w:cs="Times New Roman"/>
          <w:color w:val="auto"/>
          <w:szCs w:val="21"/>
        </w:rPr>
        <w:t>2</w:t>
      </w:r>
      <w:r>
        <w:rPr>
          <w:rFonts w:ascii="宋体" w:hAnsi="宋体" w:eastAsia="宋体" w:cs="Times New Roman"/>
          <w:color w:val="auto"/>
          <w:szCs w:val="21"/>
        </w:rPr>
        <w:t>.</w:t>
      </w:r>
      <w:r>
        <w:rPr>
          <w:rFonts w:hint="eastAsia" w:ascii="宋体" w:hAnsi="宋体" w:eastAsia="宋体" w:cs="宋体"/>
          <w:color w:val="auto"/>
          <w:kern w:val="0"/>
          <w:szCs w:val="21"/>
        </w:rPr>
        <w:t>本项目需要落实的政府采购政策</w:t>
      </w:r>
    </w:p>
    <w:p w14:paraId="2B4272EE">
      <w:pPr>
        <w:shd w:val="clear" w:color="auto" w:fill="auto"/>
        <w:spacing w:line="360" w:lineRule="exact"/>
        <w:ind w:firstLine="420" w:firstLineChars="200"/>
        <w:rPr>
          <w:rFonts w:ascii="宋体" w:hAnsi="宋体" w:eastAsia="宋体" w:cs="宋体"/>
          <w:iCs/>
          <w:color w:val="auto"/>
          <w:kern w:val="0"/>
          <w:szCs w:val="21"/>
        </w:rPr>
      </w:pPr>
      <w:r>
        <w:rPr>
          <w:rFonts w:hint="eastAsia" w:ascii="宋体" w:hAnsi="宋体" w:eastAsia="宋体" w:cs="宋体"/>
          <w:iCs/>
          <w:color w:val="auto"/>
          <w:kern w:val="0"/>
          <w:szCs w:val="21"/>
        </w:rPr>
        <w:t>（1）政府采购促进中小企业发展。</w:t>
      </w:r>
    </w:p>
    <w:p w14:paraId="22AA1916">
      <w:pPr>
        <w:shd w:val="clear" w:color="auto" w:fill="auto"/>
        <w:spacing w:line="360" w:lineRule="exact"/>
        <w:ind w:firstLine="420" w:firstLineChars="200"/>
        <w:rPr>
          <w:rFonts w:ascii="宋体" w:hAnsi="宋体" w:eastAsia="宋体" w:cs="宋体"/>
          <w:iCs/>
          <w:color w:val="auto"/>
          <w:kern w:val="0"/>
          <w:szCs w:val="21"/>
        </w:rPr>
      </w:pPr>
      <w:r>
        <w:rPr>
          <w:rFonts w:hint="eastAsia" w:ascii="宋体" w:hAnsi="宋体" w:eastAsia="宋体" w:cs="宋体"/>
          <w:iCs/>
          <w:color w:val="auto"/>
          <w:kern w:val="0"/>
          <w:szCs w:val="21"/>
        </w:rPr>
        <w:t>（2）政府采购支持采用本国产品的政策。</w:t>
      </w:r>
    </w:p>
    <w:p w14:paraId="6AE4CB9F">
      <w:pPr>
        <w:shd w:val="clear" w:color="auto" w:fill="auto"/>
        <w:spacing w:line="360" w:lineRule="exact"/>
        <w:ind w:firstLine="420" w:firstLineChars="200"/>
        <w:rPr>
          <w:rFonts w:ascii="宋体" w:hAnsi="宋体" w:eastAsia="宋体" w:cs="宋体"/>
          <w:iCs/>
          <w:color w:val="auto"/>
          <w:kern w:val="0"/>
          <w:szCs w:val="21"/>
        </w:rPr>
      </w:pPr>
      <w:r>
        <w:rPr>
          <w:rFonts w:hint="eastAsia" w:ascii="宋体" w:hAnsi="宋体" w:eastAsia="宋体" w:cs="宋体"/>
          <w:iCs/>
          <w:color w:val="auto"/>
          <w:kern w:val="0"/>
          <w:szCs w:val="21"/>
        </w:rPr>
        <w:t>（3）强制采购节能产品；优先采购节能产品、环境标志产品。</w:t>
      </w:r>
    </w:p>
    <w:p w14:paraId="20D81118">
      <w:pPr>
        <w:shd w:val="clear" w:color="auto" w:fill="auto"/>
        <w:spacing w:line="360" w:lineRule="exact"/>
        <w:ind w:firstLine="420" w:firstLineChars="200"/>
        <w:rPr>
          <w:rFonts w:ascii="宋体" w:hAnsi="宋体" w:eastAsia="宋体" w:cs="宋体"/>
          <w:iCs/>
          <w:color w:val="auto"/>
          <w:kern w:val="0"/>
          <w:szCs w:val="21"/>
        </w:rPr>
      </w:pPr>
      <w:r>
        <w:rPr>
          <w:rFonts w:hint="eastAsia" w:ascii="宋体" w:hAnsi="宋体" w:eastAsia="宋体" w:cs="宋体"/>
          <w:iCs/>
          <w:color w:val="auto"/>
          <w:kern w:val="0"/>
          <w:szCs w:val="21"/>
        </w:rPr>
        <w:t>（4）政府采购促进残疾人就业政策。</w:t>
      </w:r>
    </w:p>
    <w:p w14:paraId="4A454DA1">
      <w:pPr>
        <w:shd w:val="clear" w:color="auto" w:fill="auto"/>
        <w:spacing w:line="360" w:lineRule="exact"/>
        <w:ind w:firstLine="420" w:firstLineChars="200"/>
        <w:rPr>
          <w:rFonts w:hint="eastAsia" w:ascii="宋体" w:hAnsi="宋体" w:eastAsia="宋体" w:cs="宋体"/>
          <w:i/>
          <w:iCs/>
          <w:color w:val="auto"/>
          <w:kern w:val="0"/>
          <w:szCs w:val="21"/>
        </w:rPr>
      </w:pPr>
      <w:r>
        <w:rPr>
          <w:rFonts w:hint="eastAsia" w:ascii="宋体" w:hAnsi="宋体" w:eastAsia="宋体" w:cs="宋体"/>
          <w:iCs/>
          <w:color w:val="auto"/>
          <w:kern w:val="0"/>
          <w:szCs w:val="21"/>
        </w:rPr>
        <w:t>（5）政府采购支持监狱企业发展。</w:t>
      </w:r>
    </w:p>
    <w:bookmarkEnd w:id="30"/>
    <w:p w14:paraId="7051FD5E">
      <w:pPr>
        <w:widowControl/>
        <w:shd w:val="clear" w:color="auto" w:fill="auto"/>
        <w:spacing w:line="360" w:lineRule="exact"/>
        <w:ind w:firstLine="422" w:firstLineChars="200"/>
        <w:jc w:val="left"/>
        <w:rPr>
          <w:rFonts w:hint="eastAsia" w:ascii="宋体" w:hAnsi="宋体" w:eastAsia="宋体" w:cs="Times New Roman"/>
          <w:b/>
          <w:color w:val="auto"/>
          <w:szCs w:val="21"/>
        </w:rPr>
      </w:pPr>
      <w:r>
        <w:rPr>
          <w:rFonts w:hint="eastAsia" w:ascii="宋体" w:hAnsi="宋体" w:eastAsia="宋体" w:cs="宋体"/>
          <w:b/>
          <w:color w:val="auto"/>
          <w:kern w:val="0"/>
          <w:szCs w:val="21"/>
        </w:rPr>
        <w:t>3.投标人</w:t>
      </w:r>
      <w:r>
        <w:rPr>
          <w:rFonts w:hint="eastAsia" w:ascii="宋体" w:hAnsi="宋体" w:eastAsia="宋体" w:cs="Times New Roman"/>
          <w:b/>
          <w:color w:val="auto"/>
          <w:szCs w:val="21"/>
        </w:rPr>
        <w:t>投标注意事项</w:t>
      </w:r>
    </w:p>
    <w:p w14:paraId="4975F7C0">
      <w:pPr>
        <w:widowControl/>
        <w:shd w:val="clear" w:color="auto" w:fill="auto"/>
        <w:spacing w:line="360" w:lineRule="exact"/>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Pr>
          <w:rFonts w:hint="eastAsia" w:ascii="宋体" w:hAnsi="宋体" w:eastAsia="宋体" w:cs="Times New Roman"/>
          <w:b/>
          <w:color w:val="auto"/>
          <w:szCs w:val="21"/>
        </w:rPr>
        <w:t>（</w:t>
      </w:r>
      <w:r>
        <w:rPr>
          <w:rFonts w:hint="eastAsia" w:ascii="宋体" w:hAnsi="宋体" w:eastAsia="宋体" w:cs="Times New Roman"/>
          <w:b/>
          <w:color w:val="auto"/>
          <w:szCs w:val="21"/>
          <w:u w:val="single"/>
        </w:rPr>
        <w:t>加密的电子投标文件是指</w:t>
      </w:r>
      <w:r>
        <w:rPr>
          <w:rFonts w:hint="eastAsia" w:ascii="Times New Roman" w:hAnsi="Times New Roman" w:eastAsia="宋体" w:cs="Times New Roman"/>
          <w:b/>
          <w:color w:val="auto"/>
          <w:u w:val="single"/>
        </w:rPr>
        <w:t>后缀名为“jm</w:t>
      </w:r>
      <w:r>
        <w:rPr>
          <w:rFonts w:ascii="Times New Roman" w:hAnsi="Times New Roman" w:eastAsia="宋体" w:cs="Times New Roman"/>
          <w:b/>
          <w:color w:val="auto"/>
          <w:u w:val="single"/>
        </w:rPr>
        <w:t>bs</w:t>
      </w:r>
      <w:r>
        <w:rPr>
          <w:rFonts w:hint="eastAsia" w:ascii="Times New Roman" w:hAnsi="Times New Roman" w:eastAsia="宋体" w:cs="Times New Roman"/>
          <w:b/>
          <w:color w:val="auto"/>
          <w:u w:val="single"/>
        </w:rPr>
        <w:t>”的文件</w:t>
      </w:r>
      <w:r>
        <w:rPr>
          <w:rFonts w:hint="eastAsia" w:ascii="宋体" w:hAnsi="宋体" w:eastAsia="宋体" w:cs="Times New Roman"/>
          <w:b/>
          <w:color w:val="auto"/>
          <w:szCs w:val="21"/>
        </w:rPr>
        <w:t>）</w:t>
      </w:r>
      <w:r>
        <w:rPr>
          <w:rFonts w:hint="eastAsia" w:ascii="宋体" w:hAnsi="宋体" w:eastAsia="宋体" w:cs="Times New Roman"/>
          <w:color w:val="auto"/>
          <w:szCs w:val="21"/>
        </w:rPr>
        <w:t>，</w:t>
      </w:r>
      <w:r>
        <w:rPr>
          <w:rFonts w:hint="eastAsia" w:ascii="宋体" w:hAnsi="宋体" w:eastAsia="宋体" w:cs="Times New Roman"/>
          <w:b/>
          <w:color w:val="auto"/>
          <w:szCs w:val="21"/>
        </w:rPr>
        <w:t>投标人在广西政府采购云平台提交电子投标文件时，请填写参加远程开标活动经办人联系方式。</w:t>
      </w:r>
      <w:r>
        <w:rPr>
          <w:rFonts w:hint="eastAsia" w:ascii="宋体" w:hAnsi="宋体" w:eastAsia="宋体" w:cs="Times New Roman"/>
          <w:color w:val="auto"/>
          <w:szCs w:val="21"/>
        </w:rPr>
        <w:t>投标人登录广西政府采购云平台，依次进入“服务中心-项目采购-操作流程-电子招投标-</w:t>
      </w:r>
      <w:r>
        <w:rPr>
          <w:rFonts w:ascii="Times New Roman" w:hAnsi="Times New Roman" w:eastAsia="宋体" w:cs="Times New Roman"/>
          <w:color w:val="auto"/>
        </w:rPr>
        <w:t>政府采购项目电子交易管理操作指南-供应商</w:t>
      </w:r>
      <w:r>
        <w:rPr>
          <w:rFonts w:hint="eastAsia" w:ascii="宋体" w:hAnsi="宋体" w:eastAsia="宋体" w:cs="Times New Roman"/>
          <w:color w:val="auto"/>
          <w:szCs w:val="21"/>
        </w:rPr>
        <w:t>”查看电子投标具体操作流程。</w:t>
      </w:r>
    </w:p>
    <w:p w14:paraId="1C129E54">
      <w:pPr>
        <w:widowControl/>
        <w:shd w:val="clear" w:color="auto" w:fill="auto"/>
        <w:spacing w:line="36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eastAsia="宋体" w:cs="宋体"/>
          <w:color w:val="auto"/>
          <w:kern w:val="0"/>
          <w:szCs w:val="21"/>
        </w:rPr>
        <w:t>广西政府采购云平台，</w:t>
      </w:r>
      <w:r>
        <w:rPr>
          <w:rFonts w:hint="eastAsia" w:ascii="宋体" w:hAnsi="宋体" w:eastAsia="宋体" w:cs="Times New Roman"/>
          <w:color w:val="auto"/>
          <w:szCs w:val="21"/>
        </w:rPr>
        <w:t>依次进入“服务中心-入驻与配置”中查看CA数字证书办理操作流程。</w:t>
      </w:r>
      <w:r>
        <w:rPr>
          <w:rFonts w:hint="eastAsia" w:ascii="宋体" w:hAnsi="宋体" w:eastAsia="宋体" w:cs="宋体"/>
          <w:bCs/>
          <w:color w:val="auto"/>
          <w:kern w:val="0"/>
          <w:szCs w:val="21"/>
        </w:rPr>
        <w:t>如在操作过程中遇到问题或者需要技术支持，请致电广西政府采购云平台客服热线：</w:t>
      </w:r>
      <w:r>
        <w:rPr>
          <w:rFonts w:hint="eastAsia" w:ascii="宋体" w:hAnsi="宋体" w:eastAsia="宋体" w:cs="宋体"/>
          <w:color w:val="auto"/>
          <w:kern w:val="0"/>
          <w:szCs w:val="21"/>
        </w:rPr>
        <w:t>95763</w:t>
      </w:r>
      <w:r>
        <w:rPr>
          <w:rFonts w:hint="eastAsia" w:ascii="宋体" w:hAnsi="宋体" w:eastAsia="宋体" w:cs="宋体"/>
          <w:bCs/>
          <w:color w:val="auto"/>
          <w:kern w:val="0"/>
          <w:szCs w:val="21"/>
        </w:rPr>
        <w:t>或0</w:t>
      </w:r>
      <w:r>
        <w:rPr>
          <w:rFonts w:ascii="宋体" w:hAnsi="宋体" w:eastAsia="宋体" w:cs="宋体"/>
          <w:bCs/>
          <w:color w:val="auto"/>
          <w:kern w:val="0"/>
          <w:szCs w:val="21"/>
        </w:rPr>
        <w:t>771-</w:t>
      </w:r>
      <w:r>
        <w:rPr>
          <w:rFonts w:hint="eastAsia" w:ascii="宋体" w:hAnsi="宋体" w:eastAsia="宋体" w:cs="宋体"/>
          <w:bCs/>
          <w:color w:val="auto"/>
          <w:kern w:val="0"/>
          <w:szCs w:val="21"/>
        </w:rPr>
        <w:t>3</w:t>
      </w:r>
      <w:r>
        <w:rPr>
          <w:rFonts w:ascii="宋体" w:hAnsi="宋体" w:eastAsia="宋体" w:cs="宋体"/>
          <w:bCs/>
          <w:color w:val="auto"/>
          <w:kern w:val="0"/>
          <w:szCs w:val="21"/>
        </w:rPr>
        <w:t>381253</w:t>
      </w:r>
      <w:r>
        <w:rPr>
          <w:rFonts w:hint="eastAsia" w:ascii="宋体" w:hAnsi="宋体" w:eastAsia="宋体" w:cs="Times New Roman"/>
          <w:color w:val="auto"/>
          <w:szCs w:val="21"/>
        </w:rPr>
        <w:t>）。</w:t>
      </w:r>
    </w:p>
    <w:p w14:paraId="042A0FE2">
      <w:pPr>
        <w:shd w:val="clear" w:color="auto" w:fill="auto"/>
        <w:snapToGrid w:val="0"/>
        <w:spacing w:line="36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586C469A">
      <w:pPr>
        <w:shd w:val="clear" w:color="auto" w:fill="auto"/>
        <w:spacing w:line="360" w:lineRule="exact"/>
        <w:ind w:firstLine="426" w:firstLineChars="202"/>
        <w:rPr>
          <w:rFonts w:ascii="宋体" w:hAnsi="宋体" w:eastAsia="宋体" w:cs="Times New Roman"/>
          <w:b/>
          <w:color w:val="auto"/>
          <w:szCs w:val="21"/>
        </w:rPr>
      </w:pPr>
      <w:r>
        <w:rPr>
          <w:rFonts w:hint="eastAsia" w:ascii="宋体" w:hAnsi="宋体" w:eastAsia="宋体" w:cs="Times New Roman"/>
          <w:b/>
          <w:color w:val="auto"/>
          <w:szCs w:val="21"/>
        </w:rPr>
        <w:t>注：</w:t>
      </w:r>
    </w:p>
    <w:p w14:paraId="6C3BCCB2">
      <w:pPr>
        <w:shd w:val="clear" w:color="auto" w:fill="auto"/>
        <w:spacing w:line="360" w:lineRule="exact"/>
        <w:ind w:firstLine="426" w:firstLineChars="202"/>
        <w:rPr>
          <w:rFonts w:ascii="宋体" w:hAnsi="宋体" w:eastAsia="宋体" w:cs="Times New Roman"/>
          <w:b/>
          <w:color w:val="auto"/>
          <w:szCs w:val="21"/>
        </w:rPr>
      </w:pPr>
      <w:r>
        <w:rPr>
          <w:rFonts w:hint="eastAsia" w:ascii="宋体" w:hAnsi="宋体" w:eastAsia="宋体" w:cs="Times New Roman"/>
          <w:b/>
          <w:color w:val="auto"/>
          <w:szCs w:val="21"/>
        </w:rPr>
        <w:t>①为确保网上操作合法、有效和安全，请投标人确保在电子投标过程中能够对相关数据电文进行加密和使用电子签章，妥善保管C</w:t>
      </w:r>
      <w:r>
        <w:rPr>
          <w:rFonts w:ascii="宋体" w:hAnsi="宋体" w:eastAsia="宋体" w:cs="Times New Roman"/>
          <w:b/>
          <w:color w:val="auto"/>
          <w:szCs w:val="21"/>
        </w:rPr>
        <w:t>A</w:t>
      </w:r>
      <w:r>
        <w:rPr>
          <w:rFonts w:hint="eastAsia" w:ascii="宋体" w:hAnsi="宋体" w:eastAsia="宋体" w:cs="Times New Roman"/>
          <w:b/>
          <w:color w:val="auto"/>
          <w:szCs w:val="21"/>
        </w:rPr>
        <w:t>数字证书并使用有效的CA数字证书参与整个招标活动。</w:t>
      </w:r>
    </w:p>
    <w:p w14:paraId="548760D7">
      <w:pPr>
        <w:shd w:val="clear" w:color="auto" w:fill="auto"/>
        <w:spacing w:line="360" w:lineRule="exact"/>
        <w:ind w:firstLine="426" w:firstLineChars="202"/>
        <w:rPr>
          <w:rFonts w:ascii="宋体" w:hAnsi="宋体" w:eastAsia="宋体" w:cs="Times New Roman"/>
          <w:b/>
          <w:bCs/>
          <w:color w:val="auto"/>
          <w:szCs w:val="21"/>
        </w:rPr>
      </w:pPr>
      <w:r>
        <w:rPr>
          <w:rFonts w:hint="eastAsia" w:ascii="宋体" w:hAnsi="宋体" w:eastAsia="宋体" w:cs="Times New Roman"/>
          <w:b/>
          <w:color w:val="auto"/>
          <w:szCs w:val="21"/>
        </w:rPr>
        <w:t>②</w:t>
      </w:r>
      <w:r>
        <w:rPr>
          <w:rFonts w:hint="eastAsia" w:ascii="宋体" w:hAnsi="宋体" w:eastAsia="宋体" w:cs="Times New Roman"/>
          <w:b/>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3E6CEA04">
      <w:pPr>
        <w:shd w:val="clear" w:color="auto" w:fill="auto"/>
        <w:spacing w:line="360" w:lineRule="exact"/>
        <w:rPr>
          <w:rFonts w:ascii="黑体" w:hAnsi="黑体" w:eastAsia="黑体" w:cs="Times New Roman"/>
          <w:b/>
          <w:bCs/>
          <w:color w:val="auto"/>
          <w:sz w:val="24"/>
        </w:rPr>
      </w:pPr>
    </w:p>
    <w:p w14:paraId="7B939363">
      <w:pPr>
        <w:shd w:val="clear" w:color="auto" w:fill="auto"/>
        <w:spacing w:line="360" w:lineRule="exact"/>
        <w:rPr>
          <w:rFonts w:ascii="黑体" w:hAnsi="黑体" w:eastAsia="黑体" w:cs="Times New Roman"/>
          <w:b/>
          <w:bCs/>
          <w:color w:val="auto"/>
          <w:sz w:val="24"/>
        </w:rPr>
      </w:pPr>
      <w:r>
        <w:rPr>
          <w:rFonts w:hint="eastAsia" w:ascii="黑体" w:hAnsi="黑体" w:eastAsia="黑体" w:cs="Times New Roman"/>
          <w:b/>
          <w:bCs/>
          <w:color w:val="auto"/>
          <w:sz w:val="24"/>
        </w:rPr>
        <w:t>七、对本次招标提出询问，请按</w:t>
      </w:r>
      <w:r>
        <w:rPr>
          <w:rFonts w:ascii="黑体" w:hAnsi="黑体" w:eastAsia="黑体" w:cs="Times New Roman"/>
          <w:b/>
          <w:bCs/>
          <w:color w:val="auto"/>
          <w:sz w:val="24"/>
        </w:rPr>
        <w:t>以下方式</w:t>
      </w:r>
      <w:r>
        <w:rPr>
          <w:rFonts w:hint="eastAsia" w:ascii="黑体" w:hAnsi="黑体" w:eastAsia="黑体" w:cs="Times New Roman"/>
          <w:b/>
          <w:bCs/>
          <w:color w:val="auto"/>
          <w:sz w:val="24"/>
        </w:rPr>
        <w:t>联系。</w:t>
      </w:r>
      <w:bookmarkEnd w:id="26"/>
      <w:bookmarkEnd w:id="27"/>
      <w:bookmarkEnd w:id="28"/>
      <w:bookmarkEnd w:id="29"/>
    </w:p>
    <w:p w14:paraId="402FC46F">
      <w:pPr>
        <w:shd w:val="clear" w:color="auto" w:fill="auto"/>
        <w:spacing w:line="360" w:lineRule="exact"/>
        <w:ind w:firstLine="424" w:firstLineChars="202"/>
        <w:jc w:val="left"/>
        <w:rPr>
          <w:rFonts w:hint="eastAsia" w:ascii="宋体" w:hAnsi="宋体" w:eastAsia="宋体" w:cs="Times New Roman"/>
          <w:color w:val="auto"/>
          <w:szCs w:val="21"/>
        </w:rPr>
      </w:pPr>
      <w:r>
        <w:rPr>
          <w:rFonts w:hint="eastAsia" w:ascii="宋体" w:hAnsi="宋体" w:eastAsia="宋体" w:cs="宋体"/>
          <w:color w:val="auto"/>
          <w:szCs w:val="21"/>
        </w:rPr>
        <w:t>1.采购人信息</w:t>
      </w:r>
    </w:p>
    <w:p w14:paraId="3E644EB7">
      <w:pPr>
        <w:shd w:val="clear" w:color="auto" w:fill="auto"/>
        <w:spacing w:line="360" w:lineRule="exact"/>
        <w:ind w:firstLine="424" w:firstLineChars="202"/>
        <w:jc w:val="left"/>
        <w:rPr>
          <w:rFonts w:ascii="宋体" w:hAnsi="宋体" w:eastAsia="宋体" w:cs="Times New Roman"/>
          <w:color w:val="auto"/>
          <w:szCs w:val="21"/>
        </w:rPr>
      </w:pPr>
      <w:r>
        <w:rPr>
          <w:rFonts w:hint="eastAsia" w:ascii="宋体" w:hAnsi="宋体" w:eastAsia="宋体" w:cs="Times New Roman"/>
          <w:color w:val="auto"/>
          <w:szCs w:val="21"/>
        </w:rPr>
        <w:t>名称：</w:t>
      </w:r>
      <w:r>
        <w:rPr>
          <w:rFonts w:hint="eastAsia" w:ascii="宋体" w:hAnsi="宋体" w:eastAsia="宋体" w:cs="Times New Roman"/>
          <w:color w:val="auto"/>
          <w:szCs w:val="21"/>
          <w:u w:val="single"/>
        </w:rPr>
        <w:t>广西壮族自治区收费公路联网收费清分结算中心</w:t>
      </w:r>
    </w:p>
    <w:p w14:paraId="29553812">
      <w:pPr>
        <w:shd w:val="clear" w:color="auto" w:fill="auto"/>
        <w:spacing w:line="360" w:lineRule="exact"/>
        <w:ind w:firstLine="424" w:firstLineChars="202"/>
        <w:jc w:val="left"/>
        <w:rPr>
          <w:rFonts w:ascii="宋体" w:hAnsi="宋体" w:eastAsia="宋体" w:cs="Times New Roman"/>
          <w:color w:val="auto"/>
          <w:szCs w:val="21"/>
        </w:rPr>
      </w:pPr>
      <w:r>
        <w:rPr>
          <w:rFonts w:hint="eastAsia" w:ascii="宋体" w:hAnsi="宋体" w:eastAsia="宋体" w:cs="Times New Roman"/>
          <w:color w:val="auto"/>
          <w:szCs w:val="21"/>
        </w:rPr>
        <w:t>地址：</w:t>
      </w:r>
      <w:r>
        <w:rPr>
          <w:rFonts w:hint="eastAsia" w:ascii="宋体" w:hAnsi="宋体" w:eastAsia="宋体" w:cs="Times New Roman"/>
          <w:color w:val="auto"/>
          <w:szCs w:val="21"/>
          <w:u w:val="single"/>
        </w:rPr>
        <w:t>广西南宁市滨湖路66号广西公路大厦</w:t>
      </w:r>
    </w:p>
    <w:p w14:paraId="248629CE">
      <w:pPr>
        <w:shd w:val="clear" w:color="auto" w:fill="auto"/>
        <w:spacing w:line="360" w:lineRule="exact"/>
        <w:ind w:firstLine="424" w:firstLineChars="202"/>
        <w:jc w:val="left"/>
        <w:rPr>
          <w:rFonts w:hint="eastAsia" w:ascii="宋体" w:hAnsi="宋体" w:eastAsia="宋体" w:cs="Times New Roman"/>
          <w:color w:val="auto"/>
          <w:szCs w:val="21"/>
          <w:u w:val="single"/>
        </w:rPr>
      </w:pPr>
      <w:r>
        <w:rPr>
          <w:rFonts w:hint="eastAsia" w:ascii="宋体" w:hAnsi="宋体" w:eastAsia="宋体" w:cs="Times New Roman"/>
          <w:color w:val="auto"/>
          <w:szCs w:val="21"/>
        </w:rPr>
        <w:t>联系方式：</w:t>
      </w:r>
      <w:bookmarkStart w:id="31" w:name="_Toc28359009"/>
      <w:bookmarkStart w:id="32" w:name="_Toc28359086"/>
      <w:r>
        <w:rPr>
          <w:rFonts w:hint="eastAsia" w:ascii="Times New Roman" w:hAnsi="Times New Roman" w:eastAsia="宋体" w:cs="Times New Roman"/>
          <w:color w:val="auto"/>
          <w:u w:val="single"/>
        </w:rPr>
        <w:t>谭聪，0771-2115904</w:t>
      </w:r>
      <w:r>
        <w:rPr>
          <w:rFonts w:ascii="宋体" w:hAnsi="宋体" w:eastAsia="宋体" w:cs="Times New Roman"/>
          <w:color w:val="auto"/>
          <w:szCs w:val="21"/>
          <w:u w:val="single"/>
        </w:rPr>
        <w:t xml:space="preserve"> </w:t>
      </w:r>
    </w:p>
    <w:p w14:paraId="1F4D1A23">
      <w:pPr>
        <w:shd w:val="clear" w:color="auto" w:fill="auto"/>
        <w:spacing w:line="360" w:lineRule="exact"/>
        <w:ind w:firstLine="424" w:firstLineChars="202"/>
        <w:jc w:val="left"/>
        <w:rPr>
          <w:rFonts w:ascii="宋体" w:hAnsi="宋体" w:eastAsia="宋体" w:cs="Times New Roman"/>
          <w:color w:val="auto"/>
          <w:szCs w:val="21"/>
        </w:rPr>
      </w:pPr>
      <w:r>
        <w:rPr>
          <w:rFonts w:hint="eastAsia" w:ascii="宋体" w:hAnsi="宋体" w:eastAsia="宋体" w:cs="宋体"/>
          <w:color w:val="auto"/>
          <w:szCs w:val="21"/>
        </w:rPr>
        <w:t>2.采购代理机构信息</w:t>
      </w:r>
      <w:bookmarkEnd w:id="31"/>
      <w:bookmarkEnd w:id="32"/>
    </w:p>
    <w:p w14:paraId="4194868C">
      <w:pPr>
        <w:shd w:val="clear" w:color="auto" w:fill="auto"/>
        <w:spacing w:line="360" w:lineRule="exact"/>
        <w:ind w:firstLine="424" w:firstLineChars="202"/>
        <w:rPr>
          <w:rFonts w:ascii="宋体" w:hAnsi="宋体" w:eastAsia="宋体" w:cs="Times New Roman"/>
          <w:color w:val="auto"/>
          <w:szCs w:val="21"/>
        </w:rPr>
      </w:pPr>
      <w:r>
        <w:rPr>
          <w:rFonts w:hint="eastAsia" w:ascii="宋体" w:hAnsi="宋体" w:eastAsia="宋体" w:cs="Times New Roman"/>
          <w:color w:val="auto"/>
          <w:szCs w:val="21"/>
        </w:rPr>
        <w:t>名称：</w:t>
      </w:r>
      <w:r>
        <w:rPr>
          <w:rFonts w:hint="eastAsia" w:ascii="宋体" w:hAnsi="宋体" w:eastAsia="宋体" w:cs="Times New Roman"/>
          <w:color w:val="auto"/>
          <w:szCs w:val="21"/>
          <w:u w:val="single"/>
        </w:rPr>
        <w:t>云之龙咨询集团有限公司</w:t>
      </w:r>
    </w:p>
    <w:p w14:paraId="4996EC01">
      <w:pPr>
        <w:shd w:val="clear" w:color="auto" w:fill="auto"/>
        <w:spacing w:line="360" w:lineRule="exact"/>
        <w:ind w:firstLine="424" w:firstLineChars="202"/>
        <w:rPr>
          <w:rFonts w:ascii="宋体" w:hAnsi="宋体" w:eastAsia="宋体" w:cs="Times New Roman"/>
          <w:color w:val="auto"/>
          <w:szCs w:val="21"/>
        </w:rPr>
      </w:pPr>
      <w:r>
        <w:rPr>
          <w:rFonts w:hint="eastAsia" w:ascii="宋体" w:hAnsi="宋体" w:eastAsia="宋体" w:cs="Times New Roman"/>
          <w:color w:val="auto"/>
          <w:szCs w:val="21"/>
        </w:rPr>
        <w:t>地址：</w:t>
      </w:r>
      <w:r>
        <w:rPr>
          <w:rFonts w:hint="eastAsia" w:ascii="宋体" w:hAnsi="宋体" w:eastAsia="宋体" w:cs="Times New Roman"/>
          <w:color w:val="auto"/>
          <w:szCs w:val="21"/>
          <w:u w:val="single"/>
        </w:rPr>
        <w:t>广西南宁市良庆区云英路15号3号楼云之龙咨询集团大厦6楼</w:t>
      </w:r>
    </w:p>
    <w:p w14:paraId="0289205B">
      <w:pPr>
        <w:shd w:val="clear" w:color="auto" w:fill="auto"/>
        <w:spacing w:line="360" w:lineRule="exact"/>
        <w:ind w:firstLine="424" w:firstLineChars="202"/>
        <w:rPr>
          <w:rFonts w:ascii="宋体" w:hAnsi="宋体" w:eastAsia="宋体" w:cs="Times New Roman"/>
          <w:color w:val="auto"/>
          <w:szCs w:val="21"/>
        </w:rPr>
      </w:pPr>
      <w:r>
        <w:rPr>
          <w:rFonts w:hint="eastAsia" w:ascii="宋体" w:hAnsi="宋体" w:eastAsia="宋体" w:cs="Times New Roman"/>
          <w:color w:val="auto"/>
          <w:szCs w:val="21"/>
        </w:rPr>
        <w:t>联系方式：</w:t>
      </w:r>
      <w:bookmarkStart w:id="33" w:name="_Toc28359010"/>
      <w:bookmarkStart w:id="34" w:name="_Toc28359087"/>
      <w:r>
        <w:rPr>
          <w:rFonts w:hint="eastAsia" w:ascii="宋体" w:hAnsi="宋体" w:eastAsia="宋体" w:cs="Times New Roman"/>
          <w:color w:val="auto"/>
          <w:szCs w:val="21"/>
          <w:u w:val="single"/>
        </w:rPr>
        <w:t>陈柠、</w:t>
      </w:r>
      <w:r>
        <w:rPr>
          <w:rFonts w:hint="eastAsia" w:ascii="Times New Roman" w:hAnsi="宋体" w:eastAsia="宋体" w:cs="Times New Roman"/>
          <w:color w:val="auto"/>
          <w:szCs w:val="21"/>
          <w:u w:val="single"/>
        </w:rPr>
        <w:t>秦晓玲</w:t>
      </w:r>
      <w:r>
        <w:rPr>
          <w:rFonts w:hint="eastAsia" w:ascii="宋体" w:hAnsi="宋体" w:eastAsia="宋体" w:cs="Times New Roman"/>
          <w:color w:val="auto"/>
          <w:szCs w:val="21"/>
          <w:u w:val="single"/>
        </w:rPr>
        <w:t>，0771-2618118、2611889、2611898</w:t>
      </w:r>
    </w:p>
    <w:p w14:paraId="58A157E8">
      <w:pPr>
        <w:shd w:val="clear" w:color="auto" w:fill="auto"/>
        <w:spacing w:line="360" w:lineRule="exact"/>
        <w:ind w:firstLine="424" w:firstLineChars="202"/>
        <w:rPr>
          <w:rFonts w:ascii="宋体" w:hAnsi="宋体" w:eastAsia="宋体" w:cs="Times New Roman"/>
          <w:color w:val="auto"/>
          <w:szCs w:val="21"/>
          <w:u w:val="single"/>
        </w:rPr>
      </w:pPr>
      <w:r>
        <w:rPr>
          <w:rFonts w:hint="eastAsia" w:ascii="宋体" w:hAnsi="宋体" w:eastAsia="宋体" w:cs="宋体"/>
          <w:color w:val="auto"/>
          <w:szCs w:val="21"/>
        </w:rPr>
        <w:t>3.项目</w:t>
      </w:r>
      <w:r>
        <w:rPr>
          <w:rFonts w:ascii="宋体" w:hAnsi="宋体" w:eastAsia="宋体" w:cs="宋体"/>
          <w:color w:val="auto"/>
          <w:szCs w:val="21"/>
        </w:rPr>
        <w:t>联系方式</w:t>
      </w:r>
      <w:bookmarkEnd w:id="33"/>
      <w:bookmarkEnd w:id="34"/>
    </w:p>
    <w:p w14:paraId="3385D37D">
      <w:pPr>
        <w:pStyle w:val="3"/>
        <w:shd w:val="clear" w:color="auto" w:fill="auto"/>
        <w:spacing w:line="360" w:lineRule="exact"/>
        <w:ind w:firstLine="424" w:firstLineChars="202"/>
        <w:rPr>
          <w:rFonts w:hAnsi="宋体" w:eastAsia="宋体" w:cs="Times New Roman"/>
          <w:color w:val="auto"/>
          <w:sz w:val="21"/>
        </w:rPr>
      </w:pPr>
      <w:r>
        <w:rPr>
          <w:rFonts w:hint="eastAsia" w:hAnsi="宋体" w:eastAsia="宋体" w:cs="Times New Roman"/>
          <w:color w:val="auto"/>
          <w:sz w:val="21"/>
        </w:rPr>
        <w:t>项目联系人：</w:t>
      </w:r>
      <w:r>
        <w:rPr>
          <w:rFonts w:hint="eastAsia" w:hAnsi="宋体" w:eastAsia="宋体" w:cs="Times New Roman"/>
          <w:color w:val="auto"/>
          <w:sz w:val="21"/>
          <w:u w:val="single"/>
        </w:rPr>
        <w:t xml:space="preserve">陈柠、秦晓玲 </w:t>
      </w:r>
    </w:p>
    <w:p w14:paraId="558D5B89">
      <w:pPr>
        <w:shd w:val="clear" w:color="auto" w:fill="auto"/>
        <w:spacing w:line="360" w:lineRule="exact"/>
        <w:ind w:firstLine="424" w:firstLineChars="202"/>
        <w:rPr>
          <w:rFonts w:ascii="宋体" w:hAnsi="宋体" w:eastAsia="宋体" w:cs="Times New Roman"/>
          <w:color w:val="auto"/>
          <w:szCs w:val="21"/>
        </w:rPr>
      </w:pPr>
      <w:r>
        <w:rPr>
          <w:rFonts w:hint="eastAsia" w:ascii="宋体" w:hAnsi="宋体" w:eastAsia="宋体" w:cs="Times New Roman"/>
          <w:color w:val="auto"/>
          <w:szCs w:val="21"/>
        </w:rPr>
        <w:t>电话：</w:t>
      </w:r>
      <w:r>
        <w:rPr>
          <w:rFonts w:hint="eastAsia" w:ascii="宋体" w:hAnsi="宋体" w:eastAsia="宋体" w:cs="Times New Roman"/>
          <w:color w:val="auto"/>
          <w:szCs w:val="21"/>
          <w:u w:val="single"/>
        </w:rPr>
        <w:t>0771-2618118、2611889、2611898</w:t>
      </w:r>
    </w:p>
    <w:p w14:paraId="3F0D88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3B4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qFormat/>
    <w:uiPriority w:val="0"/>
    <w:pPr>
      <w:widowControl w:val="0"/>
      <w:jc w:val="both"/>
    </w:pPr>
    <w:rPr>
      <w:rFonts w:ascii="宋体" w:hAnsi="Courier New" w:eastAsia="宋体" w:cs="Times New Roman"/>
      <w:kern w:val="0"/>
      <w:sz w:val="20"/>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2026-05-26T07:44:24Z</dcterms:created>
  <dc:creator>Administrator</dc:creator>
  <cp:lastModifiedBy>Mr.J</cp:lastModifiedBy>
  <dcterms:modified xsi:type="dcterms:W3CDTF">2026-05-26T07:45:12Z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eyJoZGlkIjoiYzMzYWU3Nzk3YjdmNDcwMDUyOTQ1ZjZkNWI0NjRlYzAiLCJ1c2VySWQiOiIyMzc3Njg4MTYifQ==</vt:lpwstr>
  </property>
  <property fmtid="{D5CDD505-2E9C-101B-9397-08002B2CF9AE}" pid="4" name="ICV">
    <vt:lpwstr>A31541110B994BC197532BCA09512FD5_12</vt:lpwstr>
  </property>
</Properties>
</file>