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1E41C">
      <w:pPr>
        <w:jc w:val="center"/>
        <w:rPr>
          <w:rFonts w:hint="eastAsia" w:ascii="宋体" w:hAnsi="宋体" w:eastAsia="宋体" w:cs="宋体"/>
          <w:sz w:val="28"/>
          <w:szCs w:val="36"/>
        </w:rPr>
      </w:pPr>
      <w:bookmarkStart w:id="36" w:name="_GoBack"/>
      <w:r>
        <w:rPr>
          <w:rFonts w:hint="eastAsia" w:ascii="宋体" w:hAnsi="宋体" w:eastAsia="宋体" w:cs="宋体"/>
          <w:sz w:val="28"/>
          <w:szCs w:val="36"/>
        </w:rPr>
        <w:t>云之龙咨询集团有限公司广西壮族自治区自然灾害应急能力提升工程预警指挥项目结余资金项目--视频汇聚及应急通信设备采购</w:t>
      </w:r>
      <w:r>
        <w:rPr>
          <w:rFonts w:hint="eastAsia" w:ascii="宋体" w:hAnsi="宋体" w:eastAsia="宋体" w:cs="宋体"/>
          <w:sz w:val="28"/>
          <w:szCs w:val="36"/>
          <w:lang w:eastAsia="zh-CN"/>
        </w:rPr>
        <w:t>（</w:t>
      </w:r>
      <w:r>
        <w:rPr>
          <w:rFonts w:hint="eastAsia" w:ascii="宋体" w:hAnsi="宋体" w:eastAsia="宋体" w:cs="宋体"/>
          <w:sz w:val="28"/>
          <w:szCs w:val="36"/>
        </w:rPr>
        <w:t>GXZC2026-G1-001407-YZLZ</w:t>
      </w:r>
      <w:r>
        <w:rPr>
          <w:rFonts w:hint="eastAsia" w:ascii="宋体" w:hAnsi="宋体" w:eastAsia="宋体" w:cs="宋体"/>
          <w:sz w:val="28"/>
          <w:szCs w:val="36"/>
          <w:lang w:eastAsia="zh-CN"/>
        </w:rPr>
        <w:t>）</w:t>
      </w:r>
      <w:r>
        <w:rPr>
          <w:rFonts w:hint="eastAsia" w:ascii="宋体" w:hAnsi="宋体" w:eastAsia="宋体" w:cs="宋体"/>
          <w:sz w:val="28"/>
          <w:szCs w:val="36"/>
        </w:rPr>
        <w:t>招标公告</w:t>
      </w:r>
    </w:p>
    <w:bookmarkEnd w:id="36"/>
    <w:p w14:paraId="5E48F630">
      <w:pPr>
        <w:spacing w:line="360" w:lineRule="auto"/>
        <w:rPr>
          <w:rFonts w:hint="eastAsia" w:ascii="宋体" w:hAnsi="宋体"/>
          <w:szCs w:val="21"/>
        </w:rPr>
      </w:pPr>
    </w:p>
    <w:p w14:paraId="30197E7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5D1615DD">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szCs w:val="21"/>
        </w:rPr>
      </w:pPr>
      <w:r>
        <w:rPr>
          <w:rFonts w:hint="eastAsia" w:ascii="宋体" w:hAnsi="宋体"/>
          <w:szCs w:val="21"/>
          <w:u w:val="single"/>
        </w:rPr>
        <w:t>广西壮族自治区自然灾害应急能力提升工程预警指挥项目结余资金项目--视频汇聚及应急通信设备采购</w:t>
      </w:r>
      <w:r>
        <w:rPr>
          <w:rFonts w:hint="eastAsia" w:ascii="宋体" w:hAnsi="宋体"/>
          <w:szCs w:val="21"/>
        </w:rPr>
        <w:t>招标项目的潜在投标人应在广西政府采购云平台（https://www.gcy.zfcg.gxzf.gov.cn/）获取（下载）招标文件，并于</w:t>
      </w:r>
      <w:r>
        <w:rPr>
          <w:rFonts w:ascii="宋体" w:hAnsi="宋体"/>
          <w:szCs w:val="21"/>
          <w:u w:val="single"/>
        </w:rPr>
        <w:t>202</w:t>
      </w:r>
      <w:r>
        <w:rPr>
          <w:rFonts w:hint="eastAsia" w:ascii="宋体" w:hAnsi="宋体"/>
          <w:szCs w:val="21"/>
          <w:u w:val="single"/>
        </w:rPr>
        <w:t>6</w:t>
      </w:r>
      <w:r>
        <w:rPr>
          <w:rFonts w:hint="eastAsia" w:ascii="宋体" w:hAnsi="宋体"/>
          <w:bCs/>
          <w:szCs w:val="21"/>
          <w:u w:val="single"/>
        </w:rPr>
        <w:t>年6月18日上午9时30分（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351AFAE">
      <w:pPr>
        <w:spacing w:line="360" w:lineRule="auto"/>
        <w:rPr>
          <w:rFonts w:hint="eastAsia" w:ascii="宋体" w:hAnsi="宋体"/>
          <w:szCs w:val="21"/>
        </w:rPr>
      </w:pPr>
    </w:p>
    <w:p w14:paraId="5FCD6B5E">
      <w:pPr>
        <w:spacing w:line="360" w:lineRule="auto"/>
        <w:rPr>
          <w:rFonts w:hint="eastAsia" w:ascii="黑体" w:hAnsi="黑体" w:eastAsia="黑体"/>
          <w:b/>
          <w:bCs/>
          <w:sz w:val="24"/>
        </w:rPr>
      </w:pPr>
      <w:bookmarkStart w:id="0" w:name="_Toc28359079"/>
      <w:bookmarkStart w:id="1" w:name="_Toc35393790"/>
      <w:bookmarkStart w:id="2" w:name="_Toc35393621"/>
      <w:bookmarkStart w:id="3" w:name="_Toc28359002"/>
      <w:bookmarkStart w:id="4" w:name="_Hlk24379207"/>
      <w:r>
        <w:rPr>
          <w:rFonts w:hint="eastAsia" w:ascii="黑体" w:hAnsi="黑体" w:eastAsia="黑体"/>
          <w:b/>
          <w:bCs/>
          <w:sz w:val="24"/>
        </w:rPr>
        <w:t>一、项目基本情况</w:t>
      </w:r>
      <w:bookmarkEnd w:id="0"/>
      <w:bookmarkEnd w:id="1"/>
      <w:bookmarkEnd w:id="2"/>
      <w:bookmarkEnd w:id="3"/>
    </w:p>
    <w:bookmarkEnd w:id="4"/>
    <w:p w14:paraId="669CE816">
      <w:pPr>
        <w:spacing w:line="360" w:lineRule="auto"/>
        <w:ind w:firstLine="420" w:firstLineChars="200"/>
        <w:rPr>
          <w:rFonts w:hint="eastAsia" w:ascii="宋体" w:hAnsi="宋体"/>
          <w:szCs w:val="21"/>
        </w:rPr>
      </w:pPr>
      <w:r>
        <w:rPr>
          <w:rFonts w:hint="eastAsia" w:ascii="宋体" w:hAnsi="宋体"/>
          <w:szCs w:val="21"/>
        </w:rPr>
        <w:t>项目编号：</w:t>
      </w:r>
      <w:r>
        <w:rPr>
          <w:rFonts w:ascii="宋体" w:hAnsi="宋体"/>
          <w:szCs w:val="21"/>
        </w:rPr>
        <w:t>GXZC2026-G1-001407-YZLZ</w:t>
      </w:r>
      <w:r>
        <w:rPr>
          <w:rFonts w:hint="eastAsia" w:ascii="宋体" w:hAnsi="宋体"/>
          <w:szCs w:val="21"/>
        </w:rPr>
        <w:t>；政府采购计划编号：广西政采[2026]9801号</w:t>
      </w:r>
    </w:p>
    <w:p w14:paraId="2C808642">
      <w:pPr>
        <w:spacing w:line="360" w:lineRule="auto"/>
        <w:ind w:firstLine="420" w:firstLineChars="200"/>
        <w:rPr>
          <w:rFonts w:hint="eastAsia" w:ascii="宋体" w:hAnsi="宋体"/>
          <w:szCs w:val="21"/>
        </w:rPr>
      </w:pPr>
      <w:r>
        <w:rPr>
          <w:rFonts w:hint="eastAsia" w:ascii="宋体" w:hAnsi="宋体"/>
          <w:szCs w:val="21"/>
        </w:rPr>
        <w:t>项目名称：广西壮族自治区自然灾害应急能力提升工程预警指挥项目结余资金项目--视频汇聚及应急通信设备采购</w:t>
      </w:r>
    </w:p>
    <w:p w14:paraId="59AB6BE4">
      <w:pPr>
        <w:spacing w:line="360" w:lineRule="auto"/>
        <w:ind w:firstLine="420" w:firstLineChars="200"/>
        <w:rPr>
          <w:rFonts w:hint="eastAsia" w:ascii="宋体" w:hAnsi="宋体"/>
          <w:szCs w:val="21"/>
          <w:u w:val="single"/>
        </w:rPr>
      </w:pPr>
      <w:r>
        <w:rPr>
          <w:rFonts w:hint="eastAsia" w:ascii="宋体" w:hAnsi="宋体"/>
          <w:szCs w:val="21"/>
        </w:rPr>
        <w:t>预算金额：</w:t>
      </w:r>
      <w:r>
        <w:rPr>
          <w:rFonts w:ascii="宋体" w:hAnsi="宋体"/>
          <w:szCs w:val="21"/>
          <w:u w:val="single"/>
        </w:rPr>
        <w:t>458</w:t>
      </w:r>
      <w:r>
        <w:rPr>
          <w:rFonts w:hint="eastAsia" w:ascii="宋体" w:hAnsi="宋体"/>
          <w:szCs w:val="21"/>
          <w:u w:val="single"/>
        </w:rPr>
        <w:t>.</w:t>
      </w:r>
      <w:r>
        <w:rPr>
          <w:rFonts w:ascii="宋体" w:hAnsi="宋体"/>
          <w:szCs w:val="21"/>
          <w:u w:val="single"/>
        </w:rPr>
        <w:t>6785</w:t>
      </w:r>
      <w:r>
        <w:rPr>
          <w:rFonts w:hint="eastAsia" w:ascii="宋体" w:hAnsi="宋体"/>
          <w:szCs w:val="21"/>
          <w:u w:val="single"/>
        </w:rPr>
        <w:t>万元</w:t>
      </w:r>
    </w:p>
    <w:p w14:paraId="2056E278">
      <w:pPr>
        <w:spacing w:line="360" w:lineRule="auto"/>
        <w:ind w:firstLine="420" w:firstLineChars="200"/>
        <w:rPr>
          <w:rFonts w:hint="eastAsia" w:ascii="宋体" w:hAnsi="宋体"/>
          <w:szCs w:val="21"/>
        </w:rPr>
      </w:pPr>
      <w:r>
        <w:rPr>
          <w:rFonts w:hint="eastAsia" w:ascii="宋体" w:hAnsi="宋体"/>
          <w:szCs w:val="21"/>
        </w:rPr>
        <w:t>最高限价：分标1：</w:t>
      </w:r>
      <w:r>
        <w:rPr>
          <w:rFonts w:ascii="宋体" w:hAnsi="宋体"/>
          <w:szCs w:val="21"/>
        </w:rPr>
        <w:t>277</w:t>
      </w:r>
      <w:r>
        <w:rPr>
          <w:rFonts w:hint="eastAsia" w:ascii="宋体" w:hAnsi="宋体"/>
          <w:szCs w:val="21"/>
        </w:rPr>
        <w:t>.</w:t>
      </w:r>
      <w:r>
        <w:rPr>
          <w:rFonts w:ascii="宋体" w:hAnsi="宋体"/>
          <w:szCs w:val="21"/>
        </w:rPr>
        <w:t>4785</w:t>
      </w:r>
      <w:r>
        <w:rPr>
          <w:rFonts w:hint="eastAsia" w:ascii="宋体" w:hAnsi="宋体"/>
          <w:szCs w:val="21"/>
        </w:rPr>
        <w:t>万元；分标2：181.20万元</w:t>
      </w:r>
    </w:p>
    <w:p w14:paraId="403AEADD">
      <w:pPr>
        <w:spacing w:line="360" w:lineRule="auto"/>
        <w:ind w:firstLine="420" w:firstLineChars="200"/>
        <w:rPr>
          <w:rFonts w:hint="eastAsia" w:ascii="宋体" w:hAnsi="宋体"/>
          <w:szCs w:val="21"/>
        </w:rPr>
      </w:pPr>
      <w:r>
        <w:rPr>
          <w:rFonts w:hint="eastAsia" w:ascii="宋体" w:hAnsi="宋体"/>
          <w:szCs w:val="21"/>
        </w:rPr>
        <w:t xml:space="preserve">采购需求： </w:t>
      </w:r>
    </w:p>
    <w:tbl>
      <w:tblPr>
        <w:tblStyle w:val="4"/>
        <w:tblW w:w="89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1385"/>
        <w:gridCol w:w="952"/>
        <w:gridCol w:w="5826"/>
      </w:tblGrid>
      <w:tr w14:paraId="4EE94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2F50EEE3">
            <w:pPr>
              <w:spacing w:line="360" w:lineRule="exact"/>
              <w:rPr>
                <w:rFonts w:hint="eastAsia" w:ascii="宋体" w:hAnsi="宋体"/>
              </w:rPr>
            </w:pPr>
            <w:r>
              <w:rPr>
                <w:rFonts w:hint="eastAsia" w:ascii="宋体" w:hAnsi="宋体"/>
              </w:rPr>
              <w:t>分标1：预算金额：</w:t>
            </w:r>
            <w:r>
              <w:rPr>
                <w:rFonts w:ascii="宋体" w:hAnsi="宋体"/>
                <w:szCs w:val="21"/>
                <w:u w:val="single"/>
              </w:rPr>
              <w:t>277.4785</w:t>
            </w:r>
            <w:r>
              <w:rPr>
                <w:rFonts w:hint="eastAsia" w:ascii="宋体" w:hAnsi="宋体"/>
                <w:szCs w:val="21"/>
                <w:u w:val="single"/>
              </w:rPr>
              <w:t>万元</w:t>
            </w:r>
          </w:p>
        </w:tc>
      </w:tr>
      <w:tr w14:paraId="6A6CD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65B08466">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3FD41FCF">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47D53179">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数量及单位</w:t>
            </w:r>
          </w:p>
        </w:tc>
        <w:tc>
          <w:tcPr>
            <w:tcW w:w="5826" w:type="dxa"/>
            <w:tcBorders>
              <w:top w:val="single" w:color="auto" w:sz="4" w:space="0"/>
              <w:left w:val="single" w:color="auto" w:sz="4" w:space="0"/>
              <w:bottom w:val="single" w:color="auto" w:sz="4" w:space="0"/>
              <w:right w:val="single" w:color="auto" w:sz="4" w:space="0"/>
            </w:tcBorders>
            <w:vAlign w:val="center"/>
          </w:tcPr>
          <w:p w14:paraId="58D7D0AA">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简要技术需求或者服务要求</w:t>
            </w:r>
          </w:p>
        </w:tc>
      </w:tr>
      <w:tr w14:paraId="77D09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0D32FAEA">
            <w:pPr>
              <w:tabs>
                <w:tab w:val="left" w:pos="180"/>
                <w:tab w:val="left" w:pos="1620"/>
              </w:tabs>
              <w:spacing w:line="360" w:lineRule="exact"/>
              <w:rPr>
                <w:rFonts w:hint="eastAsia" w:ascii="宋体" w:hAnsi="宋体"/>
              </w:rPr>
            </w:pPr>
            <w:r>
              <w:rPr>
                <w:rFonts w:hint="eastAsia" w:ascii="宋体" w:hAnsi="宋体"/>
                <w:b/>
                <w:bCs/>
                <w:szCs w:val="21"/>
              </w:rPr>
              <w:t>（一）灾害视频监控汇聚平台建设</w:t>
            </w:r>
          </w:p>
        </w:tc>
      </w:tr>
      <w:tr w14:paraId="6B73F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6464007F">
            <w:pPr>
              <w:tabs>
                <w:tab w:val="left" w:pos="180"/>
                <w:tab w:val="left" w:pos="1620"/>
              </w:tabs>
              <w:spacing w:line="360" w:lineRule="exact"/>
              <w:rPr>
                <w:rFonts w:hint="eastAsia" w:ascii="宋体" w:hAnsi="宋体"/>
              </w:rPr>
            </w:pPr>
            <w:r>
              <w:rPr>
                <w:rFonts w:hint="eastAsia" w:ascii="宋体" w:hAnsi="宋体"/>
                <w:b/>
                <w:bCs/>
                <w:szCs w:val="21"/>
              </w:rPr>
              <w:t>1.1自治区应急管理厅互联网区平台扩容</w:t>
            </w:r>
          </w:p>
        </w:tc>
      </w:tr>
      <w:tr w14:paraId="12E3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5BD253B3">
            <w:pPr>
              <w:spacing w:line="360" w:lineRule="exact"/>
              <w:jc w:val="center"/>
              <w:rPr>
                <w:rFonts w:hint="eastAsia" w:ascii="宋体" w:hAnsi="宋体"/>
              </w:rPr>
            </w:pPr>
            <w:r>
              <w:rPr>
                <w:rFonts w:hint="eastAsia" w:ascii="宋体" w:hAnsi="宋体"/>
              </w:rPr>
              <w:t>1</w:t>
            </w:r>
          </w:p>
        </w:tc>
        <w:tc>
          <w:tcPr>
            <w:tcW w:w="1385" w:type="dxa"/>
            <w:tcBorders>
              <w:top w:val="single" w:color="auto" w:sz="4" w:space="0"/>
              <w:left w:val="single" w:color="auto" w:sz="4" w:space="0"/>
              <w:bottom w:val="single" w:color="auto" w:sz="4" w:space="0"/>
              <w:right w:val="single" w:color="auto" w:sz="4" w:space="0"/>
            </w:tcBorders>
            <w:vAlign w:val="center"/>
          </w:tcPr>
          <w:p w14:paraId="2EE1E76D">
            <w:pPr>
              <w:widowControl/>
              <w:spacing w:line="360" w:lineRule="exact"/>
              <w:jc w:val="center"/>
              <w:textAlignment w:val="center"/>
              <w:rPr>
                <w:rFonts w:hint="eastAsia" w:ascii="宋体" w:hAnsi="宋体" w:cs="宋体"/>
                <w:szCs w:val="21"/>
              </w:rPr>
            </w:pPr>
            <w:r>
              <w:rPr>
                <w:rFonts w:hint="eastAsia" w:ascii="宋体" w:hAnsi="宋体"/>
                <w:kern w:val="0"/>
                <w:szCs w:val="21"/>
              </w:rPr>
              <w:t>级联视频接入授权许可</w:t>
            </w:r>
          </w:p>
        </w:tc>
        <w:tc>
          <w:tcPr>
            <w:tcW w:w="952" w:type="dxa"/>
            <w:tcBorders>
              <w:top w:val="single" w:color="auto" w:sz="4" w:space="0"/>
              <w:left w:val="single" w:color="auto" w:sz="4" w:space="0"/>
              <w:bottom w:val="single" w:color="auto" w:sz="4" w:space="0"/>
              <w:right w:val="single" w:color="auto" w:sz="4" w:space="0"/>
            </w:tcBorders>
            <w:vAlign w:val="center"/>
          </w:tcPr>
          <w:p w14:paraId="2B77FB91">
            <w:pPr>
              <w:widowControl/>
              <w:spacing w:line="360" w:lineRule="exact"/>
              <w:jc w:val="center"/>
              <w:textAlignment w:val="center"/>
              <w:rPr>
                <w:rFonts w:hint="eastAsia" w:ascii="宋体" w:hAnsi="宋体" w:cs="宋体"/>
                <w:szCs w:val="21"/>
              </w:rPr>
            </w:pPr>
            <w:r>
              <w:rPr>
                <w:rFonts w:hint="eastAsia" w:ascii="宋体" w:hAnsi="宋体"/>
                <w:kern w:val="0"/>
                <w:szCs w:val="21"/>
              </w:rPr>
              <w:t>1项</w:t>
            </w:r>
          </w:p>
        </w:tc>
        <w:tc>
          <w:tcPr>
            <w:tcW w:w="5826" w:type="dxa"/>
            <w:tcBorders>
              <w:top w:val="single" w:color="auto" w:sz="4" w:space="0"/>
              <w:left w:val="single" w:color="auto" w:sz="4" w:space="0"/>
              <w:bottom w:val="single" w:color="auto" w:sz="4" w:space="0"/>
              <w:right w:val="single" w:color="auto" w:sz="4" w:space="0"/>
            </w:tcBorders>
            <w:vAlign w:val="center"/>
          </w:tcPr>
          <w:p w14:paraId="0DD6EFD0">
            <w:pPr>
              <w:spacing w:line="360" w:lineRule="exact"/>
              <w:rPr>
                <w:rFonts w:hint="eastAsia" w:ascii="宋体" w:hAnsi="宋体"/>
                <w:szCs w:val="21"/>
              </w:rPr>
            </w:pPr>
            <w:r>
              <w:rPr>
                <w:rFonts w:hint="eastAsia" w:ascii="宋体" w:hAnsi="宋体"/>
                <w:szCs w:val="21"/>
              </w:rPr>
              <w:t>1.视频联网：支持通用视频联网标准协议（GB/T28181-2022），并具备支持其他主流视频联网标准的适配能力。</w:t>
            </w:r>
          </w:p>
          <w:p w14:paraId="34FAC1A5">
            <w:pPr>
              <w:tabs>
                <w:tab w:val="left" w:pos="180"/>
                <w:tab w:val="left" w:pos="1620"/>
              </w:tabs>
              <w:spacing w:line="360" w:lineRule="exact"/>
              <w:rPr>
                <w:rFonts w:hint="eastAsia" w:ascii="宋体" w:hAnsi="宋体"/>
              </w:rPr>
            </w:pPr>
            <w:r>
              <w:rPr>
                <w:rFonts w:hint="eastAsia" w:ascii="宋体" w:hAnsi="宋体"/>
                <w:szCs w:val="21"/>
              </w:rPr>
              <w:t>2.级联视频接入量：提供广西壮族自治区应急管理厅灾害视频监控汇聚平台（互联网侧）不少于50000路级联视频接入终身授权许可，支持不同平台的视频点位级联接入管理，支持下级级联接入和上级级联推送。</w:t>
            </w:r>
          </w:p>
        </w:tc>
      </w:tr>
      <w:tr w14:paraId="3B759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059EE2F6">
            <w:pPr>
              <w:spacing w:line="360" w:lineRule="exact"/>
              <w:rPr>
                <w:rFonts w:hint="eastAsia" w:ascii="宋体" w:hAnsi="宋体"/>
                <w:b/>
                <w:bCs/>
                <w:szCs w:val="21"/>
              </w:rPr>
            </w:pPr>
            <w:r>
              <w:rPr>
                <w:rFonts w:hint="eastAsia" w:ascii="宋体" w:hAnsi="宋体"/>
                <w:b/>
                <w:bCs/>
                <w:szCs w:val="21"/>
              </w:rPr>
              <w:t>1.2互联网侧视频监控融合汇聚</w:t>
            </w:r>
          </w:p>
        </w:tc>
      </w:tr>
      <w:tr w14:paraId="0519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6E400FC7">
            <w:pPr>
              <w:spacing w:line="360" w:lineRule="exact"/>
              <w:jc w:val="center"/>
              <w:rPr>
                <w:rFonts w:hint="eastAsia" w:ascii="宋体" w:hAnsi="宋体"/>
              </w:rPr>
            </w:pPr>
            <w:r>
              <w:rPr>
                <w:rFonts w:hint="eastAsia" w:ascii="宋体" w:hAnsi="宋体"/>
              </w:rPr>
              <w:t>2</w:t>
            </w:r>
          </w:p>
        </w:tc>
        <w:tc>
          <w:tcPr>
            <w:tcW w:w="1385" w:type="dxa"/>
            <w:tcBorders>
              <w:top w:val="single" w:color="auto" w:sz="4" w:space="0"/>
              <w:left w:val="single" w:color="auto" w:sz="4" w:space="0"/>
              <w:bottom w:val="single" w:color="auto" w:sz="4" w:space="0"/>
              <w:right w:val="single" w:color="auto" w:sz="4" w:space="0"/>
            </w:tcBorders>
            <w:vAlign w:val="center"/>
          </w:tcPr>
          <w:p w14:paraId="2AAA26DA">
            <w:pPr>
              <w:widowControl/>
              <w:spacing w:line="360" w:lineRule="exact"/>
              <w:jc w:val="center"/>
              <w:textAlignment w:val="center"/>
              <w:rPr>
                <w:rFonts w:hint="eastAsia" w:ascii="宋体" w:hAnsi="宋体" w:cs="宋体"/>
                <w:szCs w:val="21"/>
              </w:rPr>
            </w:pPr>
            <w:r>
              <w:rPr>
                <w:rFonts w:hint="eastAsia" w:ascii="宋体" w:hAnsi="宋体"/>
                <w:kern w:val="0"/>
                <w:szCs w:val="21"/>
              </w:rPr>
              <w:t>设备接入一体机</w:t>
            </w:r>
          </w:p>
        </w:tc>
        <w:tc>
          <w:tcPr>
            <w:tcW w:w="952" w:type="dxa"/>
            <w:tcBorders>
              <w:top w:val="single" w:color="auto" w:sz="4" w:space="0"/>
              <w:left w:val="single" w:color="auto" w:sz="4" w:space="0"/>
              <w:bottom w:val="single" w:color="auto" w:sz="4" w:space="0"/>
              <w:right w:val="single" w:color="auto" w:sz="4" w:space="0"/>
            </w:tcBorders>
            <w:vAlign w:val="center"/>
          </w:tcPr>
          <w:p w14:paraId="5CA13FDA">
            <w:pPr>
              <w:widowControl/>
              <w:spacing w:line="360" w:lineRule="exact"/>
              <w:jc w:val="center"/>
              <w:textAlignment w:val="center"/>
              <w:rPr>
                <w:rFonts w:hint="eastAsia" w:ascii="宋体" w:hAnsi="宋体" w:cs="宋体"/>
                <w:szCs w:val="21"/>
              </w:rPr>
            </w:pPr>
            <w:r>
              <w:rPr>
                <w:rFonts w:hint="eastAsia" w:ascii="宋体" w:hAnsi="宋体"/>
                <w:kern w:val="0"/>
                <w:szCs w:val="21"/>
              </w:rPr>
              <w:t>5套</w:t>
            </w:r>
          </w:p>
        </w:tc>
        <w:tc>
          <w:tcPr>
            <w:tcW w:w="5826" w:type="dxa"/>
            <w:tcBorders>
              <w:top w:val="single" w:color="auto" w:sz="4" w:space="0"/>
              <w:left w:val="single" w:color="auto" w:sz="4" w:space="0"/>
              <w:bottom w:val="single" w:color="auto" w:sz="4" w:space="0"/>
              <w:right w:val="single" w:color="auto" w:sz="4" w:space="0"/>
            </w:tcBorders>
            <w:vAlign w:val="center"/>
          </w:tcPr>
          <w:p w14:paraId="52BB1EDD">
            <w:pPr>
              <w:tabs>
                <w:tab w:val="left" w:pos="180"/>
                <w:tab w:val="left" w:pos="1620"/>
              </w:tabs>
              <w:spacing w:line="360" w:lineRule="exact"/>
              <w:rPr>
                <w:rFonts w:hint="eastAsia" w:ascii="宋体" w:hAnsi="宋体"/>
              </w:rPr>
            </w:pPr>
            <w:r>
              <w:rPr>
                <w:rFonts w:hint="eastAsia" w:ascii="宋体" w:hAnsi="宋体"/>
              </w:rPr>
              <w:t>1.技术规格：2U单路标准机架式服务器；</w:t>
            </w:r>
          </w:p>
          <w:p w14:paraId="6F9BE756">
            <w:pPr>
              <w:tabs>
                <w:tab w:val="left" w:pos="180"/>
                <w:tab w:val="left" w:pos="1620"/>
              </w:tabs>
              <w:spacing w:line="360" w:lineRule="exact"/>
              <w:rPr>
                <w:rFonts w:hint="eastAsia" w:ascii="宋体" w:hAnsi="宋体"/>
              </w:rPr>
            </w:pPr>
            <w:r>
              <w:rPr>
                <w:rFonts w:hint="eastAsia" w:ascii="宋体" w:hAnsi="宋体"/>
              </w:rPr>
              <w:t>2.CPU：配置1颗国产处理器（核数≥16核，频率≥2.8GHz）；</w:t>
            </w:r>
          </w:p>
          <w:p w14:paraId="4B06D364">
            <w:pPr>
              <w:tabs>
                <w:tab w:val="left" w:pos="180"/>
                <w:tab w:val="left" w:pos="1620"/>
              </w:tabs>
              <w:spacing w:line="360" w:lineRule="exact"/>
              <w:rPr>
                <w:rFonts w:hint="eastAsia" w:ascii="宋体" w:hAnsi="宋体"/>
              </w:rPr>
            </w:pPr>
            <w:r>
              <w:rPr>
                <w:rFonts w:hint="eastAsia" w:ascii="宋体" w:hAnsi="宋体"/>
              </w:rPr>
              <w:t>3.内存：配置64G DDR5，4根内存插槽；</w:t>
            </w:r>
          </w:p>
          <w:p w14:paraId="5FE874A0">
            <w:pPr>
              <w:tabs>
                <w:tab w:val="left" w:pos="180"/>
                <w:tab w:val="left" w:pos="1620"/>
              </w:tabs>
              <w:spacing w:line="360" w:lineRule="exact"/>
              <w:rPr>
                <w:rFonts w:hint="eastAsia" w:ascii="宋体" w:hAnsi="宋体"/>
              </w:rPr>
            </w:pPr>
            <w:r>
              <w:rPr>
                <w:rFonts w:hint="eastAsia" w:ascii="宋体" w:hAnsi="宋体"/>
              </w:rPr>
              <w:t>4.硬盘：配置2块1.2T SAS盘，前置最大支持12块3.5寸（兼容2.5寸）热插拔SATA/SAS硬盘，后置最大支持2块2.5寸热插拔SATA/SAS硬盘；</w:t>
            </w:r>
          </w:p>
          <w:p w14:paraId="311B730D">
            <w:pPr>
              <w:tabs>
                <w:tab w:val="left" w:pos="180"/>
                <w:tab w:val="left" w:pos="1620"/>
              </w:tabs>
              <w:spacing w:line="360" w:lineRule="exact"/>
              <w:rPr>
                <w:rFonts w:hint="eastAsia" w:ascii="宋体" w:hAnsi="宋体"/>
              </w:rPr>
            </w:pPr>
            <w:r>
              <w:rPr>
                <w:rFonts w:ascii="宋体" w:hAnsi="宋体"/>
              </w:rPr>
              <w:t>……</w:t>
            </w:r>
            <w:r>
              <w:rPr>
                <w:rFonts w:hint="eastAsia" w:ascii="宋体" w:hAnsi="宋体"/>
              </w:rPr>
              <w:t>具体见招标公告附件。</w:t>
            </w:r>
          </w:p>
        </w:tc>
      </w:tr>
      <w:tr w14:paraId="68759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39B62DEF">
            <w:pPr>
              <w:spacing w:line="360" w:lineRule="exact"/>
              <w:jc w:val="center"/>
              <w:rPr>
                <w:rFonts w:hint="eastAsia" w:ascii="宋体" w:hAnsi="宋体"/>
              </w:rPr>
            </w:pPr>
            <w:r>
              <w:rPr>
                <w:rFonts w:ascii="宋体" w:hAnsi="宋体"/>
              </w:rPr>
              <w:t>……</w:t>
            </w:r>
          </w:p>
        </w:tc>
        <w:tc>
          <w:tcPr>
            <w:tcW w:w="1385" w:type="dxa"/>
            <w:tcBorders>
              <w:top w:val="single" w:color="auto" w:sz="4" w:space="0"/>
              <w:left w:val="single" w:color="auto" w:sz="4" w:space="0"/>
              <w:bottom w:val="single" w:color="auto" w:sz="4" w:space="0"/>
              <w:right w:val="single" w:color="auto" w:sz="4" w:space="0"/>
            </w:tcBorders>
            <w:vAlign w:val="center"/>
          </w:tcPr>
          <w:p w14:paraId="1D0D05B0">
            <w:pPr>
              <w:widowControl/>
              <w:spacing w:line="360" w:lineRule="exact"/>
              <w:jc w:val="center"/>
              <w:textAlignment w:val="center"/>
              <w:rPr>
                <w:rFonts w:hint="eastAsia" w:ascii="宋体" w:hAnsi="宋体"/>
                <w:kern w:val="0"/>
                <w:szCs w:val="21"/>
              </w:rPr>
            </w:pPr>
            <w:r>
              <w:rPr>
                <w:rFonts w:ascii="宋体" w:hAnsi="宋体"/>
              </w:rPr>
              <w:t>……</w:t>
            </w:r>
          </w:p>
        </w:tc>
        <w:tc>
          <w:tcPr>
            <w:tcW w:w="952" w:type="dxa"/>
            <w:tcBorders>
              <w:top w:val="single" w:color="auto" w:sz="4" w:space="0"/>
              <w:left w:val="single" w:color="auto" w:sz="4" w:space="0"/>
              <w:bottom w:val="single" w:color="auto" w:sz="4" w:space="0"/>
              <w:right w:val="single" w:color="auto" w:sz="4" w:space="0"/>
            </w:tcBorders>
            <w:vAlign w:val="center"/>
          </w:tcPr>
          <w:p w14:paraId="179FFEF1">
            <w:pPr>
              <w:widowControl/>
              <w:spacing w:line="360" w:lineRule="exact"/>
              <w:jc w:val="center"/>
              <w:textAlignment w:val="center"/>
              <w:rPr>
                <w:rFonts w:hint="eastAsia" w:ascii="宋体" w:hAnsi="宋体"/>
                <w:kern w:val="0"/>
                <w:szCs w:val="21"/>
              </w:rPr>
            </w:pPr>
            <w:r>
              <w:rPr>
                <w:rFonts w:ascii="宋体" w:hAnsi="宋体"/>
              </w:rPr>
              <w:t>……</w:t>
            </w:r>
          </w:p>
        </w:tc>
        <w:tc>
          <w:tcPr>
            <w:tcW w:w="5826" w:type="dxa"/>
            <w:tcBorders>
              <w:top w:val="single" w:color="auto" w:sz="4" w:space="0"/>
              <w:left w:val="single" w:color="auto" w:sz="4" w:space="0"/>
              <w:bottom w:val="single" w:color="auto" w:sz="4" w:space="0"/>
              <w:right w:val="single" w:color="auto" w:sz="4" w:space="0"/>
            </w:tcBorders>
            <w:vAlign w:val="center"/>
          </w:tcPr>
          <w:p w14:paraId="70041A65">
            <w:pPr>
              <w:tabs>
                <w:tab w:val="left" w:pos="180"/>
                <w:tab w:val="left" w:pos="1620"/>
              </w:tabs>
              <w:spacing w:line="360" w:lineRule="exact"/>
              <w:rPr>
                <w:rFonts w:hint="eastAsia" w:ascii="宋体" w:hAnsi="宋体"/>
              </w:rPr>
            </w:pPr>
            <w:r>
              <w:rPr>
                <w:rFonts w:ascii="宋体" w:hAnsi="宋体"/>
              </w:rPr>
              <w:t>……</w:t>
            </w:r>
          </w:p>
        </w:tc>
      </w:tr>
      <w:tr w14:paraId="3D70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5DDB343E">
            <w:pPr>
              <w:tabs>
                <w:tab w:val="left" w:pos="180"/>
                <w:tab w:val="left" w:pos="1620"/>
              </w:tabs>
              <w:spacing w:line="360" w:lineRule="exact"/>
              <w:rPr>
                <w:rFonts w:hint="eastAsia" w:ascii="宋体" w:hAnsi="宋体"/>
              </w:rPr>
            </w:pPr>
            <w:r>
              <w:rPr>
                <w:rFonts w:ascii="宋体" w:hAnsi="宋体"/>
              </w:rPr>
              <w:t>……</w:t>
            </w:r>
          </w:p>
        </w:tc>
      </w:tr>
    </w:tbl>
    <w:p w14:paraId="6CE128BA">
      <w:pPr>
        <w:spacing w:line="360" w:lineRule="auto"/>
        <w:ind w:firstLine="420" w:firstLineChars="200"/>
        <w:rPr>
          <w:rFonts w:hint="eastAsia" w:ascii="宋体" w:hAnsi="宋体"/>
          <w:szCs w:val="21"/>
        </w:rPr>
      </w:pPr>
    </w:p>
    <w:p w14:paraId="1954D746">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合同履行期限：自合同签订之日起至合同履约完毕（即产品质保期满）。</w:t>
      </w:r>
    </w:p>
    <w:p w14:paraId="66D34503">
      <w:pPr>
        <w:spacing w:line="360" w:lineRule="auto"/>
        <w:ind w:firstLine="422" w:firstLineChars="200"/>
        <w:rPr>
          <w:rFonts w:hint="eastAsia" w:ascii="宋体" w:hAnsi="宋体"/>
          <w:szCs w:val="21"/>
        </w:rPr>
      </w:pPr>
      <w:r>
        <w:rPr>
          <w:rFonts w:hint="eastAsia" w:ascii="宋体" w:hAnsi="宋体"/>
          <w:b/>
          <w:szCs w:val="21"/>
          <w:u w:val="single"/>
        </w:rPr>
        <w:t>本分标不接受联合体投标</w:t>
      </w:r>
      <w:r>
        <w:rPr>
          <w:rFonts w:hint="eastAsia" w:ascii="宋体" w:hAnsi="宋体"/>
          <w:szCs w:val="21"/>
        </w:rPr>
        <w:t>。</w:t>
      </w:r>
    </w:p>
    <w:tbl>
      <w:tblPr>
        <w:tblStyle w:val="4"/>
        <w:tblW w:w="89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1385"/>
        <w:gridCol w:w="952"/>
        <w:gridCol w:w="5826"/>
      </w:tblGrid>
      <w:tr w14:paraId="198F6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520B60DA">
            <w:pPr>
              <w:spacing w:line="360" w:lineRule="exact"/>
              <w:rPr>
                <w:rFonts w:hint="eastAsia" w:ascii="宋体" w:hAnsi="宋体"/>
              </w:rPr>
            </w:pPr>
            <w:r>
              <w:rPr>
                <w:rFonts w:hint="eastAsia" w:ascii="宋体" w:hAnsi="宋体"/>
              </w:rPr>
              <w:t>分标2：预算金额：</w:t>
            </w:r>
            <w:r>
              <w:rPr>
                <w:rFonts w:hint="eastAsia" w:ascii="宋体" w:hAnsi="宋体"/>
                <w:szCs w:val="21"/>
                <w:u w:val="single"/>
              </w:rPr>
              <w:t>181.20万元</w:t>
            </w:r>
          </w:p>
        </w:tc>
      </w:tr>
      <w:tr w14:paraId="200F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2C66247A">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65923928">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35A78F65">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数量及单位</w:t>
            </w:r>
          </w:p>
        </w:tc>
        <w:tc>
          <w:tcPr>
            <w:tcW w:w="5826" w:type="dxa"/>
            <w:tcBorders>
              <w:top w:val="single" w:color="auto" w:sz="4" w:space="0"/>
              <w:left w:val="single" w:color="auto" w:sz="4" w:space="0"/>
              <w:bottom w:val="single" w:color="auto" w:sz="4" w:space="0"/>
              <w:right w:val="single" w:color="auto" w:sz="4" w:space="0"/>
            </w:tcBorders>
            <w:vAlign w:val="center"/>
          </w:tcPr>
          <w:p w14:paraId="7834E3B0">
            <w:pPr>
              <w:widowControl/>
              <w:adjustRightInd w:val="0"/>
              <w:snapToGrid w:val="0"/>
              <w:spacing w:line="360" w:lineRule="exact"/>
              <w:jc w:val="center"/>
              <w:textAlignment w:val="top"/>
              <w:rPr>
                <w:rFonts w:hint="eastAsia" w:ascii="宋体" w:hAnsi="宋体" w:cs="仿宋"/>
                <w:szCs w:val="21"/>
              </w:rPr>
            </w:pPr>
            <w:r>
              <w:rPr>
                <w:rFonts w:hint="eastAsia" w:ascii="宋体" w:hAnsi="宋体" w:cs="仿宋"/>
                <w:szCs w:val="21"/>
              </w:rPr>
              <w:t>简要技术需求或者服务要求</w:t>
            </w:r>
          </w:p>
        </w:tc>
      </w:tr>
      <w:tr w14:paraId="46765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2D984AB2">
            <w:pPr>
              <w:tabs>
                <w:tab w:val="left" w:pos="180"/>
                <w:tab w:val="left" w:pos="1620"/>
              </w:tabs>
              <w:spacing w:line="360" w:lineRule="exact"/>
              <w:rPr>
                <w:rFonts w:hint="eastAsia" w:ascii="宋体" w:hAnsi="宋体"/>
              </w:rPr>
            </w:pPr>
            <w:r>
              <w:rPr>
                <w:rFonts w:hint="eastAsia" w:ascii="宋体" w:hAnsi="宋体"/>
                <w:b/>
                <w:bCs/>
              </w:rPr>
              <w:t>（一）应急通信终端</w:t>
            </w:r>
          </w:p>
        </w:tc>
      </w:tr>
      <w:tr w14:paraId="64BBF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487C8604">
            <w:pPr>
              <w:spacing w:line="360" w:lineRule="exact"/>
              <w:jc w:val="center"/>
              <w:rPr>
                <w:rFonts w:hint="eastAsia" w:ascii="宋体" w:hAnsi="宋体"/>
              </w:rPr>
            </w:pPr>
            <w:r>
              <w:rPr>
                <w:rFonts w:hint="eastAsia" w:ascii="宋体" w:hAnsi="宋体"/>
              </w:rPr>
              <w:t>1</w:t>
            </w:r>
          </w:p>
        </w:tc>
        <w:tc>
          <w:tcPr>
            <w:tcW w:w="1385" w:type="dxa"/>
            <w:tcBorders>
              <w:top w:val="single" w:color="auto" w:sz="4" w:space="0"/>
              <w:left w:val="single" w:color="auto" w:sz="4" w:space="0"/>
              <w:bottom w:val="single" w:color="auto" w:sz="4" w:space="0"/>
              <w:right w:val="single" w:color="auto" w:sz="4" w:space="0"/>
            </w:tcBorders>
            <w:vAlign w:val="center"/>
          </w:tcPr>
          <w:p w14:paraId="6C2E20FD">
            <w:pPr>
              <w:widowControl/>
              <w:spacing w:line="360" w:lineRule="exact"/>
              <w:jc w:val="center"/>
              <w:textAlignment w:val="center"/>
              <w:rPr>
                <w:rFonts w:hint="eastAsia" w:ascii="宋体" w:hAnsi="宋体" w:cs="宋体"/>
                <w:szCs w:val="21"/>
              </w:rPr>
            </w:pPr>
            <w:r>
              <w:rPr>
                <w:rFonts w:hint="eastAsia" w:ascii="宋体" w:hAnsi="宋体" w:cs="宋体"/>
                <w:szCs w:val="21"/>
              </w:rPr>
              <w:t>卫星电话</w:t>
            </w:r>
          </w:p>
        </w:tc>
        <w:tc>
          <w:tcPr>
            <w:tcW w:w="952" w:type="dxa"/>
            <w:tcBorders>
              <w:top w:val="single" w:color="auto" w:sz="4" w:space="0"/>
              <w:left w:val="single" w:color="auto" w:sz="4" w:space="0"/>
              <w:bottom w:val="single" w:color="auto" w:sz="4" w:space="0"/>
              <w:right w:val="single" w:color="auto" w:sz="4" w:space="0"/>
            </w:tcBorders>
            <w:vAlign w:val="center"/>
          </w:tcPr>
          <w:p w14:paraId="40B48C6F">
            <w:pPr>
              <w:widowControl/>
              <w:spacing w:line="360" w:lineRule="exact"/>
              <w:jc w:val="center"/>
              <w:textAlignment w:val="center"/>
              <w:rPr>
                <w:rFonts w:hint="eastAsia" w:ascii="宋体" w:hAnsi="宋体" w:cs="宋体"/>
                <w:szCs w:val="21"/>
              </w:rPr>
            </w:pPr>
            <w:r>
              <w:rPr>
                <w:rFonts w:hint="eastAsia" w:ascii="宋体" w:hAnsi="宋体" w:cs="宋体"/>
                <w:szCs w:val="21"/>
              </w:rPr>
              <w:t>132台</w:t>
            </w:r>
          </w:p>
        </w:tc>
        <w:tc>
          <w:tcPr>
            <w:tcW w:w="5826" w:type="dxa"/>
            <w:tcBorders>
              <w:top w:val="single" w:color="auto" w:sz="4" w:space="0"/>
              <w:left w:val="single" w:color="auto" w:sz="4" w:space="0"/>
              <w:bottom w:val="single" w:color="auto" w:sz="4" w:space="0"/>
              <w:right w:val="single" w:color="auto" w:sz="4" w:space="0"/>
            </w:tcBorders>
            <w:vAlign w:val="center"/>
          </w:tcPr>
          <w:p w14:paraId="75B1A4D9">
            <w:pPr>
              <w:tabs>
                <w:tab w:val="left" w:pos="180"/>
                <w:tab w:val="left" w:pos="1620"/>
              </w:tabs>
              <w:spacing w:line="360" w:lineRule="exact"/>
              <w:rPr>
                <w:rFonts w:hint="eastAsia" w:ascii="宋体" w:hAnsi="宋体"/>
              </w:rPr>
            </w:pPr>
            <w:r>
              <w:rPr>
                <w:rFonts w:hint="eastAsia" w:ascii="宋体" w:hAnsi="宋体"/>
              </w:rPr>
              <w:t>1.国产品牌。</w:t>
            </w:r>
          </w:p>
          <w:p w14:paraId="3B0E1211">
            <w:pPr>
              <w:tabs>
                <w:tab w:val="left" w:pos="180"/>
                <w:tab w:val="left" w:pos="1620"/>
              </w:tabs>
              <w:spacing w:line="360" w:lineRule="exact"/>
              <w:rPr>
                <w:rFonts w:hint="eastAsia" w:ascii="宋体" w:hAnsi="宋体"/>
              </w:rPr>
            </w:pPr>
            <w:r>
              <w:rPr>
                <w:rFonts w:hint="eastAsia" w:ascii="宋体" w:hAnsi="宋体"/>
              </w:rPr>
              <w:t>2.支持卫星电话和卫星短信。</w:t>
            </w:r>
          </w:p>
          <w:p w14:paraId="25D7EC1F">
            <w:pPr>
              <w:tabs>
                <w:tab w:val="left" w:pos="180"/>
                <w:tab w:val="left" w:pos="1620"/>
              </w:tabs>
              <w:spacing w:line="360" w:lineRule="exact"/>
              <w:rPr>
                <w:rFonts w:hint="eastAsia" w:ascii="宋体" w:hAnsi="宋体"/>
              </w:rPr>
            </w:pPr>
            <w:r>
              <w:rPr>
                <w:rFonts w:hint="eastAsia" w:ascii="宋体" w:hAnsi="宋体"/>
              </w:rPr>
              <w:t>▲3.支持国产自主可控卫星资源。</w:t>
            </w:r>
          </w:p>
          <w:p w14:paraId="678A21D9">
            <w:pPr>
              <w:tabs>
                <w:tab w:val="left" w:pos="180"/>
                <w:tab w:val="left" w:pos="1620"/>
              </w:tabs>
              <w:spacing w:line="360" w:lineRule="exact"/>
              <w:rPr>
                <w:rFonts w:hint="eastAsia" w:ascii="宋体" w:hAnsi="宋体"/>
              </w:rPr>
            </w:pPr>
            <w:r>
              <w:rPr>
                <w:rFonts w:hint="eastAsia" w:ascii="宋体" w:hAnsi="宋体"/>
              </w:rPr>
              <w:t>4.支持2.4kbps等多种通话速率。</w:t>
            </w:r>
          </w:p>
          <w:p w14:paraId="394171B3">
            <w:pPr>
              <w:tabs>
                <w:tab w:val="left" w:pos="180"/>
                <w:tab w:val="left" w:pos="1620"/>
              </w:tabs>
              <w:spacing w:line="360" w:lineRule="exact"/>
              <w:rPr>
                <w:rFonts w:hint="eastAsia" w:ascii="宋体" w:hAnsi="宋体"/>
              </w:rPr>
            </w:pPr>
            <w:r>
              <w:rPr>
                <w:rFonts w:hint="eastAsia" w:ascii="宋体" w:hAnsi="宋体"/>
              </w:rPr>
              <w:t>5.最大卫星数据速率不低于9.6kbps。</w:t>
            </w:r>
          </w:p>
          <w:p w14:paraId="1EB3C123">
            <w:pPr>
              <w:tabs>
                <w:tab w:val="left" w:pos="180"/>
                <w:tab w:val="left" w:pos="1620"/>
              </w:tabs>
              <w:spacing w:line="360" w:lineRule="exact"/>
              <w:rPr>
                <w:rFonts w:hint="eastAsia" w:ascii="宋体" w:hAnsi="宋体"/>
              </w:rPr>
            </w:pPr>
            <w:r>
              <w:rPr>
                <w:rFonts w:hint="eastAsia" w:ascii="宋体" w:hAnsi="宋体"/>
              </w:rPr>
              <w:t>6.电池容量≥4800mAh。</w:t>
            </w:r>
          </w:p>
          <w:p w14:paraId="697C6858">
            <w:pPr>
              <w:tabs>
                <w:tab w:val="left" w:pos="180"/>
                <w:tab w:val="left" w:pos="1620"/>
              </w:tabs>
              <w:spacing w:line="360" w:lineRule="exact"/>
              <w:rPr>
                <w:rFonts w:hint="eastAsia" w:ascii="宋体" w:hAnsi="宋体"/>
              </w:rPr>
            </w:pPr>
            <w:r>
              <w:rPr>
                <w:rFonts w:ascii="宋体" w:hAnsi="宋体"/>
              </w:rPr>
              <w:t>……</w:t>
            </w:r>
            <w:r>
              <w:rPr>
                <w:rFonts w:hint="eastAsia" w:ascii="宋体" w:hAnsi="宋体"/>
              </w:rPr>
              <w:t>具体见招标公告附件。</w:t>
            </w:r>
          </w:p>
        </w:tc>
      </w:tr>
      <w:tr w14:paraId="5872D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39CF0581">
            <w:pPr>
              <w:spacing w:line="360" w:lineRule="exact"/>
              <w:jc w:val="center"/>
              <w:rPr>
                <w:rFonts w:hint="eastAsia" w:ascii="宋体" w:hAnsi="宋体"/>
              </w:rPr>
            </w:pPr>
            <w:r>
              <w:rPr>
                <w:rFonts w:hint="eastAsia" w:ascii="宋体" w:hAnsi="宋体"/>
              </w:rPr>
              <w:t>2</w:t>
            </w:r>
          </w:p>
        </w:tc>
        <w:tc>
          <w:tcPr>
            <w:tcW w:w="1385" w:type="dxa"/>
            <w:tcBorders>
              <w:top w:val="single" w:color="auto" w:sz="4" w:space="0"/>
              <w:left w:val="single" w:color="auto" w:sz="4" w:space="0"/>
              <w:bottom w:val="single" w:color="auto" w:sz="4" w:space="0"/>
              <w:right w:val="single" w:color="auto" w:sz="4" w:space="0"/>
            </w:tcBorders>
            <w:vAlign w:val="center"/>
          </w:tcPr>
          <w:p w14:paraId="5612ED0B">
            <w:pPr>
              <w:widowControl/>
              <w:spacing w:line="360" w:lineRule="exact"/>
              <w:jc w:val="center"/>
              <w:textAlignment w:val="center"/>
              <w:rPr>
                <w:rFonts w:hint="eastAsia" w:ascii="宋体" w:hAnsi="宋体" w:cs="宋体"/>
                <w:szCs w:val="21"/>
              </w:rPr>
            </w:pPr>
            <w:r>
              <w:rPr>
                <w:rFonts w:hint="eastAsia" w:ascii="宋体" w:hAnsi="宋体" w:cs="宋体"/>
                <w:szCs w:val="21"/>
              </w:rPr>
              <w:t>卫星通信服务</w:t>
            </w:r>
          </w:p>
        </w:tc>
        <w:tc>
          <w:tcPr>
            <w:tcW w:w="952" w:type="dxa"/>
            <w:tcBorders>
              <w:top w:val="single" w:color="auto" w:sz="4" w:space="0"/>
              <w:left w:val="single" w:color="auto" w:sz="4" w:space="0"/>
              <w:bottom w:val="single" w:color="auto" w:sz="4" w:space="0"/>
              <w:right w:val="single" w:color="auto" w:sz="4" w:space="0"/>
            </w:tcBorders>
            <w:vAlign w:val="center"/>
          </w:tcPr>
          <w:p w14:paraId="2F1CAE44">
            <w:pPr>
              <w:widowControl/>
              <w:spacing w:line="360" w:lineRule="exact"/>
              <w:jc w:val="center"/>
              <w:textAlignment w:val="center"/>
              <w:rPr>
                <w:rFonts w:hint="eastAsia" w:ascii="宋体" w:hAnsi="宋体" w:cs="宋体"/>
                <w:szCs w:val="21"/>
              </w:rPr>
            </w:pPr>
            <w:r>
              <w:rPr>
                <w:rFonts w:hint="eastAsia" w:ascii="宋体" w:hAnsi="宋体" w:cs="宋体"/>
                <w:szCs w:val="21"/>
              </w:rPr>
              <w:t>132项</w:t>
            </w:r>
          </w:p>
        </w:tc>
        <w:tc>
          <w:tcPr>
            <w:tcW w:w="5826" w:type="dxa"/>
            <w:tcBorders>
              <w:top w:val="single" w:color="auto" w:sz="4" w:space="0"/>
              <w:left w:val="single" w:color="auto" w:sz="4" w:space="0"/>
              <w:bottom w:val="single" w:color="auto" w:sz="4" w:space="0"/>
              <w:right w:val="single" w:color="auto" w:sz="4" w:space="0"/>
            </w:tcBorders>
            <w:vAlign w:val="center"/>
          </w:tcPr>
          <w:p w14:paraId="7A56366C">
            <w:pPr>
              <w:spacing w:line="360" w:lineRule="exact"/>
              <w:rPr>
                <w:rFonts w:hint="eastAsia" w:ascii="宋体" w:hAnsi="宋体"/>
                <w:szCs w:val="21"/>
              </w:rPr>
            </w:pPr>
            <w:r>
              <w:rPr>
                <w:rFonts w:hint="eastAsia" w:ascii="宋体" w:hAnsi="宋体" w:cs="宋体"/>
                <w:kern w:val="0"/>
                <w:szCs w:val="21"/>
              </w:rPr>
              <w:t>▲</w:t>
            </w:r>
            <w:r>
              <w:rPr>
                <w:rFonts w:hint="eastAsia" w:ascii="宋体" w:hAnsi="宋体" w:cs="宋体"/>
                <w:szCs w:val="21"/>
              </w:rPr>
              <w:t>每年提供不少于1500分钟天通卫星语音通话时长、不少于5条卫星短信，连续提供3年服务。</w:t>
            </w:r>
          </w:p>
        </w:tc>
      </w:tr>
      <w:tr w14:paraId="042BC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14:paraId="15BCB9AD">
            <w:pPr>
              <w:spacing w:line="360" w:lineRule="exact"/>
              <w:rPr>
                <w:rFonts w:hint="eastAsia" w:ascii="宋体" w:hAnsi="宋体" w:cs="宋体"/>
                <w:kern w:val="0"/>
                <w:szCs w:val="21"/>
              </w:rPr>
            </w:pPr>
            <w:r>
              <w:rPr>
                <w:rFonts w:hint="eastAsia" w:ascii="宋体" w:hAnsi="宋体" w:cs="宋体"/>
                <w:b/>
                <w:bCs/>
                <w:kern w:val="0"/>
                <w:szCs w:val="21"/>
              </w:rPr>
              <w:t>（二）370MHz应急窄带无线通信网络设备建设</w:t>
            </w:r>
          </w:p>
        </w:tc>
      </w:tr>
      <w:tr w14:paraId="025E0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7A8E5F26">
            <w:pPr>
              <w:spacing w:line="360" w:lineRule="exact"/>
              <w:jc w:val="center"/>
              <w:rPr>
                <w:rFonts w:hint="eastAsia" w:ascii="宋体" w:hAnsi="宋体"/>
              </w:rPr>
            </w:pPr>
            <w:r>
              <w:rPr>
                <w:rFonts w:hint="eastAsia" w:ascii="宋体" w:hAnsi="宋体"/>
              </w:rPr>
              <w:t>3</w:t>
            </w:r>
          </w:p>
        </w:tc>
        <w:tc>
          <w:tcPr>
            <w:tcW w:w="1385" w:type="dxa"/>
            <w:tcBorders>
              <w:top w:val="single" w:color="auto" w:sz="4" w:space="0"/>
              <w:left w:val="single" w:color="auto" w:sz="4" w:space="0"/>
              <w:bottom w:val="single" w:color="auto" w:sz="4" w:space="0"/>
              <w:right w:val="single" w:color="auto" w:sz="4" w:space="0"/>
            </w:tcBorders>
            <w:vAlign w:val="center"/>
          </w:tcPr>
          <w:p w14:paraId="42E51E3B">
            <w:pPr>
              <w:widowControl/>
              <w:spacing w:line="360" w:lineRule="exact"/>
              <w:jc w:val="center"/>
              <w:textAlignment w:val="center"/>
              <w:rPr>
                <w:rFonts w:hint="eastAsia" w:ascii="宋体" w:hAnsi="宋体" w:cs="宋体"/>
                <w:szCs w:val="21"/>
              </w:rPr>
            </w:pPr>
            <w:r>
              <w:rPr>
                <w:rFonts w:hint="eastAsia" w:ascii="宋体" w:hAnsi="宋体" w:cs="宋体"/>
                <w:szCs w:val="21"/>
              </w:rPr>
              <w:t>370MHz固定站</w:t>
            </w:r>
          </w:p>
        </w:tc>
        <w:tc>
          <w:tcPr>
            <w:tcW w:w="952" w:type="dxa"/>
            <w:tcBorders>
              <w:top w:val="single" w:color="auto" w:sz="4" w:space="0"/>
              <w:left w:val="single" w:color="auto" w:sz="4" w:space="0"/>
              <w:bottom w:val="single" w:color="auto" w:sz="4" w:space="0"/>
              <w:right w:val="single" w:color="auto" w:sz="4" w:space="0"/>
            </w:tcBorders>
            <w:vAlign w:val="center"/>
          </w:tcPr>
          <w:p w14:paraId="6AC586C9">
            <w:pPr>
              <w:widowControl/>
              <w:spacing w:line="360" w:lineRule="exact"/>
              <w:jc w:val="center"/>
              <w:textAlignment w:val="center"/>
              <w:rPr>
                <w:rFonts w:hint="eastAsia" w:ascii="宋体" w:hAnsi="宋体" w:cs="宋体"/>
                <w:szCs w:val="21"/>
              </w:rPr>
            </w:pPr>
            <w:r>
              <w:rPr>
                <w:rFonts w:hint="eastAsia" w:ascii="宋体" w:hAnsi="宋体" w:cs="宋体"/>
                <w:szCs w:val="21"/>
              </w:rPr>
              <w:t>2套</w:t>
            </w:r>
          </w:p>
        </w:tc>
        <w:tc>
          <w:tcPr>
            <w:tcW w:w="5826" w:type="dxa"/>
            <w:tcBorders>
              <w:top w:val="single" w:color="auto" w:sz="4" w:space="0"/>
              <w:left w:val="single" w:color="auto" w:sz="4" w:space="0"/>
              <w:bottom w:val="single" w:color="auto" w:sz="4" w:space="0"/>
              <w:right w:val="single" w:color="auto" w:sz="4" w:space="0"/>
            </w:tcBorders>
            <w:vAlign w:val="center"/>
          </w:tcPr>
          <w:p w14:paraId="7E89B236">
            <w:pPr>
              <w:spacing w:line="360" w:lineRule="exact"/>
              <w:rPr>
                <w:rFonts w:hint="eastAsia" w:ascii="宋体" w:hAnsi="宋体" w:cs="宋体"/>
                <w:kern w:val="0"/>
                <w:szCs w:val="21"/>
              </w:rPr>
            </w:pPr>
            <w:r>
              <w:rPr>
                <w:rFonts w:hint="eastAsia" w:ascii="宋体" w:hAnsi="宋体" w:cs="宋体"/>
                <w:kern w:val="0"/>
                <w:szCs w:val="21"/>
              </w:rPr>
              <w:t>▲1.技术体制：同频同播集群体制；</w:t>
            </w:r>
          </w:p>
          <w:p w14:paraId="0386B7EF">
            <w:pPr>
              <w:spacing w:line="360" w:lineRule="exact"/>
              <w:rPr>
                <w:rFonts w:hint="eastAsia" w:ascii="宋体" w:hAnsi="宋体" w:cs="宋体"/>
                <w:kern w:val="0"/>
                <w:szCs w:val="21"/>
              </w:rPr>
            </w:pPr>
            <w:r>
              <w:rPr>
                <w:rFonts w:hint="eastAsia" w:ascii="宋体" w:hAnsi="宋体" w:cs="宋体"/>
                <w:kern w:val="0"/>
                <w:szCs w:val="21"/>
              </w:rPr>
              <w:t>2.发射功率：≤47dBm，最小不低于45dBm；</w:t>
            </w:r>
          </w:p>
          <w:p w14:paraId="624AF81B">
            <w:pPr>
              <w:spacing w:line="360" w:lineRule="exact"/>
              <w:rPr>
                <w:rFonts w:hint="eastAsia" w:ascii="宋体" w:hAnsi="宋体" w:cs="宋体"/>
                <w:kern w:val="0"/>
                <w:szCs w:val="21"/>
              </w:rPr>
            </w:pPr>
            <w:r>
              <w:rPr>
                <w:rFonts w:hint="eastAsia" w:ascii="宋体" w:hAnsi="宋体" w:cs="宋体"/>
                <w:kern w:val="0"/>
                <w:szCs w:val="21"/>
              </w:rPr>
              <w:t>▲3.载频数：两载频，可支持后续扩容的需求；</w:t>
            </w:r>
          </w:p>
          <w:p w14:paraId="711D0B0F">
            <w:pPr>
              <w:spacing w:line="360" w:lineRule="exact"/>
              <w:rPr>
                <w:rFonts w:hint="eastAsia" w:ascii="宋体" w:hAnsi="宋体" w:cs="宋体"/>
                <w:kern w:val="0"/>
                <w:szCs w:val="21"/>
              </w:rPr>
            </w:pPr>
            <w:r>
              <w:rPr>
                <w:rFonts w:hint="eastAsia" w:ascii="宋体" w:hAnsi="宋体" w:cs="宋体"/>
                <w:kern w:val="0"/>
                <w:szCs w:val="21"/>
              </w:rPr>
              <w:t>4.支持IPv6与IPv4双栈组网；</w:t>
            </w:r>
          </w:p>
          <w:p w14:paraId="023E23D5">
            <w:pPr>
              <w:spacing w:line="360" w:lineRule="exact"/>
              <w:rPr>
                <w:rFonts w:hint="eastAsia" w:ascii="宋体" w:hAnsi="宋体" w:cs="宋体"/>
                <w:kern w:val="0"/>
                <w:szCs w:val="21"/>
              </w:rPr>
            </w:pPr>
            <w:r>
              <w:rPr>
                <w:rFonts w:hint="eastAsia" w:ascii="宋体" w:hAnsi="宋体" w:cs="宋体"/>
                <w:szCs w:val="21"/>
              </w:rPr>
              <w:t>5.使用同频同播集群体制，370MHz固定站须先接入安装站点所在市的集群同播控制器，由集群同播控制器通过网络接入本省370MHz核心网。</w:t>
            </w:r>
          </w:p>
          <w:p w14:paraId="24F14CB7">
            <w:pPr>
              <w:spacing w:line="360" w:lineRule="exact"/>
              <w:rPr>
                <w:rFonts w:hint="eastAsia" w:ascii="宋体" w:hAnsi="宋体" w:cs="宋体"/>
                <w:kern w:val="0"/>
                <w:szCs w:val="21"/>
              </w:rPr>
            </w:pPr>
            <w:r>
              <w:rPr>
                <w:rFonts w:hint="eastAsia" w:ascii="宋体" w:hAnsi="宋体" w:cs="宋体"/>
                <w:kern w:val="0"/>
                <w:szCs w:val="21"/>
              </w:rPr>
              <w:t>6.定位：支持北斗模式；</w:t>
            </w:r>
          </w:p>
          <w:p w14:paraId="5818D402">
            <w:pPr>
              <w:spacing w:line="360" w:lineRule="exact"/>
              <w:rPr>
                <w:rFonts w:hint="eastAsia" w:ascii="宋体" w:hAnsi="宋体" w:cs="宋体"/>
                <w:kern w:val="0"/>
                <w:szCs w:val="21"/>
              </w:rPr>
            </w:pPr>
            <w:r>
              <w:rPr>
                <w:rFonts w:hint="eastAsia" w:ascii="宋体" w:hAnsi="宋体" w:cs="宋体"/>
                <w:kern w:val="0"/>
                <w:szCs w:val="21"/>
              </w:rPr>
              <w:t>7.工作频段：应急管理部370MHz专用频段；</w:t>
            </w:r>
          </w:p>
          <w:p w14:paraId="36D0C68E">
            <w:pPr>
              <w:spacing w:line="360" w:lineRule="exact"/>
              <w:rPr>
                <w:rFonts w:hint="eastAsia" w:ascii="宋体" w:hAnsi="宋体" w:cs="宋体"/>
                <w:kern w:val="0"/>
                <w:szCs w:val="21"/>
              </w:rPr>
            </w:pPr>
            <w:r>
              <w:rPr>
                <w:rFonts w:ascii="宋体" w:hAnsi="宋体"/>
              </w:rPr>
              <w:t>……</w:t>
            </w:r>
            <w:r>
              <w:rPr>
                <w:rFonts w:hint="eastAsia" w:ascii="宋体" w:hAnsi="宋体"/>
              </w:rPr>
              <w:t>具体见招标公告附件。</w:t>
            </w:r>
          </w:p>
        </w:tc>
      </w:tr>
      <w:tr w14:paraId="10D13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3" w:type="dxa"/>
            <w:tcBorders>
              <w:top w:val="single" w:color="auto" w:sz="4" w:space="0"/>
              <w:left w:val="single" w:color="auto" w:sz="4" w:space="0"/>
              <w:bottom w:val="single" w:color="auto" w:sz="4" w:space="0"/>
              <w:right w:val="single" w:color="auto" w:sz="4" w:space="0"/>
            </w:tcBorders>
            <w:vAlign w:val="center"/>
          </w:tcPr>
          <w:p w14:paraId="1F7D2BBD">
            <w:pPr>
              <w:spacing w:line="360" w:lineRule="exact"/>
              <w:jc w:val="center"/>
              <w:rPr>
                <w:rFonts w:hint="eastAsia" w:ascii="宋体" w:hAnsi="宋体"/>
              </w:rPr>
            </w:pPr>
            <w:r>
              <w:rPr>
                <w:rFonts w:ascii="宋体" w:hAnsi="宋体"/>
              </w:rPr>
              <w:t>……</w:t>
            </w:r>
          </w:p>
        </w:tc>
        <w:tc>
          <w:tcPr>
            <w:tcW w:w="1385" w:type="dxa"/>
            <w:tcBorders>
              <w:top w:val="single" w:color="auto" w:sz="4" w:space="0"/>
              <w:left w:val="single" w:color="auto" w:sz="4" w:space="0"/>
              <w:bottom w:val="single" w:color="auto" w:sz="4" w:space="0"/>
              <w:right w:val="single" w:color="auto" w:sz="4" w:space="0"/>
            </w:tcBorders>
            <w:vAlign w:val="center"/>
          </w:tcPr>
          <w:p w14:paraId="2003BC71">
            <w:pPr>
              <w:widowControl/>
              <w:spacing w:line="360" w:lineRule="exact"/>
              <w:jc w:val="center"/>
              <w:textAlignment w:val="center"/>
              <w:rPr>
                <w:rFonts w:hint="eastAsia" w:ascii="宋体" w:hAnsi="宋体" w:cs="宋体"/>
                <w:szCs w:val="21"/>
              </w:rPr>
            </w:pPr>
            <w:r>
              <w:rPr>
                <w:rFonts w:ascii="宋体" w:hAnsi="宋体"/>
              </w:rPr>
              <w:t>……</w:t>
            </w:r>
          </w:p>
        </w:tc>
        <w:tc>
          <w:tcPr>
            <w:tcW w:w="952" w:type="dxa"/>
            <w:tcBorders>
              <w:top w:val="single" w:color="auto" w:sz="4" w:space="0"/>
              <w:left w:val="single" w:color="auto" w:sz="4" w:space="0"/>
              <w:bottom w:val="single" w:color="auto" w:sz="4" w:space="0"/>
              <w:right w:val="single" w:color="auto" w:sz="4" w:space="0"/>
            </w:tcBorders>
            <w:vAlign w:val="center"/>
          </w:tcPr>
          <w:p w14:paraId="4A60F92B">
            <w:pPr>
              <w:widowControl/>
              <w:spacing w:line="360" w:lineRule="exact"/>
              <w:jc w:val="center"/>
              <w:textAlignment w:val="center"/>
              <w:rPr>
                <w:rFonts w:hint="eastAsia" w:ascii="宋体" w:hAnsi="宋体" w:cs="宋体"/>
                <w:szCs w:val="21"/>
              </w:rPr>
            </w:pPr>
            <w:r>
              <w:rPr>
                <w:rFonts w:ascii="宋体" w:hAnsi="宋体"/>
              </w:rPr>
              <w:t>……</w:t>
            </w:r>
          </w:p>
        </w:tc>
        <w:tc>
          <w:tcPr>
            <w:tcW w:w="5826" w:type="dxa"/>
            <w:tcBorders>
              <w:top w:val="single" w:color="auto" w:sz="4" w:space="0"/>
              <w:left w:val="single" w:color="auto" w:sz="4" w:space="0"/>
              <w:bottom w:val="single" w:color="auto" w:sz="4" w:space="0"/>
              <w:right w:val="single" w:color="auto" w:sz="4" w:space="0"/>
            </w:tcBorders>
            <w:vAlign w:val="center"/>
          </w:tcPr>
          <w:p w14:paraId="0543B05B">
            <w:pPr>
              <w:spacing w:line="360" w:lineRule="exact"/>
              <w:rPr>
                <w:rFonts w:hint="eastAsia" w:ascii="宋体" w:hAnsi="宋体" w:cs="宋体"/>
                <w:kern w:val="0"/>
                <w:szCs w:val="21"/>
              </w:rPr>
            </w:pPr>
            <w:r>
              <w:rPr>
                <w:rFonts w:ascii="宋体" w:hAnsi="宋体"/>
              </w:rPr>
              <w:t>……</w:t>
            </w:r>
          </w:p>
        </w:tc>
      </w:tr>
    </w:tbl>
    <w:p w14:paraId="3D00D080">
      <w:pPr>
        <w:spacing w:line="360" w:lineRule="auto"/>
        <w:ind w:firstLine="420" w:firstLineChars="200"/>
        <w:rPr>
          <w:rFonts w:hint="eastAsia" w:ascii="宋体" w:hAnsi="宋体"/>
          <w:szCs w:val="21"/>
        </w:rPr>
      </w:pPr>
    </w:p>
    <w:p w14:paraId="448611B6">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合同履行期限：自合同签订之日起至合同履约完毕（即产品质保期满）。</w:t>
      </w:r>
    </w:p>
    <w:p w14:paraId="655FD6F7">
      <w:pPr>
        <w:spacing w:line="360" w:lineRule="auto"/>
        <w:ind w:firstLine="422" w:firstLineChars="200"/>
        <w:rPr>
          <w:rFonts w:hint="eastAsia" w:ascii="宋体" w:hAnsi="宋体"/>
          <w:szCs w:val="21"/>
        </w:rPr>
      </w:pPr>
      <w:r>
        <w:rPr>
          <w:rFonts w:hint="eastAsia" w:ascii="宋体" w:hAnsi="宋体"/>
          <w:b/>
          <w:szCs w:val="21"/>
          <w:u w:val="single"/>
        </w:rPr>
        <w:t>本分标不接受联合体投标</w:t>
      </w:r>
      <w:r>
        <w:rPr>
          <w:rFonts w:hint="eastAsia" w:ascii="宋体" w:hAnsi="宋体"/>
          <w:szCs w:val="21"/>
        </w:rPr>
        <w:t>。</w:t>
      </w:r>
    </w:p>
    <w:p w14:paraId="28C6B2A6">
      <w:pPr>
        <w:spacing w:line="360" w:lineRule="auto"/>
        <w:rPr>
          <w:rFonts w:hint="eastAsia" w:ascii="黑体" w:hAnsi="黑体" w:eastAsia="黑体"/>
          <w:b/>
          <w:bCs/>
          <w:sz w:val="24"/>
        </w:rPr>
      </w:pPr>
      <w:bookmarkStart w:id="5" w:name="_Toc35393622"/>
      <w:bookmarkStart w:id="6" w:name="_Toc35393791"/>
      <w:bookmarkStart w:id="7" w:name="_Toc28359080"/>
      <w:bookmarkStart w:id="8" w:name="_Toc28359003"/>
      <w:r>
        <w:rPr>
          <w:rFonts w:hint="eastAsia" w:ascii="黑体" w:hAnsi="黑体" w:eastAsia="黑体"/>
          <w:b/>
          <w:bCs/>
          <w:sz w:val="24"/>
        </w:rPr>
        <w:t>二、申请人的资格要求：</w:t>
      </w:r>
      <w:bookmarkEnd w:id="5"/>
      <w:bookmarkEnd w:id="6"/>
      <w:bookmarkEnd w:id="7"/>
      <w:bookmarkEnd w:id="8"/>
    </w:p>
    <w:p w14:paraId="69C059E0">
      <w:pPr>
        <w:spacing w:line="360" w:lineRule="auto"/>
        <w:ind w:firstLine="420" w:firstLineChars="200"/>
        <w:rPr>
          <w:rFonts w:hint="eastAsia" w:ascii="宋体" w:hAnsi="宋体"/>
          <w:szCs w:val="21"/>
        </w:rPr>
      </w:pPr>
      <w:bookmarkStart w:id="9" w:name="_Hlk51746371"/>
      <w:bookmarkStart w:id="10" w:name="_Toc28359004"/>
      <w:bookmarkStart w:id="11" w:name="_Toc35393623"/>
      <w:bookmarkStart w:id="12" w:name="_Toc28359081"/>
      <w:bookmarkStart w:id="13" w:name="_Toc35393792"/>
      <w:r>
        <w:rPr>
          <w:rFonts w:hint="eastAsia" w:ascii="宋体" w:hAnsi="宋体"/>
          <w:szCs w:val="21"/>
        </w:rPr>
        <w:t>1.满足《中华人民共和国政府采购法》第二十二条规定；</w:t>
      </w:r>
    </w:p>
    <w:p w14:paraId="1344E2D5">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.落实政府采购政策需满足的资格要求：无；</w:t>
      </w:r>
    </w:p>
    <w:p w14:paraId="54BED3E7">
      <w:pPr>
        <w:spacing w:line="360" w:lineRule="auto"/>
        <w:ind w:firstLine="420" w:firstLineChars="200"/>
        <w:rPr>
          <w:rFonts w:hint="eastAsia" w:ascii="宋体" w:hAnsi="宋体"/>
          <w:szCs w:val="21"/>
        </w:rPr>
      </w:pPr>
      <w:r>
        <w:rPr>
          <w:rFonts w:hint="eastAsia" w:ascii="宋体" w:hAnsi="宋体"/>
          <w:szCs w:val="21"/>
        </w:rPr>
        <w:t>3.本项目的特定资格要求：无。</w:t>
      </w:r>
    </w:p>
    <w:bookmarkEnd w:id="9"/>
    <w:p w14:paraId="37D42C8B">
      <w:pPr>
        <w:spacing w:line="360" w:lineRule="auto"/>
        <w:rPr>
          <w:rFonts w:hint="eastAsia" w:ascii="黑体" w:hAnsi="黑体" w:eastAsia="黑体"/>
          <w:b/>
          <w:bCs/>
          <w:sz w:val="24"/>
        </w:rPr>
      </w:pPr>
      <w:r>
        <w:rPr>
          <w:rFonts w:hint="eastAsia" w:ascii="黑体" w:hAnsi="黑体" w:eastAsia="黑体"/>
          <w:b/>
          <w:bCs/>
          <w:sz w:val="24"/>
        </w:rPr>
        <w:t>三、获取招标文件</w:t>
      </w:r>
      <w:bookmarkEnd w:id="10"/>
      <w:bookmarkEnd w:id="11"/>
      <w:bookmarkEnd w:id="12"/>
      <w:bookmarkEnd w:id="13"/>
    </w:p>
    <w:p w14:paraId="61BDB25A">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 5 月 27 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 6 月 3 日</w:t>
      </w:r>
      <w:r>
        <w:rPr>
          <w:rFonts w:hint="eastAsia" w:ascii="宋体" w:hAnsi="宋体" w:cs="宋体"/>
          <w:bCs/>
          <w:kern w:val="0"/>
          <w:szCs w:val="21"/>
        </w:rPr>
        <w:t>，每天</w:t>
      </w:r>
      <w:r>
        <w:rPr>
          <w:rFonts w:hint="eastAsia" w:ascii="宋体" w:hAnsi="宋体" w:cs="宋体"/>
          <w:bCs/>
          <w:kern w:val="0"/>
          <w:szCs w:val="21"/>
          <w:u w:val="single"/>
        </w:rPr>
        <w:t>0:00至23:59</w:t>
      </w:r>
      <w:r>
        <w:rPr>
          <w:rFonts w:hint="eastAsia" w:ascii="宋体" w:hAnsi="宋体" w:cs="宋体"/>
          <w:bCs/>
          <w:kern w:val="0"/>
          <w:szCs w:val="21"/>
        </w:rPr>
        <w:t>（北京时间）</w:t>
      </w:r>
    </w:p>
    <w:p w14:paraId="45700913">
      <w:pPr>
        <w:spacing w:line="360" w:lineRule="auto"/>
        <w:ind w:firstLine="540"/>
        <w:rPr>
          <w:rFonts w:hint="eastAsia" w:ascii="宋体" w:hAnsi="宋体" w:cs="宋体"/>
          <w:bCs/>
          <w:kern w:val="0"/>
          <w:szCs w:val="21"/>
        </w:rPr>
      </w:pPr>
      <w:r>
        <w:rPr>
          <w:rFonts w:hint="eastAsia" w:ascii="宋体" w:hAnsi="宋体" w:cs="宋体"/>
          <w:bCs/>
          <w:kern w:val="0"/>
          <w:szCs w:val="21"/>
        </w:rPr>
        <w:t>地点：广西政府采购云平台（https://www.gcy.zfcg.gxzf.gov.cn/）</w:t>
      </w:r>
    </w:p>
    <w:p w14:paraId="76190AB2">
      <w:pPr>
        <w:spacing w:line="360" w:lineRule="auto"/>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Pr>
          <w:rFonts w:hint="eastAsia" w:ascii="宋体" w:hAnsi="宋体"/>
          <w:szCs w:val="21"/>
        </w:rPr>
        <w:t>广西政府采购云平台</w:t>
      </w:r>
      <w:r>
        <w:rPr>
          <w:rFonts w:hint="eastAsia" w:ascii="宋体" w:hAnsi="宋体" w:cs="宋体"/>
          <w:bCs/>
          <w:kern w:val="0"/>
          <w:szCs w:val="21"/>
        </w:rPr>
        <w:t>系统获取）。</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39BC44FA">
      <w:pPr>
        <w:spacing w:line="360" w:lineRule="auto"/>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szCs w:val="21"/>
          <w:u w:val="single"/>
        </w:rPr>
        <w:t>0</w:t>
      </w:r>
      <w:r>
        <w:rPr>
          <w:rFonts w:hint="eastAsia" w:ascii="宋体" w:hAnsi="宋体" w:cs="宋体"/>
          <w:szCs w:val="21"/>
        </w:rPr>
        <w:t>元。</w:t>
      </w:r>
    </w:p>
    <w:p w14:paraId="06AEFD78">
      <w:pPr>
        <w:spacing w:line="360" w:lineRule="auto"/>
        <w:rPr>
          <w:rFonts w:hint="eastAsia" w:ascii="黑体" w:hAnsi="黑体" w:eastAsia="黑体"/>
          <w:b/>
          <w:bCs/>
          <w:sz w:val="24"/>
        </w:rPr>
      </w:pPr>
      <w:bookmarkStart w:id="14" w:name="_Toc28359082"/>
      <w:bookmarkStart w:id="15" w:name="_Toc28359005"/>
      <w:bookmarkStart w:id="16" w:name="_Toc35393793"/>
      <w:bookmarkStart w:id="17" w:name="_Toc35393624"/>
      <w:r>
        <w:rPr>
          <w:rFonts w:hint="eastAsia" w:ascii="黑体" w:hAnsi="黑体" w:eastAsia="黑体"/>
          <w:b/>
          <w:bCs/>
          <w:sz w:val="24"/>
        </w:rPr>
        <w:t>四、提交投标文件</w:t>
      </w:r>
      <w:bookmarkEnd w:id="14"/>
      <w:bookmarkEnd w:id="15"/>
      <w:r>
        <w:rPr>
          <w:rFonts w:hint="eastAsia" w:ascii="黑体" w:hAnsi="黑体" w:eastAsia="黑体"/>
          <w:b/>
          <w:bCs/>
          <w:sz w:val="24"/>
        </w:rPr>
        <w:t>截止时间、开标时间和地点</w:t>
      </w:r>
      <w:bookmarkEnd w:id="16"/>
      <w:bookmarkEnd w:id="17"/>
    </w:p>
    <w:p w14:paraId="023EA57C">
      <w:pPr>
        <w:spacing w:line="360" w:lineRule="auto"/>
        <w:ind w:firstLine="420" w:firstLineChars="200"/>
        <w:rPr>
          <w:rFonts w:hint="eastAsia" w:ascii="宋体" w:hAnsi="宋体" w:cs="宋体"/>
          <w:szCs w:val="21"/>
          <w:u w:val="single"/>
        </w:rPr>
      </w:pPr>
      <w:bookmarkStart w:id="18" w:name="_Toc28359007"/>
      <w:bookmarkStart w:id="19" w:name="_Toc35393794"/>
      <w:bookmarkStart w:id="20" w:name="_Toc35393625"/>
      <w:bookmarkStart w:id="21" w:name="_Toc28359084"/>
      <w:r>
        <w:rPr>
          <w:rFonts w:ascii="宋体" w:hAnsi="宋体"/>
          <w:bCs/>
          <w:szCs w:val="21"/>
          <w:u w:val="single"/>
        </w:rPr>
        <w:t>2026</w:t>
      </w:r>
      <w:r>
        <w:rPr>
          <w:rFonts w:hint="eastAsia" w:ascii="宋体" w:hAnsi="宋体"/>
          <w:bCs/>
          <w:szCs w:val="21"/>
          <w:u w:val="single"/>
        </w:rPr>
        <w:t>年 6 月 18 日上午9时30分</w:t>
      </w:r>
      <w:r>
        <w:rPr>
          <w:rFonts w:hint="eastAsia" w:ascii="宋体" w:hAnsi="宋体"/>
          <w:bCs/>
          <w:szCs w:val="21"/>
        </w:rPr>
        <w:t>（北京时间）</w:t>
      </w:r>
    </w:p>
    <w:p w14:paraId="385F4510">
      <w:pPr>
        <w:spacing w:line="360" w:lineRule="auto"/>
        <w:ind w:firstLine="420" w:firstLineChars="200"/>
        <w:rPr>
          <w:rFonts w:hint="eastAsia" w:ascii="宋体" w:hAnsi="宋体"/>
          <w:szCs w:val="21"/>
        </w:rPr>
      </w:pPr>
      <w:r>
        <w:rPr>
          <w:rFonts w:hint="eastAsia" w:ascii="宋体" w:hAnsi="宋体"/>
          <w:szCs w:val="21"/>
        </w:rPr>
        <w:t>投标地点：广西政府采购云平台（https://www.gcy.zfcg.gxzf.gov.cn/）</w:t>
      </w:r>
    </w:p>
    <w:p w14:paraId="39E94770">
      <w:pPr>
        <w:spacing w:line="360" w:lineRule="auto"/>
        <w:ind w:firstLine="420" w:firstLineChars="200"/>
        <w:rPr>
          <w:rFonts w:hint="eastAsia" w:ascii="宋体" w:hAnsi="宋体"/>
          <w:szCs w:val="21"/>
        </w:rPr>
      </w:pPr>
      <w:r>
        <w:rPr>
          <w:rFonts w:hint="eastAsia" w:ascii="宋体" w:hAnsi="宋体"/>
          <w:szCs w:val="21"/>
        </w:rPr>
        <w:t>开标地点：广西政府采购云平台电子开标大厅</w:t>
      </w:r>
    </w:p>
    <w:p w14:paraId="45666F40">
      <w:pPr>
        <w:spacing w:line="360" w:lineRule="auto"/>
        <w:rPr>
          <w:rFonts w:hint="eastAsia" w:ascii="黑体" w:hAnsi="黑体" w:eastAsia="黑体"/>
          <w:b/>
          <w:bCs/>
          <w:sz w:val="24"/>
        </w:rPr>
      </w:pPr>
      <w:r>
        <w:rPr>
          <w:rFonts w:hint="eastAsia" w:ascii="黑体" w:hAnsi="黑体" w:eastAsia="黑体"/>
          <w:b/>
          <w:bCs/>
          <w:sz w:val="24"/>
        </w:rPr>
        <w:t>五、公告期限</w:t>
      </w:r>
      <w:bookmarkEnd w:id="18"/>
      <w:bookmarkEnd w:id="19"/>
      <w:bookmarkEnd w:id="20"/>
      <w:bookmarkEnd w:id="21"/>
    </w:p>
    <w:p w14:paraId="05C6C2BF">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3529BA5B">
      <w:pPr>
        <w:spacing w:line="360" w:lineRule="auto"/>
        <w:rPr>
          <w:rFonts w:hint="eastAsia" w:ascii="黑体" w:hAnsi="黑体" w:eastAsia="黑体"/>
          <w:b/>
          <w:bCs/>
          <w:sz w:val="24"/>
        </w:rPr>
      </w:pPr>
      <w:bookmarkStart w:id="22" w:name="_Toc35393795"/>
      <w:bookmarkStart w:id="23" w:name="_Toc35393626"/>
      <w:r>
        <w:rPr>
          <w:rFonts w:hint="eastAsia" w:ascii="黑体" w:hAnsi="黑体" w:eastAsia="黑体"/>
          <w:b/>
          <w:bCs/>
          <w:sz w:val="24"/>
        </w:rPr>
        <w:t>六、其他补充事宜</w:t>
      </w:r>
      <w:bookmarkEnd w:id="22"/>
      <w:bookmarkEnd w:id="23"/>
    </w:p>
    <w:p w14:paraId="1CDF0BE7">
      <w:pPr>
        <w:spacing w:line="360" w:lineRule="auto"/>
        <w:ind w:firstLine="420" w:firstLineChars="200"/>
        <w:rPr>
          <w:rFonts w:hint="eastAsia" w:ascii="宋体" w:hAnsi="宋体" w:cs="宋体"/>
          <w:kern w:val="0"/>
          <w:szCs w:val="21"/>
        </w:rPr>
      </w:pPr>
      <w:bookmarkStart w:id="24" w:name="_Hlk37429585"/>
      <w:bookmarkStart w:id="25" w:name="_Hlk37429595"/>
      <w:bookmarkStart w:id="26" w:name="_Toc35393796"/>
      <w:bookmarkStart w:id="27" w:name="_Toc28359008"/>
      <w:bookmarkStart w:id="28" w:name="_Toc35393627"/>
      <w:bookmarkStart w:id="29" w:name="_Toc28359085"/>
      <w:r>
        <w:rPr>
          <w:rFonts w:hint="eastAsia" w:ascii="宋体" w:hAnsi="宋体" w:cs="宋体"/>
          <w:kern w:val="0"/>
          <w:szCs w:val="21"/>
        </w:rPr>
        <w:t>1.网上查询地址</w:t>
      </w:r>
    </w:p>
    <w:p w14:paraId="33D86467">
      <w:pPr>
        <w:spacing w:line="360" w:lineRule="auto"/>
        <w:ind w:firstLine="420" w:firstLineChars="200"/>
        <w:rPr>
          <w:rFonts w:hint="eastAsia" w:ascii="宋体" w:hAnsi="宋体" w:cs="宋体"/>
          <w:i/>
          <w:kern w:val="0"/>
          <w:szCs w:val="21"/>
        </w:rPr>
      </w:pPr>
      <w:r>
        <w:rPr>
          <w:rFonts w:hint="eastAsia" w:ascii="宋体" w:hAnsi="宋体" w:cs="宋体"/>
          <w:kern w:val="0"/>
          <w:szCs w:val="21"/>
        </w:rPr>
        <w:t>中国政府采购网（http://www.ccgp.gov.cn）、广西壮族自治区政府采购网（http://zfcg.gxzf.gov.cn）、广西壮族自治区公共资源交易中心（http://gxggzy.gxzf.gov.cn/）</w:t>
      </w:r>
    </w:p>
    <w:bookmarkEnd w:id="24"/>
    <w:bookmarkEnd w:id="25"/>
    <w:p w14:paraId="0F9081D6">
      <w:pPr>
        <w:spacing w:line="360" w:lineRule="auto"/>
        <w:ind w:firstLine="424" w:firstLineChars="202"/>
        <w:rPr>
          <w:rFonts w:hint="eastAsia" w:ascii="宋体" w:hAnsi="宋体" w:cs="宋体"/>
          <w:kern w:val="0"/>
          <w:szCs w:val="21"/>
        </w:rPr>
      </w:pPr>
      <w:bookmarkStart w:id="30"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35D1ADFC">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（1）政府采购促进中小企业发展。</w:t>
      </w:r>
    </w:p>
    <w:p w14:paraId="480C5BB6">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（2）政府采购支持采用本国产品的政策。</w:t>
      </w:r>
    </w:p>
    <w:p w14:paraId="1D2733AE">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（3）强制采购节能产品；优先采购节能产品、环境标志产品。</w:t>
      </w:r>
    </w:p>
    <w:p w14:paraId="03F65688">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（4）政府采购促进残疾人就业政策。</w:t>
      </w:r>
    </w:p>
    <w:p w14:paraId="1C625B5A">
      <w:pPr>
        <w:spacing w:line="360" w:lineRule="auto"/>
        <w:ind w:firstLine="420" w:firstLineChars="200"/>
        <w:rPr>
          <w:rFonts w:hint="eastAsia" w:ascii="宋体" w:hAnsi="宋体" w:cs="宋体"/>
          <w:i/>
          <w:iCs/>
          <w:kern w:val="0"/>
          <w:szCs w:val="21"/>
        </w:rPr>
      </w:pPr>
      <w:r>
        <w:rPr>
          <w:rFonts w:hint="eastAsia" w:ascii="宋体" w:hAnsi="宋体" w:cs="宋体"/>
          <w:iCs/>
          <w:kern w:val="0"/>
          <w:szCs w:val="21"/>
        </w:rPr>
        <w:t>（5）政府采购支持监狱企业发展。</w:t>
      </w:r>
    </w:p>
    <w:bookmarkEnd w:id="30"/>
    <w:p w14:paraId="04574B2A">
      <w:pPr>
        <w:widowControl/>
        <w:spacing w:line="360" w:lineRule="auto"/>
        <w:ind w:firstLine="422" w:firstLineChars="200"/>
        <w:jc w:val="left"/>
        <w:rPr>
          <w:rFonts w:hint="eastAsia" w:ascii="宋体" w:hAnsi="宋体"/>
          <w:b/>
          <w:szCs w:val="21"/>
        </w:rPr>
      </w:pPr>
      <w:r>
        <w:rPr>
          <w:rFonts w:hint="eastAsia" w:ascii="宋体" w:hAnsi="宋体" w:cs="宋体"/>
          <w:b/>
          <w:kern w:val="0"/>
          <w:szCs w:val="21"/>
        </w:rPr>
        <w:t>3.投标人</w:t>
      </w:r>
      <w:r>
        <w:rPr>
          <w:rFonts w:hint="eastAsia" w:ascii="宋体" w:hAnsi="宋体"/>
          <w:b/>
          <w:szCs w:val="21"/>
        </w:rPr>
        <w:t>投标注意事项</w:t>
      </w:r>
    </w:p>
    <w:p w14:paraId="23EB37F7">
      <w:pPr>
        <w:widowControl/>
        <w:spacing w:line="360" w:lineRule="auto"/>
        <w:ind w:firstLine="422" w:firstLineChars="200"/>
        <w:jc w:val="left"/>
        <w:rPr>
          <w:rFonts w:hint="eastAsia" w:ascii="宋体" w:hAnsi="宋体"/>
          <w:b/>
          <w:szCs w:val="21"/>
        </w:rPr>
      </w:pPr>
      <w:r>
        <w:rPr>
          <w:rFonts w:hint="eastAsia" w:ascii="宋体" w:hAnsi="宋体"/>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szCs w:val="21"/>
          <w:u w:val="single"/>
        </w:rPr>
        <w:t>加密的电子投标文件是指</w:t>
      </w:r>
      <w:r>
        <w:rPr>
          <w:rFonts w:hint="eastAsia"/>
          <w:b/>
          <w:u w:val="single"/>
        </w:rPr>
        <w:t>后缀名为“jm</w:t>
      </w:r>
      <w:r>
        <w:rPr>
          <w:b/>
          <w:u w:val="single"/>
        </w:rPr>
        <w:t>bs</w:t>
      </w:r>
      <w:r>
        <w:rPr>
          <w:rFonts w:hint="eastAsia"/>
          <w:b/>
          <w:u w:val="single"/>
        </w:rPr>
        <w:t>”的文件</w:t>
      </w:r>
      <w:r>
        <w:rPr>
          <w:rFonts w:hint="eastAsia" w:ascii="宋体" w:hAnsi="宋体"/>
          <w:b/>
          <w:szCs w:val="21"/>
        </w:rPr>
        <w:t>），投标人在广西政府采购云平台提交电子投标文件时，请填写参加远程开标活动经办人联系方式。投标人登录广西政府采购云平台，依次进入“服务中心-项目采购-操作流程-电子招投标-</w:t>
      </w:r>
      <w:r>
        <w:rPr>
          <w:b/>
        </w:rPr>
        <w:t>政府采购项目电子交易管理操作指南-供应商</w:t>
      </w:r>
      <w:r>
        <w:rPr>
          <w:rFonts w:hint="eastAsia" w:ascii="宋体" w:hAnsi="宋体"/>
          <w:b/>
          <w:szCs w:val="21"/>
        </w:rPr>
        <w:t>”查看电子投标具体操作流程。</w:t>
      </w:r>
    </w:p>
    <w:p w14:paraId="11CED0EE">
      <w:pPr>
        <w:widowControl/>
        <w:spacing w:line="360" w:lineRule="auto"/>
        <w:ind w:firstLine="422" w:firstLineChars="200"/>
        <w:jc w:val="left"/>
        <w:rPr>
          <w:rFonts w:hint="eastAsia" w:ascii="宋体" w:hAnsi="宋体"/>
          <w:b/>
          <w:szCs w:val="21"/>
        </w:rPr>
      </w:pPr>
      <w:r>
        <w:rPr>
          <w:rFonts w:hint="eastAsia" w:ascii="宋体" w:hAnsi="宋体"/>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
          <w:kern w:val="0"/>
          <w:szCs w:val="21"/>
        </w:rPr>
        <w:t>广西政府采购云平台，</w:t>
      </w:r>
      <w:r>
        <w:rPr>
          <w:rFonts w:hint="eastAsia" w:ascii="宋体" w:hAnsi="宋体"/>
          <w:b/>
          <w:szCs w:val="21"/>
        </w:rPr>
        <w:t>依次进入“服务中心-入驻与配置”中查看CA数字证书办理操作流程。</w:t>
      </w:r>
      <w:r>
        <w:rPr>
          <w:rFonts w:hint="eastAsia" w:ascii="宋体" w:hAnsi="宋体" w:cs="宋体"/>
          <w:b/>
          <w:bCs/>
          <w:kern w:val="0"/>
          <w:szCs w:val="21"/>
        </w:rPr>
        <w:t>如在操作过程中遇到问题或者需要技术支持，请致电广西政府采购云平台客服热线：</w:t>
      </w:r>
      <w:r>
        <w:rPr>
          <w:rFonts w:hint="eastAsia" w:ascii="宋体" w:hAnsi="宋体"/>
          <w:b/>
          <w:szCs w:val="21"/>
        </w:rPr>
        <w:t>95763或0771-3381253）。</w:t>
      </w:r>
    </w:p>
    <w:p w14:paraId="4631F7E7">
      <w:pPr>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060030AA">
      <w:pPr>
        <w:spacing w:line="360" w:lineRule="auto"/>
        <w:ind w:firstLine="426" w:firstLineChars="202"/>
        <w:rPr>
          <w:rFonts w:hint="eastAsia" w:ascii="宋体" w:hAnsi="宋体"/>
          <w:b/>
          <w:szCs w:val="21"/>
        </w:rPr>
      </w:pPr>
      <w:r>
        <w:rPr>
          <w:rFonts w:hint="eastAsia" w:ascii="宋体" w:hAnsi="宋体"/>
          <w:b/>
          <w:szCs w:val="21"/>
        </w:rPr>
        <w:t>注：</w:t>
      </w:r>
    </w:p>
    <w:p w14:paraId="505791C5">
      <w:pPr>
        <w:spacing w:line="360" w:lineRule="auto"/>
        <w:ind w:firstLine="426" w:firstLineChars="202"/>
        <w:rPr>
          <w:rFonts w:hint="eastAsia" w:ascii="宋体" w:hAnsi="宋体"/>
          <w:b/>
          <w:szCs w:val="21"/>
        </w:rPr>
      </w:pP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 1 \* GB3</w:instrText>
      </w:r>
      <w:r>
        <w:rPr>
          <w:rFonts w:ascii="宋体" w:hAnsi="宋体"/>
          <w:b/>
          <w:szCs w:val="21"/>
        </w:rPr>
        <w:instrText xml:space="preserve"> </w:instrText>
      </w:r>
      <w:r>
        <w:rPr>
          <w:rFonts w:ascii="宋体" w:hAnsi="宋体"/>
          <w:b/>
          <w:szCs w:val="21"/>
        </w:rPr>
        <w:fldChar w:fldCharType="separate"/>
      </w:r>
      <w:r>
        <w:rPr>
          <w:rFonts w:hint="eastAsia" w:ascii="宋体" w:hAnsi="宋体"/>
          <w:b/>
          <w:szCs w:val="21"/>
        </w:rPr>
        <w:t>①</w:t>
      </w:r>
      <w:r>
        <w:rPr>
          <w:rFonts w:ascii="宋体" w:hAnsi="宋体"/>
          <w:b/>
          <w:szCs w:val="21"/>
        </w:rPr>
        <w:fldChar w:fldCharType="end"/>
      </w:r>
      <w:r>
        <w:rPr>
          <w:rFonts w:hint="eastAsia" w:ascii="宋体" w:hAnsi="宋体"/>
          <w:b/>
          <w:szCs w:val="21"/>
        </w:rPr>
        <w:t>为确保网上操作合法、有效和安全，请投标人确保在电子投标过程中能够对相关数据电文进行加密和使用电子签章，妥善保管C</w:t>
      </w:r>
      <w:r>
        <w:rPr>
          <w:rFonts w:ascii="宋体" w:hAnsi="宋体"/>
          <w:b/>
          <w:szCs w:val="21"/>
        </w:rPr>
        <w:t>A</w:t>
      </w:r>
      <w:r>
        <w:rPr>
          <w:rFonts w:hint="eastAsia" w:ascii="宋体" w:hAnsi="宋体"/>
          <w:b/>
          <w:szCs w:val="21"/>
        </w:rPr>
        <w:t>数字证书并使用有效的CA数字证书参与整个招标活动。</w:t>
      </w:r>
    </w:p>
    <w:p w14:paraId="4A800C41">
      <w:pPr>
        <w:spacing w:line="360" w:lineRule="auto"/>
        <w:ind w:firstLine="426" w:firstLineChars="202"/>
        <w:rPr>
          <w:rFonts w:hint="eastAsia" w:ascii="宋体" w:hAnsi="宋体"/>
          <w:b/>
          <w:bCs/>
          <w:szCs w:val="21"/>
        </w:rPr>
      </w:pP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 2 \* GB3</w:instrText>
      </w:r>
      <w:r>
        <w:rPr>
          <w:rFonts w:ascii="宋体" w:hAnsi="宋体"/>
          <w:b/>
          <w:szCs w:val="21"/>
        </w:rPr>
        <w:instrText xml:space="preserve"> </w:instrText>
      </w:r>
      <w:r>
        <w:rPr>
          <w:rFonts w:ascii="宋体" w:hAnsi="宋体"/>
          <w:b/>
          <w:szCs w:val="21"/>
        </w:rPr>
        <w:fldChar w:fldCharType="separate"/>
      </w:r>
      <w:r>
        <w:rPr>
          <w:rFonts w:hint="eastAsia" w:ascii="宋体" w:hAnsi="宋体"/>
          <w:b/>
          <w:szCs w:val="21"/>
        </w:rPr>
        <w:t>②</w:t>
      </w:r>
      <w:r>
        <w:rPr>
          <w:rFonts w:ascii="宋体" w:hAnsi="宋体"/>
          <w:b/>
          <w:szCs w:val="21"/>
        </w:rPr>
        <w:fldChar w:fldCharType="end"/>
      </w:r>
      <w:r>
        <w:rPr>
          <w:rFonts w:hint="eastAsia" w:ascii="宋体" w:hAnsi="宋体"/>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D6303B7">
      <w:pPr>
        <w:spacing w:line="360" w:lineRule="auto"/>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6"/>
      <w:bookmarkEnd w:id="27"/>
      <w:bookmarkEnd w:id="28"/>
      <w:bookmarkEnd w:id="29"/>
    </w:p>
    <w:p w14:paraId="4A923EC0">
      <w:pPr>
        <w:spacing w:line="360" w:lineRule="auto"/>
        <w:ind w:firstLine="424" w:firstLineChars="202"/>
        <w:jc w:val="left"/>
        <w:rPr>
          <w:rFonts w:hint="eastAsia" w:ascii="宋体" w:hAnsi="宋体"/>
          <w:szCs w:val="21"/>
        </w:rPr>
      </w:pPr>
      <w:r>
        <w:rPr>
          <w:rFonts w:hint="eastAsia" w:ascii="宋体" w:hAnsi="宋体" w:cs="宋体"/>
          <w:szCs w:val="21"/>
        </w:rPr>
        <w:t>1.采购人信息</w:t>
      </w:r>
    </w:p>
    <w:p w14:paraId="677E1939">
      <w:pPr>
        <w:spacing w:line="360" w:lineRule="auto"/>
        <w:ind w:firstLine="424" w:firstLineChars="202"/>
        <w:jc w:val="left"/>
        <w:rPr>
          <w:rFonts w:hint="eastAsia" w:ascii="宋体" w:hAnsi="宋体"/>
          <w:szCs w:val="21"/>
        </w:rPr>
      </w:pPr>
      <w:bookmarkStart w:id="31" w:name="_Toc28359009"/>
      <w:bookmarkStart w:id="32" w:name="_Toc28359086"/>
      <w:r>
        <w:rPr>
          <w:rFonts w:hint="eastAsia" w:ascii="宋体" w:hAnsi="宋体"/>
          <w:szCs w:val="21"/>
        </w:rPr>
        <w:t>名称：</w:t>
      </w:r>
      <w:r>
        <w:rPr>
          <w:rFonts w:hint="eastAsia" w:ascii="宋体" w:hAnsi="宋体"/>
          <w:szCs w:val="21"/>
          <w:u w:val="single"/>
        </w:rPr>
        <w:t>广西壮族自治区应急管理厅</w:t>
      </w:r>
    </w:p>
    <w:p w14:paraId="6B9A98DD">
      <w:pPr>
        <w:spacing w:line="360" w:lineRule="auto"/>
        <w:ind w:firstLine="424" w:firstLineChars="202"/>
        <w:jc w:val="left"/>
        <w:rPr>
          <w:rFonts w:hint="eastAsia" w:ascii="宋体" w:hAnsi="宋体"/>
          <w:szCs w:val="21"/>
        </w:rPr>
      </w:pPr>
      <w:r>
        <w:rPr>
          <w:rFonts w:hint="eastAsia" w:ascii="宋体" w:hAnsi="宋体"/>
          <w:szCs w:val="21"/>
        </w:rPr>
        <w:t>地址：</w:t>
      </w:r>
      <w:r>
        <w:rPr>
          <w:rFonts w:hint="eastAsia" w:ascii="宋体" w:hAnsi="宋体" w:cs="Arial"/>
          <w:szCs w:val="21"/>
          <w:u w:val="single"/>
        </w:rPr>
        <w:t>广西南宁市良庆区蕾坛路2号</w:t>
      </w:r>
    </w:p>
    <w:p w14:paraId="24E74B7A">
      <w:pPr>
        <w:spacing w:line="360" w:lineRule="auto"/>
        <w:ind w:firstLine="424" w:firstLineChars="202"/>
        <w:jc w:val="left"/>
        <w:rPr>
          <w:rFonts w:hint="eastAsia" w:ascii="宋体" w:hAnsi="宋体"/>
          <w:szCs w:val="21"/>
          <w:u w:val="single"/>
        </w:rPr>
      </w:pPr>
      <w:r>
        <w:rPr>
          <w:rFonts w:hint="eastAsia" w:ascii="宋体" w:hAnsi="宋体"/>
          <w:szCs w:val="21"/>
        </w:rPr>
        <w:t>联系方式：</w:t>
      </w:r>
      <w:r>
        <w:rPr>
          <w:rFonts w:hint="eastAsia" w:ascii="宋体" w:hAnsi="宋体" w:cs="Arial"/>
          <w:szCs w:val="21"/>
          <w:u w:val="single"/>
        </w:rPr>
        <w:t>陈民娟，0771-</w:t>
      </w:r>
      <w:r>
        <w:rPr>
          <w:rFonts w:ascii="宋体" w:hAnsi="宋体" w:cs="Arial"/>
          <w:szCs w:val="21"/>
          <w:u w:val="single"/>
        </w:rPr>
        <w:t>3372516</w:t>
      </w:r>
      <w:r>
        <w:rPr>
          <w:rFonts w:hint="eastAsia" w:ascii="宋体" w:hAnsi="宋体" w:cs="Arial"/>
          <w:szCs w:val="21"/>
          <w:u w:val="single"/>
        </w:rPr>
        <w:t xml:space="preserve"> </w:t>
      </w:r>
      <w:r>
        <w:rPr>
          <w:rFonts w:ascii="宋体" w:hAnsi="宋体" w:cs="Arial"/>
          <w:szCs w:val="21"/>
          <w:u w:val="single"/>
        </w:rPr>
        <w:t xml:space="preserve"> </w:t>
      </w:r>
    </w:p>
    <w:p w14:paraId="58473E17">
      <w:pPr>
        <w:spacing w:line="360" w:lineRule="auto"/>
        <w:ind w:firstLine="424" w:firstLineChars="202"/>
        <w:jc w:val="left"/>
        <w:rPr>
          <w:rFonts w:hint="eastAsia" w:ascii="宋体" w:hAnsi="宋体"/>
          <w:szCs w:val="21"/>
        </w:rPr>
      </w:pPr>
      <w:r>
        <w:rPr>
          <w:rFonts w:hint="eastAsia" w:ascii="宋体" w:hAnsi="宋体" w:cs="宋体"/>
          <w:szCs w:val="21"/>
        </w:rPr>
        <w:t>2.采购代理机构信息</w:t>
      </w:r>
      <w:bookmarkEnd w:id="31"/>
      <w:bookmarkEnd w:id="32"/>
    </w:p>
    <w:p w14:paraId="4025F017">
      <w:pPr>
        <w:spacing w:line="360" w:lineRule="auto"/>
        <w:ind w:firstLine="424" w:firstLineChars="202"/>
        <w:rPr>
          <w:rFonts w:hint="eastAsia" w:ascii="宋体" w:hAnsi="宋体"/>
          <w:szCs w:val="21"/>
        </w:rPr>
      </w:pPr>
      <w:r>
        <w:rPr>
          <w:rFonts w:hint="eastAsia" w:ascii="宋体" w:hAnsi="宋体"/>
          <w:szCs w:val="21"/>
        </w:rPr>
        <w:t>名称：</w:t>
      </w:r>
      <w:bookmarkStart w:id="33" w:name="OLE_LINK22"/>
      <w:r>
        <w:rPr>
          <w:rFonts w:hint="eastAsia" w:ascii="宋体" w:hAnsi="宋体"/>
          <w:szCs w:val="21"/>
          <w:u w:val="single"/>
        </w:rPr>
        <w:t>云之龙咨询集团有限公司</w:t>
      </w:r>
    </w:p>
    <w:p w14:paraId="0A78863D">
      <w:pPr>
        <w:spacing w:line="360" w:lineRule="auto"/>
        <w:ind w:firstLine="424" w:firstLineChars="202"/>
        <w:rPr>
          <w:rFonts w:hint="eastAsia" w:ascii="宋体" w:hAnsi="宋体"/>
          <w:szCs w:val="21"/>
        </w:rPr>
      </w:pPr>
      <w:r>
        <w:rPr>
          <w:rFonts w:hint="eastAsia" w:ascii="宋体" w:hAnsi="宋体"/>
          <w:szCs w:val="21"/>
        </w:rPr>
        <w:t>地址：</w:t>
      </w:r>
      <w:r>
        <w:rPr>
          <w:rFonts w:hint="eastAsia" w:ascii="宋体" w:hAnsi="宋体"/>
          <w:szCs w:val="21"/>
          <w:u w:val="single"/>
        </w:rPr>
        <w:t>广西南宁市良庆区云英路15号3号楼云之龙咨询集团大厦6楼</w:t>
      </w:r>
    </w:p>
    <w:p w14:paraId="4CC28A81">
      <w:pPr>
        <w:spacing w:line="360" w:lineRule="auto"/>
        <w:ind w:firstLine="424" w:firstLineChars="202"/>
        <w:rPr>
          <w:rFonts w:hint="eastAsia" w:ascii="宋体" w:hAnsi="宋体"/>
          <w:szCs w:val="21"/>
        </w:rPr>
      </w:pPr>
      <w:r>
        <w:rPr>
          <w:rFonts w:hint="eastAsia" w:ascii="宋体" w:hAnsi="宋体"/>
          <w:szCs w:val="21"/>
        </w:rPr>
        <w:t>联系方式：</w:t>
      </w:r>
      <w:bookmarkStart w:id="34" w:name="_Toc28359087"/>
      <w:bookmarkStart w:id="35" w:name="_Toc28359010"/>
      <w:r>
        <w:rPr>
          <w:rFonts w:hint="eastAsia" w:hAnsi="宋体"/>
          <w:u w:val="single"/>
        </w:rPr>
        <w:t>陈柠、岑昌桦</w:t>
      </w:r>
      <w:r>
        <w:rPr>
          <w:rFonts w:hint="eastAsia" w:ascii="宋体" w:hAnsi="宋体"/>
          <w:szCs w:val="21"/>
          <w:u w:val="single"/>
        </w:rPr>
        <w:t>，0771-2618118、2611889、2611898</w:t>
      </w:r>
    </w:p>
    <w:bookmarkEnd w:id="33"/>
    <w:p w14:paraId="5E48677B">
      <w:pPr>
        <w:spacing w:line="360" w:lineRule="auto"/>
        <w:ind w:firstLine="424" w:firstLineChars="202"/>
        <w:rPr>
          <w:rFonts w:hint="eastAsia" w:ascii="宋体" w:hAnsi="宋体"/>
          <w:szCs w:val="21"/>
          <w:u w:val="single"/>
        </w:rPr>
      </w:pPr>
      <w:r>
        <w:rPr>
          <w:rFonts w:hint="eastAsia" w:ascii="宋体" w:hAnsi="宋体" w:cs="宋体"/>
          <w:szCs w:val="21"/>
        </w:rPr>
        <w:t>3.项目</w:t>
      </w:r>
      <w:r>
        <w:rPr>
          <w:rFonts w:ascii="宋体" w:hAnsi="宋体" w:cs="宋体"/>
          <w:szCs w:val="21"/>
        </w:rPr>
        <w:t>联系方式</w:t>
      </w:r>
      <w:bookmarkEnd w:id="34"/>
      <w:bookmarkEnd w:id="35"/>
    </w:p>
    <w:p w14:paraId="1AB6B3C0">
      <w:pPr>
        <w:pStyle w:val="3"/>
        <w:spacing w:line="360" w:lineRule="auto"/>
        <w:ind w:firstLine="424" w:firstLineChars="202"/>
        <w:rPr>
          <w:rFonts w:hint="eastAsia" w:hAnsi="宋体"/>
          <w:sz w:val="21"/>
        </w:rPr>
      </w:pPr>
      <w:r>
        <w:rPr>
          <w:rFonts w:hint="eastAsia" w:hAnsi="宋体"/>
          <w:sz w:val="21"/>
        </w:rPr>
        <w:t>项目联系人：</w:t>
      </w:r>
      <w:r>
        <w:rPr>
          <w:rFonts w:hint="eastAsia" w:hAnsi="宋体"/>
          <w:sz w:val="21"/>
          <w:u w:val="single"/>
        </w:rPr>
        <w:t>陈柠、岑昌桦</w:t>
      </w:r>
    </w:p>
    <w:p w14:paraId="13572227">
      <w:r>
        <w:rPr>
          <w:rFonts w:hint="eastAsia" w:ascii="宋体" w:hAnsi="宋体"/>
          <w:szCs w:val="21"/>
        </w:rPr>
        <w:t>电话：</w:t>
      </w:r>
      <w:r>
        <w:rPr>
          <w:rFonts w:hint="eastAsia" w:ascii="宋体" w:hAnsi="宋体"/>
          <w:szCs w:val="21"/>
          <w:u w:val="single"/>
        </w:rPr>
        <w:t>0771-2618118、2611889、2611898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C5687"/>
    <w:rsid w:val="6F4C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2026-05-27T05:35:00Z</dcterms:created>
  <dc:creator>WPS_1692061686</dc:creator>
  <cp:lastModifiedBy>WPS_1692061686</cp:lastModifiedBy>
  <dcterms:modified xsi:type="dcterms:W3CDTF">2026-05-27T05:36:07Z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41B73F4BF9B64EB89857D24FF94D3883_11</vt:lpwstr>
  </property>
  <property fmtid="{D5CDD505-2E9C-101B-9397-08002B2CF9AE}" pid="4" name="KSOTemplateDocerSaveRecord">
    <vt:lpwstr>eyJoZGlkIjoiYTYwNDExODc4NDhjMDFlYmI1N2UyYjJhNjQ4YzRmZGUiLCJ1c2VySWQiOiIxNTIwNzczOTkxIn0=</vt:lpwstr>
  </property>
</Properties>
</file>