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783C4D">
      <w:pPr>
        <w:spacing w:line="360" w:lineRule="auto"/>
        <w:jc w:val="center"/>
        <w:rPr>
          <w:rFonts w:hint="eastAsia" w:ascii="方正小标宋简体" w:hAnsi="方正小标宋简体" w:eastAsia="方正小标宋简体" w:cs="方正小标宋简体"/>
          <w:color w:val="auto"/>
          <w:sz w:val="52"/>
          <w:szCs w:val="52"/>
          <w:highlight w:val="none"/>
        </w:rPr>
      </w:pPr>
      <w:bookmarkStart w:id="253" w:name="_GoBack"/>
      <w:bookmarkEnd w:id="253"/>
      <w:r>
        <w:rPr>
          <w:rFonts w:hint="eastAsia" w:ascii="方正小标宋简体" w:hAnsi="宋体" w:eastAsia="方正小标宋简体"/>
          <w:color w:val="auto"/>
          <w:sz w:val="52"/>
          <w:szCs w:val="52"/>
          <w:highlight w:val="none"/>
        </w:rPr>
        <w:t>云之龙咨询集团有限公司</w:t>
      </w:r>
    </w:p>
    <w:p w14:paraId="45AE4697">
      <w:pPr>
        <w:spacing w:line="360" w:lineRule="auto"/>
        <w:jc w:val="center"/>
        <w:rPr>
          <w:rFonts w:hint="eastAsia" w:ascii="方正小标宋简体" w:hAnsi="方正小标宋简体" w:eastAsia="方正小标宋简体" w:cs="方正小标宋简体"/>
          <w:b/>
          <w:color w:val="auto"/>
          <w:sz w:val="44"/>
          <w:szCs w:val="44"/>
          <w:highlight w:val="none"/>
        </w:rPr>
      </w:pPr>
    </w:p>
    <w:p w14:paraId="49D6E8EB">
      <w:pPr>
        <w:spacing w:line="360" w:lineRule="auto"/>
        <w:jc w:val="center"/>
        <w:rPr>
          <w:rFonts w:hint="eastAsia" w:ascii="方正小标宋简体" w:hAnsi="方正小标宋简体" w:eastAsia="方正小标宋简体" w:cs="方正小标宋简体"/>
          <w:b/>
          <w:color w:val="auto"/>
          <w:sz w:val="44"/>
          <w:szCs w:val="44"/>
          <w:highlight w:val="none"/>
        </w:rPr>
      </w:pPr>
    </w:p>
    <w:p w14:paraId="54B265F2">
      <w:pPr>
        <w:spacing w:before="156" w:line="360" w:lineRule="auto"/>
        <w:jc w:val="center"/>
        <w:rPr>
          <w:rFonts w:hint="eastAsia" w:ascii="华文新魏" w:hAnsi="宋体" w:eastAsia="华文新魏"/>
          <w:color w:val="auto"/>
          <w:sz w:val="120"/>
          <w:szCs w:val="120"/>
          <w:highlight w:val="none"/>
        </w:rPr>
      </w:pPr>
      <w:r>
        <w:rPr>
          <w:rFonts w:hint="eastAsia" w:ascii="华文新魏" w:hAnsi="宋体" w:eastAsia="华文新魏"/>
          <w:color w:val="auto"/>
          <w:sz w:val="120"/>
          <w:szCs w:val="120"/>
          <w:highlight w:val="none"/>
        </w:rPr>
        <w:t>竞争性磋商文件</w:t>
      </w:r>
    </w:p>
    <w:p w14:paraId="5AFDE84D">
      <w:pPr>
        <w:spacing w:before="156" w:line="360" w:lineRule="auto"/>
        <w:jc w:val="center"/>
        <w:rPr>
          <w:rFonts w:hint="eastAsia" w:ascii="仿宋_GB2312" w:hAnsi="宋体" w:eastAsia="仿宋_GB2312"/>
          <w:b/>
          <w:color w:val="auto"/>
          <w:sz w:val="30"/>
          <w:szCs w:val="72"/>
          <w:highlight w:val="none"/>
        </w:rPr>
      </w:pPr>
      <w:r>
        <w:rPr>
          <w:rFonts w:hint="eastAsia" w:ascii="仿宋_GB2312" w:hAnsi="宋体" w:eastAsia="仿宋_GB2312"/>
          <w:b/>
          <w:color w:val="auto"/>
          <w:sz w:val="48"/>
          <w:szCs w:val="48"/>
          <w:highlight w:val="none"/>
        </w:rPr>
        <w:t>（全流程电子化采购）</w:t>
      </w:r>
    </w:p>
    <w:p w14:paraId="59C5C7AF">
      <w:pPr>
        <w:spacing w:line="360" w:lineRule="auto"/>
        <w:rPr>
          <w:rFonts w:hint="eastAsia" w:ascii="仿宋_GB2312" w:hAnsi="宋体" w:eastAsia="仿宋_GB2312"/>
          <w:color w:val="auto"/>
          <w:sz w:val="30"/>
          <w:szCs w:val="72"/>
          <w:highlight w:val="none"/>
        </w:rPr>
      </w:pPr>
    </w:p>
    <w:p w14:paraId="138A6C21">
      <w:pPr>
        <w:pStyle w:val="238"/>
        <w:spacing w:line="360" w:lineRule="auto"/>
        <w:ind w:firstLine="840"/>
        <w:rPr>
          <w:rFonts w:hint="eastAsia" w:hAnsi="宋体"/>
          <w:b/>
          <w:bCs/>
          <w:color w:val="auto"/>
          <w:sz w:val="30"/>
          <w:szCs w:val="30"/>
          <w:highlight w:val="none"/>
        </w:rPr>
      </w:pPr>
      <w:r>
        <w:rPr>
          <w:rFonts w:hint="eastAsia" w:hAnsi="宋体"/>
          <w:b/>
          <w:bCs/>
          <w:color w:val="auto"/>
          <w:sz w:val="30"/>
          <w:szCs w:val="30"/>
          <w:highlight w:val="none"/>
        </w:rPr>
        <w:t>项目</w:t>
      </w:r>
      <w:r>
        <w:rPr>
          <w:rFonts w:hint="eastAsia" w:hAnsi="宋体" w:cs="Courier New"/>
          <w:b/>
          <w:bCs/>
          <w:color w:val="auto"/>
          <w:sz w:val="30"/>
          <w:szCs w:val="30"/>
          <w:highlight w:val="none"/>
        </w:rPr>
        <w:t>名称</w:t>
      </w:r>
      <w:r>
        <w:rPr>
          <w:rFonts w:hint="eastAsia" w:hAnsi="宋体"/>
          <w:b/>
          <w:bCs/>
          <w:color w:val="auto"/>
          <w:sz w:val="30"/>
          <w:szCs w:val="30"/>
          <w:highlight w:val="none"/>
        </w:rPr>
        <w:t>：</w:t>
      </w:r>
      <w:bookmarkStart w:id="0" w:name="OLE_LINK1"/>
      <w:r>
        <w:rPr>
          <w:rFonts w:hint="eastAsia" w:hAnsi="宋体"/>
          <w:b/>
          <w:bCs/>
          <w:color w:val="auto"/>
          <w:sz w:val="30"/>
          <w:szCs w:val="30"/>
          <w:highlight w:val="none"/>
        </w:rPr>
        <w:t>陆川县横山镇陆洪村委至横山街段道路修复工程</w:t>
      </w:r>
      <w:bookmarkEnd w:id="0"/>
    </w:p>
    <w:p w14:paraId="4062E283">
      <w:pPr>
        <w:spacing w:line="360" w:lineRule="auto"/>
        <w:ind w:firstLine="840"/>
        <w:rPr>
          <w:rFonts w:hint="eastAsia" w:ascii="宋体" w:hAnsi="宋体"/>
          <w:color w:val="auto"/>
          <w:sz w:val="30"/>
          <w:szCs w:val="72"/>
          <w:highlight w:val="none"/>
        </w:rPr>
      </w:pPr>
      <w:r>
        <w:rPr>
          <w:rFonts w:hint="eastAsia" w:ascii="宋体" w:hAnsi="宋体" w:cs="Courier New"/>
          <w:b/>
          <w:bCs/>
          <w:color w:val="auto"/>
          <w:sz w:val="30"/>
          <w:szCs w:val="30"/>
          <w:highlight w:val="none"/>
        </w:rPr>
        <w:t>项目</w:t>
      </w:r>
      <w:r>
        <w:rPr>
          <w:rFonts w:hint="eastAsia" w:ascii="宋体" w:hAnsi="宋体"/>
          <w:b/>
          <w:bCs/>
          <w:color w:val="auto"/>
          <w:sz w:val="30"/>
          <w:szCs w:val="30"/>
          <w:highlight w:val="none"/>
        </w:rPr>
        <w:t>编号</w:t>
      </w:r>
      <w:r>
        <w:rPr>
          <w:rFonts w:hint="eastAsia" w:ascii="宋体" w:hAnsi="宋体" w:cs="Courier New"/>
          <w:b/>
          <w:bCs/>
          <w:color w:val="auto"/>
          <w:sz w:val="30"/>
          <w:szCs w:val="30"/>
          <w:highlight w:val="none"/>
        </w:rPr>
        <w:t>：YLZC2026-C2-220141-YZLZ</w:t>
      </w:r>
      <w:r>
        <w:rPr>
          <w:rFonts w:hint="eastAsia" w:ascii="宋体" w:hAnsi="宋体"/>
          <w:b/>
          <w:color w:val="auto"/>
          <w:sz w:val="30"/>
          <w:szCs w:val="48"/>
          <w:highlight w:val="none"/>
        </w:rPr>
        <w:t xml:space="preserve"> </w:t>
      </w:r>
    </w:p>
    <w:p w14:paraId="2C98A218">
      <w:pPr>
        <w:pStyle w:val="238"/>
        <w:spacing w:line="360" w:lineRule="auto"/>
        <w:ind w:firstLine="1125"/>
        <w:rPr>
          <w:rFonts w:hint="eastAsia" w:hAnsi="宋体"/>
          <w:b/>
          <w:bCs/>
          <w:color w:val="auto"/>
          <w:sz w:val="30"/>
          <w:szCs w:val="30"/>
          <w:highlight w:val="none"/>
        </w:rPr>
      </w:pPr>
    </w:p>
    <w:p w14:paraId="768F38C6">
      <w:pPr>
        <w:pStyle w:val="238"/>
        <w:spacing w:line="360" w:lineRule="auto"/>
        <w:ind w:firstLine="1125"/>
        <w:rPr>
          <w:rFonts w:hint="eastAsia" w:hAnsi="宋体"/>
          <w:b/>
          <w:bCs/>
          <w:color w:val="auto"/>
          <w:sz w:val="30"/>
          <w:szCs w:val="30"/>
          <w:highlight w:val="none"/>
        </w:rPr>
      </w:pPr>
    </w:p>
    <w:p w14:paraId="6F81FDC3">
      <w:pPr>
        <w:pStyle w:val="238"/>
        <w:spacing w:line="360" w:lineRule="auto"/>
        <w:ind w:firstLine="1125"/>
        <w:rPr>
          <w:rFonts w:hint="eastAsia" w:hAnsi="宋体"/>
          <w:b/>
          <w:bCs/>
          <w:color w:val="auto"/>
          <w:sz w:val="30"/>
          <w:szCs w:val="30"/>
          <w:highlight w:val="none"/>
        </w:rPr>
      </w:pPr>
    </w:p>
    <w:p w14:paraId="68F1092A">
      <w:pPr>
        <w:pStyle w:val="238"/>
        <w:spacing w:line="360" w:lineRule="auto"/>
        <w:jc w:val="center"/>
        <w:rPr>
          <w:rFonts w:hint="eastAsia" w:hAnsi="宋体"/>
          <w:b/>
          <w:bCs/>
          <w:color w:val="auto"/>
          <w:sz w:val="30"/>
          <w:szCs w:val="30"/>
          <w:highlight w:val="none"/>
        </w:rPr>
      </w:pPr>
    </w:p>
    <w:p w14:paraId="01F97CAF">
      <w:pPr>
        <w:pStyle w:val="238"/>
        <w:spacing w:line="360" w:lineRule="auto"/>
        <w:jc w:val="center"/>
        <w:rPr>
          <w:rFonts w:hint="eastAsia" w:hAnsi="宋体"/>
          <w:b/>
          <w:bCs/>
          <w:color w:val="auto"/>
          <w:sz w:val="30"/>
          <w:szCs w:val="30"/>
          <w:highlight w:val="none"/>
        </w:rPr>
      </w:pPr>
      <w:r>
        <w:rPr>
          <w:rFonts w:hint="eastAsia" w:hAnsi="宋体"/>
          <w:b/>
          <w:bCs/>
          <w:color w:val="auto"/>
          <w:sz w:val="30"/>
          <w:szCs w:val="30"/>
          <w:highlight w:val="none"/>
        </w:rPr>
        <w:t>采 购 人： 陆川县横山镇人民政府</w:t>
      </w:r>
    </w:p>
    <w:p w14:paraId="5B30F2AE">
      <w:pPr>
        <w:pStyle w:val="238"/>
        <w:spacing w:line="360" w:lineRule="auto"/>
        <w:jc w:val="center"/>
        <w:rPr>
          <w:rFonts w:hint="eastAsia" w:hAnsi="宋体"/>
          <w:b/>
          <w:bCs/>
          <w:color w:val="auto"/>
          <w:sz w:val="30"/>
          <w:szCs w:val="30"/>
          <w:highlight w:val="none"/>
        </w:rPr>
      </w:pPr>
    </w:p>
    <w:p w14:paraId="7FDAE463">
      <w:pPr>
        <w:pStyle w:val="238"/>
        <w:spacing w:line="360" w:lineRule="auto"/>
        <w:jc w:val="center"/>
        <w:rPr>
          <w:rFonts w:hint="eastAsia" w:hAnsi="宋体"/>
          <w:b/>
          <w:bCs/>
          <w:color w:val="auto"/>
          <w:sz w:val="30"/>
          <w:szCs w:val="30"/>
          <w:highlight w:val="none"/>
        </w:rPr>
      </w:pPr>
      <w:r>
        <w:rPr>
          <w:rFonts w:hint="eastAsia" w:hAnsi="宋体"/>
          <w:b/>
          <w:bCs/>
          <w:color w:val="auto"/>
          <w:sz w:val="30"/>
          <w:szCs w:val="30"/>
          <w:highlight w:val="none"/>
        </w:rPr>
        <w:t>采购代理机构：云之龙咨询集团有限公司</w:t>
      </w:r>
    </w:p>
    <w:p w14:paraId="0B789F62">
      <w:pPr>
        <w:pStyle w:val="238"/>
        <w:spacing w:line="360" w:lineRule="auto"/>
        <w:ind w:firstLine="1125"/>
        <w:rPr>
          <w:rFonts w:hint="eastAsia" w:hAnsi="宋体"/>
          <w:b/>
          <w:bCs/>
          <w:color w:val="auto"/>
          <w:sz w:val="30"/>
          <w:szCs w:val="30"/>
          <w:highlight w:val="none"/>
        </w:rPr>
      </w:pPr>
    </w:p>
    <w:p w14:paraId="2D8717FE">
      <w:pPr>
        <w:pStyle w:val="238"/>
        <w:spacing w:line="360" w:lineRule="auto"/>
        <w:ind w:left="-2" w:firstLine="1"/>
        <w:jc w:val="center"/>
        <w:rPr>
          <w:rFonts w:hint="eastAsia" w:hAnsi="宋体"/>
          <w:color w:val="auto"/>
          <w:szCs w:val="20"/>
          <w:highlight w:val="none"/>
        </w:rPr>
      </w:pPr>
      <w:r>
        <w:rPr>
          <w:rFonts w:hint="eastAsia" w:hAnsi="宋体"/>
          <w:b/>
          <w:bCs/>
          <w:color w:val="auto"/>
          <w:sz w:val="30"/>
          <w:szCs w:val="30"/>
          <w:highlight w:val="none"/>
        </w:rPr>
        <w:t>2026年7月3日</w:t>
      </w:r>
    </w:p>
    <w:p w14:paraId="32B03740">
      <w:pPr>
        <w:spacing w:line="360" w:lineRule="auto"/>
        <w:jc w:val="center"/>
        <w:rPr>
          <w:rFonts w:hint="eastAsia" w:ascii="宋体" w:hAnsi="宋体"/>
          <w:b/>
          <w:color w:val="auto"/>
          <w:sz w:val="44"/>
          <w:szCs w:val="44"/>
          <w:highlight w:val="none"/>
        </w:rPr>
      </w:pPr>
      <w:r>
        <w:rPr>
          <w:rFonts w:ascii="黑体" w:hAnsi="黑体" w:eastAsia="黑体" w:cs="宋体"/>
          <w:b/>
          <w:bCs/>
          <w:color w:val="auto"/>
          <w:sz w:val="32"/>
          <w:szCs w:val="32"/>
          <w:highlight w:val="none"/>
        </w:rPr>
        <w:br w:type="page" w:clear="all"/>
      </w:r>
      <w:r>
        <w:rPr>
          <w:rFonts w:hint="eastAsia" w:ascii="宋体" w:hAnsi="宋体"/>
          <w:b/>
          <w:color w:val="auto"/>
          <w:sz w:val="44"/>
          <w:szCs w:val="44"/>
          <w:highlight w:val="none"/>
        </w:rPr>
        <w:t>目  录</w:t>
      </w:r>
    </w:p>
    <w:p w14:paraId="2D447322">
      <w:pPr>
        <w:spacing w:line="400" w:lineRule="exact"/>
        <w:jc w:val="center"/>
        <w:rPr>
          <w:rFonts w:hint="eastAsia" w:ascii="宋体" w:hAnsi="宋体"/>
          <w:b/>
          <w:color w:val="auto"/>
          <w:sz w:val="44"/>
          <w:szCs w:val="44"/>
          <w:highlight w:val="none"/>
        </w:rPr>
      </w:pPr>
    </w:p>
    <w:p w14:paraId="7FF4D5BC">
      <w:pPr>
        <w:pStyle w:val="32"/>
        <w:tabs>
          <w:tab w:val="right" w:leader="dot" w:pos="8869"/>
        </w:tabs>
        <w:rPr>
          <w:rFonts w:hint="eastAsia" w:ascii="宋体" w:hAnsi="宋体" w:cstheme="minorBidi"/>
          <w:color w:val="auto"/>
          <w:kern w:val="2"/>
          <w:sz w:val="32"/>
          <w:szCs w:val="32"/>
          <w:highlight w:val="none"/>
          <w14:ligatures w14:val="standardContextual"/>
        </w:rPr>
      </w:pPr>
      <w:r>
        <w:rPr>
          <w:rFonts w:ascii="宋体" w:hAnsi="宋体"/>
          <w:b/>
          <w:color w:val="auto"/>
          <w:sz w:val="24"/>
          <w:highlight w:val="none"/>
        </w:rPr>
        <w:fldChar w:fldCharType="begin"/>
      </w:r>
      <w:r>
        <w:rPr>
          <w:rFonts w:ascii="宋体" w:hAnsi="宋体"/>
          <w:b/>
          <w:color w:val="auto"/>
          <w:sz w:val="24"/>
          <w:highlight w:val="none"/>
        </w:rPr>
        <w:instrText xml:space="preserve"> </w:instrText>
      </w:r>
      <w:r>
        <w:rPr>
          <w:rFonts w:hint="eastAsia" w:ascii="宋体" w:hAnsi="宋体"/>
          <w:b/>
          <w:color w:val="auto"/>
          <w:sz w:val="24"/>
          <w:highlight w:val="none"/>
        </w:rPr>
        <w:instrText xml:space="preserve">TOC \o "1-3" \h \z \u</w:instrText>
      </w:r>
      <w:r>
        <w:rPr>
          <w:rFonts w:ascii="宋体" w:hAnsi="宋体"/>
          <w:b/>
          <w:color w:val="auto"/>
          <w:sz w:val="24"/>
          <w:highlight w:val="none"/>
        </w:rPr>
        <w:instrText xml:space="preserve"> </w:instrText>
      </w:r>
      <w:r>
        <w:rPr>
          <w:rFonts w:ascii="宋体" w:hAnsi="宋体"/>
          <w:b/>
          <w:color w:val="auto"/>
          <w:sz w:val="24"/>
          <w:highlight w:val="none"/>
        </w:rPr>
        <w:fldChar w:fldCharType="separate"/>
      </w:r>
      <w:r>
        <w:rPr>
          <w:color w:val="auto"/>
          <w:highlight w:val="none"/>
        </w:rPr>
        <w:fldChar w:fldCharType="begin"/>
      </w:r>
      <w:r>
        <w:rPr>
          <w:color w:val="auto"/>
          <w:highlight w:val="none"/>
        </w:rPr>
        <w:instrText xml:space="preserve"> HYPERLINK \l "_Toc233964161" </w:instrText>
      </w:r>
      <w:r>
        <w:rPr>
          <w:color w:val="auto"/>
          <w:highlight w:val="none"/>
        </w:rPr>
        <w:fldChar w:fldCharType="separate"/>
      </w:r>
      <w:r>
        <w:rPr>
          <w:rStyle w:val="52"/>
          <w:rFonts w:hint="eastAsia" w:ascii="宋体" w:hAnsi="宋体"/>
          <w:color w:val="auto"/>
          <w:sz w:val="32"/>
          <w:szCs w:val="32"/>
          <w:highlight w:val="none"/>
        </w:rPr>
        <w:t>第一章 竞争性磋商公告</w:t>
      </w:r>
      <w:r>
        <w:rPr>
          <w:rFonts w:hint="eastAsia" w:ascii="宋体" w:hAnsi="宋体"/>
          <w:color w:val="auto"/>
          <w:sz w:val="32"/>
          <w:szCs w:val="32"/>
          <w:highlight w:val="none"/>
        </w:rPr>
        <w:tab/>
      </w:r>
      <w:r>
        <w:rPr>
          <w:rFonts w:hint="eastAsia" w:ascii="宋体" w:hAnsi="宋体"/>
          <w:color w:val="auto"/>
          <w:sz w:val="32"/>
          <w:szCs w:val="32"/>
          <w:highlight w:val="none"/>
        </w:rPr>
        <w:fldChar w:fldCharType="begin"/>
      </w:r>
      <w:r>
        <w:rPr>
          <w:rFonts w:hint="eastAsia" w:ascii="宋体" w:hAnsi="宋体"/>
          <w:color w:val="auto"/>
          <w:sz w:val="32"/>
          <w:szCs w:val="32"/>
          <w:highlight w:val="none"/>
        </w:rPr>
        <w:instrText xml:space="preserve"> </w:instrText>
      </w:r>
      <w:r>
        <w:rPr>
          <w:rFonts w:ascii="宋体" w:hAnsi="宋体"/>
          <w:color w:val="auto"/>
          <w:sz w:val="32"/>
          <w:szCs w:val="32"/>
          <w:highlight w:val="none"/>
        </w:rPr>
        <w:instrText xml:space="preserve">PAGEREF _Toc233964161 \h</w:instrText>
      </w:r>
      <w:r>
        <w:rPr>
          <w:rFonts w:hint="eastAsia" w:ascii="宋体" w:hAnsi="宋体"/>
          <w:color w:val="auto"/>
          <w:sz w:val="32"/>
          <w:szCs w:val="32"/>
          <w:highlight w:val="none"/>
        </w:rPr>
        <w:instrText xml:space="preserve"> </w:instrText>
      </w:r>
      <w:r>
        <w:rPr>
          <w:rFonts w:hint="eastAsia" w:ascii="宋体" w:hAnsi="宋体"/>
          <w:color w:val="auto"/>
          <w:sz w:val="32"/>
          <w:szCs w:val="32"/>
          <w:highlight w:val="none"/>
        </w:rPr>
        <w:fldChar w:fldCharType="separate"/>
      </w:r>
      <w:r>
        <w:rPr>
          <w:rFonts w:ascii="宋体" w:hAnsi="宋体"/>
          <w:color w:val="auto"/>
          <w:sz w:val="32"/>
          <w:szCs w:val="32"/>
          <w:highlight w:val="none"/>
        </w:rPr>
        <w:t>3</w:t>
      </w:r>
      <w:r>
        <w:rPr>
          <w:rFonts w:hint="eastAsia" w:ascii="宋体" w:hAnsi="宋体"/>
          <w:color w:val="auto"/>
          <w:sz w:val="32"/>
          <w:szCs w:val="32"/>
          <w:highlight w:val="none"/>
        </w:rPr>
        <w:fldChar w:fldCharType="end"/>
      </w:r>
      <w:r>
        <w:rPr>
          <w:rFonts w:hint="eastAsia" w:ascii="宋体" w:hAnsi="宋体"/>
          <w:color w:val="auto"/>
          <w:sz w:val="32"/>
          <w:szCs w:val="32"/>
          <w:highlight w:val="none"/>
        </w:rPr>
        <w:fldChar w:fldCharType="end"/>
      </w:r>
    </w:p>
    <w:p w14:paraId="6EB87C57">
      <w:pPr>
        <w:pStyle w:val="32"/>
        <w:tabs>
          <w:tab w:val="right" w:leader="dot" w:pos="8869"/>
        </w:tabs>
        <w:rPr>
          <w:rFonts w:hint="eastAsia" w:ascii="宋体" w:hAnsi="宋体" w:cstheme="minorBidi"/>
          <w:color w:val="auto"/>
          <w:kern w:val="2"/>
          <w:sz w:val="32"/>
          <w:szCs w:val="32"/>
          <w:highlight w:val="none"/>
          <w14:ligatures w14:val="standardContextual"/>
        </w:rPr>
      </w:pPr>
      <w:r>
        <w:rPr>
          <w:color w:val="auto"/>
          <w:highlight w:val="none"/>
        </w:rPr>
        <w:fldChar w:fldCharType="begin"/>
      </w:r>
      <w:r>
        <w:rPr>
          <w:color w:val="auto"/>
          <w:highlight w:val="none"/>
        </w:rPr>
        <w:instrText xml:space="preserve"> HYPERLINK \l "_Toc233964162" </w:instrText>
      </w:r>
      <w:r>
        <w:rPr>
          <w:color w:val="auto"/>
          <w:highlight w:val="none"/>
        </w:rPr>
        <w:fldChar w:fldCharType="separate"/>
      </w:r>
      <w:r>
        <w:rPr>
          <w:rStyle w:val="52"/>
          <w:rFonts w:hint="eastAsia" w:ascii="宋体" w:hAnsi="宋体"/>
          <w:color w:val="auto"/>
          <w:sz w:val="32"/>
          <w:szCs w:val="32"/>
          <w:highlight w:val="none"/>
        </w:rPr>
        <w:t>第二章 供应商须知</w:t>
      </w:r>
      <w:r>
        <w:rPr>
          <w:rFonts w:hint="eastAsia" w:ascii="宋体" w:hAnsi="宋体"/>
          <w:color w:val="auto"/>
          <w:sz w:val="32"/>
          <w:szCs w:val="32"/>
          <w:highlight w:val="none"/>
        </w:rPr>
        <w:tab/>
      </w:r>
      <w:r>
        <w:rPr>
          <w:rFonts w:hint="eastAsia" w:ascii="宋体" w:hAnsi="宋体"/>
          <w:color w:val="auto"/>
          <w:sz w:val="32"/>
          <w:szCs w:val="32"/>
          <w:highlight w:val="none"/>
        </w:rPr>
        <w:fldChar w:fldCharType="begin"/>
      </w:r>
      <w:r>
        <w:rPr>
          <w:rFonts w:hint="eastAsia" w:ascii="宋体" w:hAnsi="宋体"/>
          <w:color w:val="auto"/>
          <w:sz w:val="32"/>
          <w:szCs w:val="32"/>
          <w:highlight w:val="none"/>
        </w:rPr>
        <w:instrText xml:space="preserve"> </w:instrText>
      </w:r>
      <w:r>
        <w:rPr>
          <w:rFonts w:ascii="宋体" w:hAnsi="宋体"/>
          <w:color w:val="auto"/>
          <w:sz w:val="32"/>
          <w:szCs w:val="32"/>
          <w:highlight w:val="none"/>
        </w:rPr>
        <w:instrText xml:space="preserve">PAGEREF _Toc233964162 \h</w:instrText>
      </w:r>
      <w:r>
        <w:rPr>
          <w:rFonts w:hint="eastAsia" w:ascii="宋体" w:hAnsi="宋体"/>
          <w:color w:val="auto"/>
          <w:sz w:val="32"/>
          <w:szCs w:val="32"/>
          <w:highlight w:val="none"/>
        </w:rPr>
        <w:instrText xml:space="preserve"> </w:instrText>
      </w:r>
      <w:r>
        <w:rPr>
          <w:rFonts w:hint="eastAsia" w:ascii="宋体" w:hAnsi="宋体"/>
          <w:color w:val="auto"/>
          <w:sz w:val="32"/>
          <w:szCs w:val="32"/>
          <w:highlight w:val="none"/>
        </w:rPr>
        <w:fldChar w:fldCharType="separate"/>
      </w:r>
      <w:r>
        <w:rPr>
          <w:rFonts w:ascii="宋体" w:hAnsi="宋体"/>
          <w:color w:val="auto"/>
          <w:sz w:val="32"/>
          <w:szCs w:val="32"/>
          <w:highlight w:val="none"/>
        </w:rPr>
        <w:t>6</w:t>
      </w:r>
      <w:r>
        <w:rPr>
          <w:rFonts w:hint="eastAsia" w:ascii="宋体" w:hAnsi="宋体"/>
          <w:color w:val="auto"/>
          <w:sz w:val="32"/>
          <w:szCs w:val="32"/>
          <w:highlight w:val="none"/>
        </w:rPr>
        <w:fldChar w:fldCharType="end"/>
      </w:r>
      <w:r>
        <w:rPr>
          <w:rFonts w:hint="eastAsia" w:ascii="宋体" w:hAnsi="宋体"/>
          <w:color w:val="auto"/>
          <w:sz w:val="32"/>
          <w:szCs w:val="32"/>
          <w:highlight w:val="none"/>
        </w:rPr>
        <w:fldChar w:fldCharType="end"/>
      </w:r>
    </w:p>
    <w:p w14:paraId="3686F6F0">
      <w:pPr>
        <w:pStyle w:val="32"/>
        <w:tabs>
          <w:tab w:val="right" w:leader="dot" w:pos="8869"/>
        </w:tabs>
        <w:rPr>
          <w:rFonts w:hint="eastAsia" w:ascii="宋体" w:hAnsi="宋体" w:cstheme="minorBidi"/>
          <w:color w:val="auto"/>
          <w:kern w:val="2"/>
          <w:sz w:val="32"/>
          <w:szCs w:val="32"/>
          <w:highlight w:val="none"/>
          <w14:ligatures w14:val="standardContextual"/>
        </w:rPr>
      </w:pPr>
      <w:r>
        <w:rPr>
          <w:color w:val="auto"/>
          <w:highlight w:val="none"/>
        </w:rPr>
        <w:fldChar w:fldCharType="begin"/>
      </w:r>
      <w:r>
        <w:rPr>
          <w:color w:val="auto"/>
          <w:highlight w:val="none"/>
        </w:rPr>
        <w:instrText xml:space="preserve"> HYPERLINK \l "_Toc233964163" </w:instrText>
      </w:r>
      <w:r>
        <w:rPr>
          <w:color w:val="auto"/>
          <w:highlight w:val="none"/>
        </w:rPr>
        <w:fldChar w:fldCharType="separate"/>
      </w:r>
      <w:r>
        <w:rPr>
          <w:rStyle w:val="52"/>
          <w:rFonts w:hint="eastAsia" w:ascii="宋体" w:hAnsi="宋体"/>
          <w:color w:val="auto"/>
          <w:sz w:val="32"/>
          <w:szCs w:val="32"/>
          <w:highlight w:val="none"/>
        </w:rPr>
        <w:t>第三章 采购需求</w:t>
      </w:r>
      <w:r>
        <w:rPr>
          <w:rFonts w:hint="eastAsia" w:ascii="宋体" w:hAnsi="宋体"/>
          <w:color w:val="auto"/>
          <w:sz w:val="32"/>
          <w:szCs w:val="32"/>
          <w:highlight w:val="none"/>
        </w:rPr>
        <w:tab/>
      </w:r>
      <w:r>
        <w:rPr>
          <w:rFonts w:hint="eastAsia" w:ascii="宋体" w:hAnsi="宋体"/>
          <w:color w:val="auto"/>
          <w:sz w:val="32"/>
          <w:szCs w:val="32"/>
          <w:highlight w:val="none"/>
        </w:rPr>
        <w:fldChar w:fldCharType="begin"/>
      </w:r>
      <w:r>
        <w:rPr>
          <w:rFonts w:hint="eastAsia" w:ascii="宋体" w:hAnsi="宋体"/>
          <w:color w:val="auto"/>
          <w:sz w:val="32"/>
          <w:szCs w:val="32"/>
          <w:highlight w:val="none"/>
        </w:rPr>
        <w:instrText xml:space="preserve"> </w:instrText>
      </w:r>
      <w:r>
        <w:rPr>
          <w:rFonts w:ascii="宋体" w:hAnsi="宋体"/>
          <w:color w:val="auto"/>
          <w:sz w:val="32"/>
          <w:szCs w:val="32"/>
          <w:highlight w:val="none"/>
        </w:rPr>
        <w:instrText xml:space="preserve">PAGEREF _Toc233964163 \h</w:instrText>
      </w:r>
      <w:r>
        <w:rPr>
          <w:rFonts w:hint="eastAsia" w:ascii="宋体" w:hAnsi="宋体"/>
          <w:color w:val="auto"/>
          <w:sz w:val="32"/>
          <w:szCs w:val="32"/>
          <w:highlight w:val="none"/>
        </w:rPr>
        <w:instrText xml:space="preserve"> </w:instrText>
      </w:r>
      <w:r>
        <w:rPr>
          <w:rFonts w:hint="eastAsia" w:ascii="宋体" w:hAnsi="宋体"/>
          <w:color w:val="auto"/>
          <w:sz w:val="32"/>
          <w:szCs w:val="32"/>
          <w:highlight w:val="none"/>
        </w:rPr>
        <w:fldChar w:fldCharType="separate"/>
      </w:r>
      <w:r>
        <w:rPr>
          <w:rFonts w:ascii="宋体" w:hAnsi="宋体"/>
          <w:color w:val="auto"/>
          <w:sz w:val="32"/>
          <w:szCs w:val="32"/>
          <w:highlight w:val="none"/>
        </w:rPr>
        <w:t>23</w:t>
      </w:r>
      <w:r>
        <w:rPr>
          <w:rFonts w:hint="eastAsia" w:ascii="宋体" w:hAnsi="宋体"/>
          <w:color w:val="auto"/>
          <w:sz w:val="32"/>
          <w:szCs w:val="32"/>
          <w:highlight w:val="none"/>
        </w:rPr>
        <w:fldChar w:fldCharType="end"/>
      </w:r>
      <w:r>
        <w:rPr>
          <w:rFonts w:hint="eastAsia" w:ascii="宋体" w:hAnsi="宋体"/>
          <w:color w:val="auto"/>
          <w:sz w:val="32"/>
          <w:szCs w:val="32"/>
          <w:highlight w:val="none"/>
        </w:rPr>
        <w:fldChar w:fldCharType="end"/>
      </w:r>
    </w:p>
    <w:p w14:paraId="72BC2D3A">
      <w:pPr>
        <w:pStyle w:val="32"/>
        <w:tabs>
          <w:tab w:val="right" w:leader="dot" w:pos="8869"/>
        </w:tabs>
        <w:rPr>
          <w:rFonts w:hint="eastAsia" w:ascii="宋体" w:hAnsi="宋体" w:cstheme="minorBidi"/>
          <w:color w:val="auto"/>
          <w:kern w:val="2"/>
          <w:sz w:val="32"/>
          <w:szCs w:val="32"/>
          <w:highlight w:val="none"/>
          <w14:ligatures w14:val="standardContextual"/>
        </w:rPr>
      </w:pPr>
      <w:r>
        <w:rPr>
          <w:color w:val="auto"/>
          <w:highlight w:val="none"/>
        </w:rPr>
        <w:fldChar w:fldCharType="begin"/>
      </w:r>
      <w:r>
        <w:rPr>
          <w:color w:val="auto"/>
          <w:highlight w:val="none"/>
        </w:rPr>
        <w:instrText xml:space="preserve"> HYPERLINK \l "_Toc233964164" </w:instrText>
      </w:r>
      <w:r>
        <w:rPr>
          <w:color w:val="auto"/>
          <w:highlight w:val="none"/>
        </w:rPr>
        <w:fldChar w:fldCharType="separate"/>
      </w:r>
      <w:r>
        <w:rPr>
          <w:rStyle w:val="52"/>
          <w:rFonts w:hint="eastAsia" w:ascii="宋体" w:hAnsi="宋体"/>
          <w:color w:val="auto"/>
          <w:sz w:val="32"/>
          <w:szCs w:val="32"/>
          <w:highlight w:val="none"/>
        </w:rPr>
        <w:t>第四章  评审程序、评审方法和评审标准</w:t>
      </w:r>
      <w:r>
        <w:rPr>
          <w:rFonts w:hint="eastAsia" w:ascii="宋体" w:hAnsi="宋体"/>
          <w:color w:val="auto"/>
          <w:sz w:val="32"/>
          <w:szCs w:val="32"/>
          <w:highlight w:val="none"/>
        </w:rPr>
        <w:tab/>
      </w:r>
      <w:r>
        <w:rPr>
          <w:rFonts w:hint="eastAsia" w:ascii="宋体" w:hAnsi="宋体"/>
          <w:color w:val="auto"/>
          <w:sz w:val="32"/>
          <w:szCs w:val="32"/>
          <w:highlight w:val="none"/>
        </w:rPr>
        <w:fldChar w:fldCharType="begin"/>
      </w:r>
      <w:r>
        <w:rPr>
          <w:rFonts w:hint="eastAsia" w:ascii="宋体" w:hAnsi="宋体"/>
          <w:color w:val="auto"/>
          <w:sz w:val="32"/>
          <w:szCs w:val="32"/>
          <w:highlight w:val="none"/>
        </w:rPr>
        <w:instrText xml:space="preserve"> </w:instrText>
      </w:r>
      <w:r>
        <w:rPr>
          <w:rFonts w:ascii="宋体" w:hAnsi="宋体"/>
          <w:color w:val="auto"/>
          <w:sz w:val="32"/>
          <w:szCs w:val="32"/>
          <w:highlight w:val="none"/>
        </w:rPr>
        <w:instrText xml:space="preserve">PAGEREF _Toc233964164 \h</w:instrText>
      </w:r>
      <w:r>
        <w:rPr>
          <w:rFonts w:hint="eastAsia" w:ascii="宋体" w:hAnsi="宋体"/>
          <w:color w:val="auto"/>
          <w:sz w:val="32"/>
          <w:szCs w:val="32"/>
          <w:highlight w:val="none"/>
        </w:rPr>
        <w:instrText xml:space="preserve"> </w:instrText>
      </w:r>
      <w:r>
        <w:rPr>
          <w:rFonts w:hint="eastAsia" w:ascii="宋体" w:hAnsi="宋体"/>
          <w:color w:val="auto"/>
          <w:sz w:val="32"/>
          <w:szCs w:val="32"/>
          <w:highlight w:val="none"/>
        </w:rPr>
        <w:fldChar w:fldCharType="separate"/>
      </w:r>
      <w:r>
        <w:rPr>
          <w:rFonts w:ascii="宋体" w:hAnsi="宋体"/>
          <w:color w:val="auto"/>
          <w:sz w:val="32"/>
          <w:szCs w:val="32"/>
          <w:highlight w:val="none"/>
        </w:rPr>
        <w:t>25</w:t>
      </w:r>
      <w:r>
        <w:rPr>
          <w:rFonts w:hint="eastAsia" w:ascii="宋体" w:hAnsi="宋体"/>
          <w:color w:val="auto"/>
          <w:sz w:val="32"/>
          <w:szCs w:val="32"/>
          <w:highlight w:val="none"/>
        </w:rPr>
        <w:fldChar w:fldCharType="end"/>
      </w:r>
      <w:r>
        <w:rPr>
          <w:rFonts w:hint="eastAsia" w:ascii="宋体" w:hAnsi="宋体"/>
          <w:color w:val="auto"/>
          <w:sz w:val="32"/>
          <w:szCs w:val="32"/>
          <w:highlight w:val="none"/>
        </w:rPr>
        <w:fldChar w:fldCharType="end"/>
      </w:r>
    </w:p>
    <w:p w14:paraId="381FF452">
      <w:pPr>
        <w:pStyle w:val="32"/>
        <w:tabs>
          <w:tab w:val="right" w:leader="dot" w:pos="8869"/>
        </w:tabs>
        <w:rPr>
          <w:rFonts w:hint="eastAsia" w:ascii="宋体" w:hAnsi="宋体" w:cstheme="minorBidi"/>
          <w:color w:val="auto"/>
          <w:kern w:val="2"/>
          <w:sz w:val="32"/>
          <w:szCs w:val="32"/>
          <w:highlight w:val="none"/>
          <w14:ligatures w14:val="standardContextual"/>
        </w:rPr>
      </w:pPr>
      <w:r>
        <w:rPr>
          <w:color w:val="auto"/>
          <w:highlight w:val="none"/>
        </w:rPr>
        <w:fldChar w:fldCharType="begin"/>
      </w:r>
      <w:r>
        <w:rPr>
          <w:color w:val="auto"/>
          <w:highlight w:val="none"/>
        </w:rPr>
        <w:instrText xml:space="preserve"> HYPERLINK \l "_Toc233964165" </w:instrText>
      </w:r>
      <w:r>
        <w:rPr>
          <w:color w:val="auto"/>
          <w:highlight w:val="none"/>
        </w:rPr>
        <w:fldChar w:fldCharType="separate"/>
      </w:r>
      <w:r>
        <w:rPr>
          <w:rStyle w:val="52"/>
          <w:rFonts w:hint="eastAsia" w:ascii="宋体" w:hAnsi="宋体"/>
          <w:color w:val="auto"/>
          <w:sz w:val="32"/>
          <w:szCs w:val="32"/>
          <w:highlight w:val="none"/>
        </w:rPr>
        <w:t>第五章 工程量清单及图纸</w:t>
      </w:r>
      <w:r>
        <w:rPr>
          <w:rFonts w:hint="eastAsia" w:ascii="宋体" w:hAnsi="宋体"/>
          <w:color w:val="auto"/>
          <w:sz w:val="32"/>
          <w:szCs w:val="32"/>
          <w:highlight w:val="none"/>
        </w:rPr>
        <w:tab/>
      </w:r>
      <w:r>
        <w:rPr>
          <w:rFonts w:hint="eastAsia" w:ascii="宋体" w:hAnsi="宋体"/>
          <w:color w:val="auto"/>
          <w:sz w:val="32"/>
          <w:szCs w:val="32"/>
          <w:highlight w:val="none"/>
        </w:rPr>
        <w:fldChar w:fldCharType="begin"/>
      </w:r>
      <w:r>
        <w:rPr>
          <w:rFonts w:hint="eastAsia" w:ascii="宋体" w:hAnsi="宋体"/>
          <w:color w:val="auto"/>
          <w:sz w:val="32"/>
          <w:szCs w:val="32"/>
          <w:highlight w:val="none"/>
        </w:rPr>
        <w:instrText xml:space="preserve"> </w:instrText>
      </w:r>
      <w:r>
        <w:rPr>
          <w:rFonts w:ascii="宋体" w:hAnsi="宋体"/>
          <w:color w:val="auto"/>
          <w:sz w:val="32"/>
          <w:szCs w:val="32"/>
          <w:highlight w:val="none"/>
        </w:rPr>
        <w:instrText xml:space="preserve">PAGEREF _Toc233964165 \h</w:instrText>
      </w:r>
      <w:r>
        <w:rPr>
          <w:rFonts w:hint="eastAsia" w:ascii="宋体" w:hAnsi="宋体"/>
          <w:color w:val="auto"/>
          <w:sz w:val="32"/>
          <w:szCs w:val="32"/>
          <w:highlight w:val="none"/>
        </w:rPr>
        <w:instrText xml:space="preserve"> </w:instrText>
      </w:r>
      <w:r>
        <w:rPr>
          <w:rFonts w:hint="eastAsia" w:ascii="宋体" w:hAnsi="宋体"/>
          <w:color w:val="auto"/>
          <w:sz w:val="32"/>
          <w:szCs w:val="32"/>
          <w:highlight w:val="none"/>
        </w:rPr>
        <w:fldChar w:fldCharType="separate"/>
      </w:r>
      <w:r>
        <w:rPr>
          <w:rFonts w:ascii="宋体" w:hAnsi="宋体"/>
          <w:color w:val="auto"/>
          <w:sz w:val="32"/>
          <w:szCs w:val="32"/>
          <w:highlight w:val="none"/>
        </w:rPr>
        <w:t>36</w:t>
      </w:r>
      <w:r>
        <w:rPr>
          <w:rFonts w:hint="eastAsia" w:ascii="宋体" w:hAnsi="宋体"/>
          <w:color w:val="auto"/>
          <w:sz w:val="32"/>
          <w:szCs w:val="32"/>
          <w:highlight w:val="none"/>
        </w:rPr>
        <w:fldChar w:fldCharType="end"/>
      </w:r>
      <w:r>
        <w:rPr>
          <w:rFonts w:hint="eastAsia" w:ascii="宋体" w:hAnsi="宋体"/>
          <w:color w:val="auto"/>
          <w:sz w:val="32"/>
          <w:szCs w:val="32"/>
          <w:highlight w:val="none"/>
        </w:rPr>
        <w:fldChar w:fldCharType="end"/>
      </w:r>
    </w:p>
    <w:p w14:paraId="7FB781A3">
      <w:pPr>
        <w:pStyle w:val="32"/>
        <w:tabs>
          <w:tab w:val="right" w:leader="dot" w:pos="8869"/>
        </w:tabs>
        <w:rPr>
          <w:rFonts w:hint="eastAsia" w:ascii="宋体" w:hAnsi="宋体" w:cstheme="minorBidi"/>
          <w:color w:val="auto"/>
          <w:kern w:val="2"/>
          <w:sz w:val="32"/>
          <w:szCs w:val="32"/>
          <w:highlight w:val="none"/>
          <w14:ligatures w14:val="standardContextual"/>
        </w:rPr>
      </w:pPr>
      <w:r>
        <w:rPr>
          <w:color w:val="auto"/>
          <w:highlight w:val="none"/>
        </w:rPr>
        <w:fldChar w:fldCharType="begin"/>
      </w:r>
      <w:r>
        <w:rPr>
          <w:color w:val="auto"/>
          <w:highlight w:val="none"/>
        </w:rPr>
        <w:instrText xml:space="preserve"> HYPERLINK \l "_Toc233964171" </w:instrText>
      </w:r>
      <w:r>
        <w:rPr>
          <w:color w:val="auto"/>
          <w:highlight w:val="none"/>
        </w:rPr>
        <w:fldChar w:fldCharType="separate"/>
      </w:r>
      <w:r>
        <w:rPr>
          <w:rStyle w:val="52"/>
          <w:rFonts w:hint="eastAsia" w:ascii="宋体" w:hAnsi="宋体"/>
          <w:color w:val="auto"/>
          <w:sz w:val="32"/>
          <w:szCs w:val="32"/>
          <w:highlight w:val="none"/>
        </w:rPr>
        <w:t>第六章 响应文件格式</w:t>
      </w:r>
      <w:r>
        <w:rPr>
          <w:rFonts w:hint="eastAsia" w:ascii="宋体" w:hAnsi="宋体"/>
          <w:color w:val="auto"/>
          <w:sz w:val="32"/>
          <w:szCs w:val="32"/>
          <w:highlight w:val="none"/>
        </w:rPr>
        <w:tab/>
      </w:r>
      <w:r>
        <w:rPr>
          <w:rFonts w:hint="eastAsia" w:ascii="宋体" w:hAnsi="宋体"/>
          <w:color w:val="auto"/>
          <w:sz w:val="32"/>
          <w:szCs w:val="32"/>
          <w:highlight w:val="none"/>
        </w:rPr>
        <w:fldChar w:fldCharType="begin"/>
      </w:r>
      <w:r>
        <w:rPr>
          <w:rFonts w:hint="eastAsia" w:ascii="宋体" w:hAnsi="宋体"/>
          <w:color w:val="auto"/>
          <w:sz w:val="32"/>
          <w:szCs w:val="32"/>
          <w:highlight w:val="none"/>
        </w:rPr>
        <w:instrText xml:space="preserve"> </w:instrText>
      </w:r>
      <w:r>
        <w:rPr>
          <w:rFonts w:ascii="宋体" w:hAnsi="宋体"/>
          <w:color w:val="auto"/>
          <w:sz w:val="32"/>
          <w:szCs w:val="32"/>
          <w:highlight w:val="none"/>
        </w:rPr>
        <w:instrText xml:space="preserve">PAGEREF _Toc233964171 \h</w:instrText>
      </w:r>
      <w:r>
        <w:rPr>
          <w:rFonts w:hint="eastAsia" w:ascii="宋体" w:hAnsi="宋体"/>
          <w:color w:val="auto"/>
          <w:sz w:val="32"/>
          <w:szCs w:val="32"/>
          <w:highlight w:val="none"/>
        </w:rPr>
        <w:instrText xml:space="preserve"> </w:instrText>
      </w:r>
      <w:r>
        <w:rPr>
          <w:rFonts w:hint="eastAsia" w:ascii="宋体" w:hAnsi="宋体"/>
          <w:color w:val="auto"/>
          <w:sz w:val="32"/>
          <w:szCs w:val="32"/>
          <w:highlight w:val="none"/>
        </w:rPr>
        <w:fldChar w:fldCharType="separate"/>
      </w:r>
      <w:r>
        <w:rPr>
          <w:rFonts w:ascii="宋体" w:hAnsi="宋体"/>
          <w:color w:val="auto"/>
          <w:sz w:val="32"/>
          <w:szCs w:val="32"/>
          <w:highlight w:val="none"/>
        </w:rPr>
        <w:t>40</w:t>
      </w:r>
      <w:r>
        <w:rPr>
          <w:rFonts w:hint="eastAsia" w:ascii="宋体" w:hAnsi="宋体"/>
          <w:color w:val="auto"/>
          <w:sz w:val="32"/>
          <w:szCs w:val="32"/>
          <w:highlight w:val="none"/>
        </w:rPr>
        <w:fldChar w:fldCharType="end"/>
      </w:r>
      <w:r>
        <w:rPr>
          <w:rFonts w:hint="eastAsia" w:ascii="宋体" w:hAnsi="宋体"/>
          <w:color w:val="auto"/>
          <w:sz w:val="32"/>
          <w:szCs w:val="32"/>
          <w:highlight w:val="none"/>
        </w:rPr>
        <w:fldChar w:fldCharType="end"/>
      </w:r>
    </w:p>
    <w:p w14:paraId="02FEA19C">
      <w:pPr>
        <w:pStyle w:val="32"/>
        <w:tabs>
          <w:tab w:val="right" w:leader="dot" w:pos="8869"/>
        </w:tabs>
        <w:rPr>
          <w:rFonts w:hint="eastAsia" w:ascii="宋体" w:hAnsi="宋体" w:cstheme="minorBidi"/>
          <w:color w:val="auto"/>
          <w:kern w:val="2"/>
          <w:sz w:val="32"/>
          <w:szCs w:val="32"/>
          <w:highlight w:val="none"/>
          <w14:ligatures w14:val="standardContextual"/>
        </w:rPr>
      </w:pPr>
      <w:r>
        <w:rPr>
          <w:color w:val="auto"/>
          <w:highlight w:val="none"/>
        </w:rPr>
        <w:fldChar w:fldCharType="begin"/>
      </w:r>
      <w:r>
        <w:rPr>
          <w:color w:val="auto"/>
          <w:highlight w:val="none"/>
        </w:rPr>
        <w:instrText xml:space="preserve"> HYPERLINK \l "_Toc233964173" </w:instrText>
      </w:r>
      <w:r>
        <w:rPr>
          <w:color w:val="auto"/>
          <w:highlight w:val="none"/>
        </w:rPr>
        <w:fldChar w:fldCharType="separate"/>
      </w:r>
      <w:r>
        <w:rPr>
          <w:rStyle w:val="52"/>
          <w:rFonts w:hint="eastAsia" w:ascii="宋体" w:hAnsi="宋体"/>
          <w:color w:val="auto"/>
          <w:sz w:val="32"/>
          <w:szCs w:val="32"/>
          <w:highlight w:val="none"/>
        </w:rPr>
        <w:t>第七章 合同文本</w:t>
      </w:r>
      <w:r>
        <w:rPr>
          <w:rFonts w:hint="eastAsia" w:ascii="宋体" w:hAnsi="宋体"/>
          <w:color w:val="auto"/>
          <w:sz w:val="32"/>
          <w:szCs w:val="32"/>
          <w:highlight w:val="none"/>
        </w:rPr>
        <w:tab/>
      </w:r>
      <w:r>
        <w:rPr>
          <w:rFonts w:hint="eastAsia" w:ascii="宋体" w:hAnsi="宋体"/>
          <w:color w:val="auto"/>
          <w:sz w:val="32"/>
          <w:szCs w:val="32"/>
          <w:highlight w:val="none"/>
        </w:rPr>
        <w:fldChar w:fldCharType="begin"/>
      </w:r>
      <w:r>
        <w:rPr>
          <w:rFonts w:hint="eastAsia" w:ascii="宋体" w:hAnsi="宋体"/>
          <w:color w:val="auto"/>
          <w:sz w:val="32"/>
          <w:szCs w:val="32"/>
          <w:highlight w:val="none"/>
        </w:rPr>
        <w:instrText xml:space="preserve"> </w:instrText>
      </w:r>
      <w:r>
        <w:rPr>
          <w:rFonts w:ascii="宋体" w:hAnsi="宋体"/>
          <w:color w:val="auto"/>
          <w:sz w:val="32"/>
          <w:szCs w:val="32"/>
          <w:highlight w:val="none"/>
        </w:rPr>
        <w:instrText xml:space="preserve">PAGEREF _Toc233964173 \h</w:instrText>
      </w:r>
      <w:r>
        <w:rPr>
          <w:rFonts w:hint="eastAsia" w:ascii="宋体" w:hAnsi="宋体"/>
          <w:color w:val="auto"/>
          <w:sz w:val="32"/>
          <w:szCs w:val="32"/>
          <w:highlight w:val="none"/>
        </w:rPr>
        <w:instrText xml:space="preserve"> </w:instrText>
      </w:r>
      <w:r>
        <w:rPr>
          <w:rFonts w:hint="eastAsia" w:ascii="宋体" w:hAnsi="宋体"/>
          <w:color w:val="auto"/>
          <w:sz w:val="32"/>
          <w:szCs w:val="32"/>
          <w:highlight w:val="none"/>
        </w:rPr>
        <w:fldChar w:fldCharType="separate"/>
      </w:r>
      <w:r>
        <w:rPr>
          <w:rFonts w:ascii="宋体" w:hAnsi="宋体"/>
          <w:color w:val="auto"/>
          <w:sz w:val="32"/>
          <w:szCs w:val="32"/>
          <w:highlight w:val="none"/>
        </w:rPr>
        <w:t>75</w:t>
      </w:r>
      <w:r>
        <w:rPr>
          <w:rFonts w:hint="eastAsia" w:ascii="宋体" w:hAnsi="宋体"/>
          <w:color w:val="auto"/>
          <w:sz w:val="32"/>
          <w:szCs w:val="32"/>
          <w:highlight w:val="none"/>
        </w:rPr>
        <w:fldChar w:fldCharType="end"/>
      </w:r>
      <w:r>
        <w:rPr>
          <w:rFonts w:hint="eastAsia" w:ascii="宋体" w:hAnsi="宋体"/>
          <w:color w:val="auto"/>
          <w:sz w:val="32"/>
          <w:szCs w:val="32"/>
          <w:highlight w:val="none"/>
        </w:rPr>
        <w:fldChar w:fldCharType="end"/>
      </w:r>
    </w:p>
    <w:p w14:paraId="38E28E2F">
      <w:pPr>
        <w:pStyle w:val="38"/>
        <w:tabs>
          <w:tab w:val="right" w:leader="dot" w:pos="8869"/>
        </w:tabs>
        <w:rPr>
          <w:rFonts w:hint="eastAsia" w:asciiTheme="minorHAnsi" w:hAnsiTheme="minorHAnsi" w:eastAsiaTheme="minorEastAsia" w:cstheme="minorBidi"/>
          <w:color w:val="auto"/>
          <w:kern w:val="2"/>
          <w:sz w:val="22"/>
          <w:highlight w:val="none"/>
          <w14:ligatures w14:val="standardContextual"/>
        </w:rPr>
      </w:pPr>
    </w:p>
    <w:p w14:paraId="7DA3369F">
      <w:pPr>
        <w:pStyle w:val="251"/>
        <w:tabs>
          <w:tab w:val="right" w:leader="dot" w:pos="8869"/>
        </w:tabs>
        <w:spacing w:line="360" w:lineRule="auto"/>
        <w:rPr>
          <w:rFonts w:hint="eastAsia" w:ascii="宋体" w:hAnsi="宋体"/>
          <w:b/>
          <w:color w:val="auto"/>
          <w:sz w:val="24"/>
          <w:highlight w:val="none"/>
        </w:rPr>
      </w:pPr>
      <w:r>
        <w:rPr>
          <w:rFonts w:ascii="宋体" w:hAnsi="宋体"/>
          <w:b/>
          <w:color w:val="auto"/>
          <w:sz w:val="24"/>
          <w:highlight w:val="none"/>
        </w:rPr>
        <w:fldChar w:fldCharType="end"/>
      </w:r>
    </w:p>
    <w:p w14:paraId="79735E7B">
      <w:pPr>
        <w:spacing w:line="360" w:lineRule="auto"/>
        <w:jc w:val="left"/>
        <w:rPr>
          <w:rFonts w:hint="eastAsia" w:ascii="宋体" w:hAnsi="宋体"/>
          <w:b/>
          <w:color w:val="auto"/>
          <w:sz w:val="32"/>
          <w:szCs w:val="32"/>
          <w:highlight w:val="none"/>
        </w:rPr>
      </w:pPr>
    </w:p>
    <w:p w14:paraId="59FC841A">
      <w:pPr>
        <w:spacing w:line="400" w:lineRule="exact"/>
        <w:jc w:val="center"/>
        <w:rPr>
          <w:rFonts w:hint="eastAsia" w:ascii="宋体" w:hAnsi="宋体"/>
          <w:b/>
          <w:color w:val="auto"/>
          <w:sz w:val="32"/>
          <w:szCs w:val="32"/>
          <w:highlight w:val="none"/>
        </w:rPr>
      </w:pPr>
    </w:p>
    <w:p w14:paraId="4764B72E">
      <w:pPr>
        <w:spacing w:line="400" w:lineRule="exact"/>
        <w:jc w:val="center"/>
        <w:rPr>
          <w:rFonts w:hint="eastAsia" w:ascii="宋体" w:hAnsi="宋体"/>
          <w:b/>
          <w:color w:val="auto"/>
          <w:sz w:val="32"/>
          <w:szCs w:val="32"/>
          <w:highlight w:val="none"/>
        </w:rPr>
      </w:pPr>
    </w:p>
    <w:p w14:paraId="7DD44277">
      <w:pPr>
        <w:spacing w:line="400" w:lineRule="exact"/>
        <w:jc w:val="center"/>
        <w:rPr>
          <w:rFonts w:hint="eastAsia" w:ascii="宋体" w:hAnsi="宋体"/>
          <w:b/>
          <w:color w:val="auto"/>
          <w:sz w:val="32"/>
          <w:szCs w:val="32"/>
          <w:highlight w:val="none"/>
        </w:rPr>
      </w:pPr>
    </w:p>
    <w:p w14:paraId="5306B881">
      <w:pPr>
        <w:spacing w:line="400" w:lineRule="exact"/>
        <w:jc w:val="center"/>
        <w:rPr>
          <w:rFonts w:hint="eastAsia" w:ascii="宋体" w:hAnsi="宋体"/>
          <w:b/>
          <w:color w:val="auto"/>
          <w:sz w:val="32"/>
          <w:szCs w:val="32"/>
          <w:highlight w:val="none"/>
        </w:rPr>
      </w:pPr>
    </w:p>
    <w:p w14:paraId="43E10EA5">
      <w:pPr>
        <w:spacing w:line="400" w:lineRule="exact"/>
        <w:rPr>
          <w:rFonts w:hint="eastAsia" w:ascii="宋体" w:hAnsi="宋体"/>
          <w:b/>
          <w:color w:val="auto"/>
          <w:sz w:val="32"/>
          <w:szCs w:val="32"/>
          <w:highlight w:val="none"/>
        </w:rPr>
        <w:sectPr>
          <w:headerReference r:id="rId5" w:type="first"/>
          <w:footerReference r:id="rId7" w:type="first"/>
          <w:headerReference r:id="rId4" w:type="default"/>
          <w:footerReference r:id="rId6" w:type="default"/>
          <w:pgSz w:w="11906" w:h="16838"/>
          <w:pgMar w:top="1440" w:right="1440" w:bottom="1440" w:left="1587" w:header="851" w:footer="992" w:gutter="0"/>
          <w:cols w:space="1701" w:num="1"/>
          <w:titlePg/>
        </w:sectPr>
      </w:pPr>
    </w:p>
    <w:p w14:paraId="2BFBAB5B">
      <w:pPr>
        <w:pStyle w:val="199"/>
        <w:spacing w:after="340" w:line="360" w:lineRule="auto"/>
        <w:jc w:val="center"/>
        <w:rPr>
          <w:color w:val="auto"/>
          <w:highlight w:val="none"/>
        </w:rPr>
      </w:pPr>
      <w:bookmarkStart w:id="1" w:name="_Toc233964161"/>
      <w:r>
        <w:rPr>
          <w:rFonts w:hint="eastAsia"/>
          <w:color w:val="auto"/>
          <w:highlight w:val="none"/>
        </w:rPr>
        <w:t>第一章 竞争性磋商公告</w:t>
      </w:r>
      <w:bookmarkEnd w:id="1"/>
    </w:p>
    <w:p w14:paraId="70E98C9C">
      <w:pPr>
        <w:spacing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竞争性磋商公告</w:t>
      </w:r>
    </w:p>
    <w:p w14:paraId="4AC4329C">
      <w:pPr>
        <w:spacing w:line="360" w:lineRule="auto"/>
        <w:rPr>
          <w:rFonts w:hint="eastAsia" w:ascii="宋体" w:hAnsi="宋体"/>
          <w:color w:val="auto"/>
          <w:szCs w:val="21"/>
          <w:highlight w:val="none"/>
        </w:rPr>
      </w:pPr>
    </w:p>
    <w:p w14:paraId="63D660EA">
      <w:pPr>
        <w:pBdr>
          <w:top w:val="single" w:color="000000" w:sz="4" w:space="1"/>
          <w:left w:val="single" w:color="000000" w:sz="4" w:space="4"/>
          <w:bottom w:val="single" w:color="000000" w:sz="4" w:space="1"/>
          <w:right w:val="single" w:color="000000" w:sz="4" w:space="4"/>
        </w:pBdr>
        <w:spacing w:line="380" w:lineRule="exact"/>
        <w:ind w:firstLine="420"/>
        <w:rPr>
          <w:rFonts w:hint="eastAsia" w:ascii="宋体" w:hAnsi="宋体"/>
          <w:color w:val="auto"/>
          <w:szCs w:val="21"/>
          <w:highlight w:val="none"/>
        </w:rPr>
      </w:pPr>
      <w:bookmarkStart w:id="2" w:name="_Hlk37430271"/>
      <w:r>
        <w:rPr>
          <w:rFonts w:hint="eastAsia" w:ascii="宋体" w:hAnsi="宋体"/>
          <w:color w:val="auto"/>
          <w:szCs w:val="21"/>
          <w:highlight w:val="none"/>
        </w:rPr>
        <w:t>项目概况</w:t>
      </w:r>
    </w:p>
    <w:p w14:paraId="3250CD78">
      <w:pPr>
        <w:pBdr>
          <w:top w:val="single" w:color="000000" w:sz="4" w:space="1"/>
          <w:left w:val="single" w:color="000000" w:sz="4" w:space="4"/>
          <w:bottom w:val="single" w:color="000000" w:sz="4" w:space="1"/>
          <w:right w:val="single" w:color="000000" w:sz="4" w:space="4"/>
        </w:pBdr>
        <w:spacing w:line="380" w:lineRule="exact"/>
        <w:ind w:firstLine="420"/>
        <w:rPr>
          <w:rFonts w:hint="eastAsia" w:ascii="宋体" w:hAnsi="宋体"/>
          <w:color w:val="auto"/>
          <w:szCs w:val="21"/>
          <w:highlight w:val="none"/>
        </w:rPr>
      </w:pPr>
      <w:r>
        <w:rPr>
          <w:rFonts w:hint="eastAsia" w:ascii="宋体" w:hAnsi="宋体"/>
          <w:color w:val="auto"/>
          <w:szCs w:val="21"/>
          <w:highlight w:val="none"/>
          <w:u w:val="single"/>
        </w:rPr>
        <w:t>陆川县横山镇陆洪村委至横山街段道路修复工程</w:t>
      </w:r>
      <w:r>
        <w:rPr>
          <w:rFonts w:hint="eastAsia" w:ascii="宋体" w:hAnsi="宋体"/>
          <w:color w:val="auto"/>
          <w:szCs w:val="21"/>
          <w:highlight w:val="none"/>
        </w:rPr>
        <w:t>采购项目的潜在供应商应在广西政府采购云平台</w:t>
      </w:r>
      <w:r>
        <w:rPr>
          <w:rFonts w:hint="eastAsia" w:ascii="宋体" w:hAnsi="宋体"/>
          <w:color w:val="auto"/>
          <w:szCs w:val="21"/>
          <w:highlight w:val="none"/>
        </w:rPr>
        <w:t>（https://www.gcy.zfcg.gxzf.gov.cn）</w:t>
      </w:r>
      <w:r>
        <w:rPr>
          <w:rFonts w:hint="eastAsia" w:ascii="宋体" w:hAnsi="宋体"/>
          <w:color w:val="auto"/>
          <w:szCs w:val="21"/>
          <w:highlight w:val="none"/>
        </w:rPr>
        <w:t>获取（下载）竞争性磋商文件，并于</w:t>
      </w:r>
      <w:r>
        <w:rPr>
          <w:rFonts w:hint="eastAsia" w:ascii="宋体" w:hAnsi="宋体"/>
          <w:bCs/>
          <w:color w:val="auto"/>
          <w:szCs w:val="21"/>
          <w:highlight w:val="none"/>
          <w:u w:val="single"/>
        </w:rPr>
        <w:t>20</w:t>
      </w:r>
      <w:r>
        <w:rPr>
          <w:rFonts w:hint="eastAsia" w:ascii="宋体" w:hAnsi="宋体"/>
          <w:bCs/>
          <w:color w:val="auto"/>
          <w:szCs w:val="21"/>
          <w:highlight w:val="none"/>
          <w:u w:val="single"/>
        </w:rPr>
        <w:t>26</w:t>
      </w:r>
      <w:r>
        <w:rPr>
          <w:rFonts w:hint="eastAsia" w:ascii="宋体" w:hAnsi="宋体"/>
          <w:bCs/>
          <w:color w:val="auto"/>
          <w:szCs w:val="21"/>
          <w:highlight w:val="none"/>
        </w:rPr>
        <w:t>年</w:t>
      </w:r>
      <w:r>
        <w:rPr>
          <w:rFonts w:hint="eastAsia" w:ascii="宋体" w:hAnsi="宋体"/>
          <w:bCs/>
          <w:color w:val="auto"/>
          <w:szCs w:val="21"/>
          <w:highlight w:val="none"/>
          <w:u w:val="single"/>
        </w:rPr>
        <w:t>7</w:t>
      </w:r>
      <w:r>
        <w:rPr>
          <w:rFonts w:hint="eastAsia" w:ascii="宋体" w:hAnsi="宋体"/>
          <w:bCs/>
          <w:color w:val="auto"/>
          <w:szCs w:val="21"/>
          <w:highlight w:val="none"/>
        </w:rPr>
        <w:t>月</w:t>
      </w:r>
      <w:r>
        <w:rPr>
          <w:rFonts w:hint="eastAsia" w:ascii="宋体" w:hAnsi="宋体"/>
          <w:bCs/>
          <w:color w:val="auto"/>
          <w:szCs w:val="21"/>
          <w:highlight w:val="none"/>
          <w:u w:val="single"/>
        </w:rPr>
        <w:t>14</w:t>
      </w:r>
      <w:r>
        <w:rPr>
          <w:rFonts w:hint="eastAsia" w:ascii="宋体" w:hAnsi="宋体"/>
          <w:bCs/>
          <w:color w:val="auto"/>
          <w:szCs w:val="21"/>
          <w:highlight w:val="none"/>
        </w:rPr>
        <w:t>日</w:t>
      </w:r>
      <w:r>
        <w:rPr>
          <w:rFonts w:hint="eastAsia" w:ascii="宋体" w:hAnsi="宋体"/>
          <w:bCs/>
          <w:color w:val="auto"/>
          <w:szCs w:val="21"/>
          <w:highlight w:val="none"/>
          <w:u w:val="single"/>
        </w:rPr>
        <w:t>9</w:t>
      </w:r>
      <w:r>
        <w:rPr>
          <w:rFonts w:hint="eastAsia" w:ascii="宋体" w:hAnsi="宋体"/>
          <w:bCs/>
          <w:color w:val="auto"/>
          <w:szCs w:val="21"/>
          <w:highlight w:val="none"/>
        </w:rPr>
        <w:t>时</w:t>
      </w:r>
      <w:r>
        <w:rPr>
          <w:rFonts w:hint="eastAsia" w:ascii="宋体" w:hAnsi="宋体"/>
          <w:bCs/>
          <w:color w:val="auto"/>
          <w:szCs w:val="21"/>
          <w:highlight w:val="none"/>
          <w:u w:val="single"/>
        </w:rPr>
        <w:t>00</w:t>
      </w:r>
      <w:r>
        <w:rPr>
          <w:rFonts w:hint="eastAsia" w:ascii="宋体" w:hAnsi="宋体"/>
          <w:bCs/>
          <w:color w:val="auto"/>
          <w:szCs w:val="21"/>
          <w:highlight w:val="none"/>
        </w:rPr>
        <w:t>分（北京时间）前提交（上传）</w:t>
      </w:r>
      <w:r>
        <w:rPr>
          <w:rFonts w:hint="eastAsia" w:ascii="宋体" w:hAnsi="宋体"/>
          <w:color w:val="auto"/>
          <w:szCs w:val="21"/>
          <w:highlight w:val="none"/>
        </w:rPr>
        <w:t>响应</w:t>
      </w:r>
      <w:r>
        <w:rPr>
          <w:rFonts w:hint="eastAsia" w:ascii="宋体" w:hAnsi="宋体"/>
          <w:bCs/>
          <w:color w:val="auto"/>
          <w:szCs w:val="21"/>
          <w:highlight w:val="none"/>
        </w:rPr>
        <w:t>文件</w:t>
      </w:r>
      <w:r>
        <w:rPr>
          <w:rFonts w:hint="eastAsia" w:ascii="宋体" w:hAnsi="宋体"/>
          <w:color w:val="auto"/>
          <w:szCs w:val="21"/>
          <w:highlight w:val="none"/>
        </w:rPr>
        <w:t>。</w:t>
      </w:r>
    </w:p>
    <w:p w14:paraId="60E753FA">
      <w:pPr>
        <w:spacing w:line="380" w:lineRule="exact"/>
        <w:rPr>
          <w:rFonts w:hint="eastAsia" w:ascii="宋体" w:hAnsi="宋体"/>
          <w:color w:val="auto"/>
          <w:szCs w:val="21"/>
          <w:highlight w:val="none"/>
        </w:rPr>
      </w:pPr>
    </w:p>
    <w:p w14:paraId="258D806E">
      <w:pPr>
        <w:spacing w:line="380" w:lineRule="exact"/>
        <w:ind w:firstLine="354"/>
        <w:rPr>
          <w:rFonts w:hint="eastAsia" w:ascii="黑体" w:hAnsi="黑体" w:eastAsia="黑体"/>
          <w:b/>
          <w:color w:val="auto"/>
          <w:sz w:val="24"/>
          <w:highlight w:val="none"/>
        </w:rPr>
      </w:pPr>
      <w:bookmarkStart w:id="3" w:name="_Toc35393798"/>
      <w:bookmarkStart w:id="4" w:name="_Toc44229878"/>
      <w:bookmarkStart w:id="5" w:name="_Toc28359089"/>
      <w:bookmarkStart w:id="6" w:name="_Toc28359012"/>
      <w:bookmarkStart w:id="7" w:name="_Toc71365905"/>
      <w:bookmarkStart w:id="8" w:name="_Toc35393629"/>
      <w:r>
        <w:rPr>
          <w:rFonts w:hint="eastAsia" w:ascii="黑体" w:hAnsi="黑体" w:eastAsia="黑体"/>
          <w:b/>
          <w:color w:val="auto"/>
          <w:sz w:val="24"/>
          <w:highlight w:val="none"/>
        </w:rPr>
        <w:t>一、项目基本情况</w:t>
      </w:r>
      <w:bookmarkEnd w:id="2"/>
      <w:bookmarkEnd w:id="3"/>
      <w:bookmarkEnd w:id="4"/>
      <w:bookmarkEnd w:id="5"/>
      <w:bookmarkEnd w:id="6"/>
      <w:bookmarkEnd w:id="7"/>
    </w:p>
    <w:p w14:paraId="4084B0EF">
      <w:pPr>
        <w:spacing w:line="380" w:lineRule="exact"/>
        <w:ind w:firstLine="420"/>
        <w:rPr>
          <w:rFonts w:hint="eastAsia" w:ascii="宋体" w:hAnsi="宋体"/>
          <w:color w:val="auto"/>
          <w:szCs w:val="21"/>
          <w:highlight w:val="none"/>
        </w:rPr>
      </w:pPr>
      <w:r>
        <w:rPr>
          <w:rFonts w:hint="eastAsia" w:ascii="宋体" w:hAnsi="宋体"/>
          <w:color w:val="auto"/>
          <w:szCs w:val="21"/>
          <w:highlight w:val="none"/>
        </w:rPr>
        <w:t>项目编号：YLZC2026-C2-220141-YZLZ</w:t>
      </w:r>
    </w:p>
    <w:p w14:paraId="3D84AAC6">
      <w:pPr>
        <w:spacing w:line="380" w:lineRule="exact"/>
        <w:ind w:firstLine="420"/>
        <w:rPr>
          <w:rFonts w:hint="eastAsia" w:ascii="宋体" w:hAnsi="宋体"/>
          <w:color w:val="auto"/>
          <w:szCs w:val="21"/>
          <w:highlight w:val="none"/>
          <w:u w:val="single"/>
        </w:rPr>
      </w:pPr>
      <w:r>
        <w:rPr>
          <w:rFonts w:hint="eastAsia" w:ascii="宋体" w:hAnsi="宋体"/>
          <w:color w:val="auto"/>
          <w:szCs w:val="21"/>
          <w:highlight w:val="none"/>
        </w:rPr>
        <w:t>项目名称：陆川县横山镇陆洪村委至横山街段道路修复工程</w:t>
      </w:r>
    </w:p>
    <w:p w14:paraId="259841A0">
      <w:pPr>
        <w:spacing w:line="380" w:lineRule="exact"/>
        <w:ind w:firstLine="420"/>
        <w:rPr>
          <w:rFonts w:hint="eastAsia" w:ascii="宋体" w:hAnsi="宋体"/>
          <w:color w:val="auto"/>
          <w:szCs w:val="21"/>
          <w:highlight w:val="none"/>
        </w:rPr>
      </w:pPr>
      <w:r>
        <w:rPr>
          <w:rFonts w:hint="eastAsia" w:ascii="宋体" w:hAnsi="宋体"/>
          <w:color w:val="auto"/>
          <w:szCs w:val="21"/>
          <w:highlight w:val="none"/>
        </w:rPr>
        <w:t>采购方式：竞争性磋商</w:t>
      </w:r>
    </w:p>
    <w:p w14:paraId="5D1A6CD7">
      <w:pPr>
        <w:spacing w:line="380" w:lineRule="exact"/>
        <w:ind w:firstLine="420"/>
        <w:rPr>
          <w:rFonts w:hint="eastAsia" w:ascii="宋体" w:hAnsi="宋体"/>
          <w:color w:val="auto"/>
          <w:szCs w:val="21"/>
          <w:highlight w:val="none"/>
        </w:rPr>
      </w:pPr>
      <w:r>
        <w:rPr>
          <w:rFonts w:hint="eastAsia" w:ascii="宋体" w:hAnsi="宋体"/>
          <w:color w:val="auto"/>
          <w:szCs w:val="21"/>
          <w:highlight w:val="none"/>
        </w:rPr>
        <w:t>预算金额（元）：</w:t>
      </w:r>
      <w:r>
        <w:rPr>
          <w:rFonts w:ascii="宋体" w:hAnsi="宋体"/>
          <w:color w:val="auto"/>
          <w:szCs w:val="21"/>
          <w:highlight w:val="none"/>
        </w:rPr>
        <w:t>3075518</w:t>
      </w:r>
      <w:r>
        <w:rPr>
          <w:rFonts w:hint="eastAsia" w:ascii="宋体" w:hAnsi="宋体"/>
          <w:color w:val="auto"/>
          <w:szCs w:val="21"/>
          <w:highlight w:val="none"/>
        </w:rPr>
        <w:t>.00</w:t>
      </w:r>
    </w:p>
    <w:p w14:paraId="59CE6C84">
      <w:pPr>
        <w:spacing w:line="380" w:lineRule="exact"/>
        <w:ind w:firstLine="420"/>
        <w:rPr>
          <w:rFonts w:hint="eastAsia" w:ascii="宋体" w:hAnsi="宋体"/>
          <w:color w:val="auto"/>
          <w:szCs w:val="21"/>
          <w:highlight w:val="none"/>
        </w:rPr>
      </w:pPr>
      <w:r>
        <w:rPr>
          <w:rFonts w:hint="eastAsia" w:ascii="宋体" w:hAnsi="宋体"/>
          <w:color w:val="auto"/>
          <w:szCs w:val="21"/>
          <w:highlight w:val="none"/>
        </w:rPr>
        <w:t>最高限价（如有）：/</w:t>
      </w:r>
    </w:p>
    <w:p w14:paraId="5F25D9D2">
      <w:pPr>
        <w:spacing w:line="380" w:lineRule="exact"/>
        <w:ind w:firstLine="420"/>
        <w:rPr>
          <w:rFonts w:hint="eastAsia" w:ascii="宋体" w:hAnsi="宋体"/>
          <w:color w:val="auto"/>
          <w:szCs w:val="21"/>
          <w:highlight w:val="none"/>
        </w:rPr>
      </w:pPr>
      <w:r>
        <w:rPr>
          <w:rFonts w:hint="eastAsia" w:ascii="宋体" w:hAnsi="宋体"/>
          <w:color w:val="auto"/>
          <w:szCs w:val="21"/>
          <w:highlight w:val="none"/>
        </w:rPr>
        <w:t>采购需求：</w:t>
      </w:r>
    </w:p>
    <w:p w14:paraId="4A222D46">
      <w:pPr>
        <w:spacing w:line="380" w:lineRule="exact"/>
        <w:ind w:firstLine="420"/>
        <w:rPr>
          <w:rFonts w:hint="eastAsia" w:ascii="宋体" w:hAnsi="宋体"/>
          <w:color w:val="auto"/>
          <w:szCs w:val="21"/>
          <w:highlight w:val="none"/>
        </w:rPr>
      </w:pPr>
      <w:r>
        <w:rPr>
          <w:rFonts w:hint="eastAsia" w:ascii="宋体" w:hAnsi="宋体"/>
          <w:color w:val="auto"/>
          <w:szCs w:val="21"/>
          <w:highlight w:val="none"/>
        </w:rPr>
        <w:t>简要规格描述和项目基本概况介绍、用途：（1）标的名称及数量：陆川县横山镇陆洪村委至横山街段道路修复工程1项。（2）简要技术需求或者服务要求：</w:t>
      </w:r>
      <w:r>
        <w:rPr>
          <w:rFonts w:hint="eastAsia" w:ascii="宋体" w:hAnsi="宋体"/>
          <w:color w:val="auto"/>
          <w:szCs w:val="21"/>
          <w:highlight w:val="none"/>
        </w:rPr>
        <w:t>本工程位于陆川县横山镇陆洪村，主要修复内容有：①拆除原有危桥，新建1-6米钢筋混凝土实心板桥(1#桥)；②拆除原有水渠上过路桥，新建2#涵洞1-2.5米钢筋混凝土盖板涵；③拆除原有危桥，新建1-6米钢筋混凝土实心板桥(3#桥)；④破除损毁道路，重新铺设混凝土道路，具体详见施工图纸。</w:t>
      </w:r>
    </w:p>
    <w:p w14:paraId="1C2FA40F">
      <w:pPr>
        <w:spacing w:line="380" w:lineRule="exact"/>
        <w:ind w:firstLine="420"/>
        <w:rPr>
          <w:rFonts w:hint="eastAsia" w:ascii="宋体" w:hAnsi="宋体"/>
          <w:color w:val="auto"/>
          <w:szCs w:val="21"/>
          <w:highlight w:val="none"/>
          <w:u w:val="single"/>
        </w:rPr>
      </w:pPr>
      <w:r>
        <w:rPr>
          <w:rFonts w:hint="eastAsia" w:ascii="宋体" w:hAnsi="宋体"/>
          <w:color w:val="auto"/>
          <w:szCs w:val="21"/>
          <w:highlight w:val="none"/>
        </w:rPr>
        <w:t>合同履行期限：150天（日历天）</w:t>
      </w:r>
    </w:p>
    <w:p w14:paraId="6AB58DD1">
      <w:pPr>
        <w:spacing w:line="380" w:lineRule="exact"/>
        <w:ind w:firstLine="420"/>
        <w:rPr>
          <w:rFonts w:hint="eastAsia" w:ascii="宋体" w:hAnsi="宋体"/>
          <w:color w:val="auto"/>
          <w:szCs w:val="21"/>
          <w:highlight w:val="none"/>
        </w:rPr>
      </w:pPr>
      <w:r>
        <w:rPr>
          <w:rFonts w:hint="eastAsia" w:ascii="宋体" w:hAnsi="宋体"/>
          <w:color w:val="auto"/>
          <w:szCs w:val="21"/>
          <w:highlight w:val="none"/>
        </w:rPr>
        <w:t>本项目不接受联合体。</w:t>
      </w:r>
    </w:p>
    <w:p w14:paraId="520E77DF">
      <w:pPr>
        <w:spacing w:line="380" w:lineRule="exact"/>
        <w:ind w:firstLine="354"/>
        <w:rPr>
          <w:rFonts w:hint="eastAsia" w:ascii="黑体" w:hAnsi="黑体" w:eastAsia="黑体"/>
          <w:b/>
          <w:color w:val="auto"/>
          <w:sz w:val="24"/>
          <w:highlight w:val="none"/>
        </w:rPr>
      </w:pPr>
      <w:bookmarkStart w:id="9" w:name="_Toc35393799"/>
      <w:bookmarkStart w:id="10" w:name="_Toc35393630"/>
      <w:bookmarkStart w:id="11" w:name="_Toc44229879"/>
      <w:bookmarkStart w:id="12" w:name="_Toc28359013"/>
      <w:bookmarkStart w:id="13" w:name="_Toc28359090"/>
      <w:bookmarkStart w:id="14" w:name="_Toc71365906"/>
      <w:r>
        <w:rPr>
          <w:rFonts w:hint="eastAsia" w:ascii="黑体" w:hAnsi="黑体" w:eastAsia="黑体"/>
          <w:b/>
          <w:color w:val="auto"/>
          <w:sz w:val="24"/>
          <w:highlight w:val="none"/>
        </w:rPr>
        <w:t>二、申请人的资格条件：</w:t>
      </w:r>
      <w:bookmarkEnd w:id="8"/>
      <w:bookmarkEnd w:id="9"/>
      <w:bookmarkEnd w:id="10"/>
      <w:bookmarkEnd w:id="11"/>
      <w:bookmarkEnd w:id="12"/>
      <w:bookmarkEnd w:id="13"/>
    </w:p>
    <w:p w14:paraId="101983E6">
      <w:pPr>
        <w:spacing w:line="380" w:lineRule="exact"/>
        <w:ind w:firstLine="420"/>
        <w:rPr>
          <w:rFonts w:hint="eastAsia" w:ascii="宋体" w:hAnsi="宋体"/>
          <w:color w:val="auto"/>
          <w:szCs w:val="21"/>
          <w:highlight w:val="none"/>
        </w:rPr>
      </w:pPr>
      <w:bookmarkStart w:id="15" w:name="_Toc35393631"/>
      <w:bookmarkStart w:id="16" w:name="_Toc28359091"/>
      <w:bookmarkStart w:id="17" w:name="_Toc35393800"/>
      <w:bookmarkStart w:id="18" w:name="_Toc44229880"/>
      <w:bookmarkStart w:id="19" w:name="_Toc28359014"/>
      <w:r>
        <w:rPr>
          <w:rFonts w:hint="eastAsia" w:ascii="宋体" w:hAnsi="宋体"/>
          <w:color w:val="auto"/>
          <w:szCs w:val="21"/>
          <w:highlight w:val="none"/>
        </w:rPr>
        <w:t>1.满足《中华人民共和国政府采购法》第二十二条规定；</w:t>
      </w:r>
    </w:p>
    <w:p w14:paraId="3DE5D8E2">
      <w:pPr>
        <w:spacing w:line="380" w:lineRule="exact"/>
        <w:ind w:firstLine="42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.落实政府采购政策需满足的资格要求：本项目属于专门面向中小微企业采购的项目，施工单位应为中小微企业或者监狱企业或者残疾人福利性单位；</w:t>
      </w:r>
    </w:p>
    <w:p w14:paraId="35BE3722">
      <w:pPr>
        <w:spacing w:line="380" w:lineRule="exact"/>
        <w:ind w:firstLine="420"/>
        <w:rPr>
          <w:rFonts w:hint="eastAsia" w:ascii="宋体" w:hAnsi="宋体"/>
          <w:color w:val="auto"/>
          <w:szCs w:val="21"/>
          <w:highlight w:val="none"/>
          <w:u w:val="single"/>
        </w:rPr>
      </w:pPr>
      <w:r>
        <w:rPr>
          <w:rFonts w:hint="eastAsia" w:ascii="宋体" w:hAnsi="宋体"/>
          <w:color w:val="auto"/>
          <w:szCs w:val="21"/>
          <w:highlight w:val="none"/>
        </w:rPr>
        <w:t>3.本项目的特定资格要求：</w:t>
      </w:r>
    </w:p>
    <w:p w14:paraId="5D55F5CE">
      <w:pPr>
        <w:spacing w:line="380" w:lineRule="exact"/>
        <w:ind w:firstLine="420"/>
        <w:contextualSpacing/>
        <w:jc w:val="left"/>
        <w:rPr>
          <w:rFonts w:hint="eastAsia" w:ascii="宋体" w:hAnsi="宋体" w:cs="宋体"/>
          <w:color w:val="auto"/>
          <w:szCs w:val="21"/>
          <w:highlight w:val="none"/>
        </w:rPr>
      </w:pPr>
      <w:bookmarkStart w:id="20" w:name="_Toc71365907"/>
      <w:r>
        <w:rPr>
          <w:rFonts w:hint="eastAsia" w:ascii="宋体" w:hAnsi="宋体" w:cs="宋体"/>
          <w:color w:val="auto"/>
          <w:szCs w:val="21"/>
          <w:highlight w:val="none"/>
        </w:rPr>
        <w:t>3.1供应商为具备公路工程施工总承包三级以上（含三级）资质的施工企业，具有省级及以上建设行政主管部门颁发的安全生产许可证；</w:t>
      </w:r>
    </w:p>
    <w:p w14:paraId="45C3D39A">
      <w:pPr>
        <w:spacing w:line="380" w:lineRule="exact"/>
        <w:ind w:firstLine="420"/>
        <w:contextualSpacing/>
        <w:jc w:val="left"/>
        <w:rPr>
          <w:rFonts w:hint="eastAsia" w:ascii="宋体" w:hAnsi="宋体" w:cs="宋体"/>
          <w:color w:val="auto"/>
          <w:szCs w:val="21"/>
          <w:highlight w:val="none"/>
        </w:rPr>
      </w:pPr>
      <w:r>
        <w:rPr>
          <w:rFonts w:hint="eastAsia" w:ascii="宋体" w:hAnsi="宋体" w:cs="宋体"/>
          <w:color w:val="auto"/>
          <w:szCs w:val="21"/>
          <w:highlight w:val="none"/>
        </w:rPr>
        <w:t>3.2拟投入本项目的项目经理须具备有效的公路工程专业二级以上（含二级）注册建造师证书，并获得有效的安全生产考核合格证（B类），且为本单位在职职工，并未在其他在施建设工程项目中任职；</w:t>
      </w:r>
    </w:p>
    <w:p w14:paraId="049986C7">
      <w:pPr>
        <w:spacing w:line="380" w:lineRule="exact"/>
        <w:ind w:firstLine="308"/>
        <w:rPr>
          <w:rFonts w:hint="eastAsia" w:ascii="黑体" w:hAnsi="黑体" w:eastAsia="黑体"/>
          <w:b/>
          <w:color w:val="auto"/>
          <w:sz w:val="24"/>
          <w:highlight w:val="none"/>
        </w:rPr>
      </w:pPr>
      <w:r>
        <w:rPr>
          <w:rFonts w:hint="eastAsia" w:ascii="宋体" w:hAnsi="宋体" w:cs="宋体"/>
          <w:color w:val="auto"/>
          <w:szCs w:val="21"/>
          <w:highlight w:val="none"/>
        </w:rPr>
        <w:t>3.3拟投入本项目的专职安全员不少于1人，且具备安全生产考核合格证书（C类）。</w:t>
      </w:r>
    </w:p>
    <w:p w14:paraId="10D42CE1">
      <w:pPr>
        <w:spacing w:line="380" w:lineRule="exact"/>
        <w:ind w:firstLine="354"/>
        <w:rPr>
          <w:rFonts w:hint="eastAsia" w:ascii="黑体" w:hAnsi="黑体" w:eastAsia="黑体"/>
          <w:b/>
          <w:color w:val="auto"/>
          <w:sz w:val="24"/>
          <w:highlight w:val="none"/>
        </w:rPr>
      </w:pPr>
      <w:r>
        <w:rPr>
          <w:rFonts w:hint="eastAsia" w:ascii="黑体" w:hAnsi="黑体" w:eastAsia="黑体"/>
          <w:b/>
          <w:color w:val="auto"/>
          <w:sz w:val="24"/>
          <w:highlight w:val="none"/>
        </w:rPr>
        <w:t>三、获取竞争性磋商文件</w:t>
      </w:r>
      <w:bookmarkEnd w:id="14"/>
      <w:bookmarkEnd w:id="15"/>
      <w:bookmarkEnd w:id="16"/>
      <w:bookmarkEnd w:id="17"/>
      <w:bookmarkEnd w:id="18"/>
      <w:bookmarkEnd w:id="19"/>
    </w:p>
    <w:p w14:paraId="36CA6A23">
      <w:pPr>
        <w:spacing w:line="380" w:lineRule="exact"/>
        <w:ind w:firstLine="420"/>
        <w:rPr>
          <w:rFonts w:hint="eastAsia" w:ascii="宋体" w:hAnsi="宋体" w:cs="宋体"/>
          <w:bCs/>
          <w:color w:val="auto"/>
          <w:szCs w:val="21"/>
          <w:highlight w:val="none"/>
        </w:rPr>
      </w:pPr>
      <w:bookmarkStart w:id="21" w:name="_Toc28359092"/>
      <w:bookmarkStart w:id="22" w:name="_Toc28359015"/>
      <w:bookmarkStart w:id="23" w:name="_Toc35393801"/>
      <w:bookmarkStart w:id="24" w:name="_Toc44229881"/>
      <w:bookmarkStart w:id="25" w:name="_Toc35393632"/>
      <w:r>
        <w:rPr>
          <w:rFonts w:hint="eastAsia" w:ascii="宋体" w:hAnsi="宋体" w:cs="宋体"/>
          <w:bCs/>
          <w:color w:val="auto"/>
          <w:szCs w:val="21"/>
          <w:highlight w:val="none"/>
        </w:rPr>
        <w:t>时间：</w:t>
      </w:r>
      <w:r>
        <w:rPr>
          <w:rFonts w:hint="eastAsia" w:ascii="宋体" w:hAnsi="宋体"/>
          <w:bCs/>
          <w:color w:val="auto"/>
          <w:szCs w:val="21"/>
          <w:highlight w:val="none"/>
          <w:u w:val="single"/>
        </w:rPr>
        <w:t>2026</w:t>
      </w:r>
      <w:r>
        <w:rPr>
          <w:rFonts w:hint="eastAsia" w:ascii="宋体" w:hAnsi="宋体"/>
          <w:bCs/>
          <w:color w:val="auto"/>
          <w:szCs w:val="21"/>
          <w:highlight w:val="none"/>
        </w:rPr>
        <w:t>年</w:t>
      </w:r>
      <w:r>
        <w:rPr>
          <w:rFonts w:hint="eastAsia" w:ascii="宋体" w:hAnsi="宋体"/>
          <w:bCs/>
          <w:color w:val="auto"/>
          <w:szCs w:val="21"/>
          <w:highlight w:val="none"/>
          <w:u w:val="single"/>
        </w:rPr>
        <w:t>7</w:t>
      </w:r>
      <w:r>
        <w:rPr>
          <w:rFonts w:hint="eastAsia" w:ascii="宋体" w:hAnsi="宋体"/>
          <w:bCs/>
          <w:color w:val="auto"/>
          <w:szCs w:val="21"/>
          <w:highlight w:val="none"/>
        </w:rPr>
        <w:t>月</w:t>
      </w:r>
      <w:r>
        <w:rPr>
          <w:rFonts w:hint="eastAsia" w:ascii="宋体" w:hAnsi="宋体"/>
          <w:bCs/>
          <w:color w:val="auto"/>
          <w:szCs w:val="21"/>
          <w:highlight w:val="none"/>
          <w:u w:val="single"/>
        </w:rPr>
        <w:t>3</w:t>
      </w:r>
      <w:r>
        <w:rPr>
          <w:rFonts w:hint="eastAsia" w:ascii="宋体" w:hAnsi="宋体"/>
          <w:bCs/>
          <w:color w:val="auto"/>
          <w:szCs w:val="21"/>
          <w:highlight w:val="none"/>
        </w:rPr>
        <w:t>日</w:t>
      </w:r>
      <w:r>
        <w:rPr>
          <w:rFonts w:hint="eastAsia" w:ascii="宋体" w:hAnsi="宋体" w:cs="宋体"/>
          <w:bCs/>
          <w:color w:val="auto"/>
          <w:szCs w:val="21"/>
          <w:highlight w:val="none"/>
        </w:rPr>
        <w:t>至</w:t>
      </w:r>
      <w:r>
        <w:rPr>
          <w:rFonts w:hint="eastAsia" w:ascii="宋体" w:hAnsi="宋体"/>
          <w:bCs/>
          <w:color w:val="auto"/>
          <w:szCs w:val="21"/>
          <w:highlight w:val="none"/>
          <w:u w:val="single"/>
        </w:rPr>
        <w:t>2026</w:t>
      </w:r>
      <w:r>
        <w:rPr>
          <w:rFonts w:hint="eastAsia" w:ascii="宋体" w:hAnsi="宋体"/>
          <w:bCs/>
          <w:color w:val="auto"/>
          <w:szCs w:val="21"/>
          <w:highlight w:val="none"/>
        </w:rPr>
        <w:t>年</w:t>
      </w:r>
      <w:r>
        <w:rPr>
          <w:rFonts w:hint="eastAsia" w:ascii="宋体" w:hAnsi="宋体"/>
          <w:bCs/>
          <w:color w:val="auto"/>
          <w:szCs w:val="21"/>
          <w:highlight w:val="none"/>
          <w:u w:val="single"/>
        </w:rPr>
        <w:t>7</w:t>
      </w:r>
      <w:r>
        <w:rPr>
          <w:rFonts w:hint="eastAsia" w:ascii="宋体" w:hAnsi="宋体"/>
          <w:bCs/>
          <w:color w:val="auto"/>
          <w:szCs w:val="21"/>
          <w:highlight w:val="none"/>
        </w:rPr>
        <w:t>月</w:t>
      </w:r>
      <w:r>
        <w:rPr>
          <w:rFonts w:hint="eastAsia" w:ascii="宋体" w:hAnsi="宋体"/>
          <w:bCs/>
          <w:color w:val="auto"/>
          <w:szCs w:val="21"/>
          <w:highlight w:val="none"/>
          <w:u w:val="single"/>
        </w:rPr>
        <w:t>10</w:t>
      </w:r>
      <w:r>
        <w:rPr>
          <w:rFonts w:hint="eastAsia" w:ascii="宋体" w:hAnsi="宋体"/>
          <w:bCs/>
          <w:color w:val="auto"/>
          <w:szCs w:val="21"/>
          <w:highlight w:val="none"/>
        </w:rPr>
        <w:t>日</w:t>
      </w:r>
      <w:r>
        <w:rPr>
          <w:rFonts w:hint="eastAsia" w:ascii="宋体" w:hAnsi="宋体" w:cs="宋体"/>
          <w:bCs/>
          <w:color w:val="auto"/>
          <w:szCs w:val="21"/>
          <w:highlight w:val="none"/>
        </w:rPr>
        <w:t>，每天上午</w:t>
      </w:r>
      <w:r>
        <w:rPr>
          <w:rFonts w:hint="eastAsia" w:ascii="宋体" w:hAnsi="宋体" w:cs="宋体"/>
          <w:bCs/>
          <w:color w:val="auto"/>
          <w:szCs w:val="21"/>
          <w:highlight w:val="none"/>
          <w:u w:val="single"/>
        </w:rPr>
        <w:t>8:00至12:00</w:t>
      </w:r>
      <w:r>
        <w:rPr>
          <w:rFonts w:hint="eastAsia" w:ascii="宋体" w:hAnsi="宋体" w:cs="宋体"/>
          <w:bCs/>
          <w:color w:val="auto"/>
          <w:szCs w:val="21"/>
          <w:highlight w:val="none"/>
        </w:rPr>
        <w:t>，下午</w:t>
      </w:r>
      <w:r>
        <w:rPr>
          <w:rFonts w:hint="eastAsia" w:ascii="宋体" w:hAnsi="宋体" w:cs="宋体"/>
          <w:bCs/>
          <w:color w:val="auto"/>
          <w:szCs w:val="21"/>
          <w:highlight w:val="none"/>
          <w:u w:val="single"/>
        </w:rPr>
        <w:t>3:00至6:00</w:t>
      </w:r>
      <w:r>
        <w:rPr>
          <w:rFonts w:hint="eastAsia" w:ascii="宋体" w:hAnsi="宋体" w:cs="宋体"/>
          <w:bCs/>
          <w:color w:val="auto"/>
          <w:szCs w:val="21"/>
          <w:highlight w:val="none"/>
        </w:rPr>
        <w:t>（北京时间，</w:t>
      </w:r>
      <w:r>
        <w:rPr>
          <w:rFonts w:ascii="宋体" w:hAnsi="宋体" w:cs="宋体"/>
          <w:bCs/>
          <w:color w:val="auto"/>
          <w:szCs w:val="21"/>
          <w:highlight w:val="none"/>
        </w:rPr>
        <w:t>法定节假日</w:t>
      </w:r>
      <w:r>
        <w:rPr>
          <w:rFonts w:hint="eastAsia" w:ascii="宋体" w:hAnsi="宋体" w:cs="宋体"/>
          <w:bCs/>
          <w:color w:val="auto"/>
          <w:szCs w:val="21"/>
          <w:highlight w:val="none"/>
        </w:rPr>
        <w:t>除外）</w:t>
      </w:r>
    </w:p>
    <w:p w14:paraId="0E56959D">
      <w:pPr>
        <w:spacing w:line="380" w:lineRule="exact"/>
        <w:ind w:firstLine="420"/>
        <w:rPr>
          <w:rFonts w:hint="eastAsia" w:ascii="宋体" w:hAnsi="宋体" w:cs="宋体"/>
          <w:bCs/>
          <w:color w:val="auto"/>
          <w:szCs w:val="21"/>
          <w:highlight w:val="none"/>
        </w:rPr>
      </w:pPr>
      <w:r>
        <w:rPr>
          <w:rFonts w:hint="eastAsia" w:ascii="宋体" w:hAnsi="宋体" w:cs="宋体"/>
          <w:bCs/>
          <w:color w:val="auto"/>
          <w:szCs w:val="21"/>
          <w:highlight w:val="none"/>
        </w:rPr>
        <w:t>地点：广西政府采购云平台</w:t>
      </w:r>
      <w:r>
        <w:rPr>
          <w:rFonts w:hint="eastAsia" w:ascii="宋体" w:hAnsi="宋体" w:cs="宋体"/>
          <w:bCs/>
          <w:color w:val="auto"/>
          <w:szCs w:val="21"/>
          <w:highlight w:val="none"/>
        </w:rPr>
        <w:t>（https://www.gcy.zfcg.gxzf.gov.cn）</w:t>
      </w:r>
    </w:p>
    <w:p w14:paraId="2AB653CB">
      <w:pPr>
        <w:spacing w:line="380" w:lineRule="exact"/>
        <w:ind w:firstLine="420"/>
        <w:rPr>
          <w:rFonts w:hint="eastAsia" w:ascii="宋体" w:hAnsi="宋体" w:cs="宋体"/>
          <w:bCs/>
          <w:color w:val="auto"/>
          <w:szCs w:val="21"/>
          <w:highlight w:val="none"/>
        </w:rPr>
      </w:pPr>
      <w:r>
        <w:rPr>
          <w:rFonts w:hint="eastAsia" w:ascii="宋体" w:hAnsi="宋体" w:cs="宋体"/>
          <w:bCs/>
          <w:color w:val="auto"/>
          <w:szCs w:val="21"/>
          <w:highlight w:val="none"/>
        </w:rPr>
        <w:t>方式：网上下载。本项目不提供纸质文件，潜在供应商需使用账号登录或者使用CA登录广西政府采购云平台</w:t>
      </w:r>
      <w:r>
        <w:rPr>
          <w:rFonts w:hint="eastAsia" w:ascii="宋体" w:hAnsi="宋体" w:cs="宋体"/>
          <w:bCs/>
          <w:color w:val="auto"/>
          <w:szCs w:val="21"/>
          <w:highlight w:val="none"/>
        </w:rPr>
        <w:t>（https://www.gcy.zfcg.gxzf.gov.cn）</w:t>
      </w:r>
      <w:r>
        <w:rPr>
          <w:rFonts w:hint="eastAsia" w:ascii="宋体" w:hAnsi="宋体" w:cs="宋体"/>
          <w:bCs/>
          <w:color w:val="auto"/>
          <w:szCs w:val="21"/>
          <w:highlight w:val="none"/>
        </w:rPr>
        <w:t>-进入“项目采购”应用，在获取采购文件</w:t>
      </w:r>
      <w:r>
        <w:rPr>
          <w:rFonts w:hint="eastAsia" w:ascii="宋体" w:hAnsi="宋体" w:cs="宋体"/>
          <w:bCs/>
          <w:color w:val="auto"/>
          <w:szCs w:val="21"/>
          <w:highlight w:val="none"/>
        </w:rPr>
        <w:t>-待获取列表</w:t>
      </w:r>
      <w:r>
        <w:rPr>
          <w:rFonts w:hint="eastAsia" w:ascii="宋体" w:hAnsi="宋体" w:cs="宋体"/>
          <w:bCs/>
          <w:color w:val="auto"/>
          <w:szCs w:val="21"/>
          <w:highlight w:val="none"/>
        </w:rPr>
        <w:t>中选择项目，获取竞争性磋商文件。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制作需要基于广西政府采购云平台获取的磋商文件编制，</w:t>
      </w:r>
      <w:r>
        <w:rPr>
          <w:rFonts w:hint="eastAsia" w:ascii="宋体" w:hAnsi="宋体" w:cs="宋体"/>
          <w:bCs/>
          <w:color w:val="auto"/>
          <w:szCs w:val="21"/>
          <w:highlight w:val="none"/>
        </w:rPr>
        <w:t>通过其他方式获取磋商文件的，将有可能导致供应商无法在广西政府采购云平台编制及上传响应文件。</w:t>
      </w:r>
    </w:p>
    <w:p w14:paraId="2FB96F95">
      <w:pPr>
        <w:spacing w:line="380" w:lineRule="exact"/>
        <w:ind w:firstLine="420"/>
        <w:rPr>
          <w:rFonts w:hint="eastAsia" w:ascii="宋体" w:hAnsi="宋体" w:cs="宋体"/>
          <w:color w:val="auto"/>
          <w:szCs w:val="21"/>
          <w:highlight w:val="none"/>
        </w:rPr>
      </w:pPr>
      <w:r>
        <w:rPr>
          <w:rFonts w:hint="eastAsia" w:ascii="宋体" w:hAnsi="宋体" w:cs="宋体"/>
          <w:bCs/>
          <w:color w:val="auto"/>
          <w:szCs w:val="21"/>
          <w:highlight w:val="none"/>
        </w:rPr>
        <w:t>售价：</w:t>
      </w:r>
      <w:r>
        <w:rPr>
          <w:rFonts w:hint="eastAsia" w:ascii="宋体" w:hAnsi="宋体" w:cs="宋体"/>
          <w:color w:val="auto"/>
          <w:szCs w:val="21"/>
          <w:highlight w:val="none"/>
          <w:u w:val="single"/>
        </w:rPr>
        <w:t>0</w:t>
      </w:r>
      <w:r>
        <w:rPr>
          <w:rFonts w:hint="eastAsia" w:ascii="宋体" w:hAnsi="宋体" w:cs="宋体"/>
          <w:color w:val="auto"/>
          <w:szCs w:val="21"/>
          <w:highlight w:val="none"/>
        </w:rPr>
        <w:t>元</w:t>
      </w:r>
    </w:p>
    <w:p w14:paraId="77FA82FD">
      <w:pPr>
        <w:spacing w:line="380" w:lineRule="exact"/>
        <w:ind w:firstLine="354"/>
        <w:rPr>
          <w:rFonts w:hint="eastAsia" w:ascii="黑体" w:hAnsi="黑体" w:eastAsia="黑体"/>
          <w:b/>
          <w:color w:val="auto"/>
          <w:sz w:val="24"/>
          <w:highlight w:val="none"/>
        </w:rPr>
      </w:pPr>
      <w:bookmarkStart w:id="26" w:name="_Toc71365908"/>
      <w:r>
        <w:rPr>
          <w:rFonts w:hint="eastAsia" w:ascii="黑体" w:hAnsi="黑体" w:eastAsia="黑体"/>
          <w:b/>
          <w:color w:val="auto"/>
          <w:sz w:val="24"/>
          <w:highlight w:val="none"/>
        </w:rPr>
        <w:t>四、响应文件提交</w:t>
      </w:r>
      <w:bookmarkEnd w:id="20"/>
      <w:bookmarkEnd w:id="21"/>
      <w:bookmarkEnd w:id="22"/>
      <w:bookmarkEnd w:id="23"/>
      <w:bookmarkEnd w:id="24"/>
      <w:bookmarkEnd w:id="25"/>
    </w:p>
    <w:p w14:paraId="60801846">
      <w:pPr>
        <w:spacing w:line="380" w:lineRule="exact"/>
        <w:ind w:firstLine="420"/>
        <w:rPr>
          <w:rFonts w:hint="eastAsia" w:ascii="宋体" w:hAnsi="宋体" w:cs="宋体"/>
          <w:color w:val="auto"/>
          <w:szCs w:val="21"/>
          <w:highlight w:val="none"/>
          <w:u w:val="single"/>
        </w:rPr>
      </w:pPr>
      <w:bookmarkStart w:id="27" w:name="_Toc28359093"/>
      <w:bookmarkStart w:id="28" w:name="_Toc44229882"/>
      <w:bookmarkStart w:id="29" w:name="_Toc28359016"/>
      <w:bookmarkStart w:id="30" w:name="_Toc35393633"/>
      <w:bookmarkStart w:id="31" w:name="_Toc35393802"/>
      <w:r>
        <w:rPr>
          <w:rFonts w:hint="eastAsia" w:ascii="宋体" w:hAnsi="宋体"/>
          <w:color w:val="auto"/>
          <w:szCs w:val="21"/>
          <w:highlight w:val="none"/>
        </w:rPr>
        <w:t>截止时间：</w:t>
      </w:r>
      <w:r>
        <w:rPr>
          <w:rFonts w:hint="eastAsia" w:ascii="宋体" w:hAnsi="宋体"/>
          <w:bCs/>
          <w:color w:val="auto"/>
          <w:szCs w:val="21"/>
          <w:highlight w:val="none"/>
          <w:u w:val="single"/>
        </w:rPr>
        <w:t>2026</w:t>
      </w:r>
      <w:r>
        <w:rPr>
          <w:rFonts w:hint="eastAsia" w:ascii="宋体" w:hAnsi="宋体"/>
          <w:bCs/>
          <w:color w:val="auto"/>
          <w:szCs w:val="21"/>
          <w:highlight w:val="none"/>
        </w:rPr>
        <w:t>年</w:t>
      </w:r>
      <w:r>
        <w:rPr>
          <w:rFonts w:hint="eastAsia" w:ascii="宋体" w:hAnsi="宋体"/>
          <w:bCs/>
          <w:color w:val="auto"/>
          <w:szCs w:val="21"/>
          <w:highlight w:val="none"/>
          <w:u w:val="single"/>
        </w:rPr>
        <w:t>7</w:t>
      </w:r>
      <w:r>
        <w:rPr>
          <w:rFonts w:hint="eastAsia" w:ascii="宋体" w:hAnsi="宋体"/>
          <w:bCs/>
          <w:color w:val="auto"/>
          <w:szCs w:val="21"/>
          <w:highlight w:val="none"/>
        </w:rPr>
        <w:t>月</w:t>
      </w:r>
      <w:r>
        <w:rPr>
          <w:rFonts w:hint="eastAsia" w:ascii="宋体" w:hAnsi="宋体"/>
          <w:bCs/>
          <w:color w:val="auto"/>
          <w:szCs w:val="21"/>
          <w:highlight w:val="none"/>
          <w:u w:val="single"/>
        </w:rPr>
        <w:t>14</w:t>
      </w:r>
      <w:r>
        <w:rPr>
          <w:rFonts w:hint="eastAsia" w:ascii="宋体" w:hAnsi="宋体"/>
          <w:bCs/>
          <w:color w:val="auto"/>
          <w:szCs w:val="21"/>
          <w:highlight w:val="none"/>
        </w:rPr>
        <w:t>日</w:t>
      </w:r>
      <w:r>
        <w:rPr>
          <w:rFonts w:hint="eastAsia" w:ascii="宋体" w:hAnsi="宋体"/>
          <w:bCs/>
          <w:color w:val="auto"/>
          <w:szCs w:val="21"/>
          <w:highlight w:val="none"/>
          <w:u w:val="single"/>
        </w:rPr>
        <w:t>9</w:t>
      </w:r>
      <w:r>
        <w:rPr>
          <w:rFonts w:hint="eastAsia" w:ascii="宋体" w:hAnsi="宋体"/>
          <w:bCs/>
          <w:color w:val="auto"/>
          <w:szCs w:val="21"/>
          <w:highlight w:val="none"/>
        </w:rPr>
        <w:t>时</w:t>
      </w:r>
      <w:r>
        <w:rPr>
          <w:rFonts w:hint="eastAsia" w:ascii="宋体" w:hAnsi="宋体"/>
          <w:bCs/>
          <w:color w:val="auto"/>
          <w:szCs w:val="21"/>
          <w:highlight w:val="none"/>
          <w:u w:val="single"/>
        </w:rPr>
        <w:t>00</w:t>
      </w:r>
      <w:r>
        <w:rPr>
          <w:rFonts w:hint="eastAsia" w:ascii="宋体" w:hAnsi="宋体"/>
          <w:bCs/>
          <w:color w:val="auto"/>
          <w:szCs w:val="21"/>
          <w:highlight w:val="none"/>
        </w:rPr>
        <w:t>分（北京时间）</w:t>
      </w:r>
    </w:p>
    <w:p w14:paraId="2D3012B8">
      <w:pPr>
        <w:spacing w:line="380" w:lineRule="exact"/>
        <w:ind w:firstLine="420"/>
        <w:rPr>
          <w:rFonts w:hint="eastAsia" w:ascii="宋体" w:hAnsi="宋体"/>
          <w:color w:val="auto"/>
          <w:szCs w:val="21"/>
          <w:highlight w:val="none"/>
        </w:rPr>
      </w:pPr>
      <w:r>
        <w:rPr>
          <w:rFonts w:hint="eastAsia" w:ascii="宋体" w:hAnsi="宋体"/>
          <w:color w:val="auto"/>
          <w:szCs w:val="21"/>
          <w:highlight w:val="none"/>
        </w:rPr>
        <w:t>地点：广西政府采购云平台</w:t>
      </w:r>
      <w:r>
        <w:rPr>
          <w:rFonts w:hint="eastAsia" w:ascii="宋体" w:hAnsi="宋体" w:cs="宋体"/>
          <w:bCs/>
          <w:color w:val="auto"/>
          <w:szCs w:val="21"/>
          <w:highlight w:val="none"/>
        </w:rPr>
        <w:t>（https://www.gcy.zfcg.gxzf.gov.cn）</w:t>
      </w:r>
    </w:p>
    <w:p w14:paraId="284AD5CB">
      <w:pPr>
        <w:spacing w:line="380" w:lineRule="exact"/>
        <w:ind w:firstLine="354"/>
        <w:rPr>
          <w:rFonts w:hint="eastAsia" w:ascii="黑体" w:hAnsi="黑体" w:eastAsia="黑体"/>
          <w:b/>
          <w:color w:val="auto"/>
          <w:sz w:val="24"/>
          <w:highlight w:val="none"/>
        </w:rPr>
      </w:pPr>
      <w:bookmarkStart w:id="32" w:name="_Toc71365909"/>
      <w:r>
        <w:rPr>
          <w:rFonts w:hint="eastAsia" w:ascii="黑体" w:hAnsi="黑体" w:eastAsia="黑体"/>
          <w:b/>
          <w:color w:val="auto"/>
          <w:sz w:val="24"/>
          <w:highlight w:val="none"/>
        </w:rPr>
        <w:t>五、开启</w:t>
      </w:r>
      <w:bookmarkEnd w:id="26"/>
      <w:bookmarkEnd w:id="27"/>
      <w:bookmarkEnd w:id="28"/>
      <w:bookmarkEnd w:id="29"/>
      <w:bookmarkEnd w:id="30"/>
      <w:bookmarkEnd w:id="31"/>
    </w:p>
    <w:p w14:paraId="59F88205">
      <w:pPr>
        <w:spacing w:line="380" w:lineRule="exact"/>
        <w:ind w:firstLine="420"/>
        <w:rPr>
          <w:rFonts w:hint="eastAsia" w:ascii="宋体" w:hAnsi="宋体"/>
          <w:bCs/>
          <w:color w:val="auto"/>
          <w:szCs w:val="21"/>
          <w:highlight w:val="none"/>
          <w:u w:val="singl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时间：</w:t>
      </w:r>
      <w:r>
        <w:rPr>
          <w:rFonts w:hint="eastAsia" w:ascii="宋体" w:hAnsi="宋体"/>
          <w:bCs/>
          <w:color w:val="auto"/>
          <w:szCs w:val="21"/>
          <w:highlight w:val="none"/>
          <w:u w:val="single"/>
        </w:rPr>
        <w:t>2026</w:t>
      </w:r>
      <w:r>
        <w:rPr>
          <w:rFonts w:hint="eastAsia" w:ascii="宋体" w:hAnsi="宋体"/>
          <w:bCs/>
          <w:color w:val="auto"/>
          <w:szCs w:val="21"/>
          <w:highlight w:val="none"/>
        </w:rPr>
        <w:t>年</w:t>
      </w:r>
      <w:r>
        <w:rPr>
          <w:rFonts w:hint="eastAsia" w:ascii="宋体" w:hAnsi="宋体"/>
          <w:bCs/>
          <w:color w:val="auto"/>
          <w:szCs w:val="21"/>
          <w:highlight w:val="none"/>
          <w:u w:val="single"/>
        </w:rPr>
        <w:t>7</w:t>
      </w:r>
      <w:r>
        <w:rPr>
          <w:rFonts w:hint="eastAsia" w:ascii="宋体" w:hAnsi="宋体"/>
          <w:bCs/>
          <w:color w:val="auto"/>
          <w:szCs w:val="21"/>
          <w:highlight w:val="none"/>
        </w:rPr>
        <w:t>月</w:t>
      </w:r>
      <w:r>
        <w:rPr>
          <w:rFonts w:hint="eastAsia" w:ascii="宋体" w:hAnsi="宋体"/>
          <w:bCs/>
          <w:color w:val="auto"/>
          <w:szCs w:val="21"/>
          <w:highlight w:val="none"/>
          <w:u w:val="single"/>
        </w:rPr>
        <w:t>14</w:t>
      </w:r>
      <w:r>
        <w:rPr>
          <w:rFonts w:hint="eastAsia" w:ascii="宋体" w:hAnsi="宋体"/>
          <w:bCs/>
          <w:color w:val="auto"/>
          <w:szCs w:val="21"/>
          <w:highlight w:val="none"/>
        </w:rPr>
        <w:t>日</w:t>
      </w:r>
      <w:r>
        <w:rPr>
          <w:rFonts w:hint="eastAsia" w:ascii="宋体" w:hAnsi="宋体"/>
          <w:bCs/>
          <w:color w:val="auto"/>
          <w:szCs w:val="21"/>
          <w:highlight w:val="none"/>
          <w:u w:val="single"/>
        </w:rPr>
        <w:t>9</w:t>
      </w:r>
      <w:r>
        <w:rPr>
          <w:rFonts w:hint="eastAsia" w:ascii="宋体" w:hAnsi="宋体"/>
          <w:bCs/>
          <w:color w:val="auto"/>
          <w:szCs w:val="21"/>
          <w:highlight w:val="none"/>
        </w:rPr>
        <w:t>时</w:t>
      </w:r>
      <w:r>
        <w:rPr>
          <w:rFonts w:hint="eastAsia" w:ascii="宋体" w:hAnsi="宋体"/>
          <w:bCs/>
          <w:color w:val="auto"/>
          <w:szCs w:val="21"/>
          <w:highlight w:val="none"/>
          <w:u w:val="single"/>
        </w:rPr>
        <w:t>00</w:t>
      </w:r>
      <w:r>
        <w:rPr>
          <w:rFonts w:hint="eastAsia" w:ascii="宋体" w:hAnsi="宋体"/>
          <w:bCs/>
          <w:color w:val="auto"/>
          <w:szCs w:val="21"/>
          <w:highlight w:val="none"/>
        </w:rPr>
        <w:t>分（北京时间）</w:t>
      </w:r>
    </w:p>
    <w:p w14:paraId="2DA0D947">
      <w:pPr>
        <w:spacing w:line="380" w:lineRule="exact"/>
        <w:ind w:firstLine="420"/>
        <w:rPr>
          <w:rFonts w:hint="eastAsia" w:ascii="宋体" w:hAnsi="宋体"/>
          <w:bCs/>
          <w:color w:val="auto"/>
          <w:szCs w:val="21"/>
          <w:highlight w:val="none"/>
          <w:u w:val="singl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地点：广西政府采购云平台</w:t>
      </w:r>
      <w:r>
        <w:rPr>
          <w:rFonts w:hint="eastAsia" w:ascii="宋体" w:hAnsi="宋体" w:cs="宋体"/>
          <w:bCs/>
          <w:color w:val="auto"/>
          <w:szCs w:val="21"/>
          <w:highlight w:val="none"/>
        </w:rPr>
        <w:t>（https://www.gcy.zfcg.gxzf.gov.cn）</w:t>
      </w:r>
    </w:p>
    <w:p w14:paraId="0EBC3C02">
      <w:pPr>
        <w:spacing w:line="380" w:lineRule="exact"/>
        <w:ind w:firstLine="354"/>
        <w:rPr>
          <w:rFonts w:hint="eastAsia" w:ascii="黑体" w:hAnsi="黑体" w:eastAsia="黑体"/>
          <w:b/>
          <w:color w:val="auto"/>
          <w:sz w:val="24"/>
          <w:highlight w:val="none"/>
        </w:rPr>
      </w:pPr>
      <w:bookmarkStart w:id="33" w:name="_Toc35393634"/>
      <w:bookmarkStart w:id="34" w:name="_Toc28359017"/>
      <w:bookmarkStart w:id="35" w:name="_Toc28359094"/>
      <w:bookmarkStart w:id="36" w:name="_Toc35393803"/>
      <w:bookmarkStart w:id="37" w:name="_Toc71365910"/>
      <w:bookmarkStart w:id="38" w:name="_Toc44229883"/>
      <w:r>
        <w:rPr>
          <w:rFonts w:hint="eastAsia" w:ascii="黑体" w:hAnsi="黑体" w:eastAsia="黑体"/>
          <w:b/>
          <w:color w:val="auto"/>
          <w:sz w:val="24"/>
          <w:highlight w:val="none"/>
        </w:rPr>
        <w:t>六、公告期限</w:t>
      </w:r>
      <w:bookmarkEnd w:id="32"/>
      <w:bookmarkEnd w:id="33"/>
      <w:bookmarkEnd w:id="34"/>
      <w:bookmarkEnd w:id="35"/>
      <w:bookmarkEnd w:id="36"/>
      <w:bookmarkEnd w:id="37"/>
    </w:p>
    <w:p w14:paraId="6656C994">
      <w:pPr>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2A801D17">
      <w:pPr>
        <w:spacing w:line="380" w:lineRule="exact"/>
        <w:ind w:firstLine="354"/>
        <w:rPr>
          <w:rFonts w:hint="eastAsia" w:ascii="黑体" w:hAnsi="黑体" w:eastAsia="黑体"/>
          <w:b/>
          <w:color w:val="auto"/>
          <w:sz w:val="24"/>
          <w:highlight w:val="none"/>
        </w:rPr>
      </w:pPr>
      <w:bookmarkStart w:id="39" w:name="_Toc35393635"/>
      <w:bookmarkStart w:id="40" w:name="_Toc44229884"/>
      <w:bookmarkStart w:id="41" w:name="_Toc71365911"/>
      <w:bookmarkStart w:id="42" w:name="_Toc35393804"/>
      <w:r>
        <w:rPr>
          <w:rFonts w:hint="eastAsia" w:ascii="黑体" w:hAnsi="黑体" w:eastAsia="黑体"/>
          <w:b/>
          <w:color w:val="auto"/>
          <w:sz w:val="24"/>
          <w:highlight w:val="none"/>
        </w:rPr>
        <w:t>七、其他补充事宜</w:t>
      </w:r>
      <w:bookmarkEnd w:id="38"/>
      <w:bookmarkEnd w:id="39"/>
      <w:bookmarkEnd w:id="40"/>
      <w:bookmarkEnd w:id="41"/>
    </w:p>
    <w:p w14:paraId="0FE8CB88">
      <w:pPr>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网上查询地址</w:t>
      </w:r>
    </w:p>
    <w:p w14:paraId="70D4E184">
      <w:pPr>
        <w:spacing w:line="380" w:lineRule="exact"/>
        <w:ind w:firstLine="424"/>
        <w:rPr>
          <w:rFonts w:hint="eastAsia" w:ascii="宋体" w:hAnsi="宋体" w:cs="宋体"/>
          <w:color w:val="auto"/>
          <w:szCs w:val="21"/>
          <w:highlight w:val="none"/>
        </w:rPr>
      </w:pPr>
      <w:bookmarkStart w:id="43" w:name="_Hlk37429674"/>
      <w:bookmarkStart w:id="44" w:name="_Toc35393805"/>
      <w:bookmarkStart w:id="45" w:name="_Toc28359018"/>
      <w:bookmarkStart w:id="46" w:name="_Toc44229885"/>
      <w:bookmarkStart w:id="47" w:name="_Toc35393636"/>
      <w:bookmarkStart w:id="48" w:name="_Toc28359095"/>
      <w:r>
        <w:rPr>
          <w:rFonts w:hint="eastAsia" w:ascii="宋体" w:hAnsi="宋体" w:cs="宋体"/>
          <w:color w:val="auto"/>
          <w:szCs w:val="21"/>
          <w:highlight w:val="none"/>
        </w:rPr>
        <w:t>中国政府采购网（http://www.ccgp.gov.cn）、广西壮族自治区政府采购网（http://zfcg.gxzf.gov.cn）、广西玉林陆川县人民政府门户网站（http://www.luchuan.gov.cn）</w:t>
      </w:r>
    </w:p>
    <w:p w14:paraId="31DC7F3D">
      <w:pPr>
        <w:spacing w:line="380" w:lineRule="exact"/>
        <w:ind w:firstLine="424"/>
        <w:rPr>
          <w:rFonts w:hint="eastAsia" w:ascii="宋体" w:hAnsi="宋体" w:cs="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s="宋体"/>
          <w:color w:val="auto"/>
          <w:szCs w:val="21"/>
          <w:highlight w:val="none"/>
        </w:rPr>
        <w:t>本项目需要落实的政府采购政策</w:t>
      </w:r>
    </w:p>
    <w:p w14:paraId="730A0B6B">
      <w:pPr>
        <w:spacing w:line="380" w:lineRule="exact"/>
        <w:ind w:firstLine="420"/>
        <w:rPr>
          <w:rFonts w:hint="eastAsia" w:ascii="宋体" w:hAnsi="宋体" w:cs="宋体"/>
          <w:iCs/>
          <w:color w:val="auto"/>
          <w:szCs w:val="21"/>
          <w:highlight w:val="none"/>
        </w:rPr>
      </w:pPr>
      <w:r>
        <w:rPr>
          <w:rFonts w:hint="eastAsia" w:ascii="宋体" w:hAnsi="宋体" w:cs="宋体"/>
          <w:iCs/>
          <w:color w:val="auto"/>
          <w:szCs w:val="21"/>
          <w:highlight w:val="none"/>
        </w:rPr>
        <w:t>（1）政府采购促进中小企业发展。</w:t>
      </w:r>
    </w:p>
    <w:p w14:paraId="6364F3EA">
      <w:pPr>
        <w:spacing w:line="380" w:lineRule="exact"/>
        <w:ind w:firstLine="420"/>
        <w:rPr>
          <w:rFonts w:hint="eastAsia" w:ascii="宋体" w:hAnsi="宋体" w:cs="宋体"/>
          <w:iCs/>
          <w:color w:val="auto"/>
          <w:szCs w:val="21"/>
          <w:highlight w:val="none"/>
        </w:rPr>
      </w:pPr>
      <w:r>
        <w:rPr>
          <w:rFonts w:hint="eastAsia" w:ascii="宋体" w:hAnsi="宋体" w:cs="宋体"/>
          <w:iCs/>
          <w:color w:val="auto"/>
          <w:szCs w:val="21"/>
          <w:highlight w:val="none"/>
        </w:rPr>
        <w:t>（2）强制采购节能产品；优先采购节能产品、环境标志产品。</w:t>
      </w:r>
    </w:p>
    <w:p w14:paraId="32EE5584">
      <w:pPr>
        <w:spacing w:line="380" w:lineRule="exact"/>
        <w:ind w:firstLine="420"/>
        <w:rPr>
          <w:rFonts w:hint="eastAsia" w:ascii="宋体" w:hAnsi="宋体" w:cs="宋体"/>
          <w:iCs/>
          <w:color w:val="auto"/>
          <w:szCs w:val="21"/>
          <w:highlight w:val="none"/>
        </w:rPr>
      </w:pPr>
      <w:r>
        <w:rPr>
          <w:rFonts w:hint="eastAsia" w:ascii="宋体" w:hAnsi="宋体" w:cs="宋体"/>
          <w:iCs/>
          <w:color w:val="auto"/>
          <w:szCs w:val="21"/>
          <w:highlight w:val="none"/>
        </w:rPr>
        <w:t>（3）政府采购促进残疾人就业政策。</w:t>
      </w:r>
    </w:p>
    <w:p w14:paraId="7C5365F1">
      <w:pPr>
        <w:spacing w:line="380" w:lineRule="exact"/>
        <w:ind w:firstLine="420"/>
        <w:rPr>
          <w:rFonts w:hint="eastAsia" w:ascii="宋体" w:hAnsi="宋体" w:cs="宋体"/>
          <w:iCs/>
          <w:color w:val="auto"/>
          <w:szCs w:val="21"/>
          <w:highlight w:val="none"/>
        </w:rPr>
      </w:pPr>
      <w:r>
        <w:rPr>
          <w:rFonts w:hint="eastAsia" w:ascii="宋体" w:hAnsi="宋体" w:cs="宋体"/>
          <w:iCs/>
          <w:color w:val="auto"/>
          <w:szCs w:val="21"/>
          <w:highlight w:val="none"/>
        </w:rPr>
        <w:t>（4）政府采购支持监狱企业发展。</w:t>
      </w:r>
    </w:p>
    <w:bookmarkEnd w:id="42"/>
    <w:p w14:paraId="267AC936">
      <w:pPr>
        <w:spacing w:line="380" w:lineRule="exact"/>
        <w:ind w:firstLine="308"/>
        <w:rPr>
          <w:rFonts w:hint="eastAsia" w:ascii="宋体" w:hAnsi="宋体" w:cs="宋体"/>
          <w:color w:val="auto"/>
          <w:szCs w:val="21"/>
          <w:highlight w:val="none"/>
        </w:rPr>
      </w:pPr>
      <w:r>
        <w:rPr>
          <w:rFonts w:hint="eastAsia" w:ascii="宋体" w:hAnsi="宋体" w:cs="宋体"/>
          <w:color w:val="auto"/>
          <w:szCs w:val="21"/>
          <w:highlight w:val="none"/>
        </w:rPr>
        <w:t>3.供应商竞标注意事项</w:t>
      </w:r>
    </w:p>
    <w:p w14:paraId="4F85DD6E">
      <w:pPr>
        <w:spacing w:line="380" w:lineRule="exact"/>
        <w:ind w:firstLine="308"/>
        <w:rPr>
          <w:rFonts w:hint="eastAsia" w:ascii="宋体" w:hAnsi="宋体" w:cs="宋体"/>
          <w:color w:val="auto"/>
          <w:szCs w:val="21"/>
          <w:highlight w:val="none"/>
        </w:rPr>
      </w:pPr>
      <w:r>
        <w:rPr>
          <w:rFonts w:hint="eastAsia" w:ascii="宋体" w:hAnsi="宋体" w:cs="宋体"/>
          <w:color w:val="auto"/>
          <w:szCs w:val="21"/>
          <w:highlight w:val="none"/>
        </w:rPr>
        <w:t>（1）本项目为全流程电子化采购项目，通过广西政府采购云平台（https://www.gcy.zfcg.gxzf.gov.cn）实行在线电子竞标，供应商应先安装“广西政府采购云平台新版客户端”（请自行前往广西政府采购云平台进行下载），并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帮助中心-项目采购-操作手册-电子招投标”查看电子竞标具体操作流程。如在操作过程中遇到问题或者需要技术支持，请致电客服热线：95763或者0771-3381253。</w:t>
      </w:r>
    </w:p>
    <w:p w14:paraId="5D8CA35E">
      <w:pPr>
        <w:spacing w:line="380" w:lineRule="exact"/>
        <w:ind w:firstLine="308"/>
        <w:rPr>
          <w:rFonts w:hint="eastAsia" w:ascii="宋体" w:hAnsi="宋体" w:cs="宋体"/>
          <w:color w:val="auto"/>
          <w:szCs w:val="21"/>
          <w:highlight w:val="none"/>
        </w:rPr>
      </w:pPr>
      <w:r>
        <w:rPr>
          <w:rFonts w:hint="eastAsia" w:ascii="宋体" w:hAnsi="宋体" w:cs="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系统管理-CA管理-申领CA”中查看CA服务商并选择其中任意一家CA服务商办理CA数字证书。如在操作过程中遇到问题或者需要技术支持，请致电相应的CA服务商客服咨询电话）。</w:t>
      </w:r>
    </w:p>
    <w:p w14:paraId="77644841">
      <w:pPr>
        <w:spacing w:line="380" w:lineRule="exact"/>
        <w:ind w:firstLine="308"/>
        <w:rPr>
          <w:rFonts w:hint="eastAsia" w:ascii="宋体" w:hAnsi="宋体" w:cs="宋体"/>
          <w:color w:val="auto"/>
          <w:szCs w:val="21"/>
          <w:highlight w:val="none"/>
        </w:rPr>
      </w:pPr>
      <w:r>
        <w:rPr>
          <w:rFonts w:hint="eastAsia" w:ascii="宋体" w:hAnsi="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5D34D029">
      <w:pPr>
        <w:spacing w:line="380" w:lineRule="exact"/>
        <w:ind w:firstLine="308"/>
        <w:rPr>
          <w:rFonts w:hint="eastAsia" w:ascii="宋体" w:hAnsi="宋体" w:cs="宋体"/>
          <w:color w:val="auto"/>
          <w:szCs w:val="21"/>
          <w:highlight w:val="none"/>
        </w:rPr>
      </w:pPr>
      <w:r>
        <w:rPr>
          <w:rFonts w:hint="eastAsia" w:ascii="宋体" w:hAnsi="宋体" w:cs="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4E229A1F">
      <w:pPr>
        <w:spacing w:line="380" w:lineRule="exact"/>
        <w:ind w:firstLine="308"/>
        <w:rPr>
          <w:rFonts w:hint="eastAsia" w:ascii="宋体" w:hAnsi="宋体" w:cs="宋体"/>
          <w:color w:val="auto"/>
          <w:szCs w:val="21"/>
          <w:highlight w:val="none"/>
        </w:rPr>
      </w:pPr>
      <w:r>
        <w:rPr>
          <w:rFonts w:hint="eastAsia" w:ascii="宋体" w:hAnsi="宋体" w:cs="宋体"/>
          <w:color w:val="auto"/>
          <w:szCs w:val="21"/>
          <w:highlight w:val="none"/>
        </w:rPr>
        <w:t>（4）供应商需要在具备有摄像头及语音功能且互联网网络状况良好的电脑登录广西政府采购云平台远程开标大厅参与本次磋商，否则后果自负。</w:t>
      </w:r>
    </w:p>
    <w:p w14:paraId="207F8050">
      <w:pPr>
        <w:spacing w:line="380" w:lineRule="exact"/>
        <w:ind w:firstLine="308"/>
        <w:rPr>
          <w:rFonts w:hint="eastAsia" w:ascii="宋体" w:hAnsi="宋体" w:cs="宋体"/>
          <w:color w:val="auto"/>
          <w:szCs w:val="21"/>
          <w:highlight w:val="none"/>
        </w:rPr>
      </w:pPr>
      <w:r>
        <w:rPr>
          <w:rFonts w:hint="eastAsia" w:ascii="宋体" w:hAnsi="宋体" w:cs="宋体"/>
          <w:color w:val="auto"/>
          <w:szCs w:val="21"/>
          <w:highlight w:val="none"/>
        </w:rPr>
        <w:t>4.本项目采用远程异地评标。</w:t>
      </w:r>
    </w:p>
    <w:p w14:paraId="566A49DD">
      <w:pPr>
        <w:spacing w:line="380" w:lineRule="exact"/>
        <w:ind w:firstLine="308"/>
        <w:rPr>
          <w:rFonts w:hint="eastAsia" w:ascii="宋体" w:hAnsi="宋体" w:cs="宋体"/>
          <w:color w:val="auto"/>
          <w:szCs w:val="21"/>
          <w:highlight w:val="none"/>
        </w:rPr>
      </w:pPr>
      <w:r>
        <w:rPr>
          <w:rFonts w:hint="eastAsia" w:ascii="宋体" w:hAnsi="宋体" w:cs="宋体"/>
          <w:color w:val="auto"/>
          <w:szCs w:val="21"/>
          <w:highlight w:val="none"/>
        </w:rPr>
        <w:t>5.监督部门：陆川县财政局政府采购监督管理股，电话：0775-7235528。</w:t>
      </w:r>
    </w:p>
    <w:p w14:paraId="46A08418">
      <w:pPr>
        <w:spacing w:line="380" w:lineRule="exact"/>
        <w:ind w:firstLine="354"/>
        <w:rPr>
          <w:rFonts w:hint="eastAsia" w:ascii="黑体" w:hAnsi="黑体" w:eastAsia="黑体"/>
          <w:b/>
          <w:color w:val="auto"/>
          <w:sz w:val="24"/>
          <w:highlight w:val="none"/>
        </w:rPr>
      </w:pPr>
      <w:r>
        <w:rPr>
          <w:rFonts w:hint="eastAsia" w:ascii="黑体" w:hAnsi="黑体" w:eastAsia="黑体"/>
          <w:b/>
          <w:color w:val="auto"/>
          <w:sz w:val="24"/>
          <w:highlight w:val="none"/>
        </w:rPr>
        <w:t>八、凡对本次采购提出询问，请按</w:t>
      </w:r>
      <w:r>
        <w:rPr>
          <w:rFonts w:ascii="黑体" w:hAnsi="黑体" w:eastAsia="黑体"/>
          <w:b/>
          <w:color w:val="auto"/>
          <w:sz w:val="24"/>
          <w:highlight w:val="none"/>
        </w:rPr>
        <w:t>以下方式</w:t>
      </w:r>
      <w:r>
        <w:rPr>
          <w:rFonts w:hint="eastAsia" w:ascii="黑体" w:hAnsi="黑体" w:eastAsia="黑体"/>
          <w:b/>
          <w:color w:val="auto"/>
          <w:sz w:val="24"/>
          <w:highlight w:val="none"/>
        </w:rPr>
        <w:t>联系。</w:t>
      </w:r>
      <w:bookmarkEnd w:id="43"/>
      <w:bookmarkEnd w:id="44"/>
      <w:bookmarkEnd w:id="45"/>
      <w:bookmarkEnd w:id="46"/>
      <w:bookmarkEnd w:id="47"/>
    </w:p>
    <w:p w14:paraId="16F85A46">
      <w:pPr>
        <w:spacing w:line="380" w:lineRule="exact"/>
        <w:ind w:firstLine="420"/>
        <w:rPr>
          <w:rFonts w:hint="eastAsia" w:ascii="宋体" w:hAnsi="宋体" w:cs="宋体"/>
          <w:color w:val="auto"/>
          <w:szCs w:val="21"/>
          <w:highlight w:val="none"/>
        </w:rPr>
      </w:pPr>
      <w:bookmarkStart w:id="49" w:name="_Toc28359019"/>
      <w:bookmarkStart w:id="50" w:name="_Toc35393637"/>
      <w:bookmarkStart w:id="51" w:name="_Toc28359096"/>
      <w:bookmarkStart w:id="52" w:name="_Toc35393806"/>
      <w:r>
        <w:rPr>
          <w:rFonts w:hint="eastAsia" w:ascii="宋体" w:hAnsi="宋体" w:cs="宋体"/>
          <w:color w:val="auto"/>
          <w:szCs w:val="21"/>
          <w:highlight w:val="none"/>
        </w:rPr>
        <w:t>1.采购人信息</w:t>
      </w:r>
      <w:bookmarkEnd w:id="48"/>
      <w:bookmarkEnd w:id="49"/>
      <w:bookmarkEnd w:id="50"/>
      <w:bookmarkEnd w:id="51"/>
    </w:p>
    <w:p w14:paraId="50ABE2D4">
      <w:pPr>
        <w:spacing w:line="380" w:lineRule="exact"/>
        <w:ind w:firstLine="420"/>
        <w:rPr>
          <w:rFonts w:hint="eastAsia" w:ascii="宋体" w:hAnsi="宋体"/>
          <w:color w:val="auto"/>
          <w:szCs w:val="21"/>
          <w:highlight w:val="none"/>
        </w:rPr>
      </w:pPr>
      <w:bookmarkStart w:id="53" w:name="_Toc35393807"/>
      <w:bookmarkStart w:id="54" w:name="_Toc28359020"/>
      <w:bookmarkStart w:id="55" w:name="_Toc35393638"/>
      <w:bookmarkStart w:id="56" w:name="_Toc28359097"/>
      <w:r>
        <w:rPr>
          <w:rFonts w:hint="eastAsia" w:ascii="宋体" w:hAnsi="宋体"/>
          <w:color w:val="auto"/>
          <w:szCs w:val="21"/>
          <w:highlight w:val="none"/>
        </w:rPr>
        <w:t>名  称：陆川县横山镇人民政府</w:t>
      </w:r>
    </w:p>
    <w:p w14:paraId="6D29D014">
      <w:pPr>
        <w:spacing w:line="380" w:lineRule="exact"/>
        <w:ind w:firstLine="420"/>
        <w:rPr>
          <w:rFonts w:hint="eastAsia" w:ascii="宋体" w:hAnsi="宋体"/>
          <w:color w:val="auto"/>
          <w:szCs w:val="21"/>
          <w:highlight w:val="none"/>
        </w:rPr>
      </w:pPr>
      <w:r>
        <w:rPr>
          <w:rFonts w:hint="eastAsia" w:ascii="宋体" w:hAnsi="宋体"/>
          <w:color w:val="auto"/>
          <w:szCs w:val="21"/>
          <w:highlight w:val="none"/>
        </w:rPr>
        <w:t>地  址：陆川县横山镇龙兴街4号</w:t>
      </w:r>
    </w:p>
    <w:p w14:paraId="78209323">
      <w:pPr>
        <w:spacing w:line="380" w:lineRule="exact"/>
        <w:ind w:firstLine="420"/>
        <w:rPr>
          <w:rFonts w:hint="eastAsia" w:ascii="宋体" w:hAnsi="宋体"/>
          <w:color w:val="auto"/>
          <w:szCs w:val="21"/>
          <w:highlight w:val="none"/>
        </w:rPr>
      </w:pPr>
      <w:r>
        <w:rPr>
          <w:rFonts w:hint="eastAsia" w:ascii="宋体" w:hAnsi="宋体"/>
          <w:color w:val="auto"/>
          <w:szCs w:val="21"/>
          <w:highlight w:val="none"/>
        </w:rPr>
        <w:t>项目联系人：谭独秀</w:t>
      </w:r>
    </w:p>
    <w:p w14:paraId="14B999EE">
      <w:pPr>
        <w:spacing w:line="380" w:lineRule="exact"/>
        <w:ind w:firstLine="420"/>
        <w:rPr>
          <w:rFonts w:hint="eastAsia" w:ascii="宋体" w:hAnsi="宋体" w:cs="宋体"/>
          <w:color w:val="auto"/>
          <w:szCs w:val="21"/>
          <w:highlight w:val="none"/>
        </w:rPr>
      </w:pPr>
      <w:r>
        <w:rPr>
          <w:rFonts w:hint="eastAsia" w:ascii="宋体" w:hAnsi="宋体"/>
          <w:color w:val="auto"/>
          <w:szCs w:val="21"/>
          <w:highlight w:val="none"/>
        </w:rPr>
        <w:t>项目联系方式：0775-7123223</w:t>
      </w:r>
      <w:r>
        <w:rPr>
          <w:rFonts w:hint="eastAsia" w:ascii="宋体" w:hAnsi="宋体" w:cs="宋体"/>
          <w:color w:val="auto"/>
          <w:szCs w:val="21"/>
          <w:highlight w:val="none"/>
        </w:rPr>
        <w:t xml:space="preserve"> </w:t>
      </w:r>
    </w:p>
    <w:p w14:paraId="2F530ED0">
      <w:pPr>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2.采购代理机构信息</w:t>
      </w:r>
      <w:bookmarkEnd w:id="52"/>
      <w:bookmarkEnd w:id="53"/>
      <w:bookmarkEnd w:id="54"/>
      <w:bookmarkEnd w:id="55"/>
    </w:p>
    <w:p w14:paraId="206C02C1">
      <w:pPr>
        <w:spacing w:line="380" w:lineRule="exact"/>
        <w:ind w:firstLine="420"/>
        <w:rPr>
          <w:rFonts w:hint="eastAsia" w:ascii="宋体" w:hAnsi="宋体"/>
          <w:color w:val="auto"/>
          <w:szCs w:val="21"/>
          <w:highlight w:val="none"/>
        </w:rPr>
      </w:pPr>
      <w:r>
        <w:rPr>
          <w:rFonts w:hint="eastAsia" w:ascii="宋体" w:hAnsi="宋体"/>
          <w:color w:val="auto"/>
          <w:szCs w:val="21"/>
          <w:highlight w:val="none"/>
        </w:rPr>
        <w:t>名  称：云之龙咨询集团有限公司</w:t>
      </w:r>
    </w:p>
    <w:p w14:paraId="6AB25AA3">
      <w:pPr>
        <w:spacing w:line="380" w:lineRule="exact"/>
        <w:ind w:firstLine="420"/>
        <w:rPr>
          <w:rFonts w:hint="eastAsia" w:ascii="宋体" w:hAnsi="宋体"/>
          <w:color w:val="auto"/>
          <w:szCs w:val="21"/>
          <w:highlight w:val="none"/>
        </w:rPr>
      </w:pPr>
      <w:r>
        <w:rPr>
          <w:rFonts w:hint="eastAsia" w:ascii="宋体" w:hAnsi="宋体"/>
          <w:color w:val="auto"/>
          <w:szCs w:val="21"/>
          <w:highlight w:val="none"/>
        </w:rPr>
        <w:t>地　址：广西陆川县温泉镇凤凰一巷15号二楼</w:t>
      </w:r>
    </w:p>
    <w:p w14:paraId="574C05B7">
      <w:pPr>
        <w:spacing w:line="380" w:lineRule="exact"/>
        <w:ind w:firstLine="420"/>
        <w:rPr>
          <w:rFonts w:hint="eastAsia" w:ascii="宋体" w:hAnsi="宋体"/>
          <w:color w:val="auto"/>
          <w:szCs w:val="21"/>
          <w:highlight w:val="none"/>
        </w:rPr>
      </w:pPr>
      <w:r>
        <w:rPr>
          <w:rFonts w:hint="eastAsia" w:ascii="宋体" w:hAnsi="宋体"/>
          <w:color w:val="auto"/>
          <w:szCs w:val="21"/>
          <w:highlight w:val="none"/>
        </w:rPr>
        <w:t>项目联系人：高瑾、李剑斌</w:t>
      </w:r>
    </w:p>
    <w:p w14:paraId="1A8429E8">
      <w:pPr>
        <w:spacing w:line="380" w:lineRule="exact"/>
        <w:ind w:firstLine="420"/>
        <w:rPr>
          <w:rFonts w:hint="eastAsia" w:ascii="宋体" w:hAnsi="宋体"/>
          <w:color w:val="auto"/>
          <w:szCs w:val="21"/>
          <w:highlight w:val="none"/>
        </w:rPr>
      </w:pPr>
      <w:r>
        <w:rPr>
          <w:rFonts w:hint="eastAsia" w:ascii="宋体" w:hAnsi="宋体"/>
          <w:color w:val="auto"/>
          <w:szCs w:val="21"/>
          <w:highlight w:val="none"/>
        </w:rPr>
        <w:t>联系方式：0775-7210518</w:t>
      </w:r>
    </w:p>
    <w:p w14:paraId="5B485663">
      <w:pPr>
        <w:spacing w:line="380" w:lineRule="exact"/>
        <w:ind w:firstLine="420"/>
        <w:rPr>
          <w:rFonts w:hint="eastAsia" w:ascii="宋体" w:hAnsi="宋体"/>
          <w:color w:val="auto"/>
          <w:szCs w:val="21"/>
          <w:highlight w:val="none"/>
        </w:rPr>
      </w:pPr>
      <w:r>
        <w:rPr>
          <w:rFonts w:hint="eastAsia" w:ascii="宋体" w:hAnsi="宋体"/>
          <w:color w:val="auto"/>
          <w:szCs w:val="21"/>
          <w:highlight w:val="none"/>
        </w:rPr>
        <w:t>3.项目联系方式</w:t>
      </w:r>
    </w:p>
    <w:p w14:paraId="0126FB25">
      <w:pPr>
        <w:spacing w:line="380" w:lineRule="exact"/>
        <w:ind w:firstLine="420"/>
        <w:rPr>
          <w:rFonts w:hint="eastAsia" w:ascii="宋体" w:hAnsi="宋体"/>
          <w:color w:val="auto"/>
          <w:szCs w:val="21"/>
          <w:highlight w:val="none"/>
        </w:rPr>
      </w:pPr>
      <w:r>
        <w:rPr>
          <w:rFonts w:hint="eastAsia" w:ascii="宋体" w:hAnsi="宋体"/>
          <w:color w:val="auto"/>
          <w:szCs w:val="21"/>
          <w:highlight w:val="none"/>
        </w:rPr>
        <w:t>项目联系人：高瑾、李剑斌</w:t>
      </w:r>
    </w:p>
    <w:p w14:paraId="4F7D727D">
      <w:pPr>
        <w:spacing w:line="380" w:lineRule="exact"/>
        <w:ind w:firstLine="420"/>
        <w:rPr>
          <w:rFonts w:hint="eastAsia" w:ascii="宋体" w:hAnsi="宋体"/>
          <w:color w:val="auto"/>
          <w:szCs w:val="21"/>
          <w:highlight w:val="none"/>
          <w:u w:val="single"/>
        </w:rPr>
      </w:pPr>
      <w:r>
        <w:rPr>
          <w:rFonts w:hint="eastAsia" w:ascii="宋体" w:hAnsi="宋体"/>
          <w:color w:val="auto"/>
          <w:szCs w:val="21"/>
          <w:highlight w:val="none"/>
        </w:rPr>
        <w:t>电  话：0775-7210518</w:t>
      </w:r>
    </w:p>
    <w:bookmarkEnd w:id="56"/>
    <w:p w14:paraId="1A9DFA28">
      <w:pPr>
        <w:pStyle w:val="199"/>
        <w:spacing w:before="300" w:after="300" w:line="360" w:lineRule="auto"/>
        <w:jc w:val="center"/>
        <w:rPr>
          <w:color w:val="auto"/>
          <w:highlight w:val="none"/>
        </w:rPr>
      </w:pPr>
      <w:bookmarkStart w:id="57" w:name="_Toc233964162"/>
      <w:r>
        <w:rPr>
          <w:rFonts w:hint="eastAsia"/>
          <w:color w:val="auto"/>
          <w:highlight w:val="none"/>
        </w:rPr>
        <w:t>第二章 供应商须知</w:t>
      </w:r>
      <w:bookmarkEnd w:id="57"/>
    </w:p>
    <w:p w14:paraId="3992A02E">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供应商须知前附表</w:t>
      </w:r>
    </w:p>
    <w:p w14:paraId="4917E1C6">
      <w:pPr>
        <w:spacing w:line="400" w:lineRule="exact"/>
        <w:jc w:val="center"/>
        <w:rPr>
          <w:rFonts w:hint="eastAsia" w:ascii="宋体" w:hAnsi="宋体"/>
          <w:b/>
          <w:color w:val="auto"/>
          <w:sz w:val="32"/>
          <w:szCs w:val="32"/>
          <w:highlight w:val="none"/>
        </w:rPr>
      </w:pPr>
    </w:p>
    <w:tbl>
      <w:tblPr>
        <w:tblStyle w:val="44"/>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018B3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tcPr>
          <w:p w14:paraId="343D3356">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7912" w:type="dxa"/>
            <w:tcBorders>
              <w:top w:val="single" w:color="000000" w:sz="4" w:space="0"/>
              <w:left w:val="single" w:color="000000" w:sz="4" w:space="0"/>
              <w:bottom w:val="single" w:color="000000" w:sz="4" w:space="0"/>
              <w:right w:val="single" w:color="000000" w:sz="4" w:space="0"/>
            </w:tcBorders>
          </w:tcPr>
          <w:p w14:paraId="2AE72BE2">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5BB7A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547FE7A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3.1</w:t>
            </w:r>
          </w:p>
        </w:tc>
        <w:tc>
          <w:tcPr>
            <w:tcW w:w="7912" w:type="dxa"/>
            <w:tcBorders>
              <w:top w:val="single" w:color="000000" w:sz="4" w:space="0"/>
              <w:left w:val="single" w:color="000000" w:sz="4" w:space="0"/>
              <w:bottom w:val="single" w:color="000000" w:sz="4" w:space="0"/>
              <w:right w:val="single" w:color="000000" w:sz="4" w:space="0"/>
            </w:tcBorders>
            <w:vAlign w:val="center"/>
          </w:tcPr>
          <w:p w14:paraId="49E7C685">
            <w:pPr>
              <w:spacing w:line="360" w:lineRule="auto"/>
              <w:rPr>
                <w:rFonts w:hint="eastAsia" w:ascii="宋体" w:hAnsi="宋体"/>
                <w:color w:val="auto"/>
                <w:szCs w:val="21"/>
                <w:highlight w:val="none"/>
              </w:rPr>
            </w:pPr>
            <w:r>
              <w:rPr>
                <w:rFonts w:hint="eastAsia" w:ascii="宋体" w:hAnsi="宋体" w:cs="宋体"/>
                <w:bCs/>
                <w:color w:val="auto"/>
                <w:szCs w:val="21"/>
                <w:highlight w:val="none"/>
              </w:rPr>
              <w:t>供应商的资格条件</w:t>
            </w:r>
            <w:r>
              <w:rPr>
                <w:rFonts w:hint="eastAsia" w:ascii="宋体" w:hAnsi="宋体" w:cs="宋体"/>
                <w:color w:val="auto"/>
                <w:szCs w:val="21"/>
                <w:highlight w:val="none"/>
              </w:rPr>
              <w:t>：详见竞争性磋商公告</w:t>
            </w:r>
          </w:p>
        </w:tc>
      </w:tr>
      <w:tr w14:paraId="683FF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2F6CC9E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7912" w:type="dxa"/>
            <w:tcBorders>
              <w:top w:val="single" w:color="000000" w:sz="4" w:space="0"/>
              <w:left w:val="single" w:color="000000" w:sz="4" w:space="0"/>
              <w:bottom w:val="single" w:color="000000" w:sz="4" w:space="0"/>
              <w:right w:val="single" w:color="000000" w:sz="4" w:space="0"/>
            </w:tcBorders>
            <w:vAlign w:val="center"/>
          </w:tcPr>
          <w:p w14:paraId="7B8995A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是否接受联合体竞标: 详见竞争性磋商公告</w:t>
            </w:r>
          </w:p>
        </w:tc>
      </w:tr>
      <w:tr w14:paraId="60C08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7A26148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.2</w:t>
            </w:r>
          </w:p>
        </w:tc>
        <w:tc>
          <w:tcPr>
            <w:tcW w:w="7912" w:type="dxa"/>
            <w:tcBorders>
              <w:top w:val="single" w:color="000000" w:sz="4" w:space="0"/>
              <w:left w:val="single" w:color="000000" w:sz="4" w:space="0"/>
              <w:bottom w:val="single" w:color="000000" w:sz="4" w:space="0"/>
              <w:right w:val="single" w:color="000000" w:sz="4" w:space="0"/>
            </w:tcBorders>
            <w:vAlign w:val="center"/>
          </w:tcPr>
          <w:p w14:paraId="21EEC9C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联合体竞标要求如下：无</w:t>
            </w:r>
          </w:p>
        </w:tc>
      </w:tr>
      <w:tr w14:paraId="28EFE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54BC494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7912" w:type="dxa"/>
            <w:tcBorders>
              <w:top w:val="single" w:color="000000" w:sz="4" w:space="0"/>
              <w:left w:val="single" w:color="000000" w:sz="4" w:space="0"/>
              <w:bottom w:val="single" w:color="000000" w:sz="4" w:space="0"/>
              <w:right w:val="single" w:color="000000" w:sz="4" w:space="0"/>
            </w:tcBorders>
            <w:vAlign w:val="center"/>
          </w:tcPr>
          <w:p w14:paraId="56547D5D">
            <w:pPr>
              <w:pStyle w:val="226"/>
              <w:spacing w:line="360" w:lineRule="auto"/>
              <w:rPr>
                <w:rFonts w:hint="eastAsia" w:ascii="宋体" w:hAnsi="宋体"/>
                <w:color w:val="auto"/>
                <w:szCs w:val="21"/>
                <w:highlight w:val="none"/>
              </w:rPr>
            </w:pPr>
            <w:r>
              <w:rPr>
                <w:rFonts w:ascii="Wingdings 2" w:hAnsi="Wingdings 2" w:eastAsia="Wingdings 2" w:cs="Wingdings 2"/>
                <w:color w:val="auto"/>
                <w:szCs w:val="21"/>
                <w:highlight w:val="none"/>
              </w:rPr>
              <w:t>R</w:t>
            </w:r>
            <w:r>
              <w:rPr>
                <w:rFonts w:hint="eastAsia" w:ascii="宋体" w:hAnsi="宋体"/>
                <w:color w:val="auto"/>
                <w:szCs w:val="21"/>
                <w:highlight w:val="none"/>
              </w:rPr>
              <w:t>不允许分包</w:t>
            </w:r>
          </w:p>
          <w:p w14:paraId="025A3EB1">
            <w:pPr>
              <w:pStyle w:val="226"/>
              <w:spacing w:line="360" w:lineRule="auto"/>
              <w:rPr>
                <w:rFonts w:hint="eastAsia" w:ascii="宋体" w:hAnsi="宋体"/>
                <w:color w:val="auto"/>
                <w:szCs w:val="21"/>
                <w:highlight w:val="none"/>
              </w:rPr>
            </w:pPr>
            <w:r>
              <w:rPr>
                <w:rFonts w:hint="eastAsia" w:ascii="宋体" w:hAnsi="宋体"/>
                <w:color w:val="auto"/>
                <w:szCs w:val="21"/>
                <w:highlight w:val="none"/>
              </w:rPr>
              <w:t>□允许分包</w:t>
            </w:r>
          </w:p>
          <w:p w14:paraId="5B23C0F9">
            <w:pPr>
              <w:pStyle w:val="226"/>
              <w:spacing w:line="360" w:lineRule="auto"/>
              <w:rPr>
                <w:rFonts w:hint="eastAsia" w:ascii="宋体" w:hAnsi="宋体"/>
                <w:color w:val="auto"/>
                <w:szCs w:val="21"/>
                <w:highlight w:val="none"/>
                <w:u w:val="single"/>
              </w:rPr>
            </w:pPr>
            <w:r>
              <w:rPr>
                <w:rFonts w:hint="eastAsia" w:ascii="宋体" w:hAnsi="宋体"/>
                <w:color w:val="auto"/>
                <w:szCs w:val="21"/>
                <w:highlight w:val="none"/>
              </w:rPr>
              <w:t>分包内容：</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05AF04E7">
            <w:pPr>
              <w:pStyle w:val="226"/>
              <w:spacing w:line="360" w:lineRule="auto"/>
              <w:rPr>
                <w:rFonts w:hint="eastAsia" w:ascii="宋体" w:hAnsi="宋体"/>
                <w:color w:val="auto"/>
                <w:szCs w:val="21"/>
                <w:highlight w:val="none"/>
                <w:u w:val="single"/>
              </w:rPr>
            </w:pPr>
            <w:r>
              <w:rPr>
                <w:rFonts w:hint="eastAsia" w:ascii="宋体" w:hAnsi="宋体"/>
                <w:color w:val="auto"/>
                <w:szCs w:val="21"/>
                <w:highlight w:val="none"/>
              </w:rPr>
              <w:t>分包金额或者比例：</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265BC060">
            <w:pPr>
              <w:pStyle w:val="226"/>
              <w:spacing w:line="360" w:lineRule="auto"/>
              <w:rPr>
                <w:rFonts w:hint="eastAsia" w:ascii="宋体" w:hAnsi="宋体" w:cs="宋体"/>
                <w:color w:val="auto"/>
                <w:szCs w:val="21"/>
                <w:highlight w:val="none"/>
              </w:rPr>
            </w:pPr>
            <w:r>
              <w:rPr>
                <w:rFonts w:hint="eastAsia" w:ascii="宋体" w:hAnsi="宋体"/>
                <w:color w:val="auto"/>
                <w:szCs w:val="21"/>
                <w:highlight w:val="none"/>
              </w:rPr>
              <w:t>分包供应商必须具备的资质：</w:t>
            </w:r>
            <w:r>
              <w:rPr>
                <w:rFonts w:hint="eastAsia" w:ascii="宋体" w:hAnsi="宋体"/>
                <w:color w:val="auto"/>
                <w:szCs w:val="21"/>
                <w:highlight w:val="none"/>
                <w:u w:val="single"/>
              </w:rPr>
              <w:t xml:space="preserve">  /                              </w:t>
            </w:r>
            <w:r>
              <w:rPr>
                <w:rFonts w:hint="eastAsia" w:ascii="宋体" w:hAnsi="宋体"/>
                <w:color w:val="auto"/>
                <w:szCs w:val="21"/>
                <w:highlight w:val="none"/>
              </w:rPr>
              <w:t>。</w:t>
            </w:r>
          </w:p>
        </w:tc>
      </w:tr>
      <w:tr w14:paraId="4EB04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178B638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7912" w:type="dxa"/>
            <w:tcBorders>
              <w:top w:val="single" w:color="000000" w:sz="4" w:space="0"/>
              <w:left w:val="single" w:color="000000" w:sz="4" w:space="0"/>
              <w:bottom w:val="single" w:color="000000" w:sz="4" w:space="0"/>
              <w:right w:val="single" w:color="000000" w:sz="4" w:space="0"/>
            </w:tcBorders>
            <w:vAlign w:val="center"/>
          </w:tcPr>
          <w:p w14:paraId="597500FC">
            <w:pPr>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78B3BB6E">
            <w:pPr>
              <w:pStyle w:val="226"/>
              <w:spacing w:line="360" w:lineRule="auto"/>
              <w:rPr>
                <w:rFonts w:hint="eastAsia" w:ascii="宋体" w:hAnsi="宋体" w:cs="宋体"/>
                <w:color w:val="auto"/>
                <w:szCs w:val="21"/>
                <w:highlight w:val="none"/>
              </w:rPr>
            </w:pPr>
            <w:r>
              <w:rPr>
                <w:rFonts w:hint="eastAsia" w:ascii="宋体" w:hAnsi="宋体" w:cs="宋体"/>
                <w:color w:val="auto"/>
                <w:szCs w:val="21"/>
                <w:highlight w:val="none"/>
              </w:rPr>
              <w:t>1.供应商有效的营业执照复印件；（</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22A5CC7">
            <w:pPr>
              <w:spacing w:line="360" w:lineRule="auto"/>
              <w:jc w:val="left"/>
              <w:rPr>
                <w:rFonts w:hint="eastAsia" w:ascii="宋体" w:hAnsi="宋体" w:cs="宋体"/>
                <w:b/>
                <w:color w:val="auto"/>
                <w:szCs w:val="21"/>
                <w:highlight w:val="none"/>
              </w:rPr>
            </w:pPr>
            <w:r>
              <w:rPr>
                <w:rFonts w:hint="eastAsia" w:ascii="宋体" w:hAnsi="宋体" w:cs="宋体"/>
                <w:color w:val="auto"/>
                <w:szCs w:val="21"/>
                <w:highlight w:val="none"/>
              </w:rPr>
              <w:t>2.特定资格要求：</w:t>
            </w:r>
            <w:r>
              <w:rPr>
                <w:rFonts w:hint="eastAsia" w:ascii="宋体" w:hAnsi="宋体" w:cs="宋体"/>
                <w:b/>
                <w:color w:val="auto"/>
                <w:szCs w:val="21"/>
                <w:highlight w:val="none"/>
              </w:rPr>
              <w:t>（必须提供，否则响应文件按无效处理）</w:t>
            </w:r>
          </w:p>
          <w:p w14:paraId="4E3614D6">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2.1供应商有效的公路工程施工总承包三级以上（含三级）资质证书复印件，有效的省级及以上建设行政主管部门颁发的安全生产许可证复印件；</w:t>
            </w:r>
          </w:p>
          <w:p w14:paraId="0BCA27B8">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2.2项目经理有效的公路工程专业二级以上（含二级）注册建造师证书复印件，有效的安全生产考核合格证（B类）复印件，且为本单位在职职工，并未在其他在施建设工程项目中任职，提供未在其他在施建设工程项目中任职的承诺函；</w:t>
            </w:r>
          </w:p>
          <w:p w14:paraId="65626661">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2.3专职安全员</w:t>
            </w:r>
            <w:r>
              <w:rPr>
                <w:rFonts w:hint="eastAsia"/>
                <w:color w:val="auto"/>
                <w:highlight w:val="none"/>
              </w:rPr>
              <w:t>不少于1人，且</w:t>
            </w:r>
            <w:r>
              <w:rPr>
                <w:rFonts w:hint="eastAsia" w:ascii="宋体" w:hAnsi="宋体" w:cs="宋体"/>
                <w:color w:val="auto"/>
                <w:szCs w:val="21"/>
                <w:highlight w:val="none"/>
              </w:rPr>
              <w:t>具备安全生产考核合格证书（C类）证书复印件。</w:t>
            </w:r>
          </w:p>
          <w:p w14:paraId="0AFE7B59">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3.供应商依法缴纳税收的相关材料（</w:t>
            </w:r>
            <w:r>
              <w:rPr>
                <w:rFonts w:hint="eastAsia" w:ascii="宋体" w:hAnsi="宋体" w:cs="宋体"/>
                <w:color w:val="auto"/>
                <w:szCs w:val="21"/>
                <w:highlight w:val="none"/>
                <w:u w:val="single"/>
              </w:rPr>
              <w:t>2026</w:t>
            </w:r>
            <w:r>
              <w:rPr>
                <w:rFonts w:hint="eastAsia" w:ascii="宋体" w:hAnsi="宋体" w:cs="宋体"/>
                <w:color w:val="auto"/>
                <w:szCs w:val="21"/>
                <w:highlight w:val="none"/>
              </w:rPr>
              <w:t>年</w:t>
            </w:r>
            <w:r>
              <w:rPr>
                <w:rFonts w:hint="eastAsia" w:ascii="宋体" w:hAnsi="宋体" w:cs="宋体"/>
                <w:color w:val="auto"/>
                <w:szCs w:val="21"/>
                <w:highlight w:val="none"/>
                <w:u w:val="single"/>
              </w:rPr>
              <w:t>1</w:t>
            </w:r>
            <w:r>
              <w:rPr>
                <w:rFonts w:hint="eastAsia" w:ascii="宋体" w:hAnsi="宋体" w:cs="宋体"/>
                <w:color w:val="auto"/>
                <w:szCs w:val="21"/>
                <w:highlight w:val="none"/>
              </w:rPr>
              <w:t>月至响应文件提交截止时间前连续</w:t>
            </w:r>
            <w:r>
              <w:rPr>
                <w:rFonts w:hint="eastAsia" w:ascii="宋体" w:hAnsi="宋体" w:cs="宋体"/>
                <w:color w:val="auto"/>
                <w:szCs w:val="21"/>
                <w:highlight w:val="none"/>
                <w:u w:val="single"/>
              </w:rPr>
              <w:t>3</w:t>
            </w:r>
            <w:r>
              <w:rPr>
                <w:rFonts w:hint="eastAsia" w:ascii="宋体" w:hAnsi="宋体" w:cs="宋体"/>
                <w:color w:val="auto"/>
                <w:szCs w:val="21"/>
                <w:highlight w:val="none"/>
              </w:rPr>
              <w:t>个月的依法缴纳税收的凭据复印件；</w:t>
            </w:r>
            <w:r>
              <w:rPr>
                <w:rFonts w:hint="eastAsia"/>
                <w:color w:val="auto"/>
                <w:highlight w:val="none"/>
              </w:rPr>
              <w:t>依法免税的，必须提供相应文件证明其依法免税。</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到响应文件提交截止时间止不足要求月数的，只需提供从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的依法缴纳税收</w:t>
            </w:r>
            <w:r>
              <w:rPr>
                <w:rFonts w:hint="eastAsia"/>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5FCEAC38">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4.供应商依法缴纳社会保障资金的相关材料[</w:t>
            </w:r>
            <w:r>
              <w:rPr>
                <w:rFonts w:hint="eastAsia" w:ascii="宋体" w:hAnsi="宋体" w:cs="宋体"/>
                <w:color w:val="auto"/>
                <w:szCs w:val="21"/>
                <w:highlight w:val="none"/>
                <w:u w:val="single"/>
              </w:rPr>
              <w:t>2026</w:t>
            </w:r>
            <w:r>
              <w:rPr>
                <w:rFonts w:hint="eastAsia" w:ascii="宋体" w:hAnsi="宋体" w:cs="宋体"/>
                <w:color w:val="auto"/>
                <w:szCs w:val="21"/>
                <w:highlight w:val="none"/>
              </w:rPr>
              <w:t>年</w:t>
            </w:r>
            <w:r>
              <w:rPr>
                <w:rFonts w:hint="eastAsia" w:ascii="宋体" w:hAnsi="宋体" w:cs="宋体"/>
                <w:color w:val="auto"/>
                <w:szCs w:val="21"/>
                <w:highlight w:val="none"/>
                <w:u w:val="single"/>
              </w:rPr>
              <w:t>1</w:t>
            </w:r>
            <w:r>
              <w:rPr>
                <w:rFonts w:hint="eastAsia" w:ascii="宋体" w:hAnsi="宋体" w:cs="宋体"/>
                <w:color w:val="auto"/>
                <w:szCs w:val="21"/>
                <w:highlight w:val="none"/>
              </w:rPr>
              <w:t>月至响应文件提交截止时间前连续</w:t>
            </w:r>
            <w:r>
              <w:rPr>
                <w:rFonts w:hint="eastAsia" w:ascii="宋体" w:hAnsi="宋体" w:cs="宋体"/>
                <w:color w:val="auto"/>
                <w:szCs w:val="21"/>
                <w:highlight w:val="none"/>
                <w:u w:val="single"/>
              </w:rPr>
              <w:t xml:space="preserve">3 </w:t>
            </w:r>
            <w:r>
              <w:rPr>
                <w:rFonts w:hint="eastAsia" w:ascii="宋体" w:hAnsi="宋体" w:cs="宋体"/>
                <w:color w:val="auto"/>
                <w:szCs w:val="21"/>
                <w:highlight w:val="none"/>
              </w:rPr>
              <w:t>个月的依法缴纳社会保障资金的缴费凭证（专用收据或者社会保险缴纳清单等）复印件；</w:t>
            </w:r>
            <w:r>
              <w:rPr>
                <w:rFonts w:hint="eastAsia"/>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到响应文件提交截止时间止不足要求月数的只需提供从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的依法缴纳社会保障资金的</w:t>
            </w:r>
            <w:r>
              <w:rPr>
                <w:rFonts w:hint="eastAsia"/>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16B1C49A">
            <w:pPr>
              <w:spacing w:line="360" w:lineRule="auto"/>
              <w:contextualSpacing/>
              <w:jc w:val="left"/>
              <w:rPr>
                <w:rFonts w:hint="eastAsia" w:ascii="宋体" w:hAnsi="宋体" w:cs="宋体"/>
                <w:b/>
                <w:color w:val="auto"/>
                <w:szCs w:val="21"/>
                <w:highlight w:val="none"/>
              </w:rPr>
            </w:pPr>
            <w:r>
              <w:rPr>
                <w:rFonts w:hint="eastAsia" w:ascii="宋体" w:hAnsi="宋体" w:cs="宋体"/>
                <w:color w:val="auto"/>
                <w:szCs w:val="21"/>
                <w:highlight w:val="none"/>
              </w:rPr>
              <w:t>5.供应商</w:t>
            </w:r>
            <w:r>
              <w:rPr>
                <w:rFonts w:hint="eastAsia"/>
                <w:color w:val="auto"/>
                <w:szCs w:val="21"/>
                <w:highlight w:val="none"/>
              </w:rPr>
              <w:t>财务状况报告（</w:t>
            </w:r>
            <w:r>
              <w:rPr>
                <w:color w:val="auto"/>
                <w:szCs w:val="21"/>
                <w:highlight w:val="none"/>
                <w:u w:val="single"/>
              </w:rPr>
              <w:t>2025</w:t>
            </w:r>
            <w:r>
              <w:rPr>
                <w:rFonts w:hint="eastAsia"/>
                <w:color w:val="auto"/>
                <w:szCs w:val="21"/>
                <w:highlight w:val="none"/>
              </w:rPr>
              <w:t>年度财务报表复印件，或者银行出具的资信证明，或者中国人民银行征信中心出具的信用报告；供应商属于</w:t>
            </w:r>
            <w:r>
              <w:rPr>
                <w:rFonts w:hint="eastAsia"/>
                <w:color w:val="auto"/>
                <w:highlight w:val="none"/>
              </w:rPr>
              <w:t>成立时间在规定年度之后的</w:t>
            </w:r>
            <w:r>
              <w:rPr>
                <w:rFonts w:hint="eastAsia"/>
                <w:color w:val="auto"/>
                <w:szCs w:val="21"/>
                <w:highlight w:val="none"/>
              </w:rPr>
              <w:t>法人或其他组织</w:t>
            </w:r>
            <w:r>
              <w:rPr>
                <w:rFonts w:hint="eastAsia"/>
                <w:color w:val="auto"/>
                <w:highlight w:val="none"/>
              </w:rPr>
              <w:t>，需提供成立之日起至响应文件提交截止时间前的月报表</w:t>
            </w:r>
            <w:r>
              <w:rPr>
                <w:rFonts w:hint="eastAsia"/>
                <w:color w:val="auto"/>
                <w:szCs w:val="21"/>
                <w:highlight w:val="none"/>
              </w:rPr>
              <w:t>或银行出具的资信证明或者中国人民银行征信中心出具的企业信用报告；资信证明应在有效期内，未注明有效期的，银行出具时间至响应文件提交截止时间不得超过一年）</w:t>
            </w:r>
            <w:r>
              <w:rPr>
                <w:rFonts w:hint="eastAsia" w:ascii="宋体" w:hAnsi="宋体" w:cs="宋体"/>
                <w:color w:val="auto"/>
                <w:szCs w:val="21"/>
                <w:highlight w:val="none"/>
              </w:rPr>
              <w:t>；</w:t>
            </w:r>
            <w:r>
              <w:rPr>
                <w:rFonts w:hint="eastAsia" w:ascii="宋体" w:hAnsi="宋体" w:cs="宋体"/>
                <w:bCs/>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rPr>
              <w:t>，否则响应文件按无效处理</w:t>
            </w:r>
            <w:r>
              <w:rPr>
                <w:rFonts w:hint="eastAsia" w:ascii="宋体" w:hAnsi="宋体" w:cs="宋体"/>
                <w:bCs/>
                <w:color w:val="auto"/>
                <w:szCs w:val="21"/>
                <w:highlight w:val="none"/>
              </w:rPr>
              <w:t>）</w:t>
            </w:r>
          </w:p>
          <w:p w14:paraId="3CCFFCC5">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6.供应商直接控股、管理关系信息表（格式后附）；（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1220ED95">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7.竞标声明（格式后附）；（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144722B5">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8.</w:t>
            </w:r>
            <w:bookmarkStart w:id="58" w:name="OLE_LINK18"/>
            <w:bookmarkStart w:id="59" w:name="OLE_LINK26"/>
            <w:bookmarkStart w:id="60" w:name="OLE_LINK27"/>
            <w:r>
              <w:rPr>
                <w:rFonts w:hint="eastAsia" w:ascii="宋体" w:hAnsi="宋体" w:cs="宋体"/>
                <w:color w:val="auto"/>
                <w:szCs w:val="21"/>
                <w:highlight w:val="none"/>
              </w:rPr>
              <w:t>施工单位为中小微企业或者监狱企业或者残疾人福利性单位的资格证明材料【供应商为中小微企业的应当提供《中小企业声明函》；供应商为残疾人福利性单位的应当提供《残疾人福利性单位声明函》；供应商为监狱企业的应当提供由省级以上监狱管理局、戒毒管理局（含新疆生产建设兵团）出具的属于监狱企业的证明文件】（声明函格式后附）；</w:t>
            </w:r>
            <w:r>
              <w:rPr>
                <w:rFonts w:hint="eastAsia" w:ascii="宋体" w:hAnsi="宋体"/>
                <w:color w:val="auto"/>
                <w:szCs w:val="21"/>
                <w:highlight w:val="none"/>
              </w:rPr>
              <w:t>（</w:t>
            </w:r>
            <w:r>
              <w:rPr>
                <w:rFonts w:hint="eastAsia" w:ascii="宋体" w:hAnsi="宋体"/>
                <w:b/>
                <w:color w:val="auto"/>
                <w:szCs w:val="21"/>
                <w:highlight w:val="none"/>
              </w:rPr>
              <w:t>必须提供，否则响应文件按无效处理</w:t>
            </w:r>
            <w:r>
              <w:rPr>
                <w:rFonts w:hint="eastAsia" w:ascii="宋体" w:hAnsi="宋体"/>
                <w:color w:val="auto"/>
                <w:szCs w:val="21"/>
                <w:highlight w:val="none"/>
              </w:rPr>
              <w:t>）</w:t>
            </w:r>
            <w:bookmarkEnd w:id="58"/>
            <w:bookmarkEnd w:id="59"/>
            <w:bookmarkEnd w:id="60"/>
          </w:p>
          <w:p w14:paraId="080B285D">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9.除磋商文件规定必须提供以外，供应商认为需要提供的其他证明材料。</w:t>
            </w:r>
          </w:p>
          <w:p w14:paraId="2F182A83">
            <w:pPr>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4D23BC4E">
            <w:pPr>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1.以上标明“必须提供”的材料属于复印件的，必须加盖供应商</w:t>
            </w:r>
            <w:r>
              <w:rPr>
                <w:rFonts w:hint="eastAsia"/>
                <w:b/>
                <w:color w:val="auto"/>
                <w:highlight w:val="none"/>
              </w:rPr>
              <w:t>电子签章</w:t>
            </w:r>
            <w:r>
              <w:rPr>
                <w:rFonts w:hint="eastAsia" w:ascii="宋体" w:hAnsi="宋体" w:cs="宋体"/>
                <w:b/>
                <w:color w:val="auto"/>
                <w:szCs w:val="21"/>
                <w:highlight w:val="none"/>
              </w:rPr>
              <w:t>，否则响应文件按无效处理。</w:t>
            </w:r>
          </w:p>
          <w:p w14:paraId="6EFBD892">
            <w:pPr>
              <w:pStyle w:val="226"/>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2.联合体竞标时，第1-5项资格证明文件联合体各方均必须分别提供，</w:t>
            </w:r>
            <w:r>
              <w:rPr>
                <w:rFonts w:hint="eastAsia"/>
                <w:b/>
                <w:color w:val="auto"/>
                <w:highlight w:val="none"/>
              </w:rPr>
              <w:t>并由</w:t>
            </w:r>
            <w:r>
              <w:rPr>
                <w:rFonts w:hint="eastAsia" w:ascii="宋体" w:hAnsi="宋体" w:cs="宋体"/>
                <w:b/>
                <w:color w:val="auto"/>
                <w:szCs w:val="21"/>
                <w:highlight w:val="none"/>
              </w:rPr>
              <w:t>联合体</w:t>
            </w:r>
            <w:r>
              <w:rPr>
                <w:rFonts w:hint="eastAsia"/>
                <w:b/>
                <w:color w:val="auto"/>
                <w:highlight w:val="none"/>
              </w:rPr>
              <w:t>牵头人加盖电子签章</w:t>
            </w:r>
            <w:r>
              <w:rPr>
                <w:rFonts w:hint="eastAsia" w:ascii="宋体" w:hAnsi="宋体" w:cs="宋体"/>
                <w:b/>
                <w:color w:val="auto"/>
                <w:szCs w:val="21"/>
                <w:highlight w:val="none"/>
              </w:rPr>
              <w:t>，</w:t>
            </w:r>
            <w:r>
              <w:rPr>
                <w:rFonts w:hint="eastAsia"/>
                <w:b/>
                <w:color w:val="auto"/>
                <w:highlight w:val="none"/>
              </w:rPr>
              <w:t>规定签字</w:t>
            </w:r>
            <w:r>
              <w:rPr>
                <w:rFonts w:hint="eastAsia" w:ascii="宋体" w:hAnsi="宋体" w:cs="宋体"/>
                <w:b/>
                <w:color w:val="auto"/>
                <w:szCs w:val="21"/>
                <w:highlight w:val="none"/>
              </w:rPr>
              <w:t>处签字</w:t>
            </w:r>
            <w:r>
              <w:rPr>
                <w:rFonts w:hint="eastAsia" w:ascii="宋体" w:hAnsi="宋体"/>
                <w:b/>
                <w:bCs/>
                <w:color w:val="auto"/>
                <w:szCs w:val="21"/>
                <w:highlight w:val="none"/>
              </w:rPr>
              <w:t>（或者电子签名）</w:t>
            </w:r>
            <w:r>
              <w:rPr>
                <w:rFonts w:hint="eastAsia" w:ascii="宋体" w:hAnsi="宋体" w:cs="宋体"/>
                <w:b/>
                <w:color w:val="auto"/>
                <w:szCs w:val="21"/>
                <w:highlight w:val="none"/>
              </w:rPr>
              <w:t>，否则响应文件按无效处理。</w:t>
            </w:r>
          </w:p>
        </w:tc>
      </w:tr>
      <w:tr w14:paraId="218DA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5C0F2BD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7912" w:type="dxa"/>
            <w:tcBorders>
              <w:top w:val="single" w:color="000000" w:sz="4" w:space="0"/>
              <w:left w:val="single" w:color="000000" w:sz="4" w:space="0"/>
              <w:bottom w:val="single" w:color="000000" w:sz="4" w:space="0"/>
              <w:right w:val="single" w:color="000000" w:sz="4" w:space="0"/>
            </w:tcBorders>
            <w:vAlign w:val="center"/>
          </w:tcPr>
          <w:p w14:paraId="4D1258B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报价文件</w:t>
            </w:r>
          </w:p>
          <w:p w14:paraId="53E2040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1.竞标函及竞标函附录（格式后附）；（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0C1461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2.竞标报价表（格式后附）；（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31AA365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3.已标价工程量清单；（</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69F2C57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4.供应商认为需要提供的其他有关资料。</w:t>
            </w:r>
          </w:p>
        </w:tc>
      </w:tr>
      <w:tr w14:paraId="40471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528889B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.3</w:t>
            </w:r>
          </w:p>
        </w:tc>
        <w:tc>
          <w:tcPr>
            <w:tcW w:w="7912" w:type="dxa"/>
            <w:tcBorders>
              <w:top w:val="single" w:color="000000" w:sz="4" w:space="0"/>
              <w:left w:val="single" w:color="000000" w:sz="4" w:space="0"/>
              <w:bottom w:val="single" w:color="000000" w:sz="4" w:space="0"/>
              <w:right w:val="single" w:color="000000" w:sz="4" w:space="0"/>
            </w:tcBorders>
            <w:vAlign w:val="center"/>
          </w:tcPr>
          <w:p w14:paraId="5B17C616">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3A1711F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218C749">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BA208D9">
            <w:pPr>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委托时必须提供，否则响应文件按无效处理</w:t>
            </w:r>
            <w:r>
              <w:rPr>
                <w:rFonts w:hint="eastAsia" w:ascii="宋体" w:hAnsi="宋体" w:cs="宋体"/>
                <w:color w:val="auto"/>
                <w:szCs w:val="21"/>
                <w:highlight w:val="none"/>
              </w:rPr>
              <w:t>）</w:t>
            </w:r>
          </w:p>
          <w:p w14:paraId="023A31B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4.建筑材料和设备节能环保要求承诺书（格式后附）；（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0D912A5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5.代理服务费承诺书（格式后附）；</w:t>
            </w:r>
          </w:p>
          <w:p w14:paraId="1513348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rPr>
              <w:t>施工组织设计（包含但不限于主要施工方法、拟投入的主要物资计划、劳动力安排计划、确保工程质量的技术组织措施、确保安全生产的技术组织措施、确保工期的技术组织措施、确保文明施工的技术组织措施、工程施工的重点和难点及保证措施、施工总平面布置图等）（格式自拟）；（</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1CD35B3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7.项目管理机构配备情况表及主要人员简历表（格式后附）；（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 xml:space="preserve">） </w:t>
            </w:r>
          </w:p>
          <w:p w14:paraId="735E1E1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8.拟分包项目情况表（格式后附）；（如有）</w:t>
            </w:r>
          </w:p>
          <w:p w14:paraId="7CB580D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9.供应商认为需要提供的其他有关资料。</w:t>
            </w:r>
          </w:p>
          <w:p w14:paraId="5A1DB21E">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注：以上标明“必须提供”的材料属于复印件的，必须加盖供应商电子签章，否则响应文件按无效处理。</w:t>
            </w:r>
          </w:p>
        </w:tc>
      </w:tr>
      <w:tr w14:paraId="3DCA3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16E853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15.1</w:t>
            </w:r>
          </w:p>
        </w:tc>
        <w:tc>
          <w:tcPr>
            <w:tcW w:w="7912" w:type="dxa"/>
            <w:tcBorders>
              <w:top w:val="single" w:color="000000" w:sz="4" w:space="0"/>
              <w:left w:val="single" w:color="000000" w:sz="4" w:space="0"/>
              <w:bottom w:val="single" w:color="000000" w:sz="4" w:space="0"/>
              <w:right w:val="single" w:color="000000" w:sz="4" w:space="0"/>
            </w:tcBorders>
            <w:vAlign w:val="center"/>
          </w:tcPr>
          <w:p w14:paraId="07FA7B10">
            <w:pPr>
              <w:spacing w:line="360" w:lineRule="auto"/>
              <w:contextualSpacing/>
              <w:jc w:val="left"/>
              <w:rPr>
                <w:rFonts w:hint="eastAsia" w:ascii="宋体" w:hAnsi="宋体"/>
                <w:color w:val="auto"/>
                <w:szCs w:val="21"/>
                <w:highlight w:val="none"/>
              </w:rPr>
            </w:pPr>
            <w:r>
              <w:rPr>
                <w:rFonts w:hint="eastAsia" w:ascii="宋体" w:hAnsi="宋体"/>
                <w:color w:val="auto"/>
                <w:szCs w:val="21"/>
                <w:highlight w:val="none"/>
              </w:rPr>
              <w:t>工程量清单的填写方式</w:t>
            </w:r>
          </w:p>
          <w:p w14:paraId="2F4FB8A1">
            <w:pPr>
              <w:spacing w:line="360" w:lineRule="auto"/>
              <w:contextualSpacing/>
              <w:jc w:val="left"/>
              <w:rPr>
                <w:rFonts w:hint="eastAsia" w:ascii="宋体" w:hAnsi="宋体"/>
                <w:color w:val="auto"/>
                <w:szCs w:val="21"/>
                <w:highlight w:val="none"/>
              </w:rPr>
            </w:pPr>
            <w:r>
              <w:rPr>
                <w:rFonts w:ascii="Wingdings 2" w:hAnsi="Wingdings 2" w:eastAsia="Wingdings 2" w:cs="Wingdings 2"/>
                <w:color w:val="auto"/>
                <w:szCs w:val="21"/>
                <w:highlight w:val="none"/>
              </w:rPr>
              <w:t>R</w:t>
            </w:r>
            <w:r>
              <w:rPr>
                <w:rFonts w:hint="eastAsia" w:ascii="宋体" w:hAnsi="宋体"/>
                <w:color w:val="auto"/>
                <w:szCs w:val="21"/>
                <w:highlight w:val="none"/>
              </w:rPr>
              <w:t>供应商按照采购人提供的工程量固化清单电子文件填写工程量清单。</w:t>
            </w:r>
          </w:p>
          <w:p w14:paraId="206AD716">
            <w:pPr>
              <w:spacing w:line="360" w:lineRule="auto"/>
              <w:contextualSpacing/>
              <w:jc w:val="left"/>
              <w:rPr>
                <w:rFonts w:hint="eastAsia" w:ascii="宋体" w:hAnsi="宋体"/>
                <w:color w:val="auto"/>
                <w:szCs w:val="21"/>
                <w:highlight w:val="none"/>
              </w:rPr>
            </w:pPr>
            <w:r>
              <w:rPr>
                <w:rFonts w:hint="eastAsia" w:ascii="宋体" w:hAnsi="宋体"/>
                <w:color w:val="auto"/>
                <w:szCs w:val="21"/>
                <w:highlight w:val="none"/>
              </w:rPr>
              <w:t>□供应商按照采购人提供的书面工程量清单填写工程量清单。</w:t>
            </w:r>
          </w:p>
        </w:tc>
      </w:tr>
      <w:tr w14:paraId="0B90A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121EF8E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7912" w:type="dxa"/>
            <w:tcBorders>
              <w:top w:val="single" w:color="000000" w:sz="4" w:space="0"/>
              <w:left w:val="single" w:color="000000" w:sz="4" w:space="0"/>
              <w:bottom w:val="single" w:color="000000" w:sz="4" w:space="0"/>
              <w:right w:val="single" w:color="000000" w:sz="4" w:space="0"/>
            </w:tcBorders>
            <w:vAlign w:val="center"/>
          </w:tcPr>
          <w:p w14:paraId="493EDC27">
            <w:pPr>
              <w:spacing w:line="360" w:lineRule="auto"/>
              <w:contextualSpacing/>
              <w:jc w:val="left"/>
              <w:rPr>
                <w:rFonts w:hint="eastAsia" w:ascii="宋体" w:hAnsi="宋体" w:cs="宋体"/>
                <w:color w:val="auto"/>
                <w:szCs w:val="21"/>
                <w:highlight w:val="none"/>
              </w:rPr>
            </w:pPr>
            <w:r>
              <w:rPr>
                <w:rFonts w:hint="eastAsia" w:ascii="宋体" w:hAnsi="宋体"/>
                <w:color w:val="auto"/>
                <w:szCs w:val="21"/>
                <w:highlight w:val="none"/>
              </w:rPr>
              <w:t>竞标报价是履行合同的最终价格，包括了</w:t>
            </w:r>
            <w:r>
              <w:rPr>
                <w:rFonts w:hint="eastAsia" w:ascii="宋体" w:hAnsi="宋体" w:cs="宋体"/>
                <w:color w:val="auto"/>
                <w:szCs w:val="21"/>
                <w:highlight w:val="none"/>
              </w:rPr>
              <w:t>为实施和完成合同工程所需的劳务、材料、机械、质检（自检）、安装、缺陷修复、管理、保险、税费、利润等费用，以及合同明示或暗示的所有责任、义务和一般风险。</w:t>
            </w:r>
          </w:p>
        </w:tc>
      </w:tr>
      <w:tr w14:paraId="794F2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484F2A4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15.3</w:t>
            </w:r>
          </w:p>
        </w:tc>
        <w:tc>
          <w:tcPr>
            <w:tcW w:w="7912" w:type="dxa"/>
            <w:tcBorders>
              <w:top w:val="single" w:color="000000" w:sz="4" w:space="0"/>
              <w:left w:val="single" w:color="000000" w:sz="4" w:space="0"/>
              <w:bottom w:val="single" w:color="000000" w:sz="4" w:space="0"/>
              <w:right w:val="single" w:color="000000" w:sz="4" w:space="0"/>
            </w:tcBorders>
            <w:vAlign w:val="center"/>
          </w:tcPr>
          <w:p w14:paraId="2015A45C">
            <w:pPr>
              <w:spacing w:line="360" w:lineRule="auto"/>
              <w:contextualSpacing/>
              <w:jc w:val="left"/>
              <w:rPr>
                <w:rFonts w:hint="eastAsia" w:ascii="宋体" w:hAnsi="宋体"/>
                <w:color w:val="auto"/>
                <w:szCs w:val="21"/>
                <w:highlight w:val="none"/>
              </w:rPr>
            </w:pPr>
            <w:r>
              <w:rPr>
                <w:rFonts w:hint="eastAsia" w:cs="宋体"/>
                <w:color w:val="auto"/>
                <w:highlight w:val="none"/>
              </w:rPr>
              <w:t>本工程增值税计税方法：</w:t>
            </w:r>
            <w:r>
              <w:rPr>
                <w:rFonts w:ascii="Wingdings 2" w:hAnsi="Wingdings 2" w:eastAsia="Wingdings 2" w:cs="Wingdings 2"/>
                <w:color w:val="auto"/>
                <w:szCs w:val="21"/>
                <w:highlight w:val="none"/>
              </w:rPr>
              <w:t>R</w:t>
            </w:r>
            <w:r>
              <w:rPr>
                <w:rFonts w:hint="eastAsia" w:cs="宋体"/>
                <w:color w:val="auto"/>
                <w:highlight w:val="none"/>
              </w:rPr>
              <w:t>一般计税法； □简易计税法</w:t>
            </w:r>
          </w:p>
        </w:tc>
      </w:tr>
      <w:tr w14:paraId="1AC09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6D220CD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w:t>
            </w:r>
            <w:r>
              <w:rPr>
                <w:rFonts w:ascii="宋体" w:hAnsi="宋体" w:cs="宋体"/>
                <w:color w:val="auto"/>
                <w:szCs w:val="21"/>
                <w:highlight w:val="none"/>
              </w:rPr>
              <w:t>2</w:t>
            </w:r>
          </w:p>
        </w:tc>
        <w:tc>
          <w:tcPr>
            <w:tcW w:w="7912" w:type="dxa"/>
            <w:tcBorders>
              <w:top w:val="single" w:color="000000" w:sz="4" w:space="0"/>
              <w:left w:val="single" w:color="000000" w:sz="4" w:space="0"/>
              <w:bottom w:val="single" w:color="000000" w:sz="4" w:space="0"/>
              <w:right w:val="single" w:color="000000" w:sz="4" w:space="0"/>
            </w:tcBorders>
            <w:vAlign w:val="center"/>
          </w:tcPr>
          <w:p w14:paraId="4E548008">
            <w:pPr>
              <w:pStyle w:val="222"/>
              <w:widowControl w:val="0"/>
              <w:spacing w:line="360" w:lineRule="auto"/>
              <w:ind w:left="283" w:hanging="283"/>
              <w:rPr>
                <w:rFonts w:hint="eastAsia" w:ascii="宋体" w:hAnsi="宋体" w:cs="宋体"/>
                <w:color w:val="auto"/>
                <w:sz w:val="21"/>
                <w:szCs w:val="21"/>
                <w:highlight w:val="none"/>
              </w:rPr>
            </w:pPr>
            <w:r>
              <w:rPr>
                <w:rFonts w:hint="eastAsia" w:ascii="宋体" w:hAnsi="宋体" w:cs="宋体"/>
                <w:color w:val="auto"/>
                <w:sz w:val="21"/>
                <w:szCs w:val="21"/>
                <w:highlight w:val="none"/>
              </w:rPr>
              <w:t>竞标有效期：自首次响应文件提交截止之日起</w:t>
            </w:r>
            <w:r>
              <w:rPr>
                <w:rFonts w:hint="eastAsia" w:ascii="宋体" w:hAnsi="宋体" w:cs="宋体"/>
                <w:color w:val="auto"/>
                <w:sz w:val="21"/>
                <w:szCs w:val="21"/>
                <w:highlight w:val="none"/>
                <w:u w:val="single"/>
              </w:rPr>
              <w:t>90</w:t>
            </w:r>
            <w:r>
              <w:rPr>
                <w:rFonts w:hint="eastAsia" w:ascii="宋体" w:hAnsi="宋体" w:cs="宋体"/>
                <w:color w:val="auto"/>
                <w:sz w:val="21"/>
                <w:szCs w:val="21"/>
                <w:highlight w:val="none"/>
              </w:rPr>
              <w:t>日。</w:t>
            </w:r>
          </w:p>
        </w:tc>
      </w:tr>
      <w:tr w14:paraId="447F2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69377DC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7912" w:type="dxa"/>
            <w:tcBorders>
              <w:top w:val="single" w:color="000000" w:sz="4" w:space="0"/>
              <w:left w:val="single" w:color="000000" w:sz="4" w:space="0"/>
              <w:bottom w:val="single" w:color="000000" w:sz="4" w:space="0"/>
              <w:right w:val="single" w:color="000000" w:sz="4" w:space="0"/>
            </w:tcBorders>
            <w:vAlign w:val="center"/>
          </w:tcPr>
          <w:p w14:paraId="10E1E0F1">
            <w:pPr>
              <w:spacing w:line="360" w:lineRule="auto"/>
              <w:rPr>
                <w:rFonts w:hint="eastAsia" w:ascii="宋体" w:hAnsi="宋体" w:cs="宋体"/>
                <w:color w:val="auto"/>
                <w:szCs w:val="21"/>
                <w:highlight w:val="none"/>
              </w:rPr>
            </w:pPr>
            <w:r>
              <w:rPr>
                <w:rFonts w:hint="eastAsia" w:ascii="宋体" w:hAnsi="宋体"/>
                <w:color w:val="auto"/>
                <w:szCs w:val="21"/>
                <w:highlight w:val="none"/>
              </w:rPr>
              <w:t>本项目不收取磋商保证金。</w:t>
            </w:r>
          </w:p>
        </w:tc>
      </w:tr>
      <w:tr w14:paraId="49C78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5DAB552C">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19</w:t>
            </w:r>
          </w:p>
        </w:tc>
        <w:tc>
          <w:tcPr>
            <w:tcW w:w="7912" w:type="dxa"/>
            <w:tcBorders>
              <w:top w:val="single" w:color="000000" w:sz="4" w:space="0"/>
              <w:left w:val="single" w:color="000000" w:sz="4" w:space="0"/>
              <w:bottom w:val="single" w:color="000000" w:sz="4" w:space="0"/>
              <w:right w:val="single" w:color="000000" w:sz="4" w:space="0"/>
            </w:tcBorders>
            <w:vAlign w:val="center"/>
          </w:tcPr>
          <w:p w14:paraId="10EF5CCB">
            <w:pPr>
              <w:spacing w:line="360" w:lineRule="auto"/>
              <w:rPr>
                <w:rFonts w:hint="eastAsia" w:ascii="宋体" w:hAnsi="宋体" w:cs="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备份响应文件</w:t>
            </w:r>
          </w:p>
        </w:tc>
      </w:tr>
      <w:tr w14:paraId="47495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6E45F0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7912" w:type="dxa"/>
            <w:tcBorders>
              <w:top w:val="single" w:color="000000" w:sz="4" w:space="0"/>
              <w:left w:val="single" w:color="000000" w:sz="4" w:space="0"/>
              <w:bottom w:val="single" w:color="000000" w:sz="4" w:space="0"/>
              <w:right w:val="single" w:color="000000" w:sz="4" w:space="0"/>
            </w:tcBorders>
            <w:vAlign w:val="center"/>
          </w:tcPr>
          <w:p w14:paraId="021D5CB1">
            <w:pPr>
              <w:spacing w:line="360" w:lineRule="auto"/>
              <w:contextualSpacing/>
              <w:jc w:val="left"/>
              <w:rPr>
                <w:rFonts w:hint="eastAsia" w:ascii="宋体" w:hAnsi="宋体" w:cs="宋体"/>
                <w:color w:val="auto"/>
                <w:szCs w:val="21"/>
                <w:highlight w:val="none"/>
                <w:u w:val="single"/>
              </w:rPr>
            </w:pPr>
            <w:r>
              <w:rPr>
                <w:rFonts w:hint="eastAsia" w:ascii="宋体" w:hAnsi="宋体" w:cs="宋体"/>
                <w:color w:val="auto"/>
                <w:szCs w:val="21"/>
                <w:highlight w:val="none"/>
              </w:rPr>
              <w:t>响应文件提交截止时间：详见竞争性磋商公告。</w:t>
            </w:r>
          </w:p>
          <w:p w14:paraId="3B79B609">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响应文件提交地点：详见竞争性磋商公告。</w:t>
            </w:r>
          </w:p>
        </w:tc>
      </w:tr>
      <w:tr w14:paraId="417F4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63E47A6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7912" w:type="dxa"/>
            <w:tcBorders>
              <w:top w:val="single" w:color="000000" w:sz="4" w:space="0"/>
              <w:left w:val="single" w:color="000000" w:sz="4" w:space="0"/>
              <w:bottom w:val="single" w:color="000000" w:sz="4" w:space="0"/>
              <w:right w:val="single" w:color="000000" w:sz="4" w:space="0"/>
            </w:tcBorders>
            <w:vAlign w:val="center"/>
          </w:tcPr>
          <w:p w14:paraId="4F3864C9">
            <w:pPr>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3</w:t>
            </w:r>
            <w:r>
              <w:rPr>
                <w:rFonts w:hint="eastAsia" w:ascii="宋体" w:hAnsi="宋体" w:cs="宋体"/>
                <w:color w:val="auto"/>
                <w:szCs w:val="21"/>
                <w:highlight w:val="none"/>
              </w:rPr>
              <w:t>人。</w:t>
            </w:r>
          </w:p>
        </w:tc>
      </w:tr>
      <w:tr w14:paraId="753C2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4A2D772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p>
        </w:tc>
        <w:tc>
          <w:tcPr>
            <w:tcW w:w="7912" w:type="dxa"/>
            <w:tcBorders>
              <w:top w:val="single" w:color="000000" w:sz="4" w:space="0"/>
              <w:left w:val="single" w:color="000000" w:sz="4" w:space="0"/>
              <w:bottom w:val="single" w:color="000000" w:sz="4" w:space="0"/>
              <w:right w:val="single" w:color="000000" w:sz="4" w:space="0"/>
            </w:tcBorders>
            <w:vAlign w:val="center"/>
          </w:tcPr>
          <w:p w14:paraId="4D42107A">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首次响应文件开启时间详见“竞争性磋商公告”</w:t>
            </w:r>
          </w:p>
          <w:p w14:paraId="7A7F0051">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hAnsi="宋体"/>
                <w:color w:val="auto"/>
                <w:highlight w:val="none"/>
                <w:u w:val="single"/>
              </w:rPr>
              <w:t>30</w:t>
            </w:r>
            <w:r>
              <w:rPr>
                <w:rFonts w:hint="eastAsia" w:hAnsi="宋体"/>
                <w:color w:val="auto"/>
                <w:highlight w:val="none"/>
              </w:rPr>
              <w:t>分钟</w:t>
            </w:r>
          </w:p>
        </w:tc>
      </w:tr>
      <w:tr w14:paraId="3A0EC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1FDC217A">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28.1</w:t>
            </w:r>
          </w:p>
        </w:tc>
        <w:tc>
          <w:tcPr>
            <w:tcW w:w="7912" w:type="dxa"/>
            <w:tcBorders>
              <w:top w:val="single" w:color="000000" w:sz="4" w:space="0"/>
              <w:left w:val="single" w:color="000000" w:sz="4" w:space="0"/>
              <w:bottom w:val="single" w:color="000000" w:sz="4" w:space="0"/>
              <w:right w:val="single" w:color="000000" w:sz="4" w:space="0"/>
            </w:tcBorders>
            <w:vAlign w:val="center"/>
          </w:tcPr>
          <w:p w14:paraId="5AFD14AB">
            <w:pPr>
              <w:spacing w:line="360" w:lineRule="auto"/>
              <w:rPr>
                <w:rFonts w:hint="eastAsia" w:ascii="宋体" w:hAnsi="宋体" w:cs="宋体"/>
                <w:color w:val="auto"/>
                <w:szCs w:val="21"/>
                <w:highlight w:val="none"/>
              </w:rPr>
            </w:pPr>
            <w:r>
              <w:rPr>
                <w:rFonts w:hint="eastAsia" w:ascii="宋体" w:hAnsi="宋体"/>
                <w:color w:val="auto"/>
                <w:szCs w:val="21"/>
                <w:highlight w:val="none"/>
              </w:rPr>
              <w:t>本项目不收取履约保证金。</w:t>
            </w:r>
          </w:p>
        </w:tc>
      </w:tr>
      <w:tr w14:paraId="44D04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64A8605F">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29.1</w:t>
            </w:r>
          </w:p>
        </w:tc>
        <w:tc>
          <w:tcPr>
            <w:tcW w:w="7912" w:type="dxa"/>
            <w:tcBorders>
              <w:top w:val="single" w:color="000000" w:sz="4" w:space="0"/>
              <w:left w:val="single" w:color="000000" w:sz="4" w:space="0"/>
              <w:bottom w:val="single" w:color="000000" w:sz="4" w:space="0"/>
              <w:right w:val="single" w:color="000000" w:sz="4" w:space="0"/>
            </w:tcBorders>
            <w:vAlign w:val="center"/>
          </w:tcPr>
          <w:p w14:paraId="2A860304">
            <w:pPr>
              <w:spacing w:line="360" w:lineRule="auto"/>
              <w:rPr>
                <w:rFonts w:hint="eastAsia" w:ascii="宋体" w:hAnsi="宋体"/>
                <w:color w:val="auto"/>
                <w:szCs w:val="21"/>
                <w:highlight w:val="none"/>
              </w:rPr>
            </w:pPr>
            <w:r>
              <w:rPr>
                <w:rFonts w:hint="eastAsia" w:ascii="宋体" w:hAnsi="宋体"/>
                <w:color w:val="auto"/>
                <w:szCs w:val="21"/>
                <w:highlight w:val="none"/>
              </w:rPr>
              <w:t xml:space="preserve">签订合同携带的证明材料： </w:t>
            </w:r>
          </w:p>
          <w:p w14:paraId="722E7682">
            <w:pPr>
              <w:spacing w:line="360" w:lineRule="auto"/>
              <w:rPr>
                <w:rFonts w:hint="eastAsia"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7B85530F">
            <w:pPr>
              <w:spacing w:line="360" w:lineRule="auto"/>
              <w:rPr>
                <w:rFonts w:hint="eastAsia" w:ascii="宋体" w:hAnsi="宋体" w:cs="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6C31B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644915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7912" w:type="dxa"/>
            <w:tcBorders>
              <w:top w:val="single" w:color="000000" w:sz="4" w:space="0"/>
              <w:left w:val="single" w:color="000000" w:sz="4" w:space="0"/>
              <w:bottom w:val="single" w:color="000000" w:sz="4" w:space="0"/>
              <w:right w:val="single" w:color="000000" w:sz="4" w:space="0"/>
            </w:tcBorders>
            <w:vAlign w:val="center"/>
          </w:tcPr>
          <w:p w14:paraId="0F88FD2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接收质疑函方式：</w:t>
            </w:r>
            <w:r>
              <w:rPr>
                <w:rFonts w:hint="eastAsia" w:ascii="宋体" w:hAnsi="宋体" w:cs="宋体"/>
                <w:color w:val="auto"/>
                <w:szCs w:val="21"/>
                <w:highlight w:val="none"/>
              </w:rPr>
              <w:t>书面形式</w:t>
            </w:r>
          </w:p>
          <w:p w14:paraId="15651B70">
            <w:pPr>
              <w:spacing w:line="360" w:lineRule="auto"/>
              <w:rPr>
                <w:rFonts w:hint="eastAsia" w:hAnsi="宋体" w:cs="宋体"/>
                <w:color w:val="auto"/>
                <w:highlight w:val="none"/>
              </w:rPr>
            </w:pPr>
            <w:r>
              <w:rPr>
                <w:rFonts w:hint="eastAsia" w:hAnsi="宋体" w:cs="宋体"/>
                <w:color w:val="auto"/>
                <w:highlight w:val="none"/>
              </w:rPr>
              <w:t>质疑联系部门及联系方式：云之龙咨询集团有限公司陆川分公司招标部门，联系电话：</w:t>
            </w:r>
            <w:r>
              <w:rPr>
                <w:rFonts w:hAnsi="宋体" w:cs="宋体"/>
                <w:color w:val="auto"/>
                <w:highlight w:val="none"/>
              </w:rPr>
              <w:t>0775-7210518/7212189</w:t>
            </w:r>
            <w:r>
              <w:rPr>
                <w:rFonts w:hint="eastAsia" w:hAnsi="宋体" w:cs="宋体"/>
                <w:color w:val="auto"/>
                <w:highlight w:val="none"/>
              </w:rPr>
              <w:t>，通讯地址：广西陆川县温泉镇凤凰一巷</w:t>
            </w:r>
            <w:r>
              <w:rPr>
                <w:rFonts w:hAnsi="宋体" w:cs="宋体"/>
                <w:color w:val="auto"/>
                <w:highlight w:val="none"/>
              </w:rPr>
              <w:t>15</w:t>
            </w:r>
            <w:r>
              <w:rPr>
                <w:rFonts w:hint="eastAsia" w:hAnsi="宋体" w:cs="宋体"/>
                <w:color w:val="auto"/>
                <w:highlight w:val="none"/>
              </w:rPr>
              <w:t>号二楼。</w:t>
            </w:r>
          </w:p>
          <w:p w14:paraId="62DA4FBB">
            <w:pPr>
              <w:spacing w:line="360" w:lineRule="auto"/>
              <w:rPr>
                <w:rFonts w:hint="eastAsia" w:ascii="宋体" w:hAnsi="宋体"/>
                <w:color w:val="auto"/>
                <w:szCs w:val="21"/>
                <w:highlight w:val="none"/>
              </w:rPr>
            </w:pPr>
            <w:r>
              <w:rPr>
                <w:rFonts w:hint="eastAsia" w:hAnsi="宋体" w:cs="宋体"/>
                <w:color w:val="auto"/>
                <w:highlight w:val="none"/>
              </w:rPr>
              <w:t>业</w:t>
            </w:r>
            <w:r>
              <w:rPr>
                <w:rFonts w:hint="eastAsia" w:ascii="宋体" w:hAnsi="宋体" w:cs="宋体"/>
                <w:color w:val="auto"/>
                <w:highlight w:val="none"/>
              </w:rPr>
              <w:t>务时间：工作日每天上午</w:t>
            </w:r>
            <w:r>
              <w:rPr>
                <w:rFonts w:ascii="宋体" w:hAnsi="宋体" w:cs="宋体"/>
                <w:color w:val="auto"/>
                <w:highlight w:val="none"/>
              </w:rPr>
              <w:t>8</w:t>
            </w:r>
            <w:r>
              <w:rPr>
                <w:rFonts w:hint="eastAsia" w:ascii="宋体" w:hAnsi="宋体" w:cs="宋体"/>
                <w:color w:val="auto"/>
                <w:highlight w:val="none"/>
              </w:rPr>
              <w:t>时</w:t>
            </w:r>
            <w:r>
              <w:rPr>
                <w:rFonts w:ascii="宋体" w:hAnsi="宋体" w:cs="宋体"/>
                <w:color w:val="auto"/>
                <w:highlight w:val="none"/>
              </w:rPr>
              <w:t>00</w:t>
            </w:r>
            <w:r>
              <w:rPr>
                <w:rFonts w:hint="eastAsia" w:ascii="宋体" w:hAnsi="宋体" w:cs="宋体"/>
                <w:color w:val="auto"/>
                <w:highlight w:val="none"/>
              </w:rPr>
              <w:t>分到</w:t>
            </w:r>
            <w:r>
              <w:rPr>
                <w:rFonts w:ascii="宋体" w:hAnsi="宋体" w:cs="宋体"/>
                <w:color w:val="auto"/>
                <w:highlight w:val="none"/>
              </w:rPr>
              <w:t>12</w:t>
            </w:r>
            <w:r>
              <w:rPr>
                <w:rFonts w:hint="eastAsia" w:ascii="宋体" w:hAnsi="宋体" w:cs="宋体"/>
                <w:color w:val="auto"/>
                <w:highlight w:val="none"/>
              </w:rPr>
              <w:t>时</w:t>
            </w:r>
            <w:r>
              <w:rPr>
                <w:rFonts w:ascii="宋体" w:hAnsi="宋体" w:cs="宋体"/>
                <w:color w:val="auto"/>
                <w:highlight w:val="none"/>
              </w:rPr>
              <w:t>00</w:t>
            </w:r>
            <w:r>
              <w:rPr>
                <w:rFonts w:hint="eastAsia" w:ascii="宋体" w:hAnsi="宋体" w:cs="宋体"/>
                <w:color w:val="auto"/>
                <w:highlight w:val="none"/>
              </w:rPr>
              <w:t>分，下午</w:t>
            </w:r>
            <w:r>
              <w:rPr>
                <w:rFonts w:ascii="宋体" w:hAnsi="宋体" w:cs="宋体"/>
                <w:color w:val="auto"/>
                <w:highlight w:val="none"/>
              </w:rPr>
              <w:t>3</w:t>
            </w:r>
            <w:r>
              <w:rPr>
                <w:rFonts w:hint="eastAsia" w:ascii="宋体" w:hAnsi="宋体" w:cs="宋体"/>
                <w:color w:val="auto"/>
                <w:highlight w:val="none"/>
              </w:rPr>
              <w:t>时</w:t>
            </w:r>
            <w:r>
              <w:rPr>
                <w:rFonts w:ascii="宋体" w:hAnsi="宋体" w:cs="宋体"/>
                <w:color w:val="auto"/>
                <w:highlight w:val="none"/>
              </w:rPr>
              <w:t>00</w:t>
            </w:r>
            <w:r>
              <w:rPr>
                <w:rFonts w:hint="eastAsia" w:ascii="宋体" w:hAnsi="宋体" w:cs="宋体"/>
                <w:color w:val="auto"/>
                <w:highlight w:val="none"/>
              </w:rPr>
              <w:t>分到</w:t>
            </w:r>
            <w:r>
              <w:rPr>
                <w:rFonts w:ascii="宋体" w:hAnsi="宋体" w:cs="宋体"/>
                <w:color w:val="auto"/>
                <w:highlight w:val="none"/>
              </w:rPr>
              <w:t>6</w:t>
            </w:r>
            <w:r>
              <w:rPr>
                <w:rFonts w:hint="eastAsia" w:ascii="宋体" w:hAnsi="宋体" w:cs="宋体"/>
                <w:color w:val="auto"/>
                <w:highlight w:val="none"/>
              </w:rPr>
              <w:t>时</w:t>
            </w:r>
            <w:r>
              <w:rPr>
                <w:rFonts w:ascii="宋体" w:hAnsi="宋体" w:cs="宋体"/>
                <w:color w:val="auto"/>
                <w:highlight w:val="none"/>
              </w:rPr>
              <w:t>00</w:t>
            </w:r>
            <w:r>
              <w:rPr>
                <w:rFonts w:hint="eastAsia" w:ascii="宋体" w:hAnsi="宋体" w:cs="宋体"/>
                <w:color w:val="auto"/>
                <w:highlight w:val="none"/>
              </w:rPr>
              <w:t>分。</w:t>
            </w:r>
          </w:p>
        </w:tc>
      </w:tr>
      <w:tr w14:paraId="28A29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49D4CE2E">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32.1</w:t>
            </w:r>
          </w:p>
        </w:tc>
        <w:tc>
          <w:tcPr>
            <w:tcW w:w="7912" w:type="dxa"/>
            <w:tcBorders>
              <w:top w:val="single" w:color="000000" w:sz="4" w:space="0"/>
              <w:left w:val="single" w:color="000000" w:sz="4" w:space="0"/>
              <w:bottom w:val="single" w:color="000000" w:sz="4" w:space="0"/>
              <w:right w:val="single" w:color="000000" w:sz="4" w:space="0"/>
            </w:tcBorders>
            <w:vAlign w:val="center"/>
          </w:tcPr>
          <w:p w14:paraId="03F69FF1">
            <w:pPr>
              <w:pStyle w:val="238"/>
              <w:spacing w:line="360" w:lineRule="auto"/>
              <w:rPr>
                <w:rFonts w:hint="eastAsia" w:hAnsi="宋体" w:cs="宋体"/>
                <w:color w:val="auto"/>
                <w:sz w:val="21"/>
                <w:highlight w:val="none"/>
              </w:rPr>
            </w:pPr>
            <w:r>
              <w:rPr>
                <w:rFonts w:hint="eastAsia" w:hAnsi="宋体" w:cs="宋体"/>
                <w:color w:val="auto"/>
                <w:sz w:val="21"/>
                <w:highlight w:val="none"/>
              </w:rPr>
              <w:t>1.采购代理费支付方式：</w:t>
            </w:r>
          </w:p>
          <w:p w14:paraId="2762A33D">
            <w:pPr>
              <w:pStyle w:val="238"/>
              <w:spacing w:line="360" w:lineRule="auto"/>
              <w:rPr>
                <w:rFonts w:hint="eastAsia" w:hAnsi="宋体" w:cs="宋体"/>
                <w:color w:val="auto"/>
                <w:sz w:val="21"/>
                <w:highlight w:val="none"/>
              </w:rPr>
            </w:pPr>
            <w:r>
              <w:rPr>
                <w:rFonts w:hint="eastAsia" w:hAnsi="宋体" w:cs="宋体"/>
                <w:color w:val="auto"/>
                <w:sz w:val="21"/>
                <w:highlight w:val="none"/>
              </w:rPr>
              <w:t>本项目代理服务费由</w:t>
            </w:r>
            <w:r>
              <w:rPr>
                <w:rFonts w:hint="eastAsia" w:hAnsi="宋体" w:cs="宋体"/>
                <w:color w:val="auto"/>
                <w:sz w:val="21"/>
                <w:highlight w:val="none"/>
                <w:u w:val="single"/>
              </w:rPr>
              <w:t>成交供应商</w:t>
            </w:r>
            <w:r>
              <w:rPr>
                <w:rFonts w:hint="eastAsia" w:hAnsi="宋体" w:cs="宋体"/>
                <w:color w:val="auto"/>
                <w:sz w:val="21"/>
                <w:highlight w:val="none"/>
              </w:rPr>
              <w:t>一次性向采购代理机构支付。</w:t>
            </w:r>
          </w:p>
          <w:p w14:paraId="0E1D27F7">
            <w:pPr>
              <w:pStyle w:val="238"/>
              <w:spacing w:line="360" w:lineRule="auto"/>
              <w:rPr>
                <w:rFonts w:hint="eastAsia" w:hAnsi="宋体" w:cs="宋体"/>
                <w:color w:val="auto"/>
                <w:sz w:val="21"/>
                <w:highlight w:val="none"/>
              </w:rPr>
            </w:pPr>
            <w:r>
              <w:rPr>
                <w:rFonts w:hint="eastAsia" w:hAnsi="宋体" w:cs="宋体"/>
                <w:color w:val="auto"/>
                <w:sz w:val="21"/>
                <w:highlight w:val="none"/>
              </w:rPr>
              <w:t>2.采购代理费收取标准：</w:t>
            </w:r>
          </w:p>
          <w:p w14:paraId="0F92E92E">
            <w:pPr>
              <w:pStyle w:val="238"/>
              <w:spacing w:line="360" w:lineRule="auto"/>
              <w:rPr>
                <w:rFonts w:hint="eastAsia" w:hAnsi="宋体" w:cs="宋体"/>
                <w:color w:val="auto"/>
                <w:sz w:val="21"/>
                <w:highlight w:val="none"/>
              </w:rPr>
            </w:pPr>
            <w:r>
              <w:rPr>
                <w:rFonts w:hint="eastAsia" w:hAnsi="宋体" w:cs="宋体"/>
                <w:color w:val="auto"/>
                <w:sz w:val="21"/>
                <w:highlight w:val="none"/>
              </w:rPr>
              <w:t>按固定金额贰万肆仟元整（¥2</w:t>
            </w:r>
            <w:r>
              <w:rPr>
                <w:rFonts w:hAnsi="宋体" w:cs="宋体"/>
                <w:color w:val="auto"/>
                <w:sz w:val="21"/>
                <w:highlight w:val="none"/>
              </w:rPr>
              <w:t>4000.00</w:t>
            </w:r>
            <w:r>
              <w:rPr>
                <w:rFonts w:hint="eastAsia" w:hAnsi="宋体" w:cs="宋体"/>
                <w:color w:val="auto"/>
                <w:sz w:val="21"/>
                <w:highlight w:val="none"/>
              </w:rPr>
              <w:t>）收取。</w:t>
            </w:r>
          </w:p>
          <w:p w14:paraId="120830E7">
            <w:pPr>
              <w:pStyle w:val="238"/>
              <w:spacing w:line="360" w:lineRule="auto"/>
              <w:rPr>
                <w:rFonts w:hint="eastAsia" w:hAnsi="宋体" w:cs="宋体"/>
                <w:color w:val="auto"/>
                <w:sz w:val="21"/>
                <w:highlight w:val="none"/>
              </w:rPr>
            </w:pPr>
            <w:r>
              <w:rPr>
                <w:rFonts w:hint="eastAsia" w:hAnsi="宋体" w:cs="宋体"/>
                <w:color w:val="auto"/>
                <w:sz w:val="21"/>
                <w:highlight w:val="none"/>
              </w:rPr>
              <w:t>3. 采购代理费收取银行账户</w:t>
            </w:r>
          </w:p>
          <w:p w14:paraId="5F48C151">
            <w:pPr>
              <w:pStyle w:val="238"/>
              <w:spacing w:line="360" w:lineRule="auto"/>
              <w:rPr>
                <w:rFonts w:hint="eastAsia" w:hAnsi="宋体" w:cs="宋体"/>
                <w:color w:val="auto"/>
                <w:sz w:val="21"/>
                <w:highlight w:val="none"/>
              </w:rPr>
            </w:pPr>
            <w:r>
              <w:rPr>
                <w:rFonts w:hint="eastAsia" w:hAnsi="宋体" w:cs="宋体"/>
                <w:color w:val="auto"/>
                <w:sz w:val="21"/>
                <w:highlight w:val="none"/>
              </w:rPr>
              <w:t>开户名称：云之龙咨询集团有限公司陆川分公司</w:t>
            </w:r>
          </w:p>
          <w:p w14:paraId="052D317F">
            <w:pPr>
              <w:pStyle w:val="238"/>
              <w:spacing w:line="360" w:lineRule="auto"/>
              <w:rPr>
                <w:rFonts w:hint="eastAsia" w:hAnsi="宋体" w:cs="宋体"/>
                <w:color w:val="auto"/>
                <w:sz w:val="21"/>
                <w:highlight w:val="none"/>
              </w:rPr>
            </w:pPr>
            <w:r>
              <w:rPr>
                <w:rFonts w:hint="eastAsia" w:hAnsi="宋体" w:cs="宋体"/>
                <w:color w:val="auto"/>
                <w:sz w:val="21"/>
                <w:highlight w:val="none"/>
              </w:rPr>
              <w:t>开户银行：中信银行股份有限公司南宁园湖支行</w:t>
            </w:r>
          </w:p>
          <w:p w14:paraId="31D08C49">
            <w:pPr>
              <w:pStyle w:val="238"/>
              <w:spacing w:line="360" w:lineRule="auto"/>
              <w:rPr>
                <w:rFonts w:hint="eastAsia" w:hAnsi="宋体" w:cs="宋体"/>
                <w:color w:val="auto"/>
                <w:sz w:val="21"/>
                <w:highlight w:val="none"/>
              </w:rPr>
            </w:pPr>
            <w:r>
              <w:rPr>
                <w:rFonts w:hint="eastAsia" w:hAnsi="宋体" w:cs="宋体"/>
                <w:color w:val="auto"/>
                <w:sz w:val="21"/>
                <w:highlight w:val="none"/>
              </w:rPr>
              <w:t>银行账号：8113001013200159937</w:t>
            </w:r>
          </w:p>
        </w:tc>
      </w:tr>
      <w:tr w14:paraId="11743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108FDC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p>
        </w:tc>
        <w:tc>
          <w:tcPr>
            <w:tcW w:w="7912" w:type="dxa"/>
            <w:tcBorders>
              <w:top w:val="single" w:color="000000" w:sz="4" w:space="0"/>
              <w:left w:val="single" w:color="000000" w:sz="4" w:space="0"/>
              <w:bottom w:val="single" w:color="000000" w:sz="4" w:space="0"/>
              <w:right w:val="single" w:color="000000" w:sz="4" w:space="0"/>
            </w:tcBorders>
            <w:vAlign w:val="center"/>
          </w:tcPr>
          <w:p w14:paraId="50FCE89A">
            <w:pPr>
              <w:pStyle w:val="238"/>
              <w:spacing w:line="360" w:lineRule="auto"/>
              <w:rPr>
                <w:rFonts w:hint="eastAsia" w:hAnsi="宋体" w:cs="宋体"/>
                <w:color w:val="auto"/>
                <w:sz w:val="21"/>
                <w:highlight w:val="none"/>
              </w:rPr>
            </w:pPr>
            <w:r>
              <w:rPr>
                <w:rFonts w:hint="eastAsia" w:hAnsi="宋体"/>
                <w:color w:val="auto"/>
                <w:sz w:val="21"/>
                <w:highlight w:val="none"/>
              </w:rPr>
              <w:t>解释：</w:t>
            </w:r>
            <w:r>
              <w:rPr>
                <w:rFonts w:hAnsi="宋体"/>
                <w:color w:val="auto"/>
                <w:sz w:val="21"/>
                <w:highlight w:val="none"/>
              </w:rPr>
              <w:t>构成本</w:t>
            </w:r>
            <w:r>
              <w:rPr>
                <w:rFonts w:hint="eastAsia" w:hAnsi="宋体"/>
                <w:color w:val="auto"/>
                <w:sz w:val="21"/>
                <w:highlight w:val="none"/>
              </w:rPr>
              <w:t>磋商文件</w:t>
            </w:r>
            <w:r>
              <w:rPr>
                <w:rFonts w:hAnsi="宋体"/>
                <w:color w:val="auto"/>
                <w:sz w:val="21"/>
                <w:highlight w:val="none"/>
              </w:rPr>
              <w:t>的各个组成文件应互为解释，互为说明；除</w:t>
            </w:r>
            <w:r>
              <w:rPr>
                <w:rFonts w:hint="eastAsia" w:hAnsi="宋体"/>
                <w:color w:val="auto"/>
                <w:sz w:val="21"/>
                <w:highlight w:val="none"/>
              </w:rPr>
              <w:t>磋商文件</w:t>
            </w:r>
            <w:r>
              <w:rPr>
                <w:rFonts w:hAnsi="宋体"/>
                <w:color w:val="auto"/>
                <w:sz w:val="21"/>
                <w:highlight w:val="none"/>
              </w:rPr>
              <w:t>中有特别规定外，仅适用于</w:t>
            </w:r>
            <w:r>
              <w:rPr>
                <w:rFonts w:hint="eastAsia" w:hAnsi="宋体"/>
                <w:color w:val="auto"/>
                <w:sz w:val="21"/>
                <w:highlight w:val="none"/>
              </w:rPr>
              <w:t>竞标</w:t>
            </w:r>
            <w:r>
              <w:rPr>
                <w:rFonts w:hAnsi="宋体"/>
                <w:color w:val="auto"/>
                <w:sz w:val="21"/>
                <w:highlight w:val="none"/>
              </w:rPr>
              <w:t>阶段的规定，按</w:t>
            </w:r>
            <w:r>
              <w:rPr>
                <w:rFonts w:hint="eastAsia" w:hAnsi="宋体"/>
                <w:color w:val="auto"/>
                <w:sz w:val="21"/>
                <w:highlight w:val="none"/>
              </w:rPr>
              <w:t>更正公告（澄清公告）</w:t>
            </w:r>
            <w:r>
              <w:rPr>
                <w:rFonts w:hAnsi="宋体"/>
                <w:color w:val="auto"/>
                <w:sz w:val="21"/>
                <w:highlight w:val="none"/>
              </w:rPr>
              <w:t>、</w:t>
            </w:r>
            <w:r>
              <w:rPr>
                <w:rFonts w:hint="eastAsia" w:hAnsi="宋体"/>
                <w:color w:val="auto"/>
                <w:sz w:val="21"/>
                <w:highlight w:val="none"/>
              </w:rPr>
              <w:t>竞争性磋商</w:t>
            </w:r>
            <w:r>
              <w:rPr>
                <w:rFonts w:hAnsi="宋体"/>
                <w:color w:val="auto"/>
                <w:sz w:val="21"/>
                <w:highlight w:val="none"/>
              </w:rPr>
              <w:t>公告、</w:t>
            </w:r>
            <w:r>
              <w:rPr>
                <w:rFonts w:hint="eastAsia" w:hAnsi="宋体"/>
                <w:color w:val="auto"/>
                <w:sz w:val="21"/>
                <w:highlight w:val="none"/>
              </w:rPr>
              <w:t>供应商</w:t>
            </w:r>
            <w:r>
              <w:rPr>
                <w:rFonts w:hAnsi="宋体"/>
                <w:color w:val="auto"/>
                <w:sz w:val="21"/>
                <w:highlight w:val="none"/>
              </w:rPr>
              <w:t>须知</w:t>
            </w:r>
            <w:r>
              <w:rPr>
                <w:rFonts w:hint="eastAsia" w:hAnsi="宋体"/>
                <w:color w:val="auto"/>
                <w:sz w:val="21"/>
                <w:highlight w:val="none"/>
              </w:rPr>
              <w:t>、采购需求</w:t>
            </w:r>
            <w:r>
              <w:rPr>
                <w:rFonts w:hAnsi="宋体"/>
                <w:color w:val="auto"/>
                <w:sz w:val="21"/>
                <w:highlight w:val="none"/>
              </w:rPr>
              <w:t>、</w:t>
            </w:r>
            <w:r>
              <w:rPr>
                <w:rFonts w:hint="eastAsia"/>
                <w:color w:val="auto"/>
                <w:sz w:val="21"/>
                <w:highlight w:val="none"/>
              </w:rPr>
              <w:t>评审程序、评审方法和评审标准</w:t>
            </w:r>
            <w:r>
              <w:rPr>
                <w:rFonts w:hAnsi="宋体"/>
                <w:color w:val="auto"/>
                <w:sz w:val="21"/>
                <w:highlight w:val="none"/>
              </w:rPr>
              <w:t>、</w:t>
            </w:r>
            <w:r>
              <w:rPr>
                <w:rFonts w:hint="eastAsia" w:hAnsi="宋体"/>
                <w:color w:val="auto"/>
                <w:sz w:val="21"/>
                <w:highlight w:val="none"/>
              </w:rPr>
              <w:t>响应</w:t>
            </w:r>
            <w:r>
              <w:rPr>
                <w:rFonts w:hAnsi="宋体"/>
                <w:color w:val="auto"/>
                <w:sz w:val="21"/>
                <w:highlight w:val="none"/>
              </w:rPr>
              <w:t>文件格式</w:t>
            </w:r>
            <w:r>
              <w:rPr>
                <w:rFonts w:hint="eastAsia" w:hAnsi="宋体"/>
                <w:color w:val="auto"/>
                <w:sz w:val="21"/>
                <w:highlight w:val="none"/>
              </w:rPr>
              <w:t>、合同文本</w:t>
            </w:r>
            <w:r>
              <w:rPr>
                <w:rFonts w:hAnsi="宋体"/>
                <w:color w:val="auto"/>
                <w:sz w:val="21"/>
                <w:highlight w:val="none"/>
              </w:rPr>
              <w:t>的先后顺序解释；同一组成文件中就同一事项的规定或者约定不一致的，以编排顺序在后者为准；同一组成文件不同版本之间有不一致的，以形成时间在后者为准；</w:t>
            </w:r>
            <w:r>
              <w:rPr>
                <w:rFonts w:hint="eastAsia" w:hAnsi="宋体"/>
                <w:color w:val="auto"/>
                <w:sz w:val="21"/>
                <w:highlight w:val="none"/>
              </w:rPr>
              <w:t>更正公告（澄清公告）</w:t>
            </w:r>
            <w:r>
              <w:rPr>
                <w:rFonts w:hAnsi="宋体"/>
                <w:color w:val="auto"/>
                <w:sz w:val="21"/>
                <w:highlight w:val="none"/>
              </w:rPr>
              <w:t>与同步更新的</w:t>
            </w:r>
            <w:r>
              <w:rPr>
                <w:rFonts w:hint="eastAsia" w:hAnsi="宋体"/>
                <w:color w:val="auto"/>
                <w:sz w:val="21"/>
                <w:highlight w:val="none"/>
              </w:rPr>
              <w:t>磋商文件</w:t>
            </w:r>
            <w:r>
              <w:rPr>
                <w:rFonts w:hAnsi="宋体"/>
                <w:color w:val="auto"/>
                <w:sz w:val="21"/>
                <w:highlight w:val="none"/>
              </w:rPr>
              <w:t>不一致时以</w:t>
            </w:r>
            <w:r>
              <w:rPr>
                <w:rFonts w:hint="eastAsia" w:hAnsi="宋体"/>
                <w:color w:val="auto"/>
                <w:sz w:val="21"/>
                <w:highlight w:val="none"/>
              </w:rPr>
              <w:t>更正公告（澄清公告）</w:t>
            </w:r>
            <w:r>
              <w:rPr>
                <w:rFonts w:hAnsi="宋体"/>
                <w:color w:val="auto"/>
                <w:sz w:val="21"/>
                <w:highlight w:val="none"/>
              </w:rPr>
              <w:t>为准。按本款前述规定仍不能形成结论的，由</w:t>
            </w:r>
            <w:r>
              <w:rPr>
                <w:rFonts w:hint="eastAsia" w:hAnsi="宋体"/>
                <w:color w:val="auto"/>
                <w:sz w:val="21"/>
                <w:highlight w:val="none"/>
              </w:rPr>
              <w:t>采购</w:t>
            </w:r>
            <w:r>
              <w:rPr>
                <w:rFonts w:hAnsi="宋体"/>
                <w:color w:val="auto"/>
                <w:sz w:val="21"/>
                <w:highlight w:val="none"/>
              </w:rPr>
              <w:t>人</w:t>
            </w:r>
            <w:r>
              <w:rPr>
                <w:rFonts w:hint="eastAsia" w:hAnsi="宋体"/>
                <w:color w:val="auto"/>
                <w:sz w:val="21"/>
                <w:highlight w:val="none"/>
              </w:rPr>
              <w:t>或者采购代理机构</w:t>
            </w:r>
            <w:r>
              <w:rPr>
                <w:rFonts w:hAnsi="宋体"/>
                <w:color w:val="auto"/>
                <w:sz w:val="21"/>
                <w:highlight w:val="none"/>
              </w:rPr>
              <w:t>负责解释。</w:t>
            </w:r>
          </w:p>
        </w:tc>
      </w:tr>
      <w:tr w14:paraId="03C93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3306943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33.2</w:t>
            </w:r>
          </w:p>
        </w:tc>
        <w:tc>
          <w:tcPr>
            <w:tcW w:w="7912" w:type="dxa"/>
            <w:tcBorders>
              <w:top w:val="single" w:color="000000" w:sz="4" w:space="0"/>
              <w:left w:val="single" w:color="000000" w:sz="4" w:space="0"/>
              <w:bottom w:val="single" w:color="000000" w:sz="4" w:space="0"/>
              <w:right w:val="single" w:color="000000" w:sz="4" w:space="0"/>
            </w:tcBorders>
            <w:vAlign w:val="center"/>
          </w:tcPr>
          <w:p w14:paraId="1E71835D">
            <w:pPr>
              <w:pStyle w:val="238"/>
              <w:spacing w:line="360" w:lineRule="auto"/>
              <w:rPr>
                <w:rFonts w:hint="eastAsia" w:hAnsi="宋体"/>
                <w:color w:val="auto"/>
                <w:sz w:val="21"/>
                <w:highlight w:val="none"/>
              </w:rPr>
            </w:pPr>
            <w:r>
              <w:rPr>
                <w:rFonts w:hint="eastAsia" w:hAnsi="宋体"/>
                <w:color w:val="auto"/>
                <w:sz w:val="21"/>
                <w:highlight w:val="none"/>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w:t>
            </w:r>
            <w:r>
              <w:rPr>
                <w:rFonts w:hint="eastAsia" w:hAnsi="宋体"/>
                <w:color w:val="auto"/>
                <w:sz w:val="21"/>
                <w:highlight w:val="none"/>
              </w:rPr>
              <w:t>账</w:t>
            </w:r>
            <w:r>
              <w:rPr>
                <w:rFonts w:hint="eastAsia" w:hAnsi="宋体"/>
                <w:color w:val="auto"/>
                <w:sz w:val="21"/>
                <w:highlight w:val="none"/>
              </w:rPr>
              <w:t>户，也可以使用银行保函。工程竣工验收结算经审定后，按照规定程序，将农民工工资保证金没有使用或剩余的金额退还给承包人。</w:t>
            </w:r>
          </w:p>
        </w:tc>
      </w:tr>
      <w:tr w14:paraId="7533A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596E124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w:t>
            </w:r>
            <w:r>
              <w:rPr>
                <w:rFonts w:hint="eastAsia" w:ascii="宋体" w:hAnsi="宋体" w:cs="宋体"/>
                <w:color w:val="auto"/>
                <w:szCs w:val="21"/>
                <w:highlight w:val="none"/>
              </w:rPr>
              <w:t>3</w:t>
            </w:r>
          </w:p>
        </w:tc>
        <w:tc>
          <w:tcPr>
            <w:tcW w:w="7912" w:type="dxa"/>
            <w:tcBorders>
              <w:top w:val="single" w:color="000000" w:sz="4" w:space="0"/>
              <w:left w:val="single" w:color="000000" w:sz="4" w:space="0"/>
              <w:bottom w:val="single" w:color="000000" w:sz="4" w:space="0"/>
              <w:right w:val="single" w:color="000000" w:sz="4" w:space="0"/>
            </w:tcBorders>
            <w:vAlign w:val="center"/>
          </w:tcPr>
          <w:p w14:paraId="6EC01C16">
            <w:pPr>
              <w:pStyle w:val="238"/>
              <w:spacing w:line="360" w:lineRule="auto"/>
              <w:rPr>
                <w:rFonts w:hint="eastAsia" w:hAnsi="宋体" w:cs="宋体"/>
                <w:color w:val="auto"/>
                <w:sz w:val="21"/>
                <w:highlight w:val="none"/>
              </w:rPr>
            </w:pPr>
            <w:r>
              <w:rPr>
                <w:rFonts w:hint="eastAsia" w:hAnsi="宋体" w:cs="宋体"/>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B026037">
            <w:pPr>
              <w:pStyle w:val="238"/>
              <w:spacing w:line="360" w:lineRule="auto"/>
              <w:rPr>
                <w:rFonts w:hint="eastAsia" w:hAnsi="宋体" w:cs="宋体"/>
                <w:color w:val="auto"/>
                <w:sz w:val="21"/>
                <w:highlight w:val="none"/>
              </w:rPr>
            </w:pPr>
            <w:r>
              <w:rPr>
                <w:rFonts w:hint="eastAsia" w:hAnsi="宋体" w:cs="宋体"/>
                <w:bCs/>
                <w:color w:val="auto"/>
                <w:sz w:val="21"/>
                <w:highlight w:val="none"/>
              </w:rPr>
              <w:t>2.本磋商文件所称的“</w:t>
            </w:r>
            <w:r>
              <w:rPr>
                <w:rFonts w:hint="eastAsia" w:hAnsi="宋体"/>
                <w:color w:val="auto"/>
                <w:sz w:val="21"/>
                <w:highlight w:val="none"/>
              </w:rPr>
              <w:t>电子签章</w:t>
            </w:r>
            <w:r>
              <w:rPr>
                <w:rFonts w:hint="eastAsia" w:hAnsi="宋体" w:cs="宋体"/>
                <w:bCs/>
                <w:color w:val="auto"/>
                <w:sz w:val="21"/>
                <w:highlight w:val="none"/>
              </w:rPr>
              <w:t>”、“电子签名”</w:t>
            </w:r>
            <w:r>
              <w:rPr>
                <w:rFonts w:hint="eastAsia" w:hAnsi="宋体"/>
                <w:color w:val="auto"/>
                <w:sz w:val="21"/>
                <w:highlight w:val="none"/>
              </w:rPr>
              <w:t>，是指经广西政府采购云平台认可的CA认证的电子签名数据为表现形式的印章，可用于签署电子响应文件，电子印章与实物印章具有同等法律效力，不因其采用电子化表现形式而否定其法律效力。</w:t>
            </w:r>
          </w:p>
          <w:p w14:paraId="0532114D">
            <w:pPr>
              <w:pStyle w:val="238"/>
              <w:spacing w:line="360" w:lineRule="auto"/>
              <w:rPr>
                <w:rFonts w:hint="eastAsia" w:hAnsi="宋体" w:cs="宋体"/>
                <w:bCs/>
                <w:color w:val="auto"/>
                <w:sz w:val="21"/>
                <w:highlight w:val="none"/>
              </w:rPr>
            </w:pPr>
            <w:r>
              <w:rPr>
                <w:rFonts w:hAnsi="宋体" w:cs="宋体"/>
                <w:color w:val="auto"/>
                <w:sz w:val="21"/>
                <w:highlight w:val="none"/>
              </w:rPr>
              <w:t>3</w:t>
            </w:r>
            <w:r>
              <w:rPr>
                <w:rFonts w:hint="eastAsia" w:hAnsi="宋体" w:cs="宋体"/>
                <w:color w:val="auto"/>
                <w:sz w:val="21"/>
                <w:highlight w:val="none"/>
              </w:rPr>
              <w:t>.供应商为其他组织时，本磋商文件规定的法定代表人指负责人。本磋商文件所称负责人是指参加竞标的其他组织</w:t>
            </w:r>
            <w:r>
              <w:rPr>
                <w:rFonts w:hint="eastAsia" w:hAnsi="宋体" w:cs="宋体"/>
                <w:bCs/>
                <w:color w:val="auto"/>
                <w:sz w:val="21"/>
                <w:highlight w:val="none"/>
              </w:rPr>
              <w:t>营业执照或者执业许可证等证照上的</w:t>
            </w:r>
            <w:r>
              <w:rPr>
                <w:rFonts w:hint="eastAsia" w:hAnsi="宋体" w:cs="宋体"/>
                <w:color w:val="auto"/>
                <w:sz w:val="21"/>
                <w:highlight w:val="none"/>
              </w:rPr>
              <w:t>负责人</w:t>
            </w:r>
            <w:r>
              <w:rPr>
                <w:rFonts w:hint="eastAsia" w:hAnsi="宋体" w:cs="宋体"/>
                <w:bCs/>
                <w:color w:val="auto"/>
                <w:sz w:val="21"/>
                <w:highlight w:val="none"/>
              </w:rPr>
              <w:t>。</w:t>
            </w:r>
          </w:p>
          <w:p w14:paraId="6CCE58FD">
            <w:pPr>
              <w:pStyle w:val="238"/>
              <w:spacing w:line="360" w:lineRule="auto"/>
              <w:rPr>
                <w:rFonts w:hint="eastAsia" w:hAnsi="宋体" w:cs="宋体"/>
                <w:color w:val="auto"/>
                <w:sz w:val="21"/>
                <w:highlight w:val="none"/>
              </w:rPr>
            </w:pPr>
            <w:r>
              <w:rPr>
                <w:rFonts w:hAnsi="宋体" w:cs="宋体"/>
                <w:color w:val="auto"/>
                <w:sz w:val="21"/>
                <w:highlight w:val="none"/>
              </w:rPr>
              <w:t>4.</w:t>
            </w:r>
            <w:r>
              <w:rPr>
                <w:rFonts w:hint="eastAsia" w:hAnsi="宋体" w:cs="宋体"/>
                <w:color w:val="auto"/>
                <w:sz w:val="21"/>
                <w:highlight w:val="none"/>
              </w:rPr>
              <w:t>本磋商文件中描述供应商的“签字”是指供应商的法定代表人或者委托代理人亲自在文件规定签署处亲笔写上个人的名字的行为，私章、签字章、印鉴、影印等其他形式均不能代替亲笔签字。</w:t>
            </w:r>
          </w:p>
          <w:p w14:paraId="4338CD95">
            <w:pPr>
              <w:pStyle w:val="238"/>
              <w:spacing w:line="360" w:lineRule="auto"/>
              <w:rPr>
                <w:rFonts w:hint="eastAsia" w:hAnsi="宋体" w:cs="宋体"/>
                <w:color w:val="auto"/>
                <w:sz w:val="21"/>
                <w:highlight w:val="none"/>
              </w:rPr>
            </w:pPr>
            <w:r>
              <w:rPr>
                <w:rFonts w:hint="eastAsia" w:hAnsi="宋体" w:cs="宋体"/>
                <w:color w:val="auto"/>
                <w:sz w:val="21"/>
                <w:highlight w:val="none"/>
              </w:rPr>
              <w:t>5</w:t>
            </w:r>
            <w:r>
              <w:rPr>
                <w:rFonts w:hAnsi="宋体" w:cs="宋体"/>
                <w:color w:val="auto"/>
                <w:sz w:val="21"/>
                <w:highlight w:val="none"/>
              </w:rPr>
              <w:t>.</w:t>
            </w:r>
            <w:r>
              <w:rPr>
                <w:rFonts w:hint="eastAsia" w:hAnsi="宋体" w:cs="宋体"/>
                <w:color w:val="auto"/>
                <w:sz w:val="21"/>
                <w:highlight w:val="none"/>
              </w:rPr>
              <w:t>本磋商文件所称的“以上”“以下”“以内”“届满”，包括本数；所称的“不满”“超过”“以外”，不包括本数。</w:t>
            </w:r>
          </w:p>
        </w:tc>
      </w:tr>
      <w:tr w14:paraId="18B81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59B60879">
            <w:pPr>
              <w:spacing w:line="360" w:lineRule="auto"/>
              <w:jc w:val="center"/>
              <w:rPr>
                <w:rFonts w:hint="eastAsia" w:ascii="宋体" w:hAnsi="宋体" w:cs="宋体"/>
                <w:color w:val="auto"/>
                <w:szCs w:val="21"/>
                <w:highlight w:val="none"/>
              </w:rPr>
            </w:pPr>
          </w:p>
        </w:tc>
        <w:tc>
          <w:tcPr>
            <w:tcW w:w="7912" w:type="dxa"/>
            <w:tcBorders>
              <w:top w:val="single" w:color="000000" w:sz="4" w:space="0"/>
              <w:left w:val="single" w:color="000000" w:sz="4" w:space="0"/>
              <w:bottom w:val="single" w:color="000000" w:sz="4" w:space="0"/>
              <w:right w:val="single" w:color="000000" w:sz="4" w:space="0"/>
            </w:tcBorders>
            <w:vAlign w:val="center"/>
          </w:tcPr>
          <w:p w14:paraId="376FE080">
            <w:pPr>
              <w:pStyle w:val="238"/>
              <w:spacing w:line="360" w:lineRule="auto"/>
              <w:rPr>
                <w:rFonts w:hint="eastAsia" w:hAnsi="宋体" w:cs="宋体"/>
                <w:color w:val="auto"/>
                <w:sz w:val="21"/>
                <w:highlight w:val="none"/>
              </w:rPr>
            </w:pPr>
            <w:r>
              <w:rPr>
                <w:rFonts w:hint="eastAsia" w:hAnsi="宋体" w:cs="宋体"/>
                <w:color w:val="auto"/>
                <w:sz w:val="21"/>
                <w:highlight w:val="none"/>
              </w:rPr>
              <w:t>本采购项目涉及中小企业采购，现明确以下内容：</w:t>
            </w:r>
          </w:p>
          <w:p w14:paraId="5A046078">
            <w:pPr>
              <w:pStyle w:val="238"/>
              <w:spacing w:line="360" w:lineRule="auto"/>
              <w:rPr>
                <w:rFonts w:hint="eastAsia" w:hAnsi="宋体" w:cs="宋体"/>
                <w:color w:val="auto"/>
                <w:sz w:val="21"/>
                <w:highlight w:val="none"/>
              </w:rPr>
            </w:pPr>
            <w:r>
              <w:rPr>
                <w:rFonts w:hint="eastAsia" w:hAnsi="宋体" w:cs="宋体"/>
                <w:color w:val="auto"/>
                <w:sz w:val="21"/>
                <w:highlight w:val="none"/>
              </w:rPr>
              <w:t>1.本项目属于专门面向中小企业采购的项目，供应商应为中小微企业或监狱企业或残疾人福利性单位，相关标的详见本竞争性磋商文件“第三章《采购需求》”；</w:t>
            </w:r>
          </w:p>
          <w:p w14:paraId="74F5D0DB">
            <w:pPr>
              <w:pStyle w:val="238"/>
              <w:spacing w:line="360" w:lineRule="auto"/>
              <w:rPr>
                <w:rFonts w:hint="eastAsia" w:hAnsi="宋体" w:cs="宋体"/>
                <w:color w:val="auto"/>
                <w:sz w:val="21"/>
                <w:highlight w:val="none"/>
              </w:rPr>
            </w:pPr>
            <w:r>
              <w:rPr>
                <w:rFonts w:hint="eastAsia" w:hAnsi="宋体" w:cs="宋体"/>
                <w:color w:val="auto"/>
                <w:sz w:val="21"/>
                <w:highlight w:val="none"/>
              </w:rPr>
              <w:t xml:space="preserve">2.中小企业预留预算金额：3075518.00元；中小企业预留份额：100%； </w:t>
            </w:r>
          </w:p>
          <w:p w14:paraId="155A45AA">
            <w:pPr>
              <w:pStyle w:val="238"/>
              <w:spacing w:line="360" w:lineRule="auto"/>
              <w:rPr>
                <w:rFonts w:hint="eastAsia" w:hAnsi="宋体" w:cs="宋体"/>
                <w:color w:val="auto"/>
                <w:sz w:val="21"/>
                <w:highlight w:val="none"/>
              </w:rPr>
            </w:pPr>
            <w:r>
              <w:rPr>
                <w:rFonts w:hint="eastAsia" w:hAnsi="宋体" w:cs="宋体"/>
                <w:color w:val="auto"/>
                <w:sz w:val="21"/>
                <w:highlight w:val="none"/>
              </w:rPr>
              <w:t>3.本项目不接受联合体；本项目不允许分包；</w:t>
            </w:r>
          </w:p>
          <w:p w14:paraId="432F5802">
            <w:pPr>
              <w:pStyle w:val="238"/>
              <w:spacing w:line="360" w:lineRule="auto"/>
              <w:rPr>
                <w:rFonts w:hint="eastAsia" w:hAnsi="宋体" w:cs="宋体"/>
                <w:color w:val="auto"/>
                <w:sz w:val="21"/>
                <w:highlight w:val="none"/>
              </w:rPr>
            </w:pPr>
            <w:r>
              <w:rPr>
                <w:rFonts w:hint="eastAsia" w:hAnsi="宋体" w:cs="宋体"/>
                <w:color w:val="auto"/>
                <w:sz w:val="21"/>
                <w:highlight w:val="none"/>
              </w:rPr>
              <w:t>4.本项目属于专门面向中小企业采购的项目，不再进行价格扣除及用扣除后的价格参加评审；</w:t>
            </w:r>
          </w:p>
          <w:p w14:paraId="0A5028FC">
            <w:pPr>
              <w:pStyle w:val="238"/>
              <w:spacing w:line="360" w:lineRule="auto"/>
              <w:rPr>
                <w:rFonts w:hint="eastAsia" w:hAnsi="宋体" w:cs="宋体"/>
                <w:color w:val="auto"/>
                <w:sz w:val="21"/>
                <w:highlight w:val="none"/>
              </w:rPr>
            </w:pPr>
            <w:r>
              <w:rPr>
                <w:rFonts w:hint="eastAsia" w:hAnsi="宋体" w:cs="宋体"/>
                <w:color w:val="auto"/>
                <w:sz w:val="21"/>
                <w:highlight w:val="none"/>
              </w:rPr>
              <w:t>5.因本项目属于专门面向中小企业采购的项目，规定依据《政府采购促进中小企业发展管理办法》规定享受扶持政策获得政府采购合同的，小微企业不得将合同分包给大中型企业，中型企业不得将合同分包给大型企业；</w:t>
            </w:r>
          </w:p>
          <w:p w14:paraId="4041005F">
            <w:pPr>
              <w:pStyle w:val="238"/>
              <w:spacing w:line="360" w:lineRule="auto"/>
              <w:rPr>
                <w:rFonts w:hint="eastAsia" w:hAnsi="宋体" w:cs="宋体"/>
                <w:color w:val="auto"/>
                <w:sz w:val="21"/>
                <w:highlight w:val="none"/>
              </w:rPr>
            </w:pPr>
            <w:r>
              <w:rPr>
                <w:rFonts w:hAnsi="宋体" w:cs="宋体"/>
                <w:color w:val="auto"/>
                <w:sz w:val="21"/>
                <w:highlight w:val="none"/>
              </w:rPr>
              <w:t>6.</w:t>
            </w:r>
            <w:r>
              <w:rPr>
                <w:rFonts w:hint="eastAsia" w:hAnsi="宋体" w:cs="宋体"/>
                <w:color w:val="auto"/>
                <w:sz w:val="21"/>
                <w:highlight w:val="none"/>
              </w:rPr>
              <w:t>本项目采购标的对应的中小企业划分标准所属行业：建筑业。</w:t>
            </w:r>
          </w:p>
        </w:tc>
      </w:tr>
    </w:tbl>
    <w:p w14:paraId="6991A89D">
      <w:pPr>
        <w:spacing w:line="400" w:lineRule="exact"/>
        <w:jc w:val="center"/>
        <w:rPr>
          <w:rFonts w:hint="eastAsia" w:ascii="宋体" w:hAnsi="宋体"/>
          <w:b/>
          <w:color w:val="auto"/>
          <w:sz w:val="32"/>
          <w:szCs w:val="32"/>
          <w:highlight w:val="none"/>
        </w:rPr>
      </w:pPr>
      <w:r>
        <w:rPr>
          <w:rFonts w:ascii="宋体" w:hAnsi="宋体"/>
          <w:b/>
          <w:color w:val="auto"/>
          <w:sz w:val="32"/>
          <w:szCs w:val="32"/>
          <w:highlight w:val="none"/>
        </w:rPr>
        <w:br w:type="page" w:clear="all"/>
      </w:r>
      <w:r>
        <w:rPr>
          <w:rFonts w:hint="eastAsia" w:ascii="宋体" w:hAnsi="宋体"/>
          <w:b/>
          <w:color w:val="auto"/>
          <w:sz w:val="32"/>
          <w:szCs w:val="32"/>
          <w:highlight w:val="none"/>
        </w:rPr>
        <w:t>供应商须知正文</w:t>
      </w:r>
    </w:p>
    <w:p w14:paraId="13FE8A5F">
      <w:pPr>
        <w:spacing w:line="400" w:lineRule="exact"/>
        <w:jc w:val="center"/>
        <w:rPr>
          <w:rFonts w:hint="eastAsia" w:ascii="宋体" w:hAnsi="宋体"/>
          <w:b/>
          <w:color w:val="auto"/>
          <w:sz w:val="32"/>
          <w:szCs w:val="32"/>
          <w:highlight w:val="none"/>
        </w:rPr>
      </w:pPr>
    </w:p>
    <w:p w14:paraId="270F113D">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一、总则</w:t>
      </w:r>
    </w:p>
    <w:p w14:paraId="081529E1">
      <w:pPr>
        <w:spacing w:line="400" w:lineRule="exact"/>
        <w:rPr>
          <w:rFonts w:hint="eastAsia" w:ascii="宋体" w:hAnsi="宋体"/>
          <w:color w:val="auto"/>
          <w:szCs w:val="21"/>
          <w:highlight w:val="none"/>
        </w:rPr>
      </w:pPr>
    </w:p>
    <w:p w14:paraId="2EF4529D">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6E121B8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47B65F8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1.2本竞争性磋商文件（以下简称磋商文件）适用于本项目的所有采购程序和环节（法律、法规另有规定的，从其规定）</w:t>
      </w:r>
      <w:r>
        <w:rPr>
          <w:rFonts w:hint="eastAsia" w:ascii="宋体" w:hAnsi="宋体" w:cs="宋体"/>
          <w:color w:val="auto"/>
          <w:spacing w:val="-6"/>
          <w:szCs w:val="21"/>
          <w:highlight w:val="none"/>
        </w:rPr>
        <w:t>。</w:t>
      </w:r>
    </w:p>
    <w:p w14:paraId="3A7CCB3D">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608DB84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37E362D2">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2952E2C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6BD22FD3">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2.4“工程”是指建设工程，包括建筑物和构筑物的新建、改建、扩建、装修、拆除、修缮等。</w:t>
      </w:r>
    </w:p>
    <w:p w14:paraId="79819B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7C3576E5">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2A1F3397">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2.7“响应文件”是指：供应商根据本磋商文件要求，编制包含资格证明、报价、商务技术等所有内容的文件</w:t>
      </w:r>
      <w:r>
        <w:rPr>
          <w:rFonts w:hint="eastAsia" w:ascii="宋体" w:hAnsi="宋体" w:cs="宋体"/>
          <w:color w:val="auto"/>
          <w:spacing w:val="-6"/>
          <w:szCs w:val="21"/>
          <w:highlight w:val="none"/>
        </w:rPr>
        <w:t>。</w:t>
      </w:r>
    </w:p>
    <w:p w14:paraId="0A0B0033">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2.8“实质性要求”是指磋商文件中已经指明不满足则响应文件按无效处理的条款，或者不能负偏离的条款，或者采购需求中带“▲”的条款。</w:t>
      </w:r>
    </w:p>
    <w:p w14:paraId="63135DEC">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790705D1">
      <w:pPr>
        <w:spacing w:line="360" w:lineRule="auto"/>
        <w:ind w:firstLine="420"/>
        <w:contextualSpacing/>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1D77100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7BAE7BA3">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6FCA04AA">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3421CFB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3.1供应商的资格条件详见“供应商须知前附表”。</w:t>
      </w:r>
    </w:p>
    <w:p w14:paraId="10297C5D">
      <w:pPr>
        <w:spacing w:line="360" w:lineRule="auto"/>
        <w:ind w:firstLine="420"/>
        <w:rPr>
          <w:rFonts w:cs="宋体"/>
          <w:color w:val="auto"/>
          <w:highlight w:val="none"/>
        </w:rPr>
      </w:pPr>
      <w:r>
        <w:rPr>
          <w:rFonts w:hint="eastAsia" w:ascii="宋体" w:hAnsi="宋体" w:cs="宋体"/>
          <w:color w:val="auto"/>
          <w:szCs w:val="21"/>
          <w:highlight w:val="none"/>
        </w:rPr>
        <w:t>3.2供应商</w:t>
      </w:r>
      <w:r>
        <w:rPr>
          <w:rFonts w:hint="eastAsia" w:cs="宋体"/>
          <w:color w:val="auto"/>
          <w:highlight w:val="none"/>
        </w:rPr>
        <w:t>不得存在下列情形之一：</w:t>
      </w:r>
    </w:p>
    <w:p w14:paraId="2294C511">
      <w:pPr>
        <w:spacing w:line="360" w:lineRule="auto"/>
        <w:ind w:firstLine="420"/>
        <w:rPr>
          <w:rFonts w:hint="eastAsia" w:ascii="宋体" w:hAnsi="宋体" w:cs="宋体"/>
          <w:color w:val="auto"/>
          <w:szCs w:val="21"/>
          <w:highlight w:val="none"/>
        </w:rPr>
      </w:pPr>
      <w:r>
        <w:rPr>
          <w:rFonts w:hint="eastAsia" w:cs="宋体"/>
          <w:color w:val="auto"/>
          <w:highlight w:val="none"/>
        </w:rPr>
        <w:t>（1）</w:t>
      </w:r>
      <w:r>
        <w:rPr>
          <w:rFonts w:hint="eastAsia" w:ascii="宋体" w:hAnsi="宋体" w:cs="宋体"/>
          <w:color w:val="auto"/>
          <w:szCs w:val="21"/>
          <w:highlight w:val="none"/>
        </w:rPr>
        <w:t>单位负责人为同一人或者存在直接控股、管理关系的不同供应商，不得参加同一合同项下的政府采购活动；</w:t>
      </w:r>
    </w:p>
    <w:p w14:paraId="4058E961">
      <w:pPr>
        <w:spacing w:line="360" w:lineRule="auto"/>
        <w:ind w:firstLine="420"/>
        <w:rPr>
          <w:rFonts w:cs="宋体"/>
          <w:color w:val="auto"/>
          <w:highlight w:val="none"/>
        </w:rPr>
      </w:pPr>
      <w:r>
        <w:rPr>
          <w:rFonts w:hint="eastAsia" w:ascii="宋体" w:hAnsi="宋体" w:cs="宋体"/>
          <w:color w:val="auto"/>
          <w:szCs w:val="21"/>
          <w:highlight w:val="none"/>
        </w:rPr>
        <w:t>（2）为本项目提供过整体设计、规范编制或者项目管理、监理、检测等服务的供应商，不得再参加本项目上述服务以外的其他采购活动；</w:t>
      </w:r>
    </w:p>
    <w:p w14:paraId="2DFDFDAA">
      <w:pPr>
        <w:spacing w:line="360" w:lineRule="auto"/>
        <w:ind w:firstLine="420"/>
        <w:rPr>
          <w:color w:val="auto"/>
          <w:highlight w:val="none"/>
        </w:rPr>
      </w:pPr>
      <w:r>
        <w:rPr>
          <w:rFonts w:hint="eastAsia" w:cs="宋体"/>
          <w:color w:val="auto"/>
          <w:highlight w:val="none"/>
        </w:rPr>
        <w:t>（</w:t>
      </w:r>
      <w:r>
        <w:rPr>
          <w:rFonts w:hint="eastAsia"/>
          <w:color w:val="auto"/>
          <w:highlight w:val="none"/>
        </w:rPr>
        <w:t>3</w:t>
      </w:r>
      <w:r>
        <w:rPr>
          <w:rFonts w:hint="eastAsia" w:cs="宋体"/>
          <w:color w:val="auto"/>
          <w:highlight w:val="none"/>
        </w:rPr>
        <w:t>）为本分标的代建人；</w:t>
      </w:r>
    </w:p>
    <w:p w14:paraId="03F92AEB">
      <w:pPr>
        <w:spacing w:line="360" w:lineRule="auto"/>
        <w:ind w:firstLine="420"/>
        <w:rPr>
          <w:color w:val="auto"/>
          <w:highlight w:val="none"/>
        </w:rPr>
      </w:pPr>
      <w:r>
        <w:rPr>
          <w:rFonts w:hint="eastAsia" w:cs="宋体"/>
          <w:color w:val="auto"/>
          <w:highlight w:val="none"/>
        </w:rPr>
        <w:t>（</w:t>
      </w:r>
      <w:r>
        <w:rPr>
          <w:rFonts w:hint="eastAsia"/>
          <w:color w:val="auto"/>
          <w:highlight w:val="none"/>
        </w:rPr>
        <w:t>4</w:t>
      </w:r>
      <w:r>
        <w:rPr>
          <w:rFonts w:hint="eastAsia" w:cs="宋体"/>
          <w:color w:val="auto"/>
          <w:highlight w:val="none"/>
        </w:rPr>
        <w:t>）为本分标提供采购代理服务的；</w:t>
      </w:r>
    </w:p>
    <w:p w14:paraId="08F029C7">
      <w:pPr>
        <w:spacing w:line="360" w:lineRule="auto"/>
        <w:ind w:firstLine="420"/>
        <w:rPr>
          <w:color w:val="auto"/>
          <w:highlight w:val="none"/>
        </w:rPr>
      </w:pPr>
      <w:r>
        <w:rPr>
          <w:rFonts w:hint="eastAsia" w:cs="宋体"/>
          <w:color w:val="auto"/>
          <w:highlight w:val="none"/>
        </w:rPr>
        <w:t>（</w:t>
      </w:r>
      <w:r>
        <w:rPr>
          <w:rFonts w:hint="eastAsia"/>
          <w:color w:val="auto"/>
          <w:highlight w:val="none"/>
        </w:rPr>
        <w:t>5</w:t>
      </w:r>
      <w:r>
        <w:rPr>
          <w:rFonts w:hint="eastAsia" w:cs="宋体"/>
          <w:color w:val="auto"/>
          <w:highlight w:val="none"/>
        </w:rPr>
        <w:t>）与本分标的监理人或代建人或采购代理机构同为一个法定代表人的；</w:t>
      </w:r>
    </w:p>
    <w:p w14:paraId="007F77CF">
      <w:pPr>
        <w:spacing w:line="360" w:lineRule="auto"/>
        <w:ind w:firstLine="420"/>
        <w:rPr>
          <w:color w:val="auto"/>
          <w:highlight w:val="none"/>
        </w:rPr>
      </w:pPr>
      <w:r>
        <w:rPr>
          <w:rFonts w:hint="eastAsia" w:cs="宋体"/>
          <w:color w:val="auto"/>
          <w:highlight w:val="none"/>
        </w:rPr>
        <w:t>（</w:t>
      </w:r>
      <w:r>
        <w:rPr>
          <w:rFonts w:hint="eastAsia"/>
          <w:color w:val="auto"/>
          <w:highlight w:val="none"/>
        </w:rPr>
        <w:t>6</w:t>
      </w:r>
      <w:r>
        <w:rPr>
          <w:rFonts w:hint="eastAsia" w:cs="宋体"/>
          <w:color w:val="auto"/>
          <w:highlight w:val="none"/>
        </w:rPr>
        <w:t>）与本分标的监理人或代建人或采购代理机构相互控股或参股的；</w:t>
      </w:r>
    </w:p>
    <w:p w14:paraId="352402BD">
      <w:pPr>
        <w:spacing w:line="360" w:lineRule="auto"/>
        <w:ind w:firstLine="420"/>
        <w:rPr>
          <w:rFonts w:cs="宋体"/>
          <w:color w:val="auto"/>
          <w:highlight w:val="none"/>
        </w:rPr>
      </w:pPr>
      <w:r>
        <w:rPr>
          <w:rFonts w:hint="eastAsia" w:cs="宋体"/>
          <w:color w:val="auto"/>
          <w:highlight w:val="none"/>
        </w:rPr>
        <w:t>（</w:t>
      </w:r>
      <w:r>
        <w:rPr>
          <w:rFonts w:hint="eastAsia"/>
          <w:color w:val="auto"/>
          <w:highlight w:val="none"/>
        </w:rPr>
        <w:t>7</w:t>
      </w:r>
      <w:r>
        <w:rPr>
          <w:rFonts w:hint="eastAsia" w:cs="宋体"/>
          <w:color w:val="auto"/>
          <w:highlight w:val="none"/>
        </w:rPr>
        <w:t>）与本分标的监理人或代建人或采购代理机构相互任职或工作的；</w:t>
      </w:r>
    </w:p>
    <w:p w14:paraId="4189CB87">
      <w:pPr>
        <w:spacing w:line="360" w:lineRule="auto"/>
        <w:ind w:firstLine="420"/>
        <w:rPr>
          <w:color w:val="auto"/>
          <w:highlight w:val="none"/>
        </w:rPr>
      </w:pPr>
      <w:r>
        <w:rPr>
          <w:rFonts w:hint="eastAsia" w:cs="宋体"/>
          <w:color w:val="auto"/>
          <w:highlight w:val="none"/>
        </w:rPr>
        <w:t>（8）在“信用中国”网站（www.creditchina.gov.cn） 、中国政府采购网（www.ccgp.gov.cn）被列入失信被执行人、重大税收违法失信主体、政府采购严重违法失信行为记录名单及其他不符合《中华人民共和国政府采购法》第二十二条规定条件的。</w:t>
      </w:r>
    </w:p>
    <w:p w14:paraId="5E51C83B">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4.竞标费用</w:t>
      </w:r>
    </w:p>
    <w:p w14:paraId="027B5AD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51590163">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5E97028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6249553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32577DE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5.3</w:t>
      </w:r>
      <w:bookmarkStart w:id="61" w:name="_Hlk66782192"/>
      <w:r>
        <w:rPr>
          <w:rFonts w:hint="eastAsia" w:ascii="宋体" w:hAnsi="宋体"/>
          <w:color w:val="auto"/>
          <w:szCs w:val="21"/>
          <w:highlight w:val="none"/>
        </w:rPr>
        <w:t>根据《政府采购促进中小企业发展管理办法》（财库〔2020〕46号）第九条第二款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1%-2%的扣除，用扣除后的价格参加评审。</w:t>
      </w:r>
      <w:bookmarkEnd w:id="61"/>
    </w:p>
    <w:p w14:paraId="61857C47">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58FD9193">
      <w:pPr>
        <w:pStyle w:val="203"/>
        <w:keepNext w:val="0"/>
        <w:keepLines w:val="0"/>
        <w:spacing w:before="0" w:after="0" w:line="360" w:lineRule="auto"/>
        <w:ind w:left="420"/>
        <w:rPr>
          <w:rFonts w:hint="eastAsia" w:ascii="宋体" w:hAnsi="宋体"/>
          <w:b w:val="0"/>
          <w:color w:val="auto"/>
          <w:sz w:val="21"/>
          <w:szCs w:val="21"/>
          <w:highlight w:val="none"/>
        </w:rPr>
      </w:pPr>
      <w:bookmarkStart w:id="62" w:name="_Toc254970532"/>
      <w:bookmarkStart w:id="63" w:name="_Toc254970673"/>
      <w:r>
        <w:rPr>
          <w:rFonts w:hint="eastAsia" w:ascii="宋体" w:hAnsi="宋体"/>
          <w:b w:val="0"/>
          <w:color w:val="auto"/>
          <w:sz w:val="21"/>
          <w:szCs w:val="21"/>
          <w:highlight w:val="none"/>
        </w:rPr>
        <w:t>6.1本项目不允许转包。</w:t>
      </w:r>
    </w:p>
    <w:p w14:paraId="12C68FD1">
      <w:pPr>
        <w:pStyle w:val="203"/>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14:paraId="66880F7A">
      <w:pPr>
        <w:pStyle w:val="203"/>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0CC6B143">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62"/>
      <w:bookmarkEnd w:id="63"/>
    </w:p>
    <w:p w14:paraId="3D8B0712">
      <w:pPr>
        <w:spacing w:line="360" w:lineRule="auto"/>
        <w:ind w:firstLine="420"/>
        <w:rPr>
          <w:rFonts w:hint="eastAsia" w:ascii="宋体" w:hAnsi="宋体" w:cs="宋体"/>
          <w:color w:val="auto"/>
          <w:szCs w:val="21"/>
          <w:highlight w:val="none"/>
        </w:rPr>
      </w:pPr>
      <w:bookmarkStart w:id="64" w:name="_8.1提供相同品牌产品且通过资格审查、符合性审查的不同投标人参加同一合"/>
      <w:bookmarkEnd w:id="64"/>
      <w:r>
        <w:rPr>
          <w:rFonts w:hint="eastAsia" w:ascii="宋体" w:hAnsi="宋体" w:cs="宋体"/>
          <w:color w:val="auto"/>
          <w:szCs w:val="21"/>
          <w:highlight w:val="none"/>
        </w:rPr>
        <w:t>7.</w:t>
      </w:r>
      <w:r>
        <w:rPr>
          <w:rFonts w:ascii="宋体" w:hAnsi="宋体" w:cs="宋体"/>
          <w:color w:val="auto"/>
          <w:szCs w:val="21"/>
          <w:highlight w:val="none"/>
        </w:rPr>
        <w:t>1</w:t>
      </w:r>
      <w:bookmarkStart w:id="65"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p>
    <w:bookmarkEnd w:id="65"/>
    <w:p w14:paraId="199B0C1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2</w:t>
      </w:r>
      <w:r>
        <w:rPr>
          <w:rFonts w:hint="eastAsia" w:ascii="宋体" w:hAnsi="宋体" w:cs="宋体"/>
          <w:color w:val="auto"/>
          <w:szCs w:val="21"/>
          <w:highlight w:val="none"/>
        </w:rPr>
        <w:t>供应商应仔细阅读磋商文件的所有内容，按照磋商文件的要求提交响应文件，并对所提供的全部资料的真实性承担法律责任。</w:t>
      </w:r>
    </w:p>
    <w:p w14:paraId="6C2AA970">
      <w:pPr>
        <w:spacing w:line="360" w:lineRule="auto"/>
        <w:ind w:firstLine="420"/>
        <w:rPr>
          <w:rFonts w:hint="eastAsia" w:ascii="宋体" w:hAnsi="宋体" w:cs="宋体"/>
          <w:color w:val="auto"/>
          <w:szCs w:val="21"/>
          <w:highlight w:val="none"/>
        </w:rPr>
      </w:pPr>
      <w:bookmarkStart w:id="66" w:name="_Hlk170492024"/>
      <w:r>
        <w:rPr>
          <w:rFonts w:hint="eastAsia" w:ascii="宋体" w:hAnsi="宋体" w:cs="宋体"/>
          <w:color w:val="auto"/>
          <w:szCs w:val="21"/>
          <w:highlight w:val="none"/>
        </w:rPr>
        <w:t>7.</w:t>
      </w:r>
      <w:r>
        <w:rPr>
          <w:rFonts w:ascii="宋体" w:hAnsi="宋体" w:cs="宋体"/>
          <w:color w:val="auto"/>
          <w:szCs w:val="21"/>
          <w:highlight w:val="none"/>
        </w:rPr>
        <w:t>3</w:t>
      </w:r>
      <w:r>
        <w:rPr>
          <w:rFonts w:hint="eastAsia" w:ascii="宋体" w:hAnsi="宋体" w:cs="宋体"/>
          <w:color w:val="auto"/>
          <w:szCs w:val="21"/>
          <w:highlight w:val="none"/>
        </w:rPr>
        <w:t>供应商在竞标活动中提供任何虚假材料谋取成交的，将报财政部门查处；签订合同后发现的，成交供应商须依照</w:t>
      </w:r>
      <w:bookmarkStart w:id="67" w:name="_Hlk170492034"/>
      <w:r>
        <w:rPr>
          <w:rFonts w:hint="eastAsia" w:ascii="宋体" w:hAnsi="宋体" w:cs="宋体"/>
          <w:color w:val="auto"/>
          <w:szCs w:val="21"/>
          <w:highlight w:val="none"/>
        </w:rPr>
        <w:t>有关法律法规</w:t>
      </w:r>
      <w:bookmarkEnd w:id="66"/>
      <w:r>
        <w:rPr>
          <w:rFonts w:hint="eastAsia" w:ascii="宋体" w:hAnsi="宋体" w:cs="宋体"/>
          <w:color w:val="auto"/>
          <w:szCs w:val="21"/>
          <w:highlight w:val="none"/>
        </w:rPr>
        <w:t>规定赔偿采购人，且民事赔偿并不免除违法供应商的行政与刑事责任。</w:t>
      </w:r>
    </w:p>
    <w:bookmarkEnd w:id="67"/>
    <w:p w14:paraId="3BB30F8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4</w:t>
      </w:r>
      <w:r>
        <w:rPr>
          <w:rFonts w:hint="eastAsia" w:ascii="宋体" w:hAnsi="宋体" w:cs="宋体"/>
          <w:color w:val="auto"/>
          <w:szCs w:val="21"/>
          <w:highlight w:val="none"/>
        </w:rPr>
        <w:t>在政府采购活动中，采购人员及相关人员与供应商有下列利害关系之一的，应当回避：</w:t>
      </w:r>
    </w:p>
    <w:p w14:paraId="5F682A0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3A2122E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244532B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0DB769C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5062B6B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76084AC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7293B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5</w:t>
      </w:r>
      <w:r>
        <w:rPr>
          <w:rFonts w:hint="eastAsia" w:ascii="宋体" w:hAnsi="宋体" w:cs="宋体"/>
          <w:color w:val="auto"/>
          <w:szCs w:val="21"/>
          <w:highlight w:val="none"/>
        </w:rPr>
        <w:t>有下列情形之一的视为供应商相互串通竞标，响应文件将被视为无效：</w:t>
      </w:r>
    </w:p>
    <w:p w14:paraId="43DECE9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 </w:t>
      </w:r>
    </w:p>
    <w:p w14:paraId="55A94BE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5AD2BCB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619E3E0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0EBE56F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371AA243">
      <w:pPr>
        <w:tabs>
          <w:tab w:val="left" w:pos="6931"/>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ascii="宋体" w:hAnsi="宋体" w:cs="宋体"/>
          <w:color w:val="auto"/>
          <w:szCs w:val="21"/>
          <w:highlight w:val="none"/>
        </w:rPr>
        <w:tab/>
      </w:r>
    </w:p>
    <w:p w14:paraId="13CFB31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6</w:t>
      </w:r>
      <w:r>
        <w:rPr>
          <w:rFonts w:hint="eastAsia" w:ascii="宋体" w:hAnsi="宋体" w:cs="宋体"/>
          <w:color w:val="auto"/>
          <w:szCs w:val="21"/>
          <w:highlight w:val="none"/>
        </w:rPr>
        <w:t>供应商有下列情形之一的，属于恶意串通行为，将报同级监督管理部门：</w:t>
      </w:r>
    </w:p>
    <w:p w14:paraId="22164F8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4CF59D2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059B847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3A3691A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5A7E1F7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3388E3E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259B00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46715546">
      <w:pPr>
        <w:spacing w:line="360" w:lineRule="auto"/>
        <w:ind w:firstLine="420"/>
        <w:rPr>
          <w:rFonts w:hint="eastAsia" w:ascii="宋体" w:hAnsi="宋体" w:cs="宋体"/>
          <w:color w:val="auto"/>
          <w:szCs w:val="21"/>
          <w:highlight w:val="none"/>
        </w:rPr>
      </w:pPr>
    </w:p>
    <w:p w14:paraId="04E14AC8">
      <w:pPr>
        <w:spacing w:line="360" w:lineRule="auto"/>
        <w:ind w:left="1" w:firstLine="417"/>
        <w:jc w:val="center"/>
        <w:rPr>
          <w:rFonts w:hint="eastAsia" w:ascii="宋体" w:hAnsi="宋体"/>
          <w:color w:val="auto"/>
          <w:highlight w:val="none"/>
        </w:rPr>
      </w:pPr>
      <w:bookmarkStart w:id="68" w:name="_Toc254970675"/>
      <w:bookmarkStart w:id="69" w:name="_Toc254970534"/>
    </w:p>
    <w:p w14:paraId="51FE80CB">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二、磋商文件</w:t>
      </w:r>
      <w:bookmarkEnd w:id="68"/>
      <w:bookmarkEnd w:id="69"/>
    </w:p>
    <w:p w14:paraId="2B9FD70C">
      <w:pPr>
        <w:spacing w:line="360" w:lineRule="auto"/>
        <w:rPr>
          <w:rFonts w:hint="eastAsia" w:ascii="宋体" w:hAnsi="宋体"/>
          <w:color w:val="auto"/>
          <w:szCs w:val="21"/>
          <w:highlight w:val="none"/>
        </w:rPr>
      </w:pPr>
    </w:p>
    <w:p w14:paraId="2E099F08">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4226CE2C">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第一章  竞争性磋商公告；</w:t>
      </w:r>
    </w:p>
    <w:p w14:paraId="65C046C6">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 xml:space="preserve">第二章  供应商须知； </w:t>
      </w:r>
    </w:p>
    <w:p w14:paraId="1C67FD23">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第三章  采购需求；</w:t>
      </w:r>
    </w:p>
    <w:p w14:paraId="5C66EE12">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第四章  评审程序、评审方法和评审标准；</w:t>
      </w:r>
    </w:p>
    <w:p w14:paraId="73C817E1">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第五章  工程量清单及图纸；</w:t>
      </w:r>
    </w:p>
    <w:p w14:paraId="5E490FCB">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第六章  响应文件格式；</w:t>
      </w:r>
    </w:p>
    <w:p w14:paraId="33EFBEBB">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第七章  合同文本。</w:t>
      </w:r>
    </w:p>
    <w:p w14:paraId="0F74D990">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10CB23AF">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供应商应认真阅读磋商文件的采购需求，如供应商对磋商文件有疑问的，如要求采购人作出澄清或者修改的，供应商尽可能在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5C24B728">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0793576C">
      <w:pPr>
        <w:spacing w:line="360" w:lineRule="auto"/>
        <w:ind w:firstLine="420"/>
        <w:rPr>
          <w:rFonts w:hint="eastAsia" w:ascii="宋体" w:hAnsi="宋体"/>
          <w:color w:val="auto"/>
          <w:szCs w:val="21"/>
          <w:highlight w:val="none"/>
        </w:rPr>
      </w:pPr>
      <w:r>
        <w:rPr>
          <w:rFonts w:ascii="宋体" w:hAnsi="宋体"/>
          <w:color w:val="auto"/>
          <w:szCs w:val="21"/>
          <w:highlight w:val="none"/>
        </w:rPr>
        <w:t>提交首次响应文件截止之日前，采购人或者采购代理机构可以对已发出的磋商文件进行必要的澄清或者修改，澄清或者修改的内容作为磋商文件的组成部分。澄清或者修改的内容可能影响响应文件编制的，</w:t>
      </w:r>
      <w:r>
        <w:rPr>
          <w:rFonts w:hint="eastAsia" w:ascii="宋体" w:hAnsi="宋体"/>
          <w:color w:val="auto"/>
          <w:szCs w:val="21"/>
          <w:highlight w:val="none"/>
        </w:rPr>
        <w:t>采购人或者采购代理机构应当</w:t>
      </w:r>
      <w:r>
        <w:rPr>
          <w:rFonts w:ascii="宋体" w:hAnsi="宋体"/>
          <w:color w:val="auto"/>
          <w:szCs w:val="21"/>
          <w:highlight w:val="none"/>
        </w:rPr>
        <w:t>在提交首次响应文件截止之日3个工作日前，以书面形式通知所有</w:t>
      </w:r>
      <w:r>
        <w:rPr>
          <w:rFonts w:hint="eastAsia" w:ascii="宋体" w:hAnsi="宋体"/>
          <w:color w:val="auto"/>
          <w:szCs w:val="21"/>
          <w:highlight w:val="none"/>
        </w:rPr>
        <w:t>获取</w:t>
      </w:r>
      <w:r>
        <w:rPr>
          <w:rFonts w:ascii="宋体" w:hAnsi="宋体"/>
          <w:color w:val="auto"/>
          <w:szCs w:val="21"/>
          <w:highlight w:val="none"/>
        </w:rPr>
        <w:t>磋商文件的供应商，不足3个工作日的，应当顺延提交首次响应文件截止之日。</w:t>
      </w:r>
    </w:p>
    <w:p w14:paraId="3A8D6E33">
      <w:pPr>
        <w:spacing w:line="360" w:lineRule="auto"/>
        <w:rPr>
          <w:rFonts w:hint="eastAsia" w:ascii="宋体" w:hAnsi="宋体"/>
          <w:color w:val="auto"/>
          <w:szCs w:val="21"/>
          <w:highlight w:val="none"/>
        </w:rPr>
      </w:pPr>
    </w:p>
    <w:p w14:paraId="5EC97B8F">
      <w:pPr>
        <w:spacing w:line="360" w:lineRule="auto"/>
        <w:jc w:val="center"/>
        <w:rPr>
          <w:rFonts w:hint="eastAsia" w:ascii="宋体" w:hAnsi="宋体"/>
          <w:b/>
          <w:bCs/>
          <w:color w:val="auto"/>
          <w:szCs w:val="21"/>
          <w:highlight w:val="none"/>
        </w:rPr>
      </w:pPr>
      <w:r>
        <w:rPr>
          <w:rFonts w:hint="eastAsia" w:ascii="宋体" w:hAnsi="宋体"/>
          <w:b/>
          <w:bCs/>
          <w:color w:val="auto"/>
          <w:sz w:val="32"/>
          <w:szCs w:val="32"/>
          <w:highlight w:val="none"/>
        </w:rPr>
        <w:t>三、响应文件的编制</w:t>
      </w:r>
    </w:p>
    <w:p w14:paraId="7295FF67">
      <w:pPr>
        <w:spacing w:line="360" w:lineRule="auto"/>
        <w:rPr>
          <w:rFonts w:hint="eastAsia" w:ascii="宋体" w:hAnsi="宋体"/>
          <w:color w:val="auto"/>
          <w:szCs w:val="21"/>
          <w:highlight w:val="none"/>
        </w:rPr>
      </w:pPr>
    </w:p>
    <w:p w14:paraId="7F74062E">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211E04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17B1C4D0">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19D818C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123C8E5A">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382DBB4F">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4D778A68">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7E05A745">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39EF0D0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22D4D031">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5943B62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15B0B60A">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15.竞标报价</w:t>
      </w:r>
    </w:p>
    <w:p w14:paraId="3744615E">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15.1竞标报价应按磋商文件第五章“工程量清单及图纸”的要求及第六章“响应文件格式”填写相应表格。</w:t>
      </w:r>
    </w:p>
    <w:p w14:paraId="555834C7">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工程量清单的填写分下列两种方式。供应商应按“供应商须知前附表”规定的方式填写工程量清单： </w:t>
      </w:r>
    </w:p>
    <w:p w14:paraId="33EDAA22">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（1）本项目采用工程量固化清单 ，采购人将工程量固化清单电子文件随磋商文件上传至广西政府采购云平台供供应商自行下载。供应商填写工程量清单中各子目的单价及总额价，即可完成工程量清单的编制，确定竞标报价，并打印出工程量清单，编入响应文件。</w:t>
      </w:r>
    </w:p>
    <w:p w14:paraId="3FA4AD26">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供应商必须严格遵循工程量固化清单电子文件中的数据、格式及运算定义，严禁供应商修改工程量固化清单电子文件中的数据、格式及运算定义。</w:t>
      </w:r>
    </w:p>
    <w:p w14:paraId="2B9359A1">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供应商根据采购人提供的工程量固化清单电子文件填报完成并打印的工程量清单中的竞标报价和竞标函大写金额报价应一致，如果报价金额出现差异，其响应文件按无效处理。</w:t>
      </w:r>
    </w:p>
    <w:p w14:paraId="4EE252A0">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（2）本项目由采购人提供书面工程量清单，由供应商按照采购人提供的工程量清单填写本合同各工程子目的单价、合价和总额价。磋商小组将按照</w:t>
      </w:r>
      <w:r>
        <w:rPr>
          <w:rFonts w:hint="eastAsia" w:ascii="宋体" w:hAnsi="宋体"/>
          <w:color w:val="auto"/>
          <w:szCs w:val="21"/>
          <w:highlight w:val="none"/>
        </w:rPr>
        <w:t>第四章“评审程序、评审方法和评审标准”</w:t>
      </w:r>
      <w:r>
        <w:rPr>
          <w:rFonts w:hint="eastAsia" w:ascii="宋体" w:hAnsi="宋体" w:cs="宋体"/>
          <w:color w:val="auto"/>
          <w:szCs w:val="21"/>
          <w:highlight w:val="none"/>
        </w:rPr>
        <w:t>的规定对竞标价进行算术性错误修正及其他错误修正。</w:t>
      </w:r>
    </w:p>
    <w:p w14:paraId="5B88957F">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21DC0D05">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15.3本项目的增值税计税方法见“供应商须知前附表”。</w:t>
      </w:r>
    </w:p>
    <w:p w14:paraId="11EC312A">
      <w:pPr>
        <w:spacing w:line="360" w:lineRule="auto"/>
        <w:ind w:left="426"/>
        <w:rPr>
          <w:rFonts w:hint="eastAsia" w:ascii="宋体" w:hAnsi="宋体" w:cs="宋体"/>
          <w:color w:val="auto"/>
          <w:szCs w:val="21"/>
          <w:highlight w:val="none"/>
        </w:rPr>
      </w:pPr>
      <w:r>
        <w:rPr>
          <w:rFonts w:hint="eastAsia" w:ascii="宋体" w:hAnsi="宋体" w:cs="宋体"/>
          <w:color w:val="auto"/>
          <w:szCs w:val="21"/>
          <w:highlight w:val="none"/>
        </w:rPr>
        <w:t>15.4竞标报价要求</w:t>
      </w:r>
    </w:p>
    <w:p w14:paraId="2D26E28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w:t>
      </w: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供应商的竞标报价应符合以下要求，否则响应文件按无效处理：</w:t>
      </w:r>
    </w:p>
    <w:p w14:paraId="47CC95A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0E960E4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）供应商必须就所竞标的分标的单项内容作唯一报价。</w:t>
      </w:r>
    </w:p>
    <w:p w14:paraId="2DAD53E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15.4.</w:t>
      </w:r>
      <w:r>
        <w:rPr>
          <w:rFonts w:ascii="宋体" w:hAnsi="宋体" w:cs="宋体"/>
          <w:color w:val="auto"/>
          <w:szCs w:val="21"/>
          <w:highlight w:val="none"/>
        </w:rPr>
        <w:t>2</w:t>
      </w:r>
      <w:r>
        <w:rPr>
          <w:rFonts w:hint="eastAsia" w:ascii="宋体" w:hAnsi="宋体" w:cs="宋体"/>
          <w:color w:val="auto"/>
          <w:szCs w:val="21"/>
          <w:highlight w:val="none"/>
        </w:rPr>
        <w:t>竞标报价（包含首次报价、最后报价）超过所竞标分标规定的采购预算金额或者最高限价的，其响应文件将按无效处理。</w:t>
      </w:r>
    </w:p>
    <w:p w14:paraId="6D79075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15.4.</w:t>
      </w:r>
      <w:r>
        <w:rPr>
          <w:rFonts w:ascii="宋体" w:hAnsi="宋体" w:cs="宋体"/>
          <w:color w:val="auto"/>
          <w:szCs w:val="21"/>
          <w:highlight w:val="none"/>
        </w:rPr>
        <w:t>3</w:t>
      </w:r>
      <w:bookmarkStart w:id="70" w:name="_Hlk42592874"/>
      <w:r>
        <w:rPr>
          <w:rFonts w:hint="eastAsia" w:ascii="宋体" w:hAnsi="宋体" w:cs="宋体"/>
          <w:color w:val="auto"/>
          <w:szCs w:val="21"/>
          <w:highlight w:val="none"/>
        </w:rPr>
        <w:t>竞标报价（包含首次报价、最后报价）超过分项采购预算金额或者单价最高限价的（如有要求），其响应文件将按无效处理。</w:t>
      </w:r>
    </w:p>
    <w:p w14:paraId="571C159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15.4.4供应商在提交响应文件截止时间前修改竞标函中的竞标总报价，应同时修改响应文件“已标价工程量清单”中的相应报价。此修改须符合本须知正文第20条、第21条的有关要求。</w:t>
      </w:r>
    </w:p>
    <w:bookmarkEnd w:id="70"/>
    <w:p w14:paraId="6B75DCB5">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23A1003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72913C2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48BCA02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0758837C">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69B8EFEE">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76D96D07">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17.2磋商保证金的退还</w:t>
      </w:r>
    </w:p>
    <w:p w14:paraId="0E389125">
      <w:pPr>
        <w:spacing w:line="360" w:lineRule="auto"/>
        <w:ind w:firstLine="420"/>
        <w:rPr>
          <w:rFonts w:hint="eastAsia" w:ascii="宋体" w:hAnsi="宋体" w:cs="宋体"/>
          <w:color w:val="auto"/>
          <w:szCs w:val="21"/>
          <w:highlight w:val="none"/>
        </w:rPr>
      </w:pPr>
      <w:bookmarkStart w:id="71" w:name="_Hlk66782243"/>
      <w:r>
        <w:rPr>
          <w:rFonts w:hint="eastAsia" w:ascii="宋体" w:hAnsi="宋体" w:cs="宋体"/>
          <w:color w:val="auto"/>
          <w:szCs w:val="21"/>
          <w:highlight w:val="none"/>
        </w:rPr>
        <w:t>未成交供应商的磋商保证金自成交通知书发出之日起5个工作日内退还；成交供应商的磋商保证金自签订合同之日起5个工作日内退还或者转为成交供应商的履约保证金。</w:t>
      </w:r>
      <w:bookmarkEnd w:id="71"/>
      <w:r>
        <w:rPr>
          <w:rFonts w:hint="eastAsia" w:ascii="宋体" w:hAnsi="宋体" w:cs="宋体"/>
          <w:color w:val="auto"/>
          <w:szCs w:val="21"/>
          <w:highlight w:val="none"/>
        </w:rPr>
        <w:t xml:space="preserve"> </w:t>
      </w:r>
    </w:p>
    <w:p w14:paraId="2B24E5A0">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17.3磋商保证金不计息。</w:t>
      </w:r>
    </w:p>
    <w:p w14:paraId="4189F2E8">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 xml:space="preserve">17.4供应商有下列情形之一的，磋商保证金将不予退还： </w:t>
      </w:r>
    </w:p>
    <w:p w14:paraId="64388891">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67DC1E28">
      <w:pPr>
        <w:spacing w:line="360" w:lineRule="auto"/>
        <w:ind w:left="420"/>
        <w:rPr>
          <w:rFonts w:hint="eastAsia" w:ascii="宋体" w:hAnsi="宋体" w:cs="宋体"/>
          <w:color w:val="auto"/>
          <w:szCs w:val="21"/>
          <w:highlight w:val="none"/>
        </w:rPr>
      </w:pPr>
      <w:r>
        <w:rPr>
          <w:rFonts w:hint="eastAsia" w:ascii="宋体" w:hAnsi="宋体"/>
          <w:color w:val="auto"/>
          <w:szCs w:val="21"/>
          <w:highlight w:val="none"/>
        </w:rPr>
        <w:t>（2）未按规定提交履约保证金的；</w:t>
      </w:r>
    </w:p>
    <w:p w14:paraId="027DCB90">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2EF6FD6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14:paraId="5464F539">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40206625">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p w14:paraId="35FB7C7F">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0BE3F2E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18.1供应商应先安装“</w:t>
      </w:r>
      <w:bookmarkStart w:id="72" w:name="_Hlk193385851"/>
      <w:r>
        <w:rPr>
          <w:rFonts w:hint="eastAsia" w:ascii="宋体" w:hAnsi="宋体"/>
          <w:color w:val="auto"/>
          <w:szCs w:val="21"/>
          <w:highlight w:val="none"/>
        </w:rPr>
        <w:t>广西政府采购云平台新版客户端</w:t>
      </w:r>
      <w:bookmarkEnd w:id="72"/>
      <w:r>
        <w:rPr>
          <w:rFonts w:hint="eastAsia" w:ascii="宋体" w:hAnsi="宋体" w:cs="宋体"/>
          <w:color w:val="auto"/>
          <w:szCs w:val="21"/>
          <w:highlight w:val="none"/>
        </w:rPr>
        <w:t>”（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42EB18F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502944F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18.3响应文件须由供应商在规定位置签字、盖章（具体以供应商须知前附表或响应文件格式规定为准），否则按无效响应处理。</w:t>
      </w:r>
    </w:p>
    <w:p w14:paraId="5A46DED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w:t>
      </w:r>
      <w:bookmarkStart w:id="73" w:name="_Hlk170492647"/>
      <w:r>
        <w:rPr>
          <w:rFonts w:hint="eastAsia" w:ascii="宋体" w:hAnsi="宋体" w:cs="宋体"/>
          <w:color w:val="auto"/>
          <w:szCs w:val="21"/>
          <w:highlight w:val="none"/>
        </w:rPr>
        <w:t>，</w:t>
      </w:r>
      <w:r>
        <w:rPr>
          <w:rFonts w:hint="eastAsia" w:ascii="宋体" w:hAnsi="宋体"/>
          <w:color w:val="auto"/>
          <w:szCs w:val="21"/>
          <w:highlight w:val="none"/>
        </w:rPr>
        <w:t>并与广西政府采购云平台中获取磋商文件的供应商名称一致，</w:t>
      </w:r>
      <w:bookmarkEnd w:id="73"/>
      <w:r>
        <w:rPr>
          <w:rFonts w:hint="eastAsia" w:ascii="宋体" w:hAnsi="宋体" w:cs="宋体"/>
          <w:color w:val="auto"/>
          <w:szCs w:val="21"/>
          <w:highlight w:val="none"/>
        </w:rPr>
        <w:t>否则其响应文件按无效处理。</w:t>
      </w:r>
    </w:p>
    <w:p w14:paraId="6BE0B42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266C1D47">
      <w:pPr>
        <w:spacing w:line="360" w:lineRule="auto"/>
        <w:ind w:firstLine="482"/>
        <w:rPr>
          <w:rFonts w:hint="eastAsia" w:ascii="黑体" w:hAnsi="黑体" w:eastAsia="黑体"/>
          <w:color w:val="auto"/>
          <w:sz w:val="24"/>
          <w:highlight w:val="none"/>
        </w:rPr>
      </w:pPr>
      <w:r>
        <w:rPr>
          <w:rFonts w:hint="eastAsia" w:ascii="黑体" w:hAnsi="黑体" w:eastAsia="黑体" w:cs="宋体"/>
          <w:b/>
          <w:bCs/>
          <w:color w:val="auto"/>
          <w:sz w:val="24"/>
          <w:highlight w:val="none"/>
        </w:rPr>
        <w:t>19.电子</w:t>
      </w:r>
      <w:r>
        <w:rPr>
          <w:rFonts w:hint="eastAsia" w:ascii="黑体" w:hAnsi="黑体" w:eastAsia="黑体"/>
          <w:b/>
          <w:color w:val="auto"/>
          <w:sz w:val="24"/>
          <w:highlight w:val="none"/>
        </w:rPr>
        <w:t>备份响应文件</w:t>
      </w:r>
    </w:p>
    <w:p w14:paraId="1CABEFDB">
      <w:pPr>
        <w:spacing w:line="360" w:lineRule="auto"/>
        <w:ind w:firstLine="420"/>
        <w:rPr>
          <w:rFonts w:hint="eastAsia" w:ascii="宋体" w:hAnsi="宋体" w:cs="宋体"/>
          <w:color w:val="auto"/>
          <w:szCs w:val="21"/>
          <w:highlight w:val="none"/>
        </w:rPr>
      </w:pPr>
      <w:r>
        <w:rPr>
          <w:rFonts w:hint="eastAsia"/>
          <w:color w:val="auto"/>
          <w:highlight w:val="none"/>
        </w:rPr>
        <w:t>电子备份响应文件是指通过“</w:t>
      </w:r>
      <w:r>
        <w:rPr>
          <w:rFonts w:hint="eastAsia" w:ascii="宋体" w:hAnsi="宋体"/>
          <w:color w:val="auto"/>
          <w:szCs w:val="21"/>
          <w:highlight w:val="none"/>
        </w:rPr>
        <w:t>广西政府采购云平台新版客户端</w:t>
      </w:r>
      <w:r>
        <w:rPr>
          <w:rFonts w:hint="eastAsia"/>
          <w:color w:val="auto"/>
          <w:highlight w:val="none"/>
        </w:rPr>
        <w:t>”在线编制生成且后缀名为“</w:t>
      </w:r>
      <w:r>
        <w:rPr>
          <w:color w:val="auto"/>
          <w:highlight w:val="none"/>
        </w:rPr>
        <w:t>bfbs</w:t>
      </w:r>
      <w:r>
        <w:rPr>
          <w:rFonts w:hint="eastAsia"/>
          <w:color w:val="auto"/>
          <w:highlight w:val="none"/>
        </w:rPr>
        <w:t>”的文件，是否接受电子备份响应文件</w:t>
      </w:r>
      <w:r>
        <w:rPr>
          <w:rFonts w:hint="eastAsia" w:hAnsi="宋体"/>
          <w:bCs/>
          <w:color w:val="auto"/>
          <w:szCs w:val="21"/>
          <w:highlight w:val="none"/>
        </w:rPr>
        <w:t>详见“供应商须知前附表”。</w:t>
      </w:r>
    </w:p>
    <w:p w14:paraId="0B1D6DD8">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030B9D50">
      <w:pPr>
        <w:spacing w:line="360" w:lineRule="auto"/>
        <w:ind w:firstLine="420"/>
        <w:rPr>
          <w:rFonts w:hint="eastAsia" w:hAnsi="宋体"/>
          <w:b/>
          <w:color w:val="auto"/>
          <w:highlight w:val="none"/>
        </w:rPr>
      </w:pPr>
      <w:r>
        <w:rPr>
          <w:rFonts w:hint="eastAsia" w:hAnsi="宋体"/>
          <w:bCs/>
          <w:color w:val="auto"/>
          <w:szCs w:val="21"/>
          <w:highlight w:val="none"/>
        </w:rPr>
        <w:t>20.1供应商必须按“供应商须知前附表”规定的</w:t>
      </w:r>
      <w:r>
        <w:rPr>
          <w:rFonts w:hint="eastAsia" w:ascii="宋体" w:hAnsi="宋体" w:cs="宋体"/>
          <w:color w:val="auto"/>
          <w:szCs w:val="21"/>
          <w:highlight w:val="none"/>
        </w:rPr>
        <w:t>时间</w:t>
      </w:r>
      <w:r>
        <w:rPr>
          <w:rFonts w:hint="eastAsia" w:ascii="宋体" w:hAnsi="宋体"/>
          <w:color w:val="auto"/>
          <w:szCs w:val="21"/>
          <w:highlight w:val="none"/>
        </w:rPr>
        <w:t>及</w:t>
      </w:r>
      <w:r>
        <w:rPr>
          <w:rFonts w:hint="eastAsia" w:hAnsi="宋体"/>
          <w:bCs/>
          <w:color w:val="auto"/>
          <w:szCs w:val="21"/>
          <w:highlight w:val="none"/>
        </w:rPr>
        <w:t>地点提交响应文件。电子响应文件应在制作完成后，</w:t>
      </w:r>
      <w:r>
        <w:rPr>
          <w:rFonts w:hAnsi="宋体"/>
          <w:bCs/>
          <w:color w:val="auto"/>
          <w:szCs w:val="21"/>
          <w:highlight w:val="none"/>
        </w:rPr>
        <w:t>在</w:t>
      </w:r>
      <w:r>
        <w:rPr>
          <w:rFonts w:hint="eastAsia" w:hAnsi="宋体"/>
          <w:bCs/>
          <w:color w:val="auto"/>
          <w:szCs w:val="21"/>
          <w:highlight w:val="none"/>
        </w:rPr>
        <w:t>提交响应文件截止</w:t>
      </w:r>
      <w:r>
        <w:rPr>
          <w:rFonts w:hAnsi="宋体"/>
          <w:bCs/>
          <w:color w:val="auto"/>
          <w:szCs w:val="21"/>
          <w:highlight w:val="none"/>
        </w:rPr>
        <w:t>时间前</w:t>
      </w:r>
      <w:r>
        <w:rPr>
          <w:rFonts w:hint="eastAsia" w:hAnsi="宋体"/>
          <w:bCs/>
          <w:color w:val="auto"/>
          <w:szCs w:val="21"/>
          <w:highlight w:val="none"/>
        </w:rPr>
        <w:t>通过有效数字证书（CA认证锁）进行电子签章、加密，然后通过网络将加密的电子响应文件提交至</w:t>
      </w:r>
      <w:r>
        <w:rPr>
          <w:rFonts w:hint="eastAsia" w:ascii="宋体" w:hAnsi="宋体"/>
          <w:color w:val="auto"/>
          <w:szCs w:val="21"/>
          <w:highlight w:val="none"/>
        </w:rPr>
        <w:t>广西政府采购云平台</w:t>
      </w:r>
      <w:r>
        <w:rPr>
          <w:rFonts w:hint="eastAsia" w:hAnsi="宋体"/>
          <w:bCs/>
          <w:color w:val="auto"/>
          <w:szCs w:val="21"/>
          <w:highlight w:val="none"/>
        </w:rPr>
        <w:t xml:space="preserve">。 </w:t>
      </w:r>
      <w:r>
        <w:rPr>
          <w:rFonts w:hint="eastAsia" w:hAnsi="宋体"/>
          <w:b/>
          <w:color w:val="auto"/>
          <w:highlight w:val="none"/>
        </w:rPr>
        <w:t xml:space="preserve"> </w:t>
      </w:r>
    </w:p>
    <w:p w14:paraId="6F9EAF1F">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20.</w:t>
      </w:r>
      <w:r>
        <w:rPr>
          <w:rFonts w:ascii="宋体" w:hAnsi="宋体"/>
          <w:color w:val="auto"/>
          <w:szCs w:val="21"/>
          <w:highlight w:val="none"/>
        </w:rPr>
        <w:t>2</w:t>
      </w:r>
      <w:r>
        <w:rPr>
          <w:rFonts w:hint="eastAsia" w:ascii="宋体" w:hAnsi="宋体"/>
          <w:color w:val="auto"/>
          <w:szCs w:val="21"/>
          <w:highlight w:val="none"/>
        </w:rPr>
        <w:t>未在规定时间内提交或者未按照磋商文件要求加密的电子响应文件，广西政府采购云平台将拒收。</w:t>
      </w:r>
    </w:p>
    <w:p w14:paraId="35B126C9">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6829B46D">
      <w:pPr>
        <w:spacing w:line="360" w:lineRule="auto"/>
        <w:ind w:firstLine="420"/>
        <w:rPr>
          <w:rFonts w:hint="eastAsia" w:hAnsi="宋体"/>
          <w:bCs/>
          <w:color w:val="auto"/>
          <w:szCs w:val="21"/>
          <w:highlight w:val="none"/>
        </w:rPr>
      </w:pPr>
      <w:bookmarkStart w:id="74" w:name="_Toc254970684"/>
      <w:bookmarkStart w:id="75" w:name="_Toc254970543"/>
      <w:r>
        <w:rPr>
          <w:rFonts w:hAnsi="宋体"/>
          <w:bCs/>
          <w:color w:val="auto"/>
          <w:szCs w:val="21"/>
          <w:highlight w:val="none"/>
        </w:rPr>
        <w:t>2</w:t>
      </w:r>
      <w:r>
        <w:rPr>
          <w:rFonts w:hint="eastAsia" w:hAnsi="宋体"/>
          <w:bCs/>
          <w:color w:val="auto"/>
          <w:szCs w:val="21"/>
          <w:highlight w:val="none"/>
        </w:rPr>
        <w:t>1.1供应商应当在提交响应文件截止</w:t>
      </w:r>
      <w:r>
        <w:rPr>
          <w:rFonts w:hAnsi="宋体"/>
          <w:bCs/>
          <w:color w:val="auto"/>
          <w:szCs w:val="21"/>
          <w:highlight w:val="none"/>
        </w:rPr>
        <w:t>时间</w:t>
      </w:r>
      <w:r>
        <w:rPr>
          <w:rFonts w:hint="eastAsia" w:hAnsi="宋体"/>
          <w:bCs/>
          <w:color w:val="auto"/>
          <w:szCs w:val="21"/>
          <w:highlight w:val="none"/>
        </w:rPr>
        <w:t>前完成电子响应文件的提交（上传），提交响应文件截止</w:t>
      </w:r>
      <w:r>
        <w:rPr>
          <w:rFonts w:hAnsi="宋体"/>
          <w:bCs/>
          <w:color w:val="auto"/>
          <w:szCs w:val="21"/>
          <w:highlight w:val="none"/>
        </w:rPr>
        <w:t>时间</w:t>
      </w:r>
      <w:r>
        <w:rPr>
          <w:rFonts w:hint="eastAsia" w:hAnsi="宋体"/>
          <w:bCs/>
          <w:color w:val="auto"/>
          <w:szCs w:val="21"/>
          <w:highlight w:val="none"/>
        </w:rPr>
        <w:t>前可以补充、修改或者撤回响应文件。补充或者修改响应文件的，应当先行撤回原响应文件，补充、修改后重新提交（上传），提交响应文件截止</w:t>
      </w:r>
      <w:r>
        <w:rPr>
          <w:rFonts w:hAnsi="宋体"/>
          <w:bCs/>
          <w:color w:val="auto"/>
          <w:szCs w:val="21"/>
          <w:highlight w:val="none"/>
        </w:rPr>
        <w:t>时间</w:t>
      </w:r>
      <w:r>
        <w:rPr>
          <w:rFonts w:hint="eastAsia" w:hAnsi="宋体"/>
          <w:bCs/>
          <w:color w:val="auto"/>
          <w:szCs w:val="21"/>
          <w:highlight w:val="none"/>
        </w:rPr>
        <w:t>前未完成提交（上传）的，视为撤回响应文件。提交响应文件截止</w:t>
      </w:r>
      <w:r>
        <w:rPr>
          <w:rFonts w:hAnsi="宋体"/>
          <w:bCs/>
          <w:color w:val="auto"/>
          <w:szCs w:val="21"/>
          <w:highlight w:val="none"/>
        </w:rPr>
        <w:t>时间</w:t>
      </w:r>
      <w:r>
        <w:rPr>
          <w:rFonts w:hint="eastAsia" w:hAnsi="宋体"/>
          <w:bCs/>
          <w:color w:val="auto"/>
          <w:szCs w:val="21"/>
          <w:highlight w:val="none"/>
        </w:rPr>
        <w:t>以后提交（上传）的响应文件，广西政府采购云平台将予以拒收。（注：补充、修改或者撤回方式可登录广西政府采购云平台，进入“服务中心”中查看 “电子投标文件制作与投送教程”）</w:t>
      </w:r>
    </w:p>
    <w:bookmarkEnd w:id="74"/>
    <w:bookmarkEnd w:id="75"/>
    <w:p w14:paraId="22FB9769">
      <w:pPr>
        <w:pStyle w:val="297"/>
        <w:spacing w:before="0"/>
        <w:ind w:firstLine="420"/>
        <w:rPr>
          <w:rFonts w:hint="eastAsia"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2在提交响应文件截止时间前，除供应商补充、修改或者撤回响应文件外，任何单位和个人不得解密或提取响应文件。</w:t>
      </w:r>
    </w:p>
    <w:p w14:paraId="28EC5A82">
      <w:pPr>
        <w:spacing w:line="360" w:lineRule="auto"/>
        <w:ind w:firstLine="482"/>
        <w:rPr>
          <w:rFonts w:hint="eastAsia" w:ascii="黑体" w:hAnsi="黑体" w:eastAsia="黑体" w:cs="宋体"/>
          <w:b/>
          <w:bCs/>
          <w:color w:val="auto"/>
          <w:sz w:val="24"/>
          <w:highlight w:val="none"/>
        </w:rPr>
      </w:pPr>
      <w:bookmarkStart w:id="76" w:name="_Hlk45702405"/>
      <w:r>
        <w:rPr>
          <w:rFonts w:hint="eastAsia" w:ascii="黑体" w:hAnsi="黑体" w:eastAsia="黑体" w:cs="宋体"/>
          <w:b/>
          <w:bCs/>
          <w:color w:val="auto"/>
          <w:sz w:val="24"/>
          <w:highlight w:val="none"/>
        </w:rPr>
        <w:t>22.响应文件的退回</w:t>
      </w:r>
    </w:p>
    <w:p w14:paraId="0E58EC0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0463378A">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6D5653B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供应商在响应文件提交截止时间后向采购人、采购代理机构书面申请撤回响应文件的，将根据本须知正文第17.4条的规定不予退还其磋商保证金。</w:t>
      </w:r>
    </w:p>
    <w:bookmarkEnd w:id="76"/>
    <w:p w14:paraId="23D58DBC">
      <w:pPr>
        <w:spacing w:line="360" w:lineRule="auto"/>
        <w:rPr>
          <w:rFonts w:hint="eastAsia" w:ascii="宋体" w:hAnsi="宋体"/>
          <w:color w:val="auto"/>
          <w:szCs w:val="21"/>
          <w:highlight w:val="none"/>
        </w:rPr>
      </w:pPr>
    </w:p>
    <w:p w14:paraId="52AB3672">
      <w:pPr>
        <w:spacing w:line="360" w:lineRule="auto"/>
        <w:ind w:left="420" w:firstLine="420"/>
        <w:jc w:val="center"/>
        <w:rPr>
          <w:rFonts w:hint="eastAsia" w:ascii="宋体" w:hAnsi="宋体"/>
          <w:b/>
          <w:bCs/>
          <w:color w:val="auto"/>
          <w:sz w:val="32"/>
          <w:szCs w:val="32"/>
          <w:highlight w:val="none"/>
        </w:rPr>
      </w:pPr>
      <w:r>
        <w:rPr>
          <w:rFonts w:hint="eastAsia" w:ascii="宋体" w:hAnsi="宋体"/>
          <w:b/>
          <w:bCs/>
          <w:color w:val="auto"/>
          <w:sz w:val="32"/>
          <w:szCs w:val="32"/>
          <w:highlight w:val="none"/>
        </w:rPr>
        <w:t>四、评审及磋商</w:t>
      </w:r>
    </w:p>
    <w:p w14:paraId="0D548264">
      <w:pPr>
        <w:spacing w:line="360" w:lineRule="auto"/>
        <w:ind w:left="420" w:firstLine="420"/>
        <w:rPr>
          <w:rFonts w:hint="eastAsia" w:ascii="宋体" w:hAnsi="宋体"/>
          <w:color w:val="auto"/>
          <w:szCs w:val="21"/>
          <w:highlight w:val="none"/>
        </w:rPr>
      </w:pPr>
    </w:p>
    <w:p w14:paraId="7E1AFB09">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6C1D77C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14:paraId="4188587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6B6CB56">
      <w:pPr>
        <w:spacing w:line="360" w:lineRule="auto"/>
        <w:ind w:firstLine="420"/>
        <w:rPr>
          <w:rFonts w:hint="eastAsia"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4DA3709E">
      <w:pPr>
        <w:spacing w:line="360" w:lineRule="auto"/>
        <w:ind w:firstLine="420"/>
        <w:rPr>
          <w:rFonts w:hint="eastAsia" w:ascii="宋体" w:hAnsi="宋体" w:cs="宋体"/>
          <w:color w:val="auto"/>
          <w:szCs w:val="21"/>
          <w:highlight w:val="none"/>
        </w:rPr>
      </w:pPr>
      <w:r>
        <w:rPr>
          <w:rFonts w:hint="eastAsia" w:ascii="宋体" w:hAnsi="宋体"/>
          <w:color w:val="auto"/>
          <w:highlight w:val="none"/>
        </w:rPr>
        <w:t>24.4参加过采购项目前期咨询论证的专家，不得参加该采购项目的评审活动。</w:t>
      </w:r>
    </w:p>
    <w:p w14:paraId="12243717">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首次响应文件的开启和解密</w:t>
      </w:r>
    </w:p>
    <w:p w14:paraId="12623118">
      <w:pPr>
        <w:spacing w:line="360" w:lineRule="auto"/>
        <w:ind w:firstLine="420"/>
        <w:rPr>
          <w:rFonts w:hint="eastAsia"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的响应文件按无效处理</w:t>
      </w:r>
      <w:r>
        <w:rPr>
          <w:b/>
          <w:color w:val="auto"/>
          <w:highlight w:val="none"/>
        </w:rPr>
        <w:t>。</w:t>
      </w:r>
    </w:p>
    <w:p w14:paraId="5C0220FC">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.评审程序、评审方法和评审标准</w:t>
      </w:r>
    </w:p>
    <w:p w14:paraId="58B8576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.1本项目的评审方法为综合评分法。</w:t>
      </w:r>
    </w:p>
    <w:p w14:paraId="32FD43C3">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26.2</w:t>
      </w:r>
      <w:r>
        <w:rPr>
          <w:rFonts w:hint="eastAsia" w:ascii="宋体" w:hAnsi="宋体" w:cs="宋体"/>
          <w:color w:val="auto"/>
          <w:szCs w:val="21"/>
          <w:highlight w:val="none"/>
        </w:rPr>
        <w:t>磋商小组</w:t>
      </w:r>
      <w:r>
        <w:rPr>
          <w:rFonts w:ascii="宋体" w:hAnsi="宋体" w:cs="宋体"/>
          <w:color w:val="auto"/>
          <w:szCs w:val="21"/>
          <w:highlight w:val="none"/>
        </w:rPr>
        <w:t>按照</w:t>
      </w:r>
      <w:r>
        <w:rPr>
          <w:rFonts w:hint="eastAsia" w:ascii="宋体" w:hAnsi="宋体" w:cs="宋体"/>
          <w:color w:val="auto"/>
          <w:szCs w:val="21"/>
          <w:highlight w:val="none"/>
        </w:rPr>
        <w:t>“第四章 评审程序、评审方法和评审标准”</w:t>
      </w:r>
      <w:r>
        <w:rPr>
          <w:rFonts w:ascii="宋体" w:hAnsi="宋体" w:cs="宋体"/>
          <w:color w:val="auto"/>
          <w:szCs w:val="21"/>
          <w:highlight w:val="none"/>
        </w:rPr>
        <w:t>规定的方法、评审因素、标准和程序对</w:t>
      </w:r>
      <w:r>
        <w:rPr>
          <w:rFonts w:hint="eastAsia" w:ascii="宋体" w:hAnsi="宋体" w:cs="宋体"/>
          <w:color w:val="auto"/>
          <w:szCs w:val="21"/>
          <w:highlight w:val="none"/>
        </w:rPr>
        <w:t>响应</w:t>
      </w:r>
      <w:r>
        <w:rPr>
          <w:rFonts w:ascii="宋体" w:hAnsi="宋体" w:cs="宋体"/>
          <w:color w:val="auto"/>
          <w:szCs w:val="21"/>
          <w:highlight w:val="none"/>
        </w:rPr>
        <w:t>文件进行评审</w:t>
      </w:r>
      <w:r>
        <w:rPr>
          <w:rFonts w:hint="eastAsia" w:ascii="宋体" w:hAnsi="宋体" w:cs="宋体"/>
          <w:color w:val="auto"/>
          <w:szCs w:val="21"/>
          <w:highlight w:val="none"/>
        </w:rPr>
        <w:t>并推荐成交候选供应商</w:t>
      </w:r>
      <w:r>
        <w:rPr>
          <w:rFonts w:ascii="宋体" w:hAnsi="宋体" w:cs="宋体"/>
          <w:color w:val="auto"/>
          <w:szCs w:val="21"/>
          <w:highlight w:val="none"/>
        </w:rPr>
        <w:t>。</w:t>
      </w:r>
    </w:p>
    <w:p w14:paraId="391D5EAA">
      <w:pPr>
        <w:spacing w:line="360" w:lineRule="auto"/>
        <w:ind w:firstLine="420"/>
        <w:rPr>
          <w:rFonts w:hint="eastAsia" w:ascii="宋体" w:hAnsi="宋体"/>
          <w:color w:val="auto"/>
          <w:szCs w:val="21"/>
          <w:highlight w:val="none"/>
        </w:rPr>
      </w:pPr>
      <w:r>
        <w:rPr>
          <w:rFonts w:hint="eastAsia" w:ascii="宋体" w:hAnsi="宋体" w:cs="宋体"/>
          <w:color w:val="auto"/>
          <w:highlight w:val="none"/>
        </w:rPr>
        <w:t>26.3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36C57CE5">
      <w:pPr>
        <w:spacing w:line="360" w:lineRule="auto"/>
        <w:ind w:firstLine="420"/>
        <w:rPr>
          <w:rFonts w:hint="eastAsia" w:hAnsi="宋体"/>
          <w:color w:val="auto"/>
          <w:highlight w:val="none"/>
        </w:rPr>
      </w:pPr>
      <w:r>
        <w:rPr>
          <w:rFonts w:hint="eastAsia" w:ascii="宋体" w:hAnsi="宋体" w:cs="宋体"/>
          <w:color w:val="auto"/>
          <w:highlight w:val="none"/>
        </w:rPr>
        <w:t>2</w:t>
      </w:r>
      <w:r>
        <w:rPr>
          <w:rFonts w:ascii="宋体" w:hAnsi="宋体" w:cs="宋体"/>
          <w:color w:val="auto"/>
          <w:highlight w:val="none"/>
        </w:rPr>
        <w:t>6.</w:t>
      </w:r>
      <w:r>
        <w:rPr>
          <w:rFonts w:hint="eastAsia" w:ascii="宋体" w:hAnsi="宋体" w:cs="宋体"/>
          <w:color w:val="auto"/>
          <w:highlight w:val="none"/>
        </w:rPr>
        <w:t>4</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51552E90">
      <w:pPr>
        <w:spacing w:line="360" w:lineRule="auto"/>
        <w:ind w:firstLine="420"/>
        <w:rPr>
          <w:rFonts w:hint="eastAsia" w:hAnsi="宋体"/>
          <w:color w:val="auto"/>
          <w:highlight w:val="none"/>
        </w:rPr>
      </w:pPr>
      <w:r>
        <w:rPr>
          <w:rFonts w:hint="eastAsia" w:hAnsi="宋体"/>
          <w:color w:val="auto"/>
          <w:highlight w:val="none"/>
        </w:rPr>
        <w:t xml:space="preserve">（1）电子交易平台发生故障而无法登录访问的； </w:t>
      </w:r>
    </w:p>
    <w:p w14:paraId="4BE82E31">
      <w:pPr>
        <w:spacing w:line="360" w:lineRule="auto"/>
        <w:ind w:firstLine="420"/>
        <w:rPr>
          <w:rFonts w:hint="eastAsia" w:hAnsi="宋体"/>
          <w:color w:val="auto"/>
          <w:highlight w:val="none"/>
        </w:rPr>
      </w:pPr>
      <w:r>
        <w:rPr>
          <w:rFonts w:hint="eastAsia" w:hAnsi="宋体"/>
          <w:color w:val="auto"/>
          <w:highlight w:val="none"/>
        </w:rPr>
        <w:t>（2）电子交易平台应用或数据库出现错误，不能进行正常操作的；</w:t>
      </w:r>
    </w:p>
    <w:p w14:paraId="2540EC83">
      <w:pPr>
        <w:spacing w:line="360" w:lineRule="auto"/>
        <w:ind w:firstLine="420"/>
        <w:rPr>
          <w:rFonts w:hint="eastAsia" w:hAnsi="宋体"/>
          <w:color w:val="auto"/>
          <w:highlight w:val="none"/>
        </w:rPr>
      </w:pPr>
      <w:r>
        <w:rPr>
          <w:rFonts w:hint="eastAsia" w:hAnsi="宋体"/>
          <w:color w:val="auto"/>
          <w:highlight w:val="none"/>
        </w:rPr>
        <w:t>（3）电子交易平台发现严重安全漏洞，有潜在泄密危险的；</w:t>
      </w:r>
    </w:p>
    <w:p w14:paraId="46BE27D8">
      <w:pPr>
        <w:spacing w:line="360" w:lineRule="auto"/>
        <w:ind w:firstLine="420"/>
        <w:rPr>
          <w:rFonts w:hint="eastAsia" w:hAnsi="宋体"/>
          <w:color w:val="auto"/>
          <w:highlight w:val="none"/>
        </w:rPr>
      </w:pPr>
      <w:r>
        <w:rPr>
          <w:rFonts w:hint="eastAsia" w:hAnsi="宋体"/>
          <w:color w:val="auto"/>
          <w:highlight w:val="none"/>
        </w:rPr>
        <w:t xml:space="preserve">（4）病毒发作导致不能进行正常操作的； </w:t>
      </w:r>
    </w:p>
    <w:p w14:paraId="080B6389">
      <w:pPr>
        <w:spacing w:line="360" w:lineRule="auto"/>
        <w:ind w:firstLine="420"/>
        <w:rPr>
          <w:rFonts w:hint="eastAsia" w:hAnsi="宋体"/>
          <w:color w:val="auto"/>
          <w:highlight w:val="none"/>
        </w:rPr>
      </w:pPr>
      <w:r>
        <w:rPr>
          <w:rFonts w:hint="eastAsia" w:hAnsi="宋体"/>
          <w:color w:val="auto"/>
          <w:highlight w:val="none"/>
        </w:rPr>
        <w:t>（5）其他无法保证电子交易的公平、公正和安全的情况。</w:t>
      </w:r>
    </w:p>
    <w:p w14:paraId="37F63EFC">
      <w:pPr>
        <w:spacing w:line="360" w:lineRule="auto"/>
        <w:ind w:firstLine="420"/>
        <w:rPr>
          <w:rFonts w:hint="eastAsia" w:ascii="宋体" w:hAnsi="宋体" w:cs="宋体"/>
          <w:color w:val="auto"/>
          <w:szCs w:val="21"/>
          <w:highlight w:val="none"/>
        </w:rPr>
      </w:pPr>
      <w:r>
        <w:rPr>
          <w:rFonts w:hint="eastAsia" w:ascii="宋体" w:hAnsi="宋体"/>
          <w:color w:val="auto"/>
          <w:highlight w:val="none"/>
        </w:rPr>
        <w:t>26.5</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7CDB1692">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7BFDD4C0">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 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53D7B160">
      <w:pPr>
        <w:spacing w:line="360" w:lineRule="auto"/>
        <w:ind w:firstLine="420"/>
        <w:rPr>
          <w:rFonts w:hint="eastAsia" w:ascii="宋体" w:hAnsi="宋体" w:cs="Courier New"/>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77" w:name="_Hlk66782294"/>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bookmarkEnd w:id="77"/>
    </w:p>
    <w:p w14:paraId="14BC91CF">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27.3出现下列情形之一的，采购人或者采购代理机构应当终止竞争性磋商采购活动，发布项目终止公告并说明原因，重新开展采购活动：</w:t>
      </w:r>
    </w:p>
    <w:p w14:paraId="21327530">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（1）因情况变化，不再符合规定的竞争性磋商采购方式适用情形的；</w:t>
      </w:r>
    </w:p>
    <w:p w14:paraId="27C674C0">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（2）出现影响采购公正的违法、违规行为的；</w:t>
      </w:r>
    </w:p>
    <w:p w14:paraId="0379BA14">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（3）除“第四章 评审程序、评审方法和评审标准”第4.3条规定的情形外，在采购过程中符合要求的供应商或者报价未超过采购预算的供应商不足3家的。</w:t>
      </w:r>
    </w:p>
    <w:p w14:paraId="6FE439F3">
      <w:pPr>
        <w:spacing w:line="360" w:lineRule="auto"/>
        <w:ind w:firstLine="420"/>
        <w:rPr>
          <w:rFonts w:hint="eastAsia" w:ascii="宋体" w:hAnsi="宋体" w:cs="宋体"/>
          <w:color w:val="auto"/>
          <w:szCs w:val="21"/>
          <w:highlight w:val="none"/>
        </w:rPr>
      </w:pPr>
      <w:r>
        <w:rPr>
          <w:rFonts w:hint="eastAsia" w:ascii="宋体" w:hAnsi="宋体" w:cs="Courier New"/>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21901152">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2EF53BF3">
      <w:pPr>
        <w:spacing w:line="360" w:lineRule="auto"/>
        <w:ind w:firstLine="424"/>
        <w:rPr>
          <w:rFonts w:hint="eastAsia"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履约保证金的金额、提交方式、退付的时间和条件详见 “供应商须知前附表”。成交供应商未按规定提交履约保证金的，视为拒绝</w:t>
      </w:r>
      <w:r>
        <w:rPr>
          <w:rFonts w:ascii="宋体" w:hAnsi="宋体"/>
          <w:color w:val="auto"/>
          <w:highlight w:val="none"/>
        </w:rPr>
        <w:t>与采购人</w:t>
      </w:r>
      <w:r>
        <w:rPr>
          <w:rFonts w:hint="eastAsia" w:ascii="宋体" w:hAnsi="宋体" w:cs="宋体"/>
          <w:color w:val="auto"/>
          <w:szCs w:val="21"/>
          <w:highlight w:val="none"/>
        </w:rPr>
        <w:t>签订合同。</w:t>
      </w:r>
    </w:p>
    <w:p w14:paraId="1109A5DB">
      <w:pPr>
        <w:spacing w:line="360" w:lineRule="auto"/>
        <w:ind w:firstLine="424"/>
        <w:rPr>
          <w:rFonts w:hint="eastAsia"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.2在履约保证金退还日期前，若成交供应商的开户名称、开户银行、账号有变动的，请以书面形式通知履约保证金收取单位，否则由此产生的后果由成交供应商自行承担。</w:t>
      </w:r>
    </w:p>
    <w:p w14:paraId="3A2C8E76">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5A621EC8">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1DDBB3E1">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10908D58">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148B1657">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6E4CDA0">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02B1564C">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68485143">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39626543">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0ED397B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667092FC">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14:paraId="07C3B447">
      <w:pPr>
        <w:pStyle w:val="204"/>
        <w:spacing w:line="360" w:lineRule="auto"/>
        <w:rPr>
          <w:rFonts w:hint="eastAsia" w:ascii="宋体" w:hAnsi="宋体"/>
          <w:color w:val="auto"/>
          <w:szCs w:val="21"/>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r>
        <w:rPr>
          <w:rFonts w:hint="eastAsia" w:ascii="宋体" w:hAnsi="宋体" w:cs="宋体"/>
          <w:color w:val="auto"/>
          <w:highlight w:val="none"/>
        </w:rPr>
        <w:t>。</w:t>
      </w:r>
    </w:p>
    <w:p w14:paraId="79E7BC64">
      <w:pPr>
        <w:spacing w:line="360" w:lineRule="auto"/>
        <w:ind w:firstLine="42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highlight w:val="none"/>
          <w:shd w:val="clear" w:color="auto" w:fill="FFFFFF"/>
        </w:rPr>
        <w:t>接收质疑函的方式、联系部门、联系电话和通讯地址等信息</w:t>
      </w:r>
      <w:r>
        <w:rPr>
          <w:rFonts w:hint="eastAsia" w:ascii="宋体" w:hAnsi="宋体" w:cs="Arial"/>
          <w:color w:val="auto"/>
          <w:highlight w:val="none"/>
          <w:shd w:val="clear" w:color="auto" w:fill="FFFFFF"/>
        </w:rPr>
        <w:t>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4A3335CC">
      <w:pPr>
        <w:spacing w:line="360" w:lineRule="auto"/>
        <w:ind w:firstLine="420"/>
        <w:rPr>
          <w:rFonts w:hint="eastAsia" w:ascii="宋体" w:hAnsi="宋体" w:cs="宋体"/>
          <w:color w:val="auto"/>
          <w:highlight w:val="none"/>
        </w:rPr>
      </w:pPr>
      <w:r>
        <w:rPr>
          <w:rFonts w:hint="eastAsia" w:ascii="宋体" w:hAnsi="宋体" w:cs="宋体"/>
          <w:color w:val="auto"/>
          <w:highlight w:val="none"/>
        </w:rPr>
        <w:t>（1）对可以质疑的磋商文件提出质疑的，为获取磋商文件之日或者</w:t>
      </w:r>
      <w:r>
        <w:rPr>
          <w:rFonts w:hint="eastAsia" w:ascii="宋体" w:hAnsi="宋体"/>
          <w:color w:val="auto"/>
          <w:highlight w:val="none"/>
        </w:rPr>
        <w:t>竞争性磋商公告期限届满之日</w:t>
      </w:r>
      <w:r>
        <w:rPr>
          <w:rFonts w:hint="eastAsia" w:ascii="宋体" w:hAnsi="宋体" w:cs="宋体"/>
          <w:color w:val="auto"/>
          <w:highlight w:val="none"/>
        </w:rPr>
        <w:t>；</w:t>
      </w:r>
    </w:p>
    <w:p w14:paraId="29A3BB7C">
      <w:pPr>
        <w:spacing w:line="360" w:lineRule="auto"/>
        <w:ind w:firstLine="42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095C5EDD">
      <w:pPr>
        <w:spacing w:line="360" w:lineRule="auto"/>
        <w:ind w:firstLine="42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37AFFD75">
      <w:pPr>
        <w:spacing w:line="360" w:lineRule="auto"/>
        <w:ind w:firstLine="42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759B3BAE">
      <w:pPr>
        <w:spacing w:line="360" w:lineRule="auto"/>
        <w:ind w:firstLine="42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5F4D7BAB">
      <w:pPr>
        <w:spacing w:line="360" w:lineRule="auto"/>
        <w:ind w:firstLine="42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3A8E39E5">
      <w:pPr>
        <w:spacing w:line="360" w:lineRule="auto"/>
        <w:ind w:firstLine="420"/>
        <w:rPr>
          <w:rFonts w:hint="eastAsia" w:ascii="宋体" w:hAnsi="宋体" w:cs="宋体"/>
          <w:color w:val="auto"/>
          <w:highlight w:val="none"/>
        </w:rPr>
      </w:pPr>
      <w:r>
        <w:rPr>
          <w:rFonts w:hint="eastAsia" w:ascii="宋体" w:hAnsi="宋体" w:cs="宋体"/>
          <w:color w:val="auto"/>
          <w:highlight w:val="none"/>
        </w:rPr>
        <w:t>（2）质疑项目的名称、编号；</w:t>
      </w:r>
    </w:p>
    <w:p w14:paraId="7D4FD9CF">
      <w:pPr>
        <w:spacing w:line="360" w:lineRule="auto"/>
        <w:ind w:firstLine="42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7B63CF4F">
      <w:pPr>
        <w:spacing w:line="360" w:lineRule="auto"/>
        <w:ind w:firstLine="420"/>
        <w:rPr>
          <w:rFonts w:hint="eastAsia" w:ascii="宋体" w:hAnsi="宋体" w:cs="宋体"/>
          <w:color w:val="auto"/>
          <w:highlight w:val="none"/>
        </w:rPr>
      </w:pPr>
      <w:r>
        <w:rPr>
          <w:rFonts w:hint="eastAsia" w:ascii="宋体" w:hAnsi="宋体" w:cs="宋体"/>
          <w:color w:val="auto"/>
          <w:highlight w:val="none"/>
        </w:rPr>
        <w:t>（4）事实依据；</w:t>
      </w:r>
    </w:p>
    <w:p w14:paraId="3F15064E">
      <w:pPr>
        <w:spacing w:line="360" w:lineRule="auto"/>
        <w:ind w:firstLine="420"/>
        <w:rPr>
          <w:rFonts w:hint="eastAsia" w:ascii="宋体" w:hAnsi="宋体" w:cs="宋体"/>
          <w:color w:val="auto"/>
          <w:highlight w:val="none"/>
        </w:rPr>
      </w:pPr>
      <w:r>
        <w:rPr>
          <w:rFonts w:hint="eastAsia" w:ascii="宋体" w:hAnsi="宋体" w:cs="宋体"/>
          <w:color w:val="auto"/>
          <w:highlight w:val="none"/>
        </w:rPr>
        <w:t>（5）必要的法律依据；</w:t>
      </w:r>
    </w:p>
    <w:p w14:paraId="249FBAE0">
      <w:pPr>
        <w:spacing w:line="360" w:lineRule="auto"/>
        <w:ind w:firstLine="420"/>
        <w:rPr>
          <w:rFonts w:hint="eastAsia" w:ascii="宋体" w:hAnsi="宋体" w:cs="宋体"/>
          <w:color w:val="auto"/>
          <w:highlight w:val="none"/>
        </w:rPr>
      </w:pPr>
      <w:r>
        <w:rPr>
          <w:rFonts w:hint="eastAsia" w:ascii="宋体" w:hAnsi="宋体" w:cs="宋体"/>
          <w:color w:val="auto"/>
          <w:highlight w:val="none"/>
        </w:rPr>
        <w:t>（6）提出质疑的日期。</w:t>
      </w:r>
    </w:p>
    <w:p w14:paraId="1ED0E35E">
      <w:pPr>
        <w:spacing w:line="360" w:lineRule="auto"/>
        <w:ind w:firstLine="42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4EAF4545">
      <w:pPr>
        <w:spacing w:line="360" w:lineRule="auto"/>
        <w:ind w:firstLine="42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350143C8">
      <w:pPr>
        <w:spacing w:line="360" w:lineRule="auto"/>
        <w:ind w:firstLine="42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0C920FB9">
      <w:pPr>
        <w:spacing w:line="360" w:lineRule="auto"/>
        <w:ind w:firstLine="42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5A71EB4C">
      <w:pPr>
        <w:spacing w:line="360" w:lineRule="auto"/>
        <w:ind w:firstLine="42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5F5C9A33">
      <w:pPr>
        <w:spacing w:line="360" w:lineRule="auto"/>
        <w:ind w:firstLine="420"/>
        <w:rPr>
          <w:rFonts w:hint="eastAsia" w:ascii="宋体" w:hAnsi="宋体" w:cs="宋体"/>
          <w:color w:val="auto"/>
          <w:szCs w:val="21"/>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7E947D53">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32</w:t>
      </w:r>
      <w:r>
        <w:rPr>
          <w:rFonts w:hint="eastAsia" w:ascii="黑体" w:hAnsi="黑体" w:eastAsia="黑体" w:cs="宋体"/>
          <w:b/>
          <w:bCs/>
          <w:color w:val="auto"/>
          <w:sz w:val="24"/>
          <w:highlight w:val="none"/>
        </w:rPr>
        <w:t>.其他内容</w:t>
      </w:r>
    </w:p>
    <w:p w14:paraId="2198E173">
      <w:pPr>
        <w:tabs>
          <w:tab w:val="left" w:pos="2835"/>
        </w:tabs>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.1代理服务</w:t>
      </w:r>
      <w:bookmarkStart w:id="78" w:name="_Hlk212825183"/>
      <w:r>
        <w:rPr>
          <w:rFonts w:hint="eastAsia" w:ascii="宋体" w:hAnsi="宋体" w:cs="宋体"/>
          <w:color w:val="auto"/>
          <w:szCs w:val="21"/>
          <w:highlight w:val="none"/>
        </w:rPr>
        <w:t>费</w:t>
      </w:r>
      <w:bookmarkEnd w:id="78"/>
      <w:r>
        <w:rPr>
          <w:rFonts w:hint="eastAsia" w:ascii="宋体" w:hAnsi="宋体" w:cs="宋体"/>
          <w:color w:val="auto"/>
          <w:szCs w:val="21"/>
          <w:highlight w:val="none"/>
        </w:rPr>
        <w:t>收取标准及缴费账户详见“供应商须知前附表”，供应商为联合体的，可以由联合体中的一方或者多方共同交纳代理服务费。</w:t>
      </w:r>
    </w:p>
    <w:p w14:paraId="010DBBD8">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3.需要补充的其他内容</w:t>
      </w:r>
    </w:p>
    <w:p w14:paraId="06EBF064">
      <w:pPr>
        <w:pStyle w:val="238"/>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3.1</w:t>
      </w:r>
      <w:r>
        <w:rPr>
          <w:rFonts w:hint="eastAsia" w:hAnsi="宋体" w:cs="宋体"/>
          <w:color w:val="auto"/>
          <w:sz w:val="21"/>
          <w:highlight w:val="none"/>
        </w:rPr>
        <w:t>本磋商文件解释规则详见“供应商须知前附表”。</w:t>
      </w:r>
    </w:p>
    <w:p w14:paraId="2471D22C">
      <w:pPr>
        <w:pStyle w:val="238"/>
        <w:spacing w:line="360" w:lineRule="auto"/>
        <w:ind w:firstLine="420"/>
        <w:rPr>
          <w:rFonts w:hint="eastAsia" w:hAnsi="宋体" w:cs="宋体"/>
          <w:color w:val="auto"/>
          <w:sz w:val="21"/>
          <w:highlight w:val="none"/>
        </w:rPr>
      </w:pPr>
      <w:r>
        <w:rPr>
          <w:rFonts w:hint="eastAsia" w:hAnsi="宋体" w:cs="宋体"/>
          <w:color w:val="auto"/>
          <w:sz w:val="21"/>
          <w:highlight w:val="none"/>
        </w:rPr>
        <w:t>33.2农民工工资保证金见“供应商须知前附表”。</w:t>
      </w:r>
    </w:p>
    <w:p w14:paraId="3D98968C">
      <w:pPr>
        <w:pStyle w:val="238"/>
        <w:spacing w:line="360" w:lineRule="auto"/>
        <w:ind w:firstLine="420"/>
        <w:rPr>
          <w:rFonts w:hint="eastAsia" w:hAnsi="宋体" w:cs="宋体"/>
          <w:color w:val="auto"/>
          <w:sz w:val="21"/>
          <w:highlight w:val="none"/>
        </w:rPr>
      </w:pPr>
      <w:r>
        <w:rPr>
          <w:rFonts w:hAnsi="宋体" w:cs="宋体"/>
          <w:color w:val="auto"/>
          <w:sz w:val="21"/>
          <w:highlight w:val="none"/>
        </w:rPr>
        <w:t>33.</w:t>
      </w:r>
      <w:r>
        <w:rPr>
          <w:rFonts w:hint="eastAsia" w:hAnsi="宋体" w:cs="宋体"/>
          <w:color w:val="auto"/>
          <w:sz w:val="21"/>
          <w:highlight w:val="none"/>
        </w:rPr>
        <w:t>3 其他事项详见“供应商须知前附表”。</w:t>
      </w:r>
    </w:p>
    <w:p w14:paraId="21D44FAA">
      <w:pPr>
        <w:pStyle w:val="238"/>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w:t>
      </w:r>
      <w:r>
        <w:rPr>
          <w:rFonts w:hint="eastAsia" w:hAnsi="宋体" w:cs="宋体"/>
          <w:color w:val="auto"/>
          <w:sz w:val="21"/>
          <w:highlight w:val="none"/>
        </w:rPr>
        <w:t>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690103F9">
      <w:pPr>
        <w:pStyle w:val="238"/>
        <w:spacing w:line="360" w:lineRule="auto"/>
        <w:ind w:firstLine="420"/>
        <w:contextualSpacing/>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670251C7">
      <w:pPr>
        <w:pStyle w:val="238"/>
        <w:spacing w:line="360" w:lineRule="auto"/>
        <w:ind w:firstLine="420"/>
        <w:contextualSpacing/>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5F0835D4">
      <w:pPr>
        <w:pStyle w:val="238"/>
        <w:spacing w:line="360" w:lineRule="auto"/>
        <w:ind w:firstLine="420"/>
        <w:contextualSpacing/>
        <w:rPr>
          <w:rFonts w:hint="eastAsia"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905ED7E">
      <w:pPr>
        <w:pStyle w:val="238"/>
        <w:spacing w:line="360" w:lineRule="auto"/>
        <w:ind w:firstLine="420"/>
        <w:contextualSpacing/>
        <w:rPr>
          <w:rFonts w:hint="eastAsia" w:hAnsi="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auto"/>
          <w:sz w:val="21"/>
          <w:highlight w:val="none"/>
        </w:rPr>
        <w:t>中小企业的，联合体视同中小企业。其中，联合体各方均为小微企业的，联合体视同小微企业。</w:t>
      </w:r>
    </w:p>
    <w:p w14:paraId="5374CEB1">
      <w:pPr>
        <w:pStyle w:val="238"/>
        <w:spacing w:line="360" w:lineRule="auto"/>
        <w:ind w:firstLine="420"/>
        <w:contextualSpacing/>
        <w:rPr>
          <w:rFonts w:hint="eastAsia" w:hAnsi="宋体"/>
          <w:color w:val="auto"/>
          <w:sz w:val="21"/>
          <w:highlight w:val="none"/>
        </w:rPr>
      </w:pPr>
      <w:r>
        <w:rPr>
          <w:rFonts w:hint="eastAsia" w:hAnsi="宋体"/>
          <w:color w:val="auto"/>
          <w:sz w:val="21"/>
          <w:highlight w:val="none"/>
        </w:rPr>
        <w:t>依据本磋商文件规定享受扶持政策获得政府采购合同的，小微企业不得将合同分包给大中型企业，中型企业不得将合同分包给大型企业。</w:t>
      </w:r>
    </w:p>
    <w:p w14:paraId="432A46ED">
      <w:pPr>
        <w:pStyle w:val="199"/>
        <w:spacing w:before="0" w:after="0" w:line="360" w:lineRule="auto"/>
        <w:jc w:val="center"/>
        <w:rPr>
          <w:color w:val="auto"/>
          <w:highlight w:val="none"/>
        </w:rPr>
      </w:pPr>
      <w:r>
        <w:rPr>
          <w:rFonts w:hAnsi="宋体"/>
          <w:b w:val="0"/>
          <w:color w:val="auto"/>
          <w:highlight w:val="none"/>
        </w:rPr>
        <w:br w:type="page" w:clear="all"/>
      </w:r>
      <w:bookmarkStart w:id="79" w:name="_Toc233964163"/>
      <w:r>
        <w:rPr>
          <w:rFonts w:hint="eastAsia"/>
          <w:color w:val="auto"/>
          <w:highlight w:val="none"/>
        </w:rPr>
        <w:t>第三章 采购需求</w:t>
      </w:r>
      <w:bookmarkEnd w:id="79"/>
    </w:p>
    <w:p w14:paraId="47EFB7C8">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526A4AA6">
      <w:pPr>
        <w:spacing w:line="360" w:lineRule="auto"/>
        <w:ind w:firstLine="420"/>
        <w:jc w:val="left"/>
        <w:rPr>
          <w:rFonts w:hint="eastAsia" w:ascii="宋体" w:hAnsi="宋体" w:cs="宋体"/>
          <w:color w:val="auto"/>
          <w:szCs w:val="21"/>
          <w:highlight w:val="none"/>
        </w:rPr>
      </w:pPr>
      <w:r>
        <w:rPr>
          <w:rFonts w:hint="eastAsia" w:ascii="宋体" w:hAnsi="宋体"/>
          <w:color w:val="auto"/>
          <w:highlight w:val="none"/>
        </w:rPr>
        <w:t>1</w:t>
      </w:r>
      <w:r>
        <w:rPr>
          <w:rFonts w:hint="eastAsia"/>
          <w:color w:val="auto"/>
          <w:highlight w:val="none"/>
        </w:rPr>
        <w:t>. 为落实政府采购政策需满足的要求（根据项目实际情况填写内容）</w:t>
      </w:r>
    </w:p>
    <w:p w14:paraId="52BE97B9">
      <w:pPr>
        <w:spacing w:line="360" w:lineRule="auto"/>
        <w:ind w:firstLine="424"/>
        <w:jc w:val="left"/>
        <w:rPr>
          <w:rFonts w:hint="eastAsia" w:ascii="宋体" w:hAnsi="宋体" w:cs="宋体"/>
          <w:color w:val="auto"/>
          <w:szCs w:val="21"/>
          <w:highlight w:val="none"/>
        </w:rPr>
      </w:pPr>
      <w:r>
        <w:rPr>
          <w:rFonts w:hint="eastAsia" w:ascii="宋体" w:hAnsi="宋体" w:cs="宋体"/>
          <w:color w:val="auto"/>
          <w:szCs w:val="21"/>
          <w:highlight w:val="none"/>
        </w:rPr>
        <w:t>本竞争性磋商采购文件所称中小企业必须符合《政府采购促进中小企业发展管理办法》（财库〔2020〕46号）的规定。</w:t>
      </w:r>
    </w:p>
    <w:p w14:paraId="74CF70BE">
      <w:pPr>
        <w:spacing w:line="360" w:lineRule="auto"/>
        <w:ind w:firstLine="424"/>
        <w:jc w:val="left"/>
        <w:rPr>
          <w:rFonts w:hint="eastAsia" w:ascii="宋体" w:hAnsi="宋体" w:cs="宋体"/>
          <w:color w:val="auto"/>
          <w:szCs w:val="21"/>
          <w:highlight w:val="none"/>
        </w:rPr>
      </w:pPr>
      <w:r>
        <w:rPr>
          <w:rFonts w:hint="eastAsia" w:ascii="宋体" w:hAnsi="宋体" w:cs="宋体"/>
          <w:color w:val="auto"/>
          <w:szCs w:val="21"/>
          <w:highlight w:val="none"/>
        </w:rPr>
        <w:t>2. “实质性要求”是指采购需求中带“▲”的条款或者不能负偏离的条款或者已经指明不满足按响应文件无效处理的条款。</w:t>
      </w:r>
    </w:p>
    <w:p w14:paraId="55250F60">
      <w:pPr>
        <w:spacing w:line="360" w:lineRule="auto"/>
        <w:ind w:firstLine="424"/>
        <w:jc w:val="left"/>
        <w:rPr>
          <w:rFonts w:hint="eastAsia" w:ascii="宋体" w:hAnsi="宋体"/>
          <w:color w:val="auto"/>
          <w:szCs w:val="21"/>
          <w:highlight w:val="none"/>
        </w:rPr>
      </w:pPr>
      <w:r>
        <w:rPr>
          <w:rFonts w:hint="eastAsia" w:ascii="宋体" w:hAnsi="宋体" w:cs="宋体"/>
          <w:color w:val="auto"/>
          <w:szCs w:val="21"/>
          <w:highlight w:val="none"/>
        </w:rPr>
        <w:t>3.供应商必须自行承担其竞标产品侵犯他人知识产权或者专利成果的法律责任</w:t>
      </w:r>
      <w:r>
        <w:rPr>
          <w:rFonts w:hint="eastAsia"/>
          <w:color w:val="auto"/>
          <w:highlight w:val="none"/>
        </w:rPr>
        <w:t>。</w:t>
      </w:r>
    </w:p>
    <w:p w14:paraId="09CBB483">
      <w:pPr>
        <w:spacing w:line="360" w:lineRule="auto"/>
        <w:ind w:firstLine="310"/>
        <w:jc w:val="left"/>
        <w:rPr>
          <w:rFonts w:hint="eastAsia" w:ascii="宋体" w:hAnsi="宋体" w:cs="Arial"/>
          <w:bCs/>
          <w:color w:val="auto"/>
          <w:szCs w:val="21"/>
          <w:highlight w:val="none"/>
          <w:u w:val="single"/>
        </w:rPr>
      </w:pPr>
      <w:r>
        <w:rPr>
          <w:rFonts w:hint="eastAsia" w:ascii="宋体" w:hAnsi="宋体"/>
          <w:b/>
          <w:color w:val="auto"/>
          <w:szCs w:val="21"/>
          <w:highlight w:val="none"/>
        </w:rPr>
        <w:t>采购预算：</w:t>
      </w:r>
      <w:r>
        <w:rPr>
          <w:rFonts w:hint="eastAsia" w:ascii="宋体" w:hAnsi="宋体" w:cs="Arial"/>
          <w:bCs/>
          <w:color w:val="auto"/>
          <w:szCs w:val="21"/>
          <w:highlight w:val="none"/>
          <w:u w:val="single"/>
        </w:rPr>
        <w:t xml:space="preserve"> 3075518.00元</w:t>
      </w:r>
    </w:p>
    <w:tbl>
      <w:tblPr>
        <w:tblStyle w:val="44"/>
        <w:tblW w:w="87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3"/>
        <w:gridCol w:w="1378"/>
        <w:gridCol w:w="890"/>
        <w:gridCol w:w="899"/>
        <w:gridCol w:w="857"/>
        <w:gridCol w:w="3968"/>
      </w:tblGrid>
      <w:tr w14:paraId="714A4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722" w:type="dxa"/>
            <w:tcBorders>
              <w:top w:val="single" w:color="000000" w:sz="4" w:space="0"/>
              <w:left w:val="single" w:color="000000" w:sz="4" w:space="0"/>
              <w:bottom w:val="single" w:color="000000" w:sz="4" w:space="0"/>
              <w:right w:val="single" w:color="000000" w:sz="4" w:space="0"/>
            </w:tcBorders>
            <w:vAlign w:val="center"/>
          </w:tcPr>
          <w:p w14:paraId="66D8C8E0">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268" w:type="dxa"/>
            <w:gridSpan w:val="2"/>
            <w:tcBorders>
              <w:top w:val="single" w:color="000000" w:sz="4" w:space="0"/>
              <w:left w:val="single" w:color="000000" w:sz="4" w:space="0"/>
              <w:bottom w:val="single" w:color="000000" w:sz="4" w:space="0"/>
              <w:right w:val="single" w:color="000000" w:sz="4" w:space="0"/>
            </w:tcBorders>
            <w:vAlign w:val="center"/>
          </w:tcPr>
          <w:p w14:paraId="259F1790">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标的的名称</w:t>
            </w:r>
          </w:p>
        </w:tc>
        <w:tc>
          <w:tcPr>
            <w:tcW w:w="899" w:type="dxa"/>
            <w:tcBorders>
              <w:top w:val="single" w:color="000000" w:sz="4" w:space="0"/>
              <w:left w:val="single" w:color="000000" w:sz="4" w:space="0"/>
              <w:bottom w:val="single" w:color="000000" w:sz="4" w:space="0"/>
              <w:right w:val="single" w:color="000000" w:sz="4" w:space="0"/>
            </w:tcBorders>
            <w:vAlign w:val="center"/>
          </w:tcPr>
          <w:p w14:paraId="6357AF26">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数量及单位</w:t>
            </w:r>
          </w:p>
        </w:tc>
        <w:tc>
          <w:tcPr>
            <w:tcW w:w="857" w:type="dxa"/>
            <w:tcBorders>
              <w:top w:val="single" w:color="000000" w:sz="4" w:space="0"/>
              <w:left w:val="single" w:color="000000" w:sz="4" w:space="0"/>
              <w:bottom w:val="single" w:color="000000" w:sz="4" w:space="0"/>
              <w:right w:val="single" w:color="000000" w:sz="4" w:space="0"/>
            </w:tcBorders>
            <w:vAlign w:val="center"/>
          </w:tcPr>
          <w:p w14:paraId="35E73BB8">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所属</w:t>
            </w:r>
          </w:p>
          <w:p w14:paraId="02EABF70">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行业</w:t>
            </w:r>
          </w:p>
        </w:tc>
        <w:tc>
          <w:tcPr>
            <w:tcW w:w="3968" w:type="dxa"/>
            <w:tcBorders>
              <w:top w:val="single" w:color="000000" w:sz="4" w:space="0"/>
              <w:left w:val="single" w:color="000000" w:sz="4" w:space="0"/>
              <w:bottom w:val="single" w:color="000000" w:sz="4" w:space="0"/>
              <w:right w:val="single" w:color="000000" w:sz="4" w:space="0"/>
            </w:tcBorders>
            <w:vAlign w:val="center"/>
          </w:tcPr>
          <w:p w14:paraId="02BEEB02">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技术要求</w:t>
            </w:r>
          </w:p>
        </w:tc>
      </w:tr>
      <w:tr w14:paraId="2CB6D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722" w:type="dxa"/>
            <w:tcBorders>
              <w:top w:val="single" w:color="000000" w:sz="4" w:space="0"/>
              <w:left w:val="single" w:color="000000" w:sz="4" w:space="0"/>
              <w:bottom w:val="single" w:color="000000" w:sz="4" w:space="0"/>
              <w:right w:val="single" w:color="000000" w:sz="4" w:space="0"/>
            </w:tcBorders>
            <w:vAlign w:val="center"/>
          </w:tcPr>
          <w:p w14:paraId="4A3F3893">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268" w:type="dxa"/>
            <w:gridSpan w:val="2"/>
            <w:tcBorders>
              <w:top w:val="single" w:color="000000" w:sz="4" w:space="0"/>
              <w:left w:val="single" w:color="000000" w:sz="4" w:space="0"/>
              <w:bottom w:val="single" w:color="000000" w:sz="4" w:space="0"/>
              <w:right w:val="single" w:color="000000" w:sz="4" w:space="0"/>
            </w:tcBorders>
            <w:vAlign w:val="center"/>
          </w:tcPr>
          <w:p w14:paraId="766A31E5">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陆川县横山镇陆洪村委至横山街段道路修复工程</w:t>
            </w:r>
          </w:p>
        </w:tc>
        <w:tc>
          <w:tcPr>
            <w:tcW w:w="899" w:type="dxa"/>
            <w:tcBorders>
              <w:top w:val="single" w:color="000000" w:sz="4" w:space="0"/>
              <w:left w:val="single" w:color="000000" w:sz="4" w:space="0"/>
              <w:bottom w:val="single" w:color="000000" w:sz="4" w:space="0"/>
              <w:right w:val="single" w:color="000000" w:sz="4" w:space="0"/>
            </w:tcBorders>
            <w:vAlign w:val="center"/>
          </w:tcPr>
          <w:p w14:paraId="63091DDE">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857" w:type="dxa"/>
            <w:tcBorders>
              <w:top w:val="single" w:color="000000" w:sz="4" w:space="0"/>
              <w:left w:val="single" w:color="000000" w:sz="4" w:space="0"/>
              <w:bottom w:val="single" w:color="000000" w:sz="4" w:space="0"/>
              <w:right w:val="single" w:color="000000" w:sz="4" w:space="0"/>
            </w:tcBorders>
            <w:vAlign w:val="center"/>
          </w:tcPr>
          <w:p w14:paraId="6FCBBB44">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3968" w:type="dxa"/>
            <w:tcBorders>
              <w:top w:val="single" w:color="000000" w:sz="4" w:space="0"/>
              <w:left w:val="single" w:color="000000" w:sz="4" w:space="0"/>
              <w:bottom w:val="single" w:color="000000" w:sz="4" w:space="0"/>
              <w:right w:val="single" w:color="000000" w:sz="4" w:space="0"/>
            </w:tcBorders>
            <w:vAlign w:val="center"/>
          </w:tcPr>
          <w:p w14:paraId="75DC15F0">
            <w:pPr>
              <w:pStyle w:val="292"/>
              <w:spacing w:line="360" w:lineRule="auto"/>
              <w:ind w:firstLine="0"/>
              <w:jc w:val="left"/>
              <w:rPr>
                <w:rFonts w:hint="eastAsia" w:ascii="宋体" w:hAnsi="宋体" w:cs="宋体"/>
                <w:color w:val="auto"/>
                <w:szCs w:val="21"/>
                <w:highlight w:val="none"/>
              </w:rPr>
            </w:pPr>
            <w:r>
              <w:rPr>
                <w:rFonts w:hint="eastAsia" w:ascii="宋体" w:hAnsi="宋体" w:cs="宋体"/>
                <w:color w:val="auto"/>
                <w:szCs w:val="21"/>
                <w:highlight w:val="none"/>
              </w:rPr>
              <w:t>1.工程概况：</w:t>
            </w:r>
            <w:r>
              <w:rPr>
                <w:rFonts w:hint="eastAsia" w:ascii="宋体" w:hAnsi="宋体"/>
                <w:color w:val="auto"/>
                <w:szCs w:val="21"/>
                <w:highlight w:val="none"/>
              </w:rPr>
              <w:t>本工程位于</w:t>
            </w:r>
            <w:bookmarkStart w:id="80" w:name="OLE_LINK2"/>
            <w:r>
              <w:rPr>
                <w:rFonts w:hint="eastAsia" w:ascii="宋体" w:hAnsi="宋体"/>
                <w:color w:val="auto"/>
                <w:szCs w:val="21"/>
                <w:highlight w:val="none"/>
              </w:rPr>
              <w:t>陆川县横山镇陆洪村</w:t>
            </w:r>
            <w:bookmarkEnd w:id="80"/>
            <w:r>
              <w:rPr>
                <w:rFonts w:hint="eastAsia" w:ascii="宋体" w:hAnsi="宋体"/>
                <w:color w:val="auto"/>
                <w:szCs w:val="21"/>
                <w:highlight w:val="none"/>
              </w:rPr>
              <w:t>，主要修复内容有：①拆除原有危桥，新建1-6米钢筋混凝土实心板桥(1#桥)；②拆除原有水渠上过路桥，新建2#涵洞1-2.5米钢筋混凝土盖板涵；③拆除原有危桥，新建1-6米钢筋混凝土实心板桥(3#桥)；④破除损毁道路，重新铺设混凝土道路，具体详见施工图纸。</w:t>
            </w:r>
          </w:p>
          <w:p w14:paraId="17428A4E">
            <w:pPr>
              <w:pStyle w:val="292"/>
              <w:spacing w:line="360" w:lineRule="auto"/>
              <w:ind w:firstLine="0"/>
              <w:jc w:val="left"/>
              <w:rPr>
                <w:rFonts w:hint="eastAsia" w:ascii="宋体" w:hAnsi="宋体" w:cs="宋体"/>
                <w:color w:val="auto"/>
                <w:szCs w:val="21"/>
                <w:highlight w:val="none"/>
              </w:rPr>
            </w:pPr>
            <w:r>
              <w:rPr>
                <w:rFonts w:hint="eastAsia" w:ascii="宋体" w:hAnsi="宋体" w:cs="宋体"/>
                <w:color w:val="auto"/>
                <w:szCs w:val="21"/>
                <w:highlight w:val="none"/>
              </w:rPr>
              <w:t>2.建设地点：</w:t>
            </w:r>
            <w:r>
              <w:rPr>
                <w:rFonts w:hint="eastAsia" w:ascii="宋体" w:hAnsi="宋体"/>
                <w:color w:val="auto"/>
                <w:szCs w:val="21"/>
                <w:highlight w:val="none"/>
              </w:rPr>
              <w:t>陆川县横山镇陆洪村</w:t>
            </w:r>
            <w:r>
              <w:rPr>
                <w:rFonts w:hint="eastAsia" w:ascii="宋体" w:hAnsi="宋体" w:cs="宋体"/>
                <w:color w:val="auto"/>
                <w:szCs w:val="21"/>
                <w:highlight w:val="none"/>
              </w:rPr>
              <w:t>。</w:t>
            </w:r>
          </w:p>
          <w:p w14:paraId="6EC09E63">
            <w:pPr>
              <w:pStyle w:val="292"/>
              <w:spacing w:line="360" w:lineRule="auto"/>
              <w:ind w:firstLine="0"/>
              <w:jc w:val="left"/>
              <w:rPr>
                <w:rFonts w:hint="eastAsia" w:ascii="宋体" w:hAnsi="宋体" w:cs="宋体"/>
                <w:color w:val="auto"/>
                <w:szCs w:val="21"/>
                <w:highlight w:val="none"/>
              </w:rPr>
            </w:pPr>
            <w:r>
              <w:rPr>
                <w:rFonts w:hint="eastAsia" w:ascii="宋体" w:hAnsi="宋体" w:cs="宋体"/>
                <w:color w:val="auto"/>
                <w:szCs w:val="21"/>
                <w:highlight w:val="none"/>
              </w:rPr>
              <w:t>3.质量：合格。</w:t>
            </w:r>
          </w:p>
          <w:p w14:paraId="6E8923D0">
            <w:pPr>
              <w:pStyle w:val="292"/>
              <w:spacing w:line="360" w:lineRule="auto"/>
              <w:ind w:firstLine="0"/>
              <w:jc w:val="left"/>
              <w:rPr>
                <w:rFonts w:hint="eastAsia" w:ascii="宋体" w:hAnsi="宋体" w:cs="宋体"/>
                <w:color w:val="auto"/>
                <w:szCs w:val="21"/>
                <w:highlight w:val="none"/>
              </w:rPr>
            </w:pPr>
            <w:r>
              <w:rPr>
                <w:rFonts w:hint="eastAsia" w:ascii="宋体" w:hAnsi="宋体" w:cs="宋体"/>
                <w:color w:val="auto"/>
                <w:szCs w:val="21"/>
                <w:highlight w:val="none"/>
              </w:rPr>
              <w:t>4.采购范围：以工程量清单、图纸所包含的内容为准。</w:t>
            </w:r>
          </w:p>
          <w:p w14:paraId="1E2FD97A">
            <w:pPr>
              <w:pStyle w:val="226"/>
              <w:spacing w:line="360" w:lineRule="auto"/>
              <w:rPr>
                <w:rFonts w:hint="eastAsia" w:ascii="宋体" w:hAnsi="宋体" w:cs="宋体"/>
                <w:color w:val="auto"/>
                <w:szCs w:val="21"/>
                <w:highlight w:val="none"/>
              </w:rPr>
            </w:pPr>
            <w:r>
              <w:rPr>
                <w:rFonts w:hint="eastAsia" w:ascii="宋体" w:hAnsi="宋体" w:cs="宋体"/>
                <w:color w:val="auto"/>
                <w:szCs w:val="21"/>
                <w:highlight w:val="none"/>
              </w:rPr>
              <w:t>5.发包方式：综合单价。</w:t>
            </w:r>
          </w:p>
        </w:tc>
      </w:tr>
      <w:tr w14:paraId="43215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4" w:type="dxa"/>
            <w:gridSpan w:val="6"/>
            <w:tcBorders>
              <w:top w:val="single" w:color="000000" w:sz="4" w:space="0"/>
              <w:left w:val="single" w:color="000000" w:sz="4" w:space="0"/>
              <w:bottom w:val="single" w:color="000000" w:sz="4" w:space="0"/>
              <w:right w:val="single" w:color="000000" w:sz="4" w:space="0"/>
            </w:tcBorders>
          </w:tcPr>
          <w:p w14:paraId="7DFBE230">
            <w:pPr>
              <w:spacing w:line="360" w:lineRule="auto"/>
              <w:rPr>
                <w:rFonts w:hint="eastAsia" w:ascii="宋体" w:hAnsi="宋体"/>
                <w:color w:val="auto"/>
                <w:szCs w:val="21"/>
                <w:highlight w:val="none"/>
              </w:rPr>
            </w:pPr>
            <w:r>
              <w:rPr>
                <w:rFonts w:hint="eastAsia" w:ascii="宋体" w:hAnsi="宋体"/>
                <w:b/>
                <w:color w:val="auto"/>
                <w:szCs w:val="21"/>
                <w:highlight w:val="none"/>
              </w:rPr>
              <w:t>一、商务要求</w:t>
            </w:r>
          </w:p>
        </w:tc>
      </w:tr>
      <w:tr w14:paraId="6852F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00" w:type="dxa"/>
            <w:gridSpan w:val="2"/>
            <w:tcBorders>
              <w:top w:val="single" w:color="000000" w:sz="4" w:space="0"/>
              <w:left w:val="single" w:color="000000" w:sz="4" w:space="0"/>
              <w:bottom w:val="single" w:color="000000" w:sz="4" w:space="0"/>
              <w:right w:val="single" w:color="000000" w:sz="4" w:space="0"/>
            </w:tcBorders>
            <w:vAlign w:val="center"/>
          </w:tcPr>
          <w:p w14:paraId="718D4B3C">
            <w:pPr>
              <w:spacing w:line="360" w:lineRule="auto"/>
              <w:rPr>
                <w:rFonts w:hint="eastAsia" w:ascii="宋体" w:hAnsi="宋体"/>
                <w:b/>
                <w:color w:val="auto"/>
                <w:szCs w:val="21"/>
                <w:highlight w:val="none"/>
              </w:rPr>
            </w:pPr>
            <w:r>
              <w:rPr>
                <w:rFonts w:hint="eastAsia" w:ascii="宋体" w:hAnsi="宋体" w:cs="宋体"/>
                <w:color w:val="auto"/>
                <w:szCs w:val="21"/>
                <w:highlight w:val="none"/>
              </w:rPr>
              <w:t>计划工期</w:t>
            </w:r>
          </w:p>
        </w:tc>
        <w:tc>
          <w:tcPr>
            <w:tcW w:w="6614" w:type="dxa"/>
            <w:gridSpan w:val="4"/>
            <w:tcBorders>
              <w:top w:val="single" w:color="000000" w:sz="4" w:space="0"/>
              <w:left w:val="single" w:color="000000" w:sz="4" w:space="0"/>
              <w:bottom w:val="single" w:color="000000" w:sz="4" w:space="0"/>
              <w:right w:val="single" w:color="000000" w:sz="4" w:space="0"/>
            </w:tcBorders>
            <w:vAlign w:val="center"/>
          </w:tcPr>
          <w:p w14:paraId="548C234C">
            <w:pPr>
              <w:spacing w:line="360" w:lineRule="auto"/>
              <w:rPr>
                <w:rFonts w:hint="eastAsia" w:ascii="宋体" w:hAnsi="宋体"/>
                <w:color w:val="auto"/>
                <w:szCs w:val="21"/>
                <w:highlight w:val="none"/>
              </w:rPr>
            </w:pPr>
            <w:r>
              <w:rPr>
                <w:rFonts w:hint="eastAsia" w:ascii="宋体" w:hAnsi="宋体"/>
                <w:color w:val="auto"/>
                <w:szCs w:val="21"/>
                <w:highlight w:val="none"/>
              </w:rPr>
              <w:t>计划工期：150天（日历天）</w:t>
            </w:r>
          </w:p>
          <w:p w14:paraId="1F330708">
            <w:pPr>
              <w:spacing w:line="360" w:lineRule="auto"/>
              <w:rPr>
                <w:rFonts w:hint="eastAsia" w:ascii="宋体" w:hAnsi="宋体"/>
                <w:color w:val="auto"/>
                <w:szCs w:val="21"/>
                <w:highlight w:val="none"/>
              </w:rPr>
            </w:pPr>
            <w:r>
              <w:rPr>
                <w:rFonts w:hint="eastAsia" w:ascii="宋体" w:hAnsi="宋体"/>
                <w:color w:val="auto"/>
                <w:szCs w:val="21"/>
                <w:highlight w:val="none"/>
              </w:rPr>
              <w:t>计划开工日期：2026年7月20日</w:t>
            </w:r>
          </w:p>
          <w:p w14:paraId="03A19161">
            <w:pPr>
              <w:spacing w:line="360" w:lineRule="auto"/>
              <w:rPr>
                <w:rFonts w:hint="eastAsia" w:ascii="宋体" w:hAnsi="宋体"/>
                <w:b/>
                <w:color w:val="auto"/>
                <w:szCs w:val="21"/>
                <w:highlight w:val="none"/>
              </w:rPr>
            </w:pPr>
            <w:r>
              <w:rPr>
                <w:rFonts w:hint="eastAsia" w:ascii="宋体" w:hAnsi="宋体"/>
                <w:color w:val="auto"/>
                <w:szCs w:val="21"/>
                <w:highlight w:val="none"/>
              </w:rPr>
              <w:t>计划交工日期：2026年12月16日</w:t>
            </w:r>
          </w:p>
        </w:tc>
      </w:tr>
      <w:tr w14:paraId="27478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00" w:type="dxa"/>
            <w:gridSpan w:val="2"/>
            <w:tcBorders>
              <w:top w:val="single" w:color="000000" w:sz="4" w:space="0"/>
              <w:left w:val="single" w:color="000000" w:sz="4" w:space="0"/>
              <w:bottom w:val="single" w:color="000000" w:sz="4" w:space="0"/>
              <w:right w:val="single" w:color="000000" w:sz="4" w:space="0"/>
            </w:tcBorders>
            <w:vAlign w:val="center"/>
          </w:tcPr>
          <w:p w14:paraId="51DC8C22">
            <w:pPr>
              <w:spacing w:line="360" w:lineRule="auto"/>
              <w:rPr>
                <w:rFonts w:hint="eastAsia" w:ascii="宋体" w:hAnsi="宋体"/>
                <w:b/>
                <w:color w:val="auto"/>
                <w:szCs w:val="21"/>
                <w:highlight w:val="none"/>
              </w:rPr>
            </w:pPr>
            <w:r>
              <w:rPr>
                <w:rFonts w:hint="eastAsia" w:ascii="宋体" w:hAnsi="宋体"/>
                <w:color w:val="auto"/>
                <w:szCs w:val="21"/>
                <w:highlight w:val="none"/>
              </w:rPr>
              <w:t>合同签订时间</w:t>
            </w:r>
          </w:p>
        </w:tc>
        <w:tc>
          <w:tcPr>
            <w:tcW w:w="6614" w:type="dxa"/>
            <w:gridSpan w:val="4"/>
            <w:tcBorders>
              <w:top w:val="single" w:color="000000" w:sz="4" w:space="0"/>
              <w:left w:val="single" w:color="000000" w:sz="4" w:space="0"/>
              <w:bottom w:val="single" w:color="000000" w:sz="4" w:space="0"/>
              <w:right w:val="single" w:color="000000" w:sz="4" w:space="0"/>
            </w:tcBorders>
            <w:vAlign w:val="center"/>
          </w:tcPr>
          <w:p w14:paraId="14F8C919">
            <w:pPr>
              <w:spacing w:line="360" w:lineRule="auto"/>
              <w:rPr>
                <w:rFonts w:hint="eastAsia" w:ascii="宋体" w:hAnsi="宋体"/>
                <w:b/>
                <w:color w:val="auto"/>
                <w:szCs w:val="21"/>
                <w:highlight w:val="none"/>
              </w:rPr>
            </w:pPr>
            <w:r>
              <w:rPr>
                <w:rFonts w:hint="eastAsia" w:ascii="宋体" w:hAnsi="宋体"/>
                <w:color w:val="auto"/>
                <w:szCs w:val="21"/>
                <w:highlight w:val="none"/>
              </w:rPr>
              <w:t>自成交通知书发出之日起</w:t>
            </w:r>
            <w:r>
              <w:rPr>
                <w:rFonts w:hint="eastAsia" w:ascii="宋体" w:hAnsi="宋体"/>
                <w:color w:val="auto"/>
                <w:szCs w:val="21"/>
                <w:highlight w:val="none"/>
                <w:u w:val="single"/>
              </w:rPr>
              <w:t>25</w:t>
            </w:r>
            <w:r>
              <w:rPr>
                <w:rFonts w:hint="eastAsia" w:ascii="宋体" w:hAnsi="宋体"/>
                <w:color w:val="auto"/>
                <w:szCs w:val="21"/>
                <w:highlight w:val="none"/>
              </w:rPr>
              <w:t>日内</w:t>
            </w:r>
          </w:p>
        </w:tc>
      </w:tr>
      <w:tr w14:paraId="5A430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00" w:type="dxa"/>
            <w:gridSpan w:val="2"/>
            <w:tcBorders>
              <w:top w:val="single" w:color="000000" w:sz="4" w:space="0"/>
              <w:left w:val="single" w:color="000000" w:sz="4" w:space="0"/>
              <w:bottom w:val="single" w:color="000000" w:sz="4" w:space="0"/>
              <w:right w:val="single" w:color="000000" w:sz="4" w:space="0"/>
            </w:tcBorders>
            <w:vAlign w:val="center"/>
          </w:tcPr>
          <w:p w14:paraId="7E437DC7">
            <w:pPr>
              <w:spacing w:line="360" w:lineRule="auto"/>
              <w:rPr>
                <w:rFonts w:hint="eastAsia" w:ascii="宋体" w:hAnsi="宋体"/>
                <w:b/>
                <w:color w:val="auto"/>
                <w:szCs w:val="21"/>
                <w:highlight w:val="none"/>
              </w:rPr>
            </w:pPr>
            <w:r>
              <w:rPr>
                <w:rFonts w:hint="eastAsia" w:ascii="宋体" w:hAnsi="宋体"/>
                <w:color w:val="auto"/>
                <w:szCs w:val="21"/>
                <w:highlight w:val="none"/>
              </w:rPr>
              <w:t>付款条件（进度和方式）</w:t>
            </w:r>
          </w:p>
        </w:tc>
        <w:tc>
          <w:tcPr>
            <w:tcW w:w="6614" w:type="dxa"/>
            <w:gridSpan w:val="4"/>
            <w:tcBorders>
              <w:top w:val="single" w:color="000000" w:sz="4" w:space="0"/>
              <w:left w:val="single" w:color="000000" w:sz="4" w:space="0"/>
              <w:bottom w:val="single" w:color="000000" w:sz="4" w:space="0"/>
              <w:right w:val="single" w:color="000000" w:sz="4" w:space="0"/>
            </w:tcBorders>
            <w:vAlign w:val="center"/>
          </w:tcPr>
          <w:p w14:paraId="7E3D3CC4">
            <w:pPr>
              <w:spacing w:line="360" w:lineRule="auto"/>
              <w:rPr>
                <w:rFonts w:hint="eastAsia" w:ascii="宋体" w:hAnsi="宋体"/>
                <w:bCs/>
                <w:color w:val="auto"/>
                <w:szCs w:val="21"/>
                <w:highlight w:val="none"/>
              </w:rPr>
            </w:pPr>
            <w:r>
              <w:rPr>
                <w:rFonts w:hint="eastAsia" w:ascii="宋体" w:hAnsi="宋体"/>
                <w:bCs/>
                <w:color w:val="auto"/>
                <w:szCs w:val="21"/>
                <w:highlight w:val="none"/>
              </w:rPr>
              <w:t>①在合同、担保措施生效及具备实施条件后10个工作日内支付合同金额的30%。</w:t>
            </w:r>
          </w:p>
          <w:p w14:paraId="0E51269D">
            <w:pPr>
              <w:spacing w:line="360" w:lineRule="auto"/>
              <w:rPr>
                <w:rFonts w:hint="eastAsia" w:ascii="宋体" w:hAnsi="宋体"/>
                <w:b/>
                <w:color w:val="auto"/>
                <w:szCs w:val="21"/>
                <w:highlight w:val="none"/>
              </w:rPr>
            </w:pPr>
            <w:r>
              <w:rPr>
                <w:rFonts w:hint="eastAsia" w:ascii="宋体" w:hAnsi="宋体"/>
                <w:bCs/>
                <w:color w:val="auto"/>
                <w:szCs w:val="21"/>
                <w:highlight w:val="none"/>
              </w:rPr>
              <w:t>②施工过程中采购人按规定的审批程序支付工程进度款，原则上按工程进度支付，支付的项目进度款限额不超过项目总工程量的85%，合同外部分进度款支付限额为已完成工程量的80%；工程完工验收达到质量要求后，工程款支付至合同价款的85%；结算价经审定后，工程款支付至结算总价的97%；采购人按工程结算总价的3%预留工程质量保证金，待工程缺陷责任期满后返还(无息)；质量保证金的返还，并不能免除成交供应商按照合同约定应承担的质量保修责任和应履行的质量保修义务。</w:t>
            </w:r>
          </w:p>
        </w:tc>
      </w:tr>
      <w:tr w14:paraId="35260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00" w:type="dxa"/>
            <w:gridSpan w:val="2"/>
            <w:tcBorders>
              <w:top w:val="single" w:color="000000" w:sz="4" w:space="0"/>
              <w:left w:val="single" w:color="000000" w:sz="4" w:space="0"/>
              <w:bottom w:val="single" w:color="000000" w:sz="4" w:space="0"/>
              <w:right w:val="single" w:color="000000" w:sz="4" w:space="0"/>
            </w:tcBorders>
            <w:vAlign w:val="center"/>
          </w:tcPr>
          <w:p w14:paraId="599BD066">
            <w:pPr>
              <w:spacing w:line="360" w:lineRule="auto"/>
              <w:rPr>
                <w:rFonts w:hint="eastAsia" w:ascii="宋体" w:hAnsi="宋体"/>
                <w:b/>
                <w:color w:val="auto"/>
                <w:szCs w:val="21"/>
                <w:highlight w:val="none"/>
              </w:rPr>
            </w:pPr>
            <w:r>
              <w:rPr>
                <w:rFonts w:hint="eastAsia" w:ascii="宋体" w:hAnsi="宋体"/>
                <w:color w:val="auto"/>
                <w:szCs w:val="21"/>
                <w:highlight w:val="none"/>
              </w:rPr>
              <w:t>包装和运输</w:t>
            </w:r>
          </w:p>
        </w:tc>
        <w:tc>
          <w:tcPr>
            <w:tcW w:w="6614" w:type="dxa"/>
            <w:gridSpan w:val="4"/>
            <w:tcBorders>
              <w:top w:val="single" w:color="000000" w:sz="4" w:space="0"/>
              <w:left w:val="single" w:color="000000" w:sz="4" w:space="0"/>
              <w:bottom w:val="single" w:color="000000" w:sz="4" w:space="0"/>
              <w:right w:val="single" w:color="000000" w:sz="4" w:space="0"/>
            </w:tcBorders>
            <w:vAlign w:val="center"/>
          </w:tcPr>
          <w:p w14:paraId="4996B18B">
            <w:pPr>
              <w:spacing w:line="360" w:lineRule="auto"/>
              <w:rPr>
                <w:rFonts w:hint="eastAsia" w:ascii="宋体" w:hAnsi="宋体"/>
                <w:b/>
                <w:color w:val="auto"/>
                <w:szCs w:val="21"/>
                <w:highlight w:val="none"/>
              </w:rPr>
            </w:pPr>
            <w:r>
              <w:rPr>
                <w:rFonts w:hint="eastAsia" w:ascii="宋体" w:hAnsi="宋体" w:cs="宋体"/>
                <w:bCs/>
                <w:color w:val="auto"/>
                <w:szCs w:val="21"/>
                <w:highlight w:val="none"/>
              </w:rPr>
              <w:t>符合现行国家相关标准、行业标准、地方标准或者其他标准、规范。</w:t>
            </w:r>
          </w:p>
        </w:tc>
      </w:tr>
      <w:tr w14:paraId="7542F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4" w:type="dxa"/>
            <w:gridSpan w:val="6"/>
            <w:tcBorders>
              <w:top w:val="single" w:color="000000" w:sz="4" w:space="0"/>
              <w:left w:val="single" w:color="000000" w:sz="4" w:space="0"/>
              <w:bottom w:val="single" w:color="000000" w:sz="4" w:space="0"/>
              <w:right w:val="single" w:color="000000" w:sz="4" w:space="0"/>
            </w:tcBorders>
            <w:vAlign w:val="center"/>
          </w:tcPr>
          <w:p w14:paraId="1021A1A5">
            <w:pPr>
              <w:spacing w:line="360" w:lineRule="auto"/>
              <w:rPr>
                <w:rFonts w:hint="eastAsia" w:ascii="宋体" w:hAnsi="宋体"/>
                <w:color w:val="auto"/>
                <w:szCs w:val="21"/>
                <w:highlight w:val="none"/>
              </w:rPr>
            </w:pPr>
            <w:r>
              <w:rPr>
                <w:rFonts w:hint="eastAsia" w:ascii="宋体" w:hAnsi="宋体"/>
                <w:b/>
                <w:bCs/>
                <w:color w:val="auto"/>
                <w:szCs w:val="21"/>
                <w:highlight w:val="none"/>
              </w:rPr>
              <w:t>二、与实现项目目标相关的其他要求</w:t>
            </w:r>
          </w:p>
        </w:tc>
      </w:tr>
      <w:tr w14:paraId="4EB50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4" w:type="dxa"/>
            <w:gridSpan w:val="6"/>
            <w:tcBorders>
              <w:top w:val="single" w:color="000000" w:sz="4" w:space="0"/>
              <w:left w:val="single" w:color="000000" w:sz="4" w:space="0"/>
              <w:bottom w:val="single" w:color="000000" w:sz="4" w:space="0"/>
              <w:right w:val="single" w:color="000000" w:sz="4" w:space="0"/>
            </w:tcBorders>
            <w:vAlign w:val="center"/>
          </w:tcPr>
          <w:p w14:paraId="26275A04">
            <w:pPr>
              <w:tabs>
                <w:tab w:val="left" w:pos="180"/>
                <w:tab w:val="left" w:pos="1620"/>
              </w:tabs>
              <w:spacing w:line="360" w:lineRule="auto"/>
              <w:rPr>
                <w:rFonts w:hint="eastAsia" w:ascii="宋体" w:hAnsi="宋体" w:cs="宋体"/>
                <w:bCs/>
                <w:color w:val="auto"/>
                <w:szCs w:val="21"/>
                <w:highlight w:val="none"/>
              </w:rPr>
            </w:pPr>
            <w:r>
              <w:rPr>
                <w:rFonts w:hint="eastAsia" w:ascii="宋体" w:hAnsi="宋体"/>
                <w:b/>
                <w:color w:val="auto"/>
                <w:szCs w:val="21"/>
                <w:highlight w:val="none"/>
              </w:rPr>
              <w:t>（一）验收标准</w:t>
            </w:r>
          </w:p>
        </w:tc>
      </w:tr>
      <w:tr w14:paraId="1623A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4" w:type="dxa"/>
            <w:gridSpan w:val="6"/>
            <w:tcBorders>
              <w:top w:val="single" w:color="000000" w:sz="4" w:space="0"/>
              <w:left w:val="single" w:color="000000" w:sz="4" w:space="0"/>
              <w:bottom w:val="single" w:color="000000" w:sz="4" w:space="0"/>
              <w:right w:val="single" w:color="000000" w:sz="4" w:space="0"/>
            </w:tcBorders>
            <w:vAlign w:val="center"/>
          </w:tcPr>
          <w:p w14:paraId="126AEDB4">
            <w:pPr>
              <w:tabs>
                <w:tab w:val="left" w:pos="180"/>
                <w:tab w:val="left" w:pos="1620"/>
              </w:tabs>
              <w:spacing w:line="360" w:lineRule="auto"/>
              <w:rPr>
                <w:rFonts w:hint="eastAsia" w:ascii="宋体" w:hAnsi="宋体"/>
                <w:color w:val="auto"/>
                <w:szCs w:val="21"/>
                <w:highlight w:val="none"/>
              </w:rPr>
            </w:pPr>
            <w:r>
              <w:rPr>
                <w:rFonts w:hint="eastAsia" w:ascii="宋体" w:hAnsi="宋体"/>
                <w:color w:val="auto"/>
                <w:szCs w:val="21"/>
                <w:highlight w:val="none"/>
              </w:rPr>
              <w:t>1.验收由采购人与成交供应商及相关人员按国家有关规定、规范进行。</w:t>
            </w:r>
          </w:p>
          <w:p w14:paraId="2B2DC678">
            <w:pPr>
              <w:tabs>
                <w:tab w:val="left" w:pos="180"/>
                <w:tab w:val="left" w:pos="1620"/>
              </w:tabs>
              <w:spacing w:line="360" w:lineRule="auto"/>
              <w:rPr>
                <w:rFonts w:hint="eastAsia" w:ascii="宋体" w:hAnsi="宋体"/>
                <w:color w:val="auto"/>
                <w:szCs w:val="21"/>
                <w:highlight w:val="none"/>
              </w:rPr>
            </w:pPr>
            <w:r>
              <w:rPr>
                <w:rFonts w:hint="eastAsia" w:ascii="宋体" w:hAnsi="宋体"/>
                <w:color w:val="auto"/>
                <w:szCs w:val="21"/>
                <w:highlight w:val="none"/>
              </w:rPr>
              <w:t>2.未尽事宜按照《关于印发广西壮族自治区政府采购项目履约验收管理办法的通知》(桂财采〔2015〕22号)以及《财政部关于进一步加强政府采购需求和履约验收管理的指导意见》(财库〔2016〕205号)规定执行。</w:t>
            </w:r>
          </w:p>
        </w:tc>
      </w:tr>
      <w:tr w14:paraId="09040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4" w:type="dxa"/>
            <w:gridSpan w:val="6"/>
            <w:tcBorders>
              <w:top w:val="single" w:color="000000" w:sz="4" w:space="0"/>
              <w:left w:val="single" w:color="000000" w:sz="4" w:space="0"/>
              <w:bottom w:val="single" w:color="000000" w:sz="4" w:space="0"/>
              <w:right w:val="single" w:color="000000" w:sz="4" w:space="0"/>
            </w:tcBorders>
            <w:vAlign w:val="center"/>
          </w:tcPr>
          <w:p w14:paraId="70AF1D4D">
            <w:pPr>
              <w:tabs>
                <w:tab w:val="left" w:pos="180"/>
                <w:tab w:val="left" w:pos="1620"/>
              </w:tabs>
              <w:spacing w:line="360" w:lineRule="auto"/>
              <w:rPr>
                <w:rFonts w:hint="eastAsia" w:ascii="宋体" w:hAnsi="宋体" w:cs="宋体"/>
                <w:bCs/>
                <w:color w:val="auto"/>
                <w:szCs w:val="21"/>
                <w:highlight w:val="none"/>
              </w:rPr>
            </w:pPr>
            <w:r>
              <w:rPr>
                <w:rFonts w:hint="eastAsia" w:ascii="宋体" w:hAnsi="宋体"/>
                <w:b/>
                <w:bCs/>
                <w:color w:val="auto"/>
                <w:szCs w:val="21"/>
                <w:highlight w:val="none"/>
              </w:rPr>
              <w:t>供应商必须在响应文件中提供施工组织设计（内容不限于主要施工方法、拟投入的主要物资计划、劳动力安排计划、确保工程质量的技术组织措施、确保安全生产的技术组织措施、确保工期的技术组织措施、确保文明施工的技术组织措施、工程施工的重点和难点及保证措施、施工总平面布置图）。</w:t>
            </w:r>
          </w:p>
        </w:tc>
      </w:tr>
    </w:tbl>
    <w:p w14:paraId="7B15E5E4">
      <w:pPr>
        <w:tabs>
          <w:tab w:val="left" w:pos="180"/>
          <w:tab w:val="left" w:pos="1620"/>
        </w:tabs>
        <w:spacing w:line="360" w:lineRule="auto"/>
        <w:ind w:firstLine="422"/>
        <w:rPr>
          <w:rFonts w:hint="eastAsia" w:ascii="宋体" w:hAnsi="宋体" w:cs="宋体"/>
          <w:b/>
          <w:bCs/>
          <w:color w:val="auto"/>
          <w:szCs w:val="21"/>
          <w:highlight w:val="none"/>
        </w:rPr>
      </w:pPr>
    </w:p>
    <w:p w14:paraId="122142C8">
      <w:pPr>
        <w:tabs>
          <w:tab w:val="left" w:pos="180"/>
          <w:tab w:val="left" w:pos="1620"/>
        </w:tabs>
        <w:spacing w:line="360" w:lineRule="auto"/>
        <w:ind w:firstLine="422"/>
        <w:rPr>
          <w:rFonts w:hint="eastAsia" w:ascii="宋体" w:hAnsi="宋体" w:cs="宋体"/>
          <w:b/>
          <w:bCs/>
          <w:color w:val="auto"/>
          <w:szCs w:val="21"/>
          <w:highlight w:val="none"/>
        </w:rPr>
      </w:pPr>
    </w:p>
    <w:p w14:paraId="210BBC50">
      <w:pPr>
        <w:tabs>
          <w:tab w:val="left" w:pos="180"/>
          <w:tab w:val="left" w:pos="1620"/>
        </w:tabs>
        <w:spacing w:line="360" w:lineRule="auto"/>
        <w:ind w:firstLine="422"/>
        <w:rPr>
          <w:rFonts w:hint="eastAsia" w:ascii="宋体" w:hAnsi="宋体" w:cs="宋体"/>
          <w:b/>
          <w:bCs/>
          <w:color w:val="auto"/>
          <w:szCs w:val="21"/>
          <w:highlight w:val="none"/>
        </w:rPr>
      </w:pPr>
    </w:p>
    <w:p w14:paraId="5A4411BE">
      <w:pPr>
        <w:tabs>
          <w:tab w:val="left" w:pos="180"/>
          <w:tab w:val="left" w:pos="1620"/>
        </w:tabs>
        <w:spacing w:line="360" w:lineRule="auto"/>
        <w:ind w:firstLine="422"/>
        <w:rPr>
          <w:rFonts w:hint="eastAsia" w:ascii="宋体" w:hAnsi="宋体" w:cs="宋体"/>
          <w:b/>
          <w:bCs/>
          <w:color w:val="auto"/>
          <w:szCs w:val="21"/>
          <w:highlight w:val="none"/>
        </w:rPr>
      </w:pPr>
    </w:p>
    <w:p w14:paraId="00698736">
      <w:pPr>
        <w:tabs>
          <w:tab w:val="left" w:pos="180"/>
          <w:tab w:val="left" w:pos="1620"/>
        </w:tabs>
        <w:spacing w:line="360" w:lineRule="auto"/>
        <w:ind w:firstLine="422"/>
        <w:rPr>
          <w:rFonts w:hint="eastAsia" w:ascii="宋体" w:hAnsi="宋体" w:cs="宋体"/>
          <w:b/>
          <w:bCs/>
          <w:color w:val="auto"/>
          <w:szCs w:val="21"/>
          <w:highlight w:val="none"/>
        </w:rPr>
      </w:pPr>
    </w:p>
    <w:p w14:paraId="6B74C648">
      <w:pPr>
        <w:pStyle w:val="199"/>
        <w:spacing w:before="0" w:after="0" w:line="360" w:lineRule="auto"/>
        <w:jc w:val="center"/>
        <w:rPr>
          <w:color w:val="auto"/>
          <w:highlight w:val="none"/>
        </w:rPr>
      </w:pPr>
      <w:r>
        <w:rPr>
          <w:rFonts w:ascii="宋体" w:hAnsi="宋体" w:cs="宋体"/>
          <w:color w:val="auto"/>
          <w:sz w:val="20"/>
          <w:szCs w:val="20"/>
          <w:highlight w:val="none"/>
        </w:rPr>
        <w:br w:type="page" w:clear="all"/>
      </w:r>
      <w:bookmarkStart w:id="81" w:name="_Toc233964164"/>
      <w:r>
        <w:rPr>
          <w:rFonts w:hint="eastAsia"/>
          <w:color w:val="auto"/>
          <w:highlight w:val="none"/>
        </w:rPr>
        <w:t>第四章  评审程序、评审方法和评审标准</w:t>
      </w:r>
      <w:bookmarkEnd w:id="81"/>
    </w:p>
    <w:p w14:paraId="79E7A3AD">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一、评审程序和评审方法</w:t>
      </w:r>
    </w:p>
    <w:p w14:paraId="467F2540">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16C4D667">
      <w:pPr>
        <w:spacing w:line="360" w:lineRule="auto"/>
        <w:ind w:firstLine="420"/>
        <w:rPr>
          <w:rFonts w:hint="eastAsia"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1861F23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009584F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（1）查询渠道：广西政府采购云平台“信用中国”网站（www.creditchina.gov.cn）、中国政府采购网（www.ccgp.gov.cn）链接入口。</w:t>
      </w:r>
    </w:p>
    <w:p w14:paraId="031BBE6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5A64E6E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6BFB6E6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27C6D995">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1295E84C">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.3供应商有下列情形之一的，资格审查不通过，其响应文件按无效处理：</w:t>
      </w:r>
    </w:p>
    <w:p w14:paraId="1BFD63C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）不具备磋商文件中规定的资格要求的；</w:t>
      </w:r>
    </w:p>
    <w:p w14:paraId="62EAB88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14:paraId="61B5824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）响应文件的资格证明文件缺少任一项“供应商须知前附表”资格证明文件规定的“必须提供”的文件资料的；</w:t>
      </w:r>
    </w:p>
    <w:p w14:paraId="0B5303C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）响应文件中的资格证明文件出现任一项不符合“供应商须知前附表”资格证明文件规定的“必须提供”的文件资料要求或者无效的；</w:t>
      </w:r>
    </w:p>
    <w:p w14:paraId="0AC5C9E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）有第二章“供应商须知”第3.2项规定的任何一种情形的。</w:t>
      </w:r>
    </w:p>
    <w:p w14:paraId="60DF9B7A">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应当重新开展采购活动。</w:t>
      </w:r>
    </w:p>
    <w:p w14:paraId="7D5C7B1F">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5FEC525D">
      <w:pPr>
        <w:spacing w:line="360" w:lineRule="auto"/>
        <w:ind w:firstLine="420"/>
        <w:rPr>
          <w:rFonts w:hint="eastAsia" w:ascii="宋体" w:hAnsi="宋体" w:cs="宋体"/>
          <w:color w:val="auto"/>
          <w:szCs w:val="21"/>
          <w:highlight w:val="none"/>
        </w:rPr>
      </w:pPr>
      <w:bookmarkStart w:id="82" w:name="_Hlk42528882"/>
      <w:r>
        <w:rPr>
          <w:rFonts w:ascii="宋体" w:hAnsi="宋体" w:cs="宋体"/>
          <w:color w:val="auto"/>
          <w:szCs w:val="21"/>
          <w:highlight w:val="none"/>
        </w:rPr>
        <w:t>2.1</w:t>
      </w:r>
      <w:r>
        <w:rPr>
          <w:rFonts w:hint="eastAsia" w:ascii="宋体" w:hAnsi="宋体" w:cs="宋体"/>
          <w:color w:val="auto"/>
          <w:szCs w:val="21"/>
          <w:highlight w:val="none"/>
        </w:rPr>
        <w:t>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p>
    <w:bookmarkEnd w:id="82"/>
    <w:p w14:paraId="0820AE9A">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8D7043D">
      <w:pPr>
        <w:spacing w:line="360" w:lineRule="auto"/>
        <w:ind w:firstLine="420"/>
        <w:rPr>
          <w:rFonts w:hint="eastAsia"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1BCA7E24">
      <w:pPr>
        <w:spacing w:line="360" w:lineRule="auto"/>
        <w:ind w:firstLine="420"/>
        <w:rPr>
          <w:rFonts w:hint="eastAsia"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255E6B9">
      <w:pPr>
        <w:spacing w:line="360" w:lineRule="auto"/>
        <w:ind w:firstLine="396"/>
        <w:rPr>
          <w:rFonts w:hint="eastAsia"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7481112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167C367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3641AAA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103B959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58E6970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同时出现两种以上不一致的，按照以上（1）-（4）规定的顺序逐条进行修正。修正后的报价经供应商确认后产生约束力，供应商不确认的，其响应文件按无效处理。</w:t>
      </w:r>
    </w:p>
    <w:p w14:paraId="213D955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52979069">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在评审时，如发现下列情形之一的，将被视为响应文件无效处理：</w:t>
      </w:r>
    </w:p>
    <w:p w14:paraId="1B8BE982">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（1）商务技术评审</w:t>
      </w:r>
    </w:p>
    <w:p w14:paraId="6189E024">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1）响应文件未按磋商文件要求签署、盖章的；</w:t>
      </w:r>
    </w:p>
    <w:p w14:paraId="01689C99">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 xml:space="preserve">2）委托代理人未能出具有效身份证或者出具的身份证与授权委托书中的信息不符的； </w:t>
      </w:r>
    </w:p>
    <w:p w14:paraId="254C530E">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3）提交的磋商保证金无效的或者未按照磋商文件的规定提交磋商保证金的；</w:t>
      </w:r>
    </w:p>
    <w:p w14:paraId="7C1AFFC6">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“必须提供”或者“委托时必须提供”文件资料要求的规定或者提供的商务技术文件无效的。</w:t>
      </w:r>
    </w:p>
    <w:p w14:paraId="32D34368">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5）响应文件的实质性内容未使用中文表述、使用计量单位不符合磋商文件要求的；</w:t>
      </w:r>
    </w:p>
    <w:p w14:paraId="6DCDC15F">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6）响应文件中的文件资料因填写不齐全或者内容虚假或者出现其他情形而导致被磋商小组认定无效的；</w:t>
      </w:r>
    </w:p>
    <w:p w14:paraId="09805C7D">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7）响应文件含有采购人不能接受的附加条件的；</w:t>
      </w:r>
    </w:p>
    <w:p w14:paraId="1C68EE5F">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8）属于“供应商须知正文”第7.</w:t>
      </w:r>
      <w:r>
        <w:rPr>
          <w:rFonts w:ascii="宋体" w:hAnsi="宋体" w:cs="宋体"/>
          <w:b/>
          <w:color w:val="auto"/>
          <w:szCs w:val="21"/>
          <w:highlight w:val="none"/>
        </w:rPr>
        <w:t>5</w:t>
      </w:r>
      <w:r>
        <w:rPr>
          <w:rFonts w:hint="eastAsia" w:ascii="宋体" w:hAnsi="宋体" w:cs="宋体"/>
          <w:b/>
          <w:color w:val="auto"/>
          <w:szCs w:val="21"/>
          <w:highlight w:val="none"/>
        </w:rPr>
        <w:t>条供应商相互串通竞标情形的；</w:t>
      </w:r>
    </w:p>
    <w:p w14:paraId="008D6684">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9）虚假竞标，或者出现其他情形而导致被磋商小组认定无效的；</w:t>
      </w:r>
    </w:p>
    <w:p w14:paraId="4BA28BAD">
      <w:pPr>
        <w:spacing w:line="360" w:lineRule="auto"/>
        <w:ind w:firstLine="422"/>
        <w:rPr>
          <w:rFonts w:hint="eastAsia"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0）</w:t>
      </w:r>
      <w:bookmarkStart w:id="83" w:name="_Hlk71704147"/>
      <w:r>
        <w:rPr>
          <w:rFonts w:hint="eastAsia" w:ascii="宋体" w:hAnsi="宋体" w:cs="宋体"/>
          <w:b/>
          <w:color w:val="auto"/>
          <w:szCs w:val="21"/>
          <w:highlight w:val="none"/>
        </w:rPr>
        <w:t>磋商文件未载明允许提供备选（替代）竞标方案或明确不允许提供备选（替代）竞标方案时，供应商提供了备选（替代）竞标方案的；</w:t>
      </w:r>
      <w:bookmarkEnd w:id="83"/>
    </w:p>
    <w:p w14:paraId="35D54EC1">
      <w:pPr>
        <w:spacing w:line="360" w:lineRule="auto"/>
        <w:ind w:firstLine="422"/>
        <w:rPr>
          <w:rFonts w:hint="eastAsia"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1）响应文件标注的项目名称或者项目编号与磋商文件标注的项目名称或者项目编号不一致的；</w:t>
      </w:r>
    </w:p>
    <w:p w14:paraId="533B1E6D">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12）</w:t>
      </w:r>
      <w:r>
        <w:rPr>
          <w:rFonts w:hint="eastAsia" w:ascii="宋体" w:hAnsi="宋体"/>
          <w:b/>
          <w:color w:val="auto"/>
          <w:szCs w:val="21"/>
          <w:highlight w:val="none"/>
        </w:rPr>
        <w:t>竞争性磋商文件明确不允许分包，响应文件拟分包的；</w:t>
      </w:r>
    </w:p>
    <w:p w14:paraId="1E0B0D0C">
      <w:pPr>
        <w:spacing w:line="360" w:lineRule="auto"/>
        <w:ind w:firstLine="422"/>
        <w:rPr>
          <w:rFonts w:hint="eastAsia"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3）未响应磋商文件实质性要求的；</w:t>
      </w:r>
    </w:p>
    <w:p w14:paraId="290049D8">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14）法律、法规和磋商文件规定的其他无效情形。</w:t>
      </w:r>
    </w:p>
    <w:p w14:paraId="0B1DBE10">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w:t>
      </w:r>
      <w:r>
        <w:rPr>
          <w:rFonts w:ascii="宋体" w:hAnsi="宋体" w:cs="宋体"/>
          <w:b/>
          <w:color w:val="auto"/>
          <w:szCs w:val="21"/>
          <w:highlight w:val="none"/>
        </w:rPr>
        <w:t>2</w:t>
      </w:r>
      <w:r>
        <w:rPr>
          <w:rFonts w:hint="eastAsia" w:ascii="宋体" w:hAnsi="宋体" w:cs="宋体"/>
          <w:b/>
          <w:color w:val="auto"/>
          <w:szCs w:val="21"/>
          <w:highlight w:val="none"/>
        </w:rPr>
        <w:t>）报价评审</w:t>
      </w:r>
    </w:p>
    <w:p w14:paraId="0F111015">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1）</w:t>
      </w:r>
      <w:r>
        <w:rPr>
          <w:rFonts w:ascii="宋体" w:hAnsi="宋体" w:cs="宋体"/>
          <w:b/>
          <w:color w:val="auto"/>
          <w:szCs w:val="21"/>
          <w:highlight w:val="none"/>
        </w:rPr>
        <w:t xml:space="preserve"> </w:t>
      </w:r>
      <w:r>
        <w:rPr>
          <w:rFonts w:hint="eastAsia" w:ascii="宋体" w:hAnsi="宋体" w:cs="宋体"/>
          <w:b/>
          <w:color w:val="auto"/>
          <w:szCs w:val="21"/>
          <w:highlight w:val="none"/>
        </w:rPr>
        <w:t>响应文件未提供“供应商须知前附表” 报价文件中规定的“竞标报价表”的；</w:t>
      </w:r>
    </w:p>
    <w:p w14:paraId="1CA2A5CF">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2）未采用人民币报价或者未按照磋商文件标明的币种报价的；</w:t>
      </w:r>
    </w:p>
    <w:p w14:paraId="26BFC82C">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266F0EE3">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4）竞标报价（包含首次报价、最后报价）超过所竞标分标规定的采购预算金额或者最高限价的（如本项目公布了最高限价）；</w:t>
      </w:r>
      <w:bookmarkStart w:id="84" w:name="_Hlk42596405"/>
      <w:r>
        <w:rPr>
          <w:rFonts w:hint="eastAsia" w:ascii="宋体" w:hAnsi="宋体" w:cs="宋体"/>
          <w:b/>
          <w:color w:val="auto"/>
          <w:szCs w:val="21"/>
          <w:highlight w:val="none"/>
        </w:rPr>
        <w:t>竞标报价（包含首次报价、最后报价）</w:t>
      </w:r>
      <w:bookmarkEnd w:id="84"/>
      <w:bookmarkStart w:id="85" w:name="_Hlk42596276"/>
      <w:r>
        <w:rPr>
          <w:rFonts w:hint="eastAsia" w:ascii="宋体" w:hAnsi="宋体" w:cs="宋体"/>
          <w:b/>
          <w:color w:val="auto"/>
          <w:szCs w:val="21"/>
          <w:highlight w:val="none"/>
        </w:rPr>
        <w:t>超过磋商文件分项采购预算金额或者单价最高限价的</w:t>
      </w:r>
      <w:bookmarkEnd w:id="85"/>
      <w:r>
        <w:rPr>
          <w:rFonts w:hint="eastAsia" w:ascii="宋体" w:hAnsi="宋体" w:cs="宋体"/>
          <w:b/>
          <w:color w:val="auto"/>
          <w:szCs w:val="21"/>
          <w:highlight w:val="none"/>
        </w:rPr>
        <w:t>（如项目有要求并公布了分项采购预算金额或者单价最高限价）；</w:t>
      </w:r>
    </w:p>
    <w:p w14:paraId="0D9AD836">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有要求并公布了分项采购预算金额或者最高限价）；</w:t>
      </w:r>
    </w:p>
    <w:p w14:paraId="08653682">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6）在单价合同工程中供应商采用总价优惠或以总价百分比优惠的方式进行竞标报价的；</w:t>
      </w:r>
    </w:p>
    <w:p w14:paraId="2DE8D71E">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7）竞标总报价与已标价工程量清单汇总表不一致的；</w:t>
      </w:r>
    </w:p>
    <w:p w14:paraId="58917516">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 xml:space="preserve">8）已标价工程量清单说明文字与磋商文件规定不一致，进行了实质性修改和删减的；供应商若填写工程量固化清单，填写完毕的工程量固化清单对工程量固化清单电子文件中的数据、格式和运算定义进行修改的； </w:t>
      </w:r>
    </w:p>
    <w:p w14:paraId="5F45A901">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9）设有暂估价、暂列金额的，竞标时未按工程量清单给出的暂估价总价、暂列金额总价计入竞标总报价中的；</w:t>
      </w:r>
    </w:p>
    <w:p w14:paraId="0E71674E">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10）供应商对工程量清单内容进行增减或对竞标范围进行调整的；</w:t>
      </w:r>
    </w:p>
    <w:p w14:paraId="2F94C9F1">
      <w:pPr>
        <w:spacing w:line="360" w:lineRule="auto"/>
        <w:ind w:firstLine="422"/>
        <w:rPr>
          <w:rFonts w:hint="eastAsia" w:ascii="宋体" w:hAnsi="宋体"/>
          <w:b/>
          <w:color w:val="auto"/>
          <w:szCs w:val="21"/>
          <w:highlight w:val="none"/>
        </w:rPr>
      </w:pPr>
      <w:r>
        <w:rPr>
          <w:rFonts w:hint="eastAsia" w:ascii="宋体" w:hAnsi="宋体" w:cs="宋体"/>
          <w:b/>
          <w:color w:val="auto"/>
          <w:szCs w:val="21"/>
          <w:highlight w:val="none"/>
        </w:rPr>
        <w:t>11）</w:t>
      </w:r>
      <w:r>
        <w:rPr>
          <w:rFonts w:hint="eastAsia" w:ascii="宋体" w:hAnsi="宋体"/>
          <w:b/>
          <w:color w:val="auto"/>
          <w:szCs w:val="21"/>
          <w:highlight w:val="none"/>
        </w:rPr>
        <w:t>响应文件响应的标的数量及单位与竞争性磋商采购文件要求实质性不一致的；</w:t>
      </w:r>
    </w:p>
    <w:p w14:paraId="7A13FBA3">
      <w:pPr>
        <w:spacing w:line="360" w:lineRule="auto"/>
        <w:ind w:firstLine="422"/>
        <w:rPr>
          <w:rFonts w:hint="eastAsia" w:ascii="宋体" w:hAnsi="宋体"/>
          <w:b/>
          <w:color w:val="auto"/>
          <w:szCs w:val="21"/>
          <w:highlight w:val="none"/>
        </w:rPr>
      </w:pPr>
      <w:bookmarkStart w:id="86" w:name="_Hlk188371373"/>
      <w:r>
        <w:rPr>
          <w:rFonts w:hint="eastAsia" w:ascii="宋体" w:hAnsi="宋体"/>
          <w:b/>
          <w:color w:val="auto"/>
          <w:szCs w:val="21"/>
          <w:highlight w:val="none"/>
        </w:rPr>
        <w:t>12）竞标函附录的承诺</w:t>
      </w:r>
      <w:bookmarkStart w:id="87" w:name="_Hlk188372203"/>
      <w:r>
        <w:rPr>
          <w:rFonts w:hint="eastAsia" w:ascii="宋体" w:hAnsi="宋体"/>
          <w:b/>
          <w:color w:val="auto"/>
          <w:szCs w:val="21"/>
          <w:highlight w:val="none"/>
        </w:rPr>
        <w:t>不</w:t>
      </w:r>
      <w:bookmarkEnd w:id="86"/>
      <w:r>
        <w:rPr>
          <w:rFonts w:hint="eastAsia" w:ascii="宋体" w:hAnsi="宋体"/>
          <w:b/>
          <w:color w:val="auto"/>
          <w:szCs w:val="21"/>
          <w:highlight w:val="none"/>
        </w:rPr>
        <w:t>符合磋商文件规定的；</w:t>
      </w:r>
      <w:bookmarkEnd w:id="87"/>
    </w:p>
    <w:p w14:paraId="6BA99B4A">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13）</w:t>
      </w:r>
      <w:bookmarkStart w:id="88" w:name="_Hlk220404454"/>
      <w:r>
        <w:rPr>
          <w:rFonts w:hint="eastAsia" w:ascii="宋体" w:hAnsi="宋体"/>
          <w:b/>
          <w:color w:val="auto"/>
          <w:szCs w:val="21"/>
          <w:highlight w:val="none"/>
        </w:rPr>
        <w:t>磋商小组启动异常低价响应审查后，供应商不能提供书面说明、证明材料，或者提供的书面说明、证明材料不能证明其报价合理性的</w:t>
      </w:r>
      <w:bookmarkEnd w:id="88"/>
      <w:r>
        <w:rPr>
          <w:rFonts w:hint="eastAsia" w:ascii="宋体" w:hAnsi="宋体"/>
          <w:b/>
          <w:color w:val="auto"/>
          <w:szCs w:val="21"/>
          <w:highlight w:val="none"/>
        </w:rPr>
        <w:t>；</w:t>
      </w:r>
    </w:p>
    <w:p w14:paraId="64B7687B">
      <w:pPr>
        <w:spacing w:line="360" w:lineRule="auto"/>
        <w:ind w:firstLine="422"/>
        <w:rPr>
          <w:rFonts w:hint="eastAsia"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4）</w:t>
      </w:r>
      <w:r>
        <w:rPr>
          <w:rFonts w:hint="eastAsia" w:ascii="宋体" w:hAnsi="宋体" w:cs="宋体"/>
          <w:b/>
          <w:color w:val="auto"/>
          <w:szCs w:val="21"/>
          <w:highlight w:val="none"/>
        </w:rPr>
        <w:t>未响应磋商文件实质性要求的。</w:t>
      </w:r>
    </w:p>
    <w:p w14:paraId="6B30279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w:t>
      </w:r>
    </w:p>
    <w:p w14:paraId="316C0E85">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通过符合性审查的合格供应商不足3家的，不得进入磋商环节，应当重新开展采购活动。</w:t>
      </w:r>
    </w:p>
    <w:p w14:paraId="1975DA90">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594E7C6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磋商小组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3307A788">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47B2C8A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30C863A5">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12A37488">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磋商中，磋商的任何一方不得透露与磋商有关的其他供应商的技术资料、价格和其他信息</w:t>
      </w:r>
      <w:r>
        <w:rPr>
          <w:rFonts w:hint="eastAsia" w:ascii="宋体" w:hAnsi="宋体" w:cs="宋体"/>
          <w:color w:val="auto"/>
          <w:spacing w:val="-6"/>
          <w:szCs w:val="21"/>
          <w:highlight w:val="none"/>
        </w:rPr>
        <w:t>。</w:t>
      </w:r>
    </w:p>
    <w:p w14:paraId="23BA32BD">
      <w:pPr>
        <w:widowControl/>
        <w:tabs>
          <w:tab w:val="left" w:pos="540"/>
        </w:tabs>
        <w:spacing w:line="360" w:lineRule="auto"/>
        <w:ind w:firstLine="420"/>
        <w:jc w:val="left"/>
        <w:rPr>
          <w:rFonts w:hint="eastAsia"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采购代理机构对磋商过程和磋商内容进行记录。</w:t>
      </w:r>
    </w:p>
    <w:p w14:paraId="39395261">
      <w:pPr>
        <w:widowControl/>
        <w:tabs>
          <w:tab w:val="left" w:pos="540"/>
        </w:tabs>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w:t>
      </w:r>
      <w:r>
        <w:rPr>
          <w:rFonts w:ascii="宋体" w:hAnsi="宋体"/>
          <w:color w:val="auto"/>
          <w:highlight w:val="none"/>
        </w:rPr>
        <w:t>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671A2548">
      <w:pPr>
        <w:tabs>
          <w:tab w:val="left" w:pos="2835"/>
        </w:tabs>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3.8除</w:t>
      </w:r>
      <w:r>
        <w:rPr>
          <w:rFonts w:ascii="宋体" w:hAnsi="宋体"/>
          <w:color w:val="auto"/>
          <w:highlight w:val="none"/>
        </w:rPr>
        <w:t>本章第3.7条</w:t>
      </w:r>
      <w:r>
        <w:rPr>
          <w:rFonts w:hint="eastAsia" w:ascii="宋体" w:hAnsi="宋体"/>
          <w:color w:val="auto"/>
          <w:highlight w:val="none"/>
        </w:rPr>
        <w:t>规定的</w:t>
      </w:r>
      <w:r>
        <w:rPr>
          <w:rFonts w:ascii="宋体" w:hAnsi="宋体"/>
          <w:color w:val="auto"/>
          <w:highlight w:val="none"/>
        </w:rPr>
        <w:t>情形</w:t>
      </w:r>
      <w:r>
        <w:rPr>
          <w:rFonts w:hint="eastAsia" w:ascii="宋体" w:hAnsi="宋体"/>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对磋商过程提交的响应文件进行有效性、完整性和响应程度审查，通过审查的合格供应商不足3家的，应当重新开展采购活动。</w:t>
      </w:r>
    </w:p>
    <w:p w14:paraId="71153762">
      <w:pPr>
        <w:spacing w:line="360" w:lineRule="auto"/>
        <w:ind w:firstLine="482"/>
        <w:rPr>
          <w:rFonts w:hint="eastAsia"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55FAB0F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磋商文件能够详细列明采购标的的技术、服务要求的，磋商结束后，磋商小组应当要求所有继续参加磋商的供应商在规定时间内在广西政府采购云平台开标大厅提交加盖供应商电子签章的最后报价，除本章第</w:t>
      </w:r>
      <w:r>
        <w:rPr>
          <w:rFonts w:ascii="宋体" w:hAnsi="宋体" w:cs="宋体"/>
          <w:color w:val="auto"/>
          <w:szCs w:val="21"/>
          <w:highlight w:val="none"/>
        </w:rPr>
        <w:t>4.3</w:t>
      </w:r>
      <w:r>
        <w:rPr>
          <w:rFonts w:hint="eastAsia" w:ascii="宋体" w:hAnsi="宋体" w:cs="宋体"/>
          <w:color w:val="auto"/>
          <w:szCs w:val="21"/>
          <w:highlight w:val="none"/>
        </w:rPr>
        <w:t>条规定的情形外，提交最后报价的供应商不得少于3家，否则应当重新</w:t>
      </w:r>
      <w:r>
        <w:rPr>
          <w:rFonts w:hint="eastAsia" w:ascii="宋体" w:hAnsi="宋体"/>
          <w:color w:val="auto"/>
          <w:szCs w:val="21"/>
          <w:highlight w:val="none"/>
        </w:rPr>
        <w:t>开展采购活动</w:t>
      </w:r>
      <w:r>
        <w:rPr>
          <w:rFonts w:hint="eastAsia" w:ascii="宋体" w:hAnsi="宋体" w:cs="宋体"/>
          <w:color w:val="auto"/>
          <w:szCs w:val="21"/>
          <w:highlight w:val="none"/>
        </w:rPr>
        <w:t>。</w:t>
      </w:r>
    </w:p>
    <w:p w14:paraId="0D6327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r>
        <w:rPr>
          <w:rFonts w:hint="eastAsia" w:ascii="宋体" w:hAnsi="宋体" w:cs="宋体"/>
          <w:b/>
          <w:color w:val="auto"/>
          <w:szCs w:val="21"/>
          <w:highlight w:val="none"/>
        </w:rPr>
        <w:t>如果供应商的最后报价与首次报价不一致的，不能只报竞标总报价，必须同时提供“已标价工程量清单”，否则做无效响应处理。</w:t>
      </w:r>
    </w:p>
    <w:p w14:paraId="3001898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w:t>
      </w:r>
    </w:p>
    <w:p w14:paraId="46059C2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符合《政府采购竞争性磋商采购方式管理暂行办法》（财库〔2014〕214号）第三条第四项“市场竞争不充分的科研项目，以及需要扶持的科技成果转化项目”和</w:t>
      </w:r>
      <w:r>
        <w:rPr>
          <w:color w:val="auto"/>
          <w:highlight w:val="none"/>
        </w:rPr>
        <w:t>本章</w:t>
      </w:r>
      <w:r>
        <w:rPr>
          <w:rFonts w:ascii="宋体" w:hAnsi="宋体"/>
          <w:color w:val="auto"/>
          <w:highlight w:val="none"/>
        </w:rPr>
        <w:t>第3.7条</w:t>
      </w:r>
      <w:r>
        <w:rPr>
          <w:rFonts w:hint="eastAsia" w:ascii="宋体" w:hAnsi="宋体" w:cs="宋体"/>
          <w:color w:val="auto"/>
          <w:szCs w:val="21"/>
          <w:highlight w:val="none"/>
        </w:rPr>
        <w:t>规定</w:t>
      </w:r>
      <w:r>
        <w:rPr>
          <w:color w:val="auto"/>
          <w:highlight w:val="none"/>
        </w:rPr>
        <w:t>情形的，</w:t>
      </w:r>
      <w:r>
        <w:rPr>
          <w:rFonts w:hint="eastAsia" w:ascii="宋体" w:hAnsi="宋体" w:cs="宋体"/>
          <w:color w:val="auto"/>
          <w:szCs w:val="21"/>
          <w:highlight w:val="none"/>
        </w:rPr>
        <w:t>提交最后报价的供应商可以为2家。</w:t>
      </w:r>
    </w:p>
    <w:p w14:paraId="6043EF5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已经提交响应文件的供应商，在提交最后报价之前，可以根据磋商情况退出磋商，退出磋商的供应商的响应文件按无效处理。采购人、采购代理机构将退还退出磋商的供应商的保证金。</w:t>
      </w:r>
    </w:p>
    <w:p w14:paraId="2941A36A">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供应商未在规定时间内提交最后报价的，视同退出磋商，其响应文件按无效处理。</w:t>
      </w:r>
    </w:p>
    <w:p w14:paraId="5626E5EF">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最后报价统一开启后，磋商小组对最后报价进行有效性、完整性和响应程度的审查。</w:t>
      </w:r>
    </w:p>
    <w:p w14:paraId="2D4FE628">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6D3D485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4.8</w:t>
      </w:r>
      <w:r>
        <w:rPr>
          <w:rFonts w:hint="eastAsia" w:ascii="宋体" w:hAnsi="宋体" w:cs="宋体"/>
          <w:color w:val="auto"/>
          <w:szCs w:val="21"/>
          <w:highlight w:val="none"/>
        </w:rPr>
        <w:t>修正后的报价出现下列情形的，按无效响应处理：</w:t>
      </w:r>
    </w:p>
    <w:p w14:paraId="630C700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6F33326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1A20B20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（3）经供应商确认修正后的竞标报价（包含首次报价、最后报价）超过分项采购预算金额或者单价最高限价的（如项目有要求并公布了分项采购预算金额或者单价最高限价）。</w:t>
      </w:r>
    </w:p>
    <w:p w14:paraId="735A2A2D">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651101AC">
      <w:pPr>
        <w:spacing w:line="360" w:lineRule="auto"/>
        <w:ind w:firstLine="424"/>
        <w:jc w:val="left"/>
        <w:rPr>
          <w:rFonts w:hint="eastAsia" w:ascii="宋体" w:hAnsi="宋体"/>
          <w:color w:val="auto"/>
          <w:spacing w:val="-6"/>
          <w:szCs w:val="21"/>
          <w:highlight w:val="none"/>
        </w:rPr>
      </w:pPr>
      <w:r>
        <w:rPr>
          <w:rFonts w:hint="eastAsia" w:ascii="宋体" w:hAnsi="宋体" w:cs="宋体"/>
          <w:color w:val="auto"/>
          <w:szCs w:val="21"/>
          <w:highlight w:val="none"/>
        </w:rPr>
        <w:t>4.10</w:t>
      </w:r>
      <w:r>
        <w:rPr>
          <w:rFonts w:hint="eastAsia" w:ascii="宋体" w:hAnsi="宋体"/>
          <w:color w:val="auto"/>
          <w:szCs w:val="21"/>
          <w:highlight w:val="none"/>
        </w:rPr>
        <w:t>异常低价响应审查</w:t>
      </w:r>
    </w:p>
    <w:p w14:paraId="587A111A">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（1）磋商小组在评审中发现下列情形之一的，应当启动异常低价响应审查程序：</w:t>
      </w:r>
    </w:p>
    <w:p w14:paraId="5DEF08AE">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①响应报价低于全部通过符合性审查供应商响应报价平均值</w:t>
      </w:r>
      <w:r>
        <w:rPr>
          <w:rFonts w:hint="eastAsia" w:ascii="宋体" w:hAnsi="宋体"/>
          <w:color w:val="auto"/>
          <w:szCs w:val="21"/>
          <w:highlight w:val="none"/>
          <w:u w:val="single"/>
        </w:rPr>
        <w:t>65%</w:t>
      </w:r>
      <w:r>
        <w:rPr>
          <w:rFonts w:hint="eastAsia" w:ascii="宋体" w:hAnsi="宋体"/>
          <w:color w:val="auto"/>
          <w:szCs w:val="21"/>
          <w:highlight w:val="none"/>
        </w:rPr>
        <w:t>的，即响应报价＜全部通过符合性审查供应商响应报价平均值×</w:t>
      </w:r>
      <w:r>
        <w:rPr>
          <w:rFonts w:hint="eastAsia" w:ascii="宋体" w:hAnsi="宋体"/>
          <w:color w:val="auto"/>
          <w:szCs w:val="21"/>
          <w:highlight w:val="none"/>
          <w:u w:val="single"/>
        </w:rPr>
        <w:t>65%</w:t>
      </w:r>
      <w:r>
        <w:rPr>
          <w:rFonts w:hint="eastAsia" w:ascii="宋体" w:hAnsi="宋体"/>
          <w:color w:val="auto"/>
          <w:szCs w:val="21"/>
          <w:highlight w:val="none"/>
        </w:rPr>
        <w:t xml:space="preserve">； </w:t>
      </w:r>
    </w:p>
    <w:p w14:paraId="362CED2E">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②响应报价低于通过符合性审查的次低报价供应商响应报价</w:t>
      </w:r>
      <w:r>
        <w:rPr>
          <w:rFonts w:hint="eastAsia" w:ascii="宋体" w:hAnsi="宋体"/>
          <w:color w:val="auto"/>
          <w:szCs w:val="21"/>
          <w:highlight w:val="none"/>
          <w:u w:val="single"/>
        </w:rPr>
        <w:t>65%</w:t>
      </w:r>
      <w:r>
        <w:rPr>
          <w:rFonts w:hint="eastAsia" w:ascii="宋体" w:hAnsi="宋体"/>
          <w:color w:val="auto"/>
          <w:szCs w:val="21"/>
          <w:highlight w:val="none"/>
        </w:rPr>
        <w:t>的，即响应报价＜通过符合性审查的次低报价供应商响应报价×</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 xml:space="preserve">； </w:t>
      </w:r>
    </w:p>
    <w:p w14:paraId="7493BBC0">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③响应报价低于采购项目最高限价</w:t>
      </w:r>
      <w:r>
        <w:rPr>
          <w:rFonts w:hint="eastAsia" w:ascii="宋体" w:hAnsi="宋体"/>
          <w:color w:val="auto"/>
          <w:szCs w:val="21"/>
          <w:highlight w:val="none"/>
          <w:u w:val="single"/>
        </w:rPr>
        <w:t>65%</w:t>
      </w:r>
      <w:r>
        <w:rPr>
          <w:rFonts w:hint="eastAsia" w:ascii="宋体" w:hAnsi="宋体"/>
          <w:color w:val="auto"/>
          <w:szCs w:val="21"/>
          <w:highlight w:val="none"/>
        </w:rPr>
        <w:t>的，即响应报价＜采购项目最高限价×</w:t>
      </w:r>
      <w:r>
        <w:rPr>
          <w:rFonts w:hint="eastAsia" w:ascii="宋体" w:hAnsi="宋体"/>
          <w:color w:val="auto"/>
          <w:szCs w:val="21"/>
          <w:highlight w:val="none"/>
          <w:u w:val="single"/>
        </w:rPr>
        <w:t>65%</w:t>
      </w:r>
      <w:r>
        <w:rPr>
          <w:rFonts w:hint="eastAsia" w:ascii="宋体" w:hAnsi="宋体"/>
          <w:color w:val="auto"/>
          <w:szCs w:val="21"/>
          <w:highlight w:val="none"/>
        </w:rPr>
        <w:t xml:space="preserve">； </w:t>
      </w:r>
    </w:p>
    <w:p w14:paraId="62969DDF">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④磋商小组基于专业判断，认为供应商报价过低，有可能影响产品质量或者不能诚信履约的其他情形。</w:t>
      </w:r>
    </w:p>
    <w:p w14:paraId="47336E38">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1B183E00">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相关供应商不能提供书面说明、证明材料，或者提供的书面说明、证明材料不能证明其报价合理性的，磋商小组应当将其作为无效响应处理。</w:t>
      </w:r>
    </w:p>
    <w:p w14:paraId="0C0F4FCF">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2756874">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2D35031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4.11</w:t>
      </w:r>
      <w:r>
        <w:rPr>
          <w:rFonts w:hint="eastAsia" w:ascii="宋体" w:hAnsi="宋体" w:cs="宋体"/>
          <w:color w:val="auto"/>
          <w:szCs w:val="21"/>
          <w:highlight w:val="none"/>
        </w:rPr>
        <w:t>供应商出现最后报价按无效响应处理或者响应文件按无效处理时</w:t>
      </w:r>
      <w:r>
        <w:rPr>
          <w:rFonts w:hint="eastAsia" w:ascii="宋体" w:hAnsi="宋体"/>
          <w:color w:val="auto"/>
          <w:szCs w:val="21"/>
          <w:highlight w:val="none"/>
        </w:rPr>
        <w:t>，磋商小组应当告知有关供应商</w:t>
      </w:r>
      <w:r>
        <w:rPr>
          <w:rFonts w:hint="eastAsia" w:ascii="宋体" w:hAnsi="宋体" w:cs="宋体"/>
          <w:color w:val="auto"/>
          <w:szCs w:val="21"/>
          <w:highlight w:val="none"/>
        </w:rPr>
        <w:t>。</w:t>
      </w:r>
    </w:p>
    <w:p w14:paraId="65C4076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2</w:t>
      </w:r>
      <w:r>
        <w:rPr>
          <w:rFonts w:hint="eastAsia" w:ascii="宋体" w:hAnsi="宋体" w:cs="宋体"/>
          <w:color w:val="auto"/>
          <w:szCs w:val="21"/>
          <w:highlight w:val="none"/>
        </w:rPr>
        <w:t>最后报价结束后，磋商小组不得再与供应商进行任何形式的商谈。</w:t>
      </w:r>
    </w:p>
    <w:p w14:paraId="2C5D0543">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079FA513">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128C733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312BD580">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79AA59E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1747DAE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3AA647B5">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1819B888">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6. 成交供应商</w:t>
      </w:r>
      <w:r>
        <w:rPr>
          <w:rFonts w:hint="eastAsia" w:ascii="黑体" w:hAnsi="黑体" w:eastAsia="黑体" w:cs="宋体"/>
          <w:b/>
          <w:bCs/>
          <w:color w:val="auto"/>
          <w:sz w:val="24"/>
          <w:highlight w:val="none"/>
        </w:rPr>
        <w:t>推荐</w:t>
      </w:r>
      <w:r>
        <w:rPr>
          <w:rFonts w:hint="eastAsia" w:ascii="黑体" w:hAnsi="黑体" w:eastAsia="黑体" w:cs="宋体"/>
          <w:b/>
          <w:bCs/>
          <w:color w:val="auto"/>
          <w:sz w:val="24"/>
          <w:highlight w:val="none"/>
        </w:rPr>
        <w:t>原则</w:t>
      </w:r>
    </w:p>
    <w:p w14:paraId="2DC901B7">
      <w:pPr>
        <w:spacing w:line="360" w:lineRule="auto"/>
        <w:ind w:firstLine="420"/>
        <w:rPr>
          <w:rFonts w:hint="eastAsia" w:ascii="宋体" w:hAnsi="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w:t>
      </w:r>
      <w:r>
        <w:rPr>
          <w:rFonts w:hint="eastAsia" w:ascii="宋体" w:hAnsi="宋体" w:cs="宋体"/>
          <w:color w:val="auto"/>
          <w:szCs w:val="21"/>
          <w:highlight w:val="none"/>
        </w:rPr>
        <w:t>1</w:t>
      </w:r>
      <w:r>
        <w:rPr>
          <w:rFonts w:hint="eastAsia" w:ascii="宋体" w:hAnsi="宋体"/>
          <w:bCs/>
          <w:color w:val="auto"/>
          <w:szCs w:val="21"/>
          <w:highlight w:val="none"/>
        </w:rPr>
        <w:t>由磋商小组根据综合评分情况，按照评审得分由高到低顺序推荐3名以上成交候选供应商，并编写评审报告，</w:t>
      </w:r>
      <w:r>
        <w:rPr>
          <w:rFonts w:hint="eastAsia" w:ascii="宋体" w:hAnsi="宋体" w:cs="宋体"/>
          <w:color w:val="auto"/>
          <w:highlight w:val="none"/>
        </w:rPr>
        <w:t>评审报告</w:t>
      </w:r>
      <w:r>
        <w:rPr>
          <w:rFonts w:hint="eastAsia" w:hAnsi="宋体"/>
          <w:color w:val="auto"/>
          <w:highlight w:val="none"/>
        </w:rPr>
        <w:t>通过电子交易平台向采购人、采购代理机构提交。</w:t>
      </w:r>
      <w:r>
        <w:rPr>
          <w:rFonts w:hint="eastAsia" w:ascii="宋体" w:hAnsi="宋体"/>
          <w:bCs/>
          <w:color w:val="auto"/>
          <w:szCs w:val="21"/>
          <w:highlight w:val="none"/>
        </w:rPr>
        <w:t>符合本章第</w:t>
      </w:r>
      <w:r>
        <w:rPr>
          <w:rFonts w:ascii="宋体" w:hAnsi="宋体"/>
          <w:bCs/>
          <w:color w:val="auto"/>
          <w:szCs w:val="21"/>
          <w:highlight w:val="none"/>
        </w:rPr>
        <w:t>4.3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r>
        <w:rPr>
          <w:rFonts w:hint="eastAsia" w:ascii="宋体" w:hAnsi="宋体"/>
          <w:color w:val="auto"/>
          <w:szCs w:val="21"/>
          <w:highlight w:val="none"/>
        </w:rPr>
        <w:t>。</w:t>
      </w:r>
    </w:p>
    <w:p w14:paraId="135387D3">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68E61ED">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二、评审标准</w:t>
      </w:r>
    </w:p>
    <w:p w14:paraId="1F4F8463">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7</w:t>
      </w:r>
      <w:r>
        <w:rPr>
          <w:rFonts w:ascii="宋体" w:hAnsi="宋体"/>
          <w:bCs/>
          <w:color w:val="auto"/>
          <w:szCs w:val="21"/>
          <w:highlight w:val="none"/>
        </w:rPr>
        <w:t>.</w:t>
      </w:r>
      <w:r>
        <w:rPr>
          <w:rFonts w:hint="eastAsia" w:ascii="宋体" w:hAnsi="宋体"/>
          <w:bCs/>
          <w:color w:val="auto"/>
          <w:szCs w:val="21"/>
          <w:highlight w:val="none"/>
        </w:rPr>
        <w:t>评审依据：磋商小组以磋商文件为评审依据，对供应商的报价、技术、商务等方面内容按百分制打分。（计分方法按四舍五入取至百分位）</w:t>
      </w:r>
    </w:p>
    <w:tbl>
      <w:tblPr>
        <w:tblStyle w:val="44"/>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314"/>
        <w:gridCol w:w="6284"/>
        <w:gridCol w:w="851"/>
      </w:tblGrid>
      <w:tr w14:paraId="6EB9F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489681C9">
            <w:pPr>
              <w:widowControl/>
              <w:spacing w:line="420" w:lineRule="exact"/>
              <w:jc w:val="center"/>
              <w:rPr>
                <w:rFonts w:hint="eastAsia" w:ascii="宋体" w:hAnsi="宋体" w:cs="Tahoma"/>
                <w:b/>
                <w:bCs/>
                <w:color w:val="auto"/>
                <w:szCs w:val="21"/>
                <w:highlight w:val="none"/>
              </w:rPr>
            </w:pPr>
            <w:r>
              <w:rPr>
                <w:rFonts w:hint="eastAsia" w:ascii="宋体" w:hAnsi="宋体" w:cs="Tahoma"/>
                <w:b/>
                <w:bCs/>
                <w:color w:val="auto"/>
                <w:szCs w:val="21"/>
                <w:highlight w:val="none"/>
              </w:rPr>
              <w:t>序号</w:t>
            </w:r>
          </w:p>
        </w:tc>
        <w:tc>
          <w:tcPr>
            <w:tcW w:w="1314" w:type="dxa"/>
            <w:tcBorders>
              <w:top w:val="single" w:color="auto" w:sz="4" w:space="0"/>
              <w:left w:val="single" w:color="auto" w:sz="4" w:space="0"/>
              <w:bottom w:val="single" w:color="auto" w:sz="4" w:space="0"/>
              <w:right w:val="single" w:color="auto" w:sz="4" w:space="0"/>
            </w:tcBorders>
            <w:vAlign w:val="center"/>
          </w:tcPr>
          <w:p w14:paraId="50FDE239">
            <w:pPr>
              <w:widowControl/>
              <w:spacing w:line="420" w:lineRule="exact"/>
              <w:jc w:val="center"/>
              <w:rPr>
                <w:rFonts w:hint="eastAsia" w:ascii="宋体" w:hAnsi="宋体" w:cs="Tahoma"/>
                <w:b/>
                <w:bCs/>
                <w:color w:val="auto"/>
                <w:szCs w:val="21"/>
                <w:highlight w:val="none"/>
              </w:rPr>
            </w:pPr>
            <w:r>
              <w:rPr>
                <w:rFonts w:hint="eastAsia" w:ascii="宋体" w:hAnsi="宋体" w:cs="Tahoma"/>
                <w:b/>
                <w:bCs/>
                <w:color w:val="auto"/>
                <w:szCs w:val="21"/>
                <w:highlight w:val="none"/>
              </w:rPr>
              <w:t>评审因素</w:t>
            </w:r>
          </w:p>
        </w:tc>
        <w:tc>
          <w:tcPr>
            <w:tcW w:w="6284" w:type="dxa"/>
            <w:tcBorders>
              <w:top w:val="single" w:color="auto" w:sz="4" w:space="0"/>
              <w:left w:val="single" w:color="auto" w:sz="4" w:space="0"/>
              <w:bottom w:val="single" w:color="auto" w:sz="4" w:space="0"/>
              <w:right w:val="single" w:color="auto" w:sz="4" w:space="0"/>
            </w:tcBorders>
            <w:vAlign w:val="center"/>
          </w:tcPr>
          <w:p w14:paraId="36DC7541">
            <w:pPr>
              <w:widowControl/>
              <w:spacing w:line="420" w:lineRule="exact"/>
              <w:jc w:val="center"/>
              <w:rPr>
                <w:rFonts w:hint="eastAsia" w:ascii="宋体" w:hAnsi="宋体" w:cs="Tahoma"/>
                <w:b/>
                <w:bCs/>
                <w:color w:val="auto"/>
                <w:szCs w:val="21"/>
                <w:highlight w:val="none"/>
              </w:rPr>
            </w:pPr>
            <w:r>
              <w:rPr>
                <w:rFonts w:hint="eastAsia" w:ascii="宋体" w:hAnsi="宋体" w:cs="Tahoma"/>
                <w:b/>
                <w:bCs/>
                <w:color w:val="auto"/>
                <w:szCs w:val="21"/>
                <w:highlight w:val="none"/>
              </w:rPr>
              <w:t>评审因素具体内容</w:t>
            </w:r>
          </w:p>
        </w:tc>
        <w:tc>
          <w:tcPr>
            <w:tcW w:w="851" w:type="dxa"/>
            <w:tcBorders>
              <w:top w:val="single" w:color="auto" w:sz="4" w:space="0"/>
              <w:left w:val="single" w:color="auto" w:sz="4" w:space="0"/>
              <w:bottom w:val="single" w:color="auto" w:sz="4" w:space="0"/>
              <w:right w:val="single" w:color="auto" w:sz="4" w:space="0"/>
            </w:tcBorders>
            <w:vAlign w:val="center"/>
          </w:tcPr>
          <w:p w14:paraId="428B2291">
            <w:pPr>
              <w:widowControl/>
              <w:spacing w:line="420" w:lineRule="exact"/>
              <w:jc w:val="center"/>
              <w:rPr>
                <w:rFonts w:hint="eastAsia" w:ascii="宋体" w:hAnsi="宋体" w:cs="Tahoma"/>
                <w:b/>
                <w:bCs/>
                <w:color w:val="auto"/>
                <w:szCs w:val="21"/>
                <w:highlight w:val="none"/>
              </w:rPr>
            </w:pPr>
            <w:r>
              <w:rPr>
                <w:rFonts w:hint="eastAsia" w:ascii="宋体" w:hAnsi="宋体" w:cs="Tahoma"/>
                <w:b/>
                <w:bCs/>
                <w:color w:val="auto"/>
                <w:szCs w:val="21"/>
                <w:highlight w:val="none"/>
              </w:rPr>
              <w:t>分值</w:t>
            </w:r>
          </w:p>
        </w:tc>
      </w:tr>
      <w:tr w14:paraId="1019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6FC63B30">
            <w:pPr>
              <w:widowControl/>
              <w:spacing w:line="420" w:lineRule="exact"/>
              <w:jc w:val="center"/>
              <w:rPr>
                <w:rFonts w:hint="eastAsia" w:ascii="宋体" w:hAnsi="宋体" w:cs="Tahoma"/>
                <w:color w:val="auto"/>
                <w:szCs w:val="21"/>
                <w:highlight w:val="none"/>
              </w:rPr>
            </w:pPr>
            <w:r>
              <w:rPr>
                <w:rFonts w:hint="eastAsia" w:ascii="宋体" w:hAnsi="宋体" w:cs="Tahoma"/>
                <w:color w:val="auto"/>
                <w:szCs w:val="21"/>
                <w:highlight w:val="none"/>
              </w:rPr>
              <w:t>1</w:t>
            </w:r>
          </w:p>
        </w:tc>
        <w:tc>
          <w:tcPr>
            <w:tcW w:w="1314" w:type="dxa"/>
            <w:tcBorders>
              <w:top w:val="single" w:color="auto" w:sz="4" w:space="0"/>
              <w:left w:val="single" w:color="auto" w:sz="4" w:space="0"/>
              <w:bottom w:val="single" w:color="auto" w:sz="4" w:space="0"/>
              <w:right w:val="single" w:color="auto" w:sz="4" w:space="0"/>
            </w:tcBorders>
            <w:vAlign w:val="center"/>
          </w:tcPr>
          <w:p w14:paraId="22D9A13E">
            <w:pPr>
              <w:widowControl/>
              <w:spacing w:line="420" w:lineRule="exact"/>
              <w:jc w:val="center"/>
              <w:rPr>
                <w:rFonts w:hint="eastAsia" w:ascii="宋体" w:hAnsi="宋体" w:cs="Tahoma"/>
                <w:color w:val="auto"/>
                <w:szCs w:val="21"/>
                <w:highlight w:val="none"/>
              </w:rPr>
            </w:pPr>
            <w:r>
              <w:rPr>
                <w:rFonts w:hint="eastAsia" w:ascii="宋体" w:hAnsi="宋体" w:cs="Tahoma"/>
                <w:color w:val="auto"/>
                <w:szCs w:val="21"/>
                <w:highlight w:val="none"/>
              </w:rPr>
              <w:t>价格分</w:t>
            </w:r>
          </w:p>
        </w:tc>
        <w:tc>
          <w:tcPr>
            <w:tcW w:w="6284" w:type="dxa"/>
            <w:tcBorders>
              <w:top w:val="single" w:color="auto" w:sz="4" w:space="0"/>
              <w:left w:val="single" w:color="auto" w:sz="4" w:space="0"/>
              <w:bottom w:val="single" w:color="auto" w:sz="4" w:space="0"/>
              <w:right w:val="single" w:color="auto" w:sz="4" w:space="0"/>
            </w:tcBorders>
          </w:tcPr>
          <w:p w14:paraId="120B844B">
            <w:pPr>
              <w:spacing w:line="400" w:lineRule="exact"/>
              <w:ind w:firstLine="420"/>
              <w:rPr>
                <w:rFonts w:hint="eastAsia" w:ascii="宋体" w:hAnsi="宋体" w:cs="Courier New"/>
                <w:bCs/>
                <w:color w:val="auto"/>
                <w:szCs w:val="21"/>
                <w:highlight w:val="none"/>
              </w:rPr>
            </w:pPr>
            <w:r>
              <w:rPr>
                <w:rFonts w:hint="eastAsia" w:ascii="宋体" w:hAnsi="宋体" w:cs="Courier New"/>
                <w:bCs/>
                <w:color w:val="auto"/>
                <w:szCs w:val="21"/>
                <w:highlight w:val="none"/>
              </w:rPr>
              <w:t>（1）以进入比较与评价环节的最低的最后报价为基准价，基准价得分为</w:t>
            </w:r>
            <w:r>
              <w:rPr>
                <w:rFonts w:hint="eastAsia" w:ascii="宋体" w:hAnsi="宋体" w:cs="Courier New"/>
                <w:bCs/>
                <w:color w:val="auto"/>
                <w:szCs w:val="21"/>
                <w:highlight w:val="none"/>
                <w:u w:val="single"/>
              </w:rPr>
              <w:t xml:space="preserve"> 30分</w:t>
            </w:r>
            <w:r>
              <w:rPr>
                <w:rFonts w:hint="eastAsia" w:ascii="宋体" w:hAnsi="宋体" w:cs="Courier New"/>
                <w:bCs/>
                <w:color w:val="auto"/>
                <w:szCs w:val="21"/>
                <w:highlight w:val="none"/>
              </w:rPr>
              <w:t>。</w:t>
            </w:r>
          </w:p>
          <w:p w14:paraId="5EDEF0A2">
            <w:pPr>
              <w:spacing w:line="400" w:lineRule="exact"/>
              <w:ind w:firstLine="420"/>
              <w:rPr>
                <w:rFonts w:hint="eastAsia" w:ascii="宋体" w:hAnsi="宋体" w:cs="Courier New"/>
                <w:bCs/>
                <w:color w:val="auto"/>
                <w:szCs w:val="21"/>
                <w:highlight w:val="none"/>
              </w:rPr>
            </w:pPr>
            <w:r>
              <w:rPr>
                <w:rFonts w:hint="eastAsia" w:ascii="宋体" w:hAnsi="宋体" w:cs="Courier New"/>
                <w:bCs/>
                <w:color w:val="auto"/>
                <w:szCs w:val="21"/>
                <w:highlight w:val="none"/>
              </w:rPr>
              <w:t>（2）价格分计算公式：</w:t>
            </w:r>
          </w:p>
          <w:p w14:paraId="29C26A51">
            <w:pPr>
              <w:spacing w:line="420" w:lineRule="exact"/>
              <w:ind w:firstLine="420"/>
              <w:rPr>
                <w:rFonts w:hint="eastAsia" w:ascii="宋体" w:hAnsi="宋体" w:cs="Courier New"/>
                <w:bCs/>
                <w:color w:val="auto"/>
                <w:szCs w:val="21"/>
                <w:highlight w:val="none"/>
              </w:rPr>
            </w:pPr>
            <w:r>
              <w:rPr>
                <w:rFonts w:hint="eastAsia" w:ascii="宋体" w:hAnsi="宋体" w:cs="Courier New"/>
                <w:bCs/>
                <w:color w:val="auto"/>
                <w:szCs w:val="21"/>
                <w:highlight w:val="none"/>
              </w:rPr>
              <w:t>报价得分=（基准价/最后报价）×</w:t>
            </w:r>
            <w:r>
              <w:rPr>
                <w:rFonts w:hint="eastAsia" w:ascii="宋体" w:hAnsi="宋体" w:cs="Courier New"/>
                <w:bCs/>
                <w:color w:val="auto"/>
                <w:szCs w:val="21"/>
                <w:highlight w:val="none"/>
                <w:u w:val="single"/>
              </w:rPr>
              <w:t>30分</w:t>
            </w:r>
          </w:p>
        </w:tc>
        <w:tc>
          <w:tcPr>
            <w:tcW w:w="851" w:type="dxa"/>
            <w:tcBorders>
              <w:top w:val="single" w:color="auto" w:sz="4" w:space="0"/>
              <w:left w:val="single" w:color="auto" w:sz="4" w:space="0"/>
              <w:bottom w:val="single" w:color="auto" w:sz="4" w:space="0"/>
              <w:right w:val="single" w:color="auto" w:sz="4" w:space="0"/>
            </w:tcBorders>
            <w:vAlign w:val="center"/>
          </w:tcPr>
          <w:p w14:paraId="22757BBF">
            <w:pPr>
              <w:widowControl/>
              <w:spacing w:line="420" w:lineRule="exact"/>
              <w:jc w:val="center"/>
              <w:rPr>
                <w:rFonts w:hint="eastAsia" w:ascii="宋体" w:hAnsi="宋体" w:cs="Tahoma"/>
                <w:color w:val="auto"/>
                <w:szCs w:val="21"/>
                <w:highlight w:val="none"/>
              </w:rPr>
            </w:pPr>
            <w:r>
              <w:rPr>
                <w:rFonts w:hint="eastAsia" w:ascii="宋体" w:hAnsi="宋体" w:cs="Tahoma"/>
                <w:color w:val="auto"/>
                <w:szCs w:val="21"/>
                <w:highlight w:val="none"/>
              </w:rPr>
              <w:t>30分</w:t>
            </w:r>
          </w:p>
        </w:tc>
      </w:tr>
      <w:tr w14:paraId="070A6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2BD93C68">
            <w:pPr>
              <w:widowControl/>
              <w:spacing w:line="420" w:lineRule="exact"/>
              <w:jc w:val="center"/>
              <w:rPr>
                <w:rFonts w:hint="eastAsia" w:ascii="宋体" w:hAnsi="宋体" w:cs="Tahoma"/>
                <w:b/>
                <w:color w:val="auto"/>
                <w:szCs w:val="21"/>
                <w:highlight w:val="none"/>
              </w:rPr>
            </w:pPr>
            <w:r>
              <w:rPr>
                <w:rFonts w:hint="eastAsia" w:ascii="宋体" w:hAnsi="宋体"/>
                <w:b/>
                <w:bCs/>
                <w:color w:val="auto"/>
                <w:szCs w:val="21"/>
                <w:highlight w:val="none"/>
              </w:rPr>
              <w:t>2</w:t>
            </w:r>
          </w:p>
        </w:tc>
        <w:tc>
          <w:tcPr>
            <w:tcW w:w="1314" w:type="dxa"/>
            <w:tcBorders>
              <w:top w:val="single" w:color="auto" w:sz="4" w:space="0"/>
              <w:left w:val="single" w:color="auto" w:sz="4" w:space="0"/>
              <w:bottom w:val="single" w:color="auto" w:sz="4" w:space="0"/>
              <w:right w:val="single" w:color="auto" w:sz="4" w:space="0"/>
            </w:tcBorders>
            <w:vAlign w:val="center"/>
          </w:tcPr>
          <w:p w14:paraId="47EF1E66">
            <w:pPr>
              <w:widowControl/>
              <w:spacing w:line="420" w:lineRule="exact"/>
              <w:jc w:val="center"/>
              <w:rPr>
                <w:rFonts w:hint="eastAsia" w:ascii="宋体" w:hAnsi="宋体" w:cs="Tahoma"/>
                <w:b/>
                <w:color w:val="auto"/>
                <w:szCs w:val="21"/>
                <w:highlight w:val="none"/>
              </w:rPr>
            </w:pPr>
            <w:r>
              <w:rPr>
                <w:rFonts w:hint="eastAsia" w:ascii="宋体" w:hAnsi="宋体"/>
                <w:b/>
                <w:bCs/>
                <w:color w:val="auto"/>
                <w:szCs w:val="21"/>
                <w:highlight w:val="none"/>
              </w:rPr>
              <w:t>技术分</w:t>
            </w:r>
          </w:p>
        </w:tc>
        <w:tc>
          <w:tcPr>
            <w:tcW w:w="7135" w:type="dxa"/>
            <w:gridSpan w:val="2"/>
            <w:tcBorders>
              <w:top w:val="single" w:color="auto" w:sz="4" w:space="0"/>
              <w:left w:val="single" w:color="auto" w:sz="4" w:space="0"/>
              <w:bottom w:val="single" w:color="auto" w:sz="4" w:space="0"/>
              <w:right w:val="single" w:color="auto" w:sz="4" w:space="0"/>
            </w:tcBorders>
          </w:tcPr>
          <w:p w14:paraId="3B6E06DF">
            <w:pPr>
              <w:widowControl/>
              <w:spacing w:line="420" w:lineRule="exact"/>
              <w:jc w:val="center"/>
              <w:rPr>
                <w:rFonts w:hint="eastAsia" w:ascii="宋体" w:hAnsi="宋体" w:cs="Tahoma"/>
                <w:b/>
                <w:color w:val="auto"/>
                <w:szCs w:val="21"/>
                <w:highlight w:val="none"/>
              </w:rPr>
            </w:pPr>
            <w:r>
              <w:rPr>
                <w:rFonts w:hint="eastAsia" w:ascii="宋体" w:hAnsi="宋体" w:cs="Tahoma"/>
                <w:b/>
                <w:color w:val="auto"/>
                <w:szCs w:val="21"/>
                <w:highlight w:val="none"/>
              </w:rPr>
              <w:t>评审因素</w:t>
            </w:r>
          </w:p>
        </w:tc>
      </w:tr>
      <w:tr w14:paraId="77E9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36386EA1">
            <w:pPr>
              <w:spacing w:line="420" w:lineRule="exact"/>
              <w:ind w:left="-105" w:right="-105"/>
              <w:jc w:val="center"/>
              <w:rPr>
                <w:rFonts w:hint="eastAsia" w:ascii="宋体" w:hAnsi="宋体"/>
                <w:bCs/>
                <w:color w:val="auto"/>
                <w:szCs w:val="21"/>
                <w:highlight w:val="none"/>
              </w:rPr>
            </w:pPr>
            <w:bookmarkStart w:id="89" w:name="_Hlk185015417"/>
            <w:r>
              <w:rPr>
                <w:rFonts w:hint="eastAsia" w:ascii="宋体" w:hAnsi="宋体"/>
                <w:bCs/>
                <w:color w:val="auto"/>
                <w:szCs w:val="21"/>
                <w:highlight w:val="none"/>
              </w:rPr>
              <w:t>2.1</w:t>
            </w:r>
          </w:p>
        </w:tc>
        <w:tc>
          <w:tcPr>
            <w:tcW w:w="1314" w:type="dxa"/>
            <w:tcBorders>
              <w:top w:val="single" w:color="auto" w:sz="4" w:space="0"/>
              <w:left w:val="single" w:color="auto" w:sz="4" w:space="0"/>
              <w:bottom w:val="single" w:color="auto" w:sz="4" w:space="0"/>
              <w:right w:val="single" w:color="auto" w:sz="4" w:space="0"/>
            </w:tcBorders>
            <w:vAlign w:val="center"/>
          </w:tcPr>
          <w:p w14:paraId="2DF8DA99">
            <w:pPr>
              <w:spacing w:line="420" w:lineRule="exact"/>
              <w:jc w:val="center"/>
              <w:rPr>
                <w:rFonts w:hint="eastAsia" w:ascii="宋体" w:hAnsi="宋体"/>
                <w:bCs/>
                <w:color w:val="auto"/>
                <w:szCs w:val="21"/>
                <w:highlight w:val="none"/>
              </w:rPr>
            </w:pPr>
            <w:r>
              <w:rPr>
                <w:rFonts w:hint="eastAsia" w:ascii="宋体" w:hAnsi="宋体"/>
                <w:bCs/>
                <w:color w:val="auto"/>
                <w:szCs w:val="21"/>
                <w:highlight w:val="none"/>
              </w:rPr>
              <w:t>施工组织设计</w:t>
            </w:r>
          </w:p>
        </w:tc>
        <w:tc>
          <w:tcPr>
            <w:tcW w:w="6284" w:type="dxa"/>
            <w:tcBorders>
              <w:top w:val="single" w:color="auto" w:sz="4" w:space="0"/>
              <w:left w:val="single" w:color="auto" w:sz="4" w:space="0"/>
              <w:bottom w:val="single" w:color="auto" w:sz="4" w:space="0"/>
              <w:right w:val="single" w:color="auto" w:sz="4" w:space="0"/>
            </w:tcBorders>
            <w:vAlign w:val="center"/>
          </w:tcPr>
          <w:p w14:paraId="3EE6FDB1">
            <w:pPr>
              <w:spacing w:line="420" w:lineRule="exact"/>
              <w:jc w:val="left"/>
              <w:rPr>
                <w:rFonts w:hint="eastAsia" w:ascii="宋体" w:hAnsi="宋体"/>
                <w:b/>
                <w:bCs/>
                <w:color w:val="auto"/>
                <w:szCs w:val="21"/>
                <w:highlight w:val="none"/>
              </w:rPr>
            </w:pPr>
            <w:r>
              <w:rPr>
                <w:rFonts w:hint="eastAsia" w:ascii="宋体" w:hAnsi="宋体"/>
                <w:b/>
                <w:bCs/>
                <w:color w:val="auto"/>
                <w:szCs w:val="21"/>
                <w:highlight w:val="none"/>
              </w:rPr>
              <w:t>（1）主要施工方法（满分7分）</w:t>
            </w:r>
          </w:p>
          <w:p w14:paraId="3E9F4E89">
            <w:pPr>
              <w:spacing w:line="420" w:lineRule="exact"/>
              <w:ind w:left="105" w:firstLine="333"/>
              <w:jc w:val="left"/>
              <w:rPr>
                <w:rFonts w:hint="eastAsia" w:ascii="宋体" w:hAnsi="宋体"/>
                <w:bCs/>
                <w:color w:val="auto"/>
                <w:szCs w:val="21"/>
                <w:highlight w:val="none"/>
              </w:rPr>
            </w:pPr>
            <w:r>
              <w:rPr>
                <w:rFonts w:hint="eastAsia"/>
                <w:color w:val="auto"/>
                <w:szCs w:val="21"/>
                <w:highlight w:val="none"/>
              </w:rPr>
              <w:t>一档</w:t>
            </w:r>
            <w:r>
              <w:rPr>
                <w:rFonts w:hint="eastAsia" w:ascii="宋体" w:hAnsi="宋体"/>
                <w:bCs/>
                <w:color w:val="auto"/>
                <w:szCs w:val="21"/>
                <w:highlight w:val="none"/>
              </w:rPr>
              <w:t>（7分）：各主要分部施工方法符合项目实际，须有详尽的施工技术方案，工艺优于标准、方法可行，能指导具体施工并确保安全，可行性、实用性和针对性强。</w:t>
            </w:r>
          </w:p>
          <w:p w14:paraId="0094B271">
            <w:pPr>
              <w:spacing w:line="420" w:lineRule="exact"/>
              <w:ind w:left="105" w:firstLine="333"/>
              <w:jc w:val="left"/>
              <w:rPr>
                <w:rFonts w:hint="eastAsia" w:ascii="宋体" w:hAnsi="宋体"/>
                <w:bCs/>
                <w:color w:val="auto"/>
                <w:szCs w:val="21"/>
                <w:highlight w:val="none"/>
              </w:rPr>
            </w:pPr>
            <w:r>
              <w:rPr>
                <w:rFonts w:hint="eastAsia"/>
                <w:color w:val="auto"/>
                <w:szCs w:val="21"/>
                <w:highlight w:val="none"/>
              </w:rPr>
              <w:t>二档</w:t>
            </w:r>
            <w:r>
              <w:rPr>
                <w:rFonts w:hint="eastAsia" w:ascii="宋体" w:hAnsi="宋体"/>
                <w:bCs/>
                <w:color w:val="auto"/>
                <w:szCs w:val="21"/>
                <w:highlight w:val="none"/>
              </w:rPr>
              <w:t>（5分）：各主要分部施工方法符合项目实际，须有详尽的施工技术方案，工艺符合标准、方法可行，能指导具体施工并确保安全，具有可行性、实用性和针对性。</w:t>
            </w:r>
          </w:p>
          <w:p w14:paraId="638E5644">
            <w:pPr>
              <w:spacing w:line="420" w:lineRule="exact"/>
              <w:ind w:left="105" w:firstLine="333"/>
              <w:jc w:val="left"/>
              <w:rPr>
                <w:rFonts w:hint="eastAsia" w:ascii="宋体" w:hAnsi="宋体"/>
                <w:bCs/>
                <w:color w:val="auto"/>
                <w:szCs w:val="21"/>
                <w:highlight w:val="none"/>
              </w:rPr>
            </w:pPr>
            <w:r>
              <w:rPr>
                <w:rFonts w:hint="eastAsia"/>
                <w:color w:val="auto"/>
                <w:szCs w:val="21"/>
                <w:highlight w:val="none"/>
              </w:rPr>
              <w:t>三档</w:t>
            </w:r>
            <w:r>
              <w:rPr>
                <w:rFonts w:hint="eastAsia" w:ascii="宋体" w:hAnsi="宋体"/>
                <w:bCs/>
                <w:color w:val="auto"/>
                <w:szCs w:val="21"/>
                <w:highlight w:val="none"/>
              </w:rPr>
              <w:t>（3分）：各主要分部施工方法基本符合项目实际，有施工技术方案，工艺符合标准、方法可行，基本能指导具体施工并确保安全，但可行性、实用性、针对性有待改善。</w:t>
            </w:r>
          </w:p>
          <w:p w14:paraId="669057E7">
            <w:pPr>
              <w:spacing w:line="420" w:lineRule="exact"/>
              <w:ind w:left="105" w:firstLine="333"/>
              <w:jc w:val="left"/>
              <w:rPr>
                <w:rFonts w:hint="eastAsia" w:ascii="宋体" w:hAnsi="宋体"/>
                <w:bCs/>
                <w:color w:val="auto"/>
                <w:szCs w:val="21"/>
                <w:highlight w:val="none"/>
              </w:rPr>
            </w:pPr>
            <w:r>
              <w:rPr>
                <w:rFonts w:hint="eastAsia" w:ascii="宋体" w:hAnsi="宋体"/>
                <w:bCs/>
                <w:color w:val="auto"/>
                <w:szCs w:val="21"/>
                <w:highlight w:val="none"/>
              </w:rPr>
              <w:t>四</w:t>
            </w:r>
            <w:r>
              <w:rPr>
                <w:rFonts w:hint="eastAsia"/>
                <w:color w:val="auto"/>
                <w:szCs w:val="21"/>
                <w:highlight w:val="none"/>
              </w:rPr>
              <w:t>档</w:t>
            </w:r>
            <w:r>
              <w:rPr>
                <w:rFonts w:hint="eastAsia" w:ascii="宋体" w:hAnsi="宋体"/>
                <w:bCs/>
                <w:color w:val="auto"/>
                <w:szCs w:val="21"/>
                <w:highlight w:val="none"/>
              </w:rPr>
              <w:t>（</w:t>
            </w:r>
            <w:r>
              <w:rPr>
                <w:rFonts w:ascii="宋体" w:hAnsi="宋体"/>
                <w:bCs/>
                <w:color w:val="auto"/>
                <w:szCs w:val="21"/>
                <w:highlight w:val="none"/>
              </w:rPr>
              <w:t>0</w:t>
            </w:r>
            <w:r>
              <w:rPr>
                <w:rFonts w:hint="eastAsia" w:ascii="宋体" w:hAnsi="宋体"/>
                <w:bCs/>
                <w:color w:val="auto"/>
                <w:szCs w:val="21"/>
                <w:highlight w:val="none"/>
              </w:rPr>
              <w:t>分）：各主要分部施工方法不符合项目实际，无详尽的施工技术方案，不能指导具体施工并确保安全。</w:t>
            </w:r>
          </w:p>
          <w:p w14:paraId="4A891F1F">
            <w:pPr>
              <w:spacing w:line="420" w:lineRule="exact"/>
              <w:jc w:val="left"/>
              <w:rPr>
                <w:rFonts w:hint="eastAsia" w:ascii="宋体" w:hAnsi="宋体"/>
                <w:b/>
                <w:bCs/>
                <w:color w:val="auto"/>
                <w:szCs w:val="21"/>
                <w:highlight w:val="none"/>
              </w:rPr>
            </w:pPr>
            <w:r>
              <w:rPr>
                <w:rFonts w:hint="eastAsia" w:ascii="宋体" w:hAnsi="宋体"/>
                <w:b/>
                <w:bCs/>
                <w:color w:val="auto"/>
                <w:szCs w:val="21"/>
                <w:highlight w:val="none"/>
              </w:rPr>
              <w:t>（2）拟投入的主要物资计划（满分7分）</w:t>
            </w:r>
          </w:p>
          <w:p w14:paraId="097BB8D0">
            <w:pPr>
              <w:spacing w:line="420" w:lineRule="exact"/>
              <w:ind w:firstLine="420"/>
              <w:rPr>
                <w:rFonts w:hint="eastAsia" w:ascii="宋体" w:hAnsi="宋体"/>
                <w:bCs/>
                <w:color w:val="auto"/>
                <w:szCs w:val="21"/>
                <w:highlight w:val="none"/>
              </w:rPr>
            </w:pPr>
            <w:r>
              <w:rPr>
                <w:rFonts w:hint="eastAsia"/>
                <w:color w:val="auto"/>
                <w:szCs w:val="21"/>
                <w:highlight w:val="none"/>
              </w:rPr>
              <w:t>一档</w:t>
            </w:r>
            <w:r>
              <w:rPr>
                <w:rFonts w:hint="eastAsia" w:ascii="宋体" w:hAnsi="宋体"/>
                <w:bCs/>
                <w:color w:val="auto"/>
                <w:szCs w:val="21"/>
                <w:highlight w:val="none"/>
              </w:rPr>
              <w:t>（7分）：投入的施工材料有详细的组织计划且计划周密，数量、选型配置、进场时间安排合理，满足施工需要。</w:t>
            </w:r>
          </w:p>
          <w:p w14:paraId="6A6DC127">
            <w:pPr>
              <w:spacing w:line="420" w:lineRule="exact"/>
              <w:ind w:firstLine="420"/>
              <w:rPr>
                <w:rFonts w:hint="eastAsia" w:ascii="宋体" w:hAnsi="宋体"/>
                <w:bCs/>
                <w:color w:val="auto"/>
                <w:szCs w:val="21"/>
                <w:highlight w:val="none"/>
              </w:rPr>
            </w:pPr>
            <w:r>
              <w:rPr>
                <w:rFonts w:hint="eastAsia"/>
                <w:color w:val="auto"/>
                <w:szCs w:val="21"/>
                <w:highlight w:val="none"/>
              </w:rPr>
              <w:t>二档</w:t>
            </w:r>
            <w:r>
              <w:rPr>
                <w:rFonts w:hint="eastAsia" w:ascii="宋体" w:hAnsi="宋体"/>
                <w:bCs/>
                <w:color w:val="auto"/>
                <w:szCs w:val="21"/>
                <w:highlight w:val="none"/>
              </w:rPr>
              <w:t>（5分）：投入的施工材料有组织计划且计划合理可行，数量、选型配置、进场时间安排合理，满足施工需要。</w:t>
            </w:r>
          </w:p>
          <w:p w14:paraId="0F97DAD9">
            <w:pPr>
              <w:spacing w:line="420" w:lineRule="exact"/>
              <w:ind w:firstLine="420"/>
              <w:rPr>
                <w:rFonts w:hint="eastAsia" w:ascii="宋体" w:hAnsi="宋体"/>
                <w:bCs/>
                <w:color w:val="auto"/>
                <w:szCs w:val="21"/>
                <w:highlight w:val="none"/>
              </w:rPr>
            </w:pPr>
            <w:r>
              <w:rPr>
                <w:rFonts w:hint="eastAsia"/>
                <w:color w:val="auto"/>
                <w:szCs w:val="21"/>
                <w:highlight w:val="none"/>
              </w:rPr>
              <w:t>三档</w:t>
            </w:r>
            <w:r>
              <w:rPr>
                <w:rFonts w:hint="eastAsia" w:ascii="宋体" w:hAnsi="宋体"/>
                <w:bCs/>
                <w:color w:val="auto"/>
                <w:szCs w:val="21"/>
                <w:highlight w:val="none"/>
              </w:rPr>
              <w:t>（3分）：投入的施工材料有组织计划且计划可行，数量、选型配置、进场时间安排基本合理，基本满足施工需要。</w:t>
            </w:r>
          </w:p>
          <w:p w14:paraId="4FB37CF7">
            <w:pPr>
              <w:spacing w:line="420" w:lineRule="exact"/>
              <w:ind w:firstLine="420"/>
              <w:rPr>
                <w:rFonts w:hint="eastAsia" w:ascii="宋体" w:hAnsi="宋体"/>
                <w:bCs/>
                <w:color w:val="auto"/>
                <w:szCs w:val="21"/>
                <w:highlight w:val="none"/>
              </w:rPr>
            </w:pPr>
            <w:r>
              <w:rPr>
                <w:rFonts w:hint="eastAsia" w:ascii="宋体" w:hAnsi="宋体"/>
                <w:bCs/>
                <w:color w:val="auto"/>
                <w:szCs w:val="21"/>
                <w:highlight w:val="none"/>
              </w:rPr>
              <w:t>四</w:t>
            </w:r>
            <w:r>
              <w:rPr>
                <w:rFonts w:hint="eastAsia"/>
                <w:color w:val="auto"/>
                <w:szCs w:val="21"/>
                <w:highlight w:val="none"/>
              </w:rPr>
              <w:t>档</w:t>
            </w:r>
            <w:r>
              <w:rPr>
                <w:rFonts w:hint="eastAsia" w:ascii="宋体" w:hAnsi="宋体"/>
                <w:bCs/>
                <w:color w:val="auto"/>
                <w:szCs w:val="21"/>
                <w:highlight w:val="none"/>
              </w:rPr>
              <w:t>（</w:t>
            </w:r>
            <w:r>
              <w:rPr>
                <w:rFonts w:ascii="宋体" w:hAnsi="宋体"/>
                <w:bCs/>
                <w:color w:val="auto"/>
                <w:szCs w:val="21"/>
                <w:highlight w:val="none"/>
              </w:rPr>
              <w:t>0</w:t>
            </w:r>
            <w:r>
              <w:rPr>
                <w:rFonts w:hint="eastAsia" w:ascii="宋体" w:hAnsi="宋体"/>
                <w:bCs/>
                <w:color w:val="auto"/>
                <w:szCs w:val="21"/>
                <w:highlight w:val="none"/>
              </w:rPr>
              <w:t>分）：投入的施工材料无详细的组织计划，数量、选型配置、进场时间安排不合理，不能满足施工需要。</w:t>
            </w:r>
          </w:p>
          <w:p w14:paraId="33CDEA2C">
            <w:pPr>
              <w:spacing w:line="420" w:lineRule="exact"/>
              <w:jc w:val="left"/>
              <w:rPr>
                <w:rFonts w:hint="eastAsia" w:ascii="宋体" w:hAnsi="宋体"/>
                <w:b/>
                <w:bCs/>
                <w:color w:val="auto"/>
                <w:szCs w:val="21"/>
                <w:highlight w:val="none"/>
              </w:rPr>
            </w:pPr>
            <w:r>
              <w:rPr>
                <w:rFonts w:hint="eastAsia" w:ascii="宋体" w:hAnsi="宋体"/>
                <w:b/>
                <w:bCs/>
                <w:color w:val="auto"/>
                <w:szCs w:val="21"/>
                <w:highlight w:val="none"/>
              </w:rPr>
              <w:t>（3）劳动力安排计划（满分7分）</w:t>
            </w:r>
          </w:p>
          <w:p w14:paraId="7D9D56AC">
            <w:pPr>
              <w:spacing w:line="420" w:lineRule="exact"/>
              <w:ind w:firstLine="420"/>
              <w:rPr>
                <w:rFonts w:hint="eastAsia" w:ascii="宋体" w:hAnsi="宋体"/>
                <w:bCs/>
                <w:color w:val="auto"/>
                <w:szCs w:val="21"/>
                <w:highlight w:val="none"/>
              </w:rPr>
            </w:pPr>
            <w:r>
              <w:rPr>
                <w:rFonts w:hint="eastAsia"/>
                <w:color w:val="auto"/>
                <w:szCs w:val="21"/>
                <w:highlight w:val="none"/>
              </w:rPr>
              <w:t>一档</w:t>
            </w:r>
            <w:r>
              <w:rPr>
                <w:rFonts w:hint="eastAsia" w:ascii="宋体" w:hAnsi="宋体"/>
                <w:bCs/>
                <w:color w:val="auto"/>
                <w:szCs w:val="21"/>
                <w:highlight w:val="none"/>
              </w:rPr>
              <w:t>（7分）：各主要施工工序有详细周密的劳动力安排计划，有各工种劳动力安排计划，劳动力投入合理，满足施工需要。</w:t>
            </w:r>
          </w:p>
          <w:p w14:paraId="181309A2">
            <w:pPr>
              <w:spacing w:line="420" w:lineRule="exact"/>
              <w:ind w:firstLine="420"/>
              <w:rPr>
                <w:rFonts w:hint="eastAsia" w:ascii="宋体" w:hAnsi="宋体"/>
                <w:bCs/>
                <w:color w:val="auto"/>
                <w:szCs w:val="21"/>
                <w:highlight w:val="none"/>
              </w:rPr>
            </w:pPr>
            <w:r>
              <w:rPr>
                <w:rFonts w:hint="eastAsia"/>
                <w:color w:val="auto"/>
                <w:szCs w:val="21"/>
                <w:highlight w:val="none"/>
              </w:rPr>
              <w:t>二档</w:t>
            </w:r>
            <w:r>
              <w:rPr>
                <w:rFonts w:hint="eastAsia" w:ascii="宋体" w:hAnsi="宋体"/>
                <w:bCs/>
                <w:color w:val="auto"/>
                <w:szCs w:val="21"/>
                <w:highlight w:val="none"/>
              </w:rPr>
              <w:t>（5分）：各主要施工工序有劳动力安排计划，有各工种劳动力安排计划，劳动力投入合理，满足施工需要。</w:t>
            </w:r>
          </w:p>
          <w:p w14:paraId="2D655D26">
            <w:pPr>
              <w:spacing w:line="420" w:lineRule="exact"/>
              <w:ind w:firstLine="420"/>
              <w:rPr>
                <w:rFonts w:hint="eastAsia" w:ascii="宋体" w:hAnsi="宋体"/>
                <w:bCs/>
                <w:color w:val="auto"/>
                <w:szCs w:val="21"/>
                <w:highlight w:val="none"/>
              </w:rPr>
            </w:pPr>
            <w:r>
              <w:rPr>
                <w:rFonts w:hint="eastAsia"/>
                <w:color w:val="auto"/>
                <w:szCs w:val="21"/>
                <w:highlight w:val="none"/>
              </w:rPr>
              <w:t>三档</w:t>
            </w:r>
            <w:r>
              <w:rPr>
                <w:rFonts w:hint="eastAsia" w:ascii="宋体" w:hAnsi="宋体"/>
                <w:bCs/>
                <w:color w:val="auto"/>
                <w:szCs w:val="21"/>
                <w:highlight w:val="none"/>
              </w:rPr>
              <w:t>（3分）：各主要施工工序有劳动力安排计划，有各工种劳动力安排计划，劳动力投入基本合理，基本满足施工需要。</w:t>
            </w:r>
          </w:p>
          <w:p w14:paraId="24B357B8">
            <w:pPr>
              <w:spacing w:line="420" w:lineRule="exact"/>
              <w:ind w:firstLine="420"/>
              <w:rPr>
                <w:rFonts w:hint="eastAsia" w:ascii="宋体" w:hAnsi="宋体"/>
                <w:bCs/>
                <w:color w:val="auto"/>
                <w:szCs w:val="21"/>
                <w:highlight w:val="none"/>
              </w:rPr>
            </w:pPr>
            <w:r>
              <w:rPr>
                <w:rFonts w:hint="eastAsia" w:ascii="宋体" w:hAnsi="宋体"/>
                <w:bCs/>
                <w:color w:val="auto"/>
                <w:szCs w:val="21"/>
                <w:highlight w:val="none"/>
              </w:rPr>
              <w:t>四</w:t>
            </w:r>
            <w:r>
              <w:rPr>
                <w:rFonts w:hint="eastAsia"/>
                <w:color w:val="auto"/>
                <w:szCs w:val="21"/>
                <w:highlight w:val="none"/>
              </w:rPr>
              <w:t>档</w:t>
            </w:r>
            <w:r>
              <w:rPr>
                <w:rFonts w:hint="eastAsia" w:ascii="宋体" w:hAnsi="宋体"/>
                <w:bCs/>
                <w:color w:val="auto"/>
                <w:szCs w:val="21"/>
                <w:highlight w:val="none"/>
              </w:rPr>
              <w:t>（</w:t>
            </w:r>
            <w:r>
              <w:rPr>
                <w:rFonts w:ascii="宋体" w:hAnsi="宋体"/>
                <w:bCs/>
                <w:color w:val="auto"/>
                <w:szCs w:val="21"/>
                <w:highlight w:val="none"/>
              </w:rPr>
              <w:t>0</w:t>
            </w:r>
            <w:r>
              <w:rPr>
                <w:rFonts w:hint="eastAsia" w:ascii="宋体" w:hAnsi="宋体"/>
                <w:bCs/>
                <w:color w:val="auto"/>
                <w:szCs w:val="21"/>
                <w:highlight w:val="none"/>
              </w:rPr>
              <w:t>分）：各主要施工工序无劳动力安排计划，无各工种劳动力安排计划，劳动力投入不合理，不能满足施工需要。</w:t>
            </w:r>
          </w:p>
          <w:p w14:paraId="0F38EA50">
            <w:pPr>
              <w:spacing w:line="420" w:lineRule="exact"/>
              <w:jc w:val="left"/>
              <w:rPr>
                <w:rFonts w:hint="eastAsia" w:ascii="宋体" w:hAnsi="宋体"/>
                <w:b/>
                <w:bCs/>
                <w:color w:val="auto"/>
                <w:szCs w:val="21"/>
                <w:highlight w:val="none"/>
              </w:rPr>
            </w:pPr>
            <w:r>
              <w:rPr>
                <w:rFonts w:hint="eastAsia" w:ascii="宋体" w:hAnsi="宋体"/>
                <w:b/>
                <w:bCs/>
                <w:color w:val="auto"/>
                <w:szCs w:val="21"/>
                <w:highlight w:val="none"/>
              </w:rPr>
              <w:t>（4）确保工程质量的技术组织措施（满分7分）</w:t>
            </w:r>
          </w:p>
          <w:p w14:paraId="1581C8F2">
            <w:pPr>
              <w:spacing w:line="420" w:lineRule="exact"/>
              <w:ind w:firstLine="420"/>
              <w:rPr>
                <w:rFonts w:hint="eastAsia" w:ascii="宋体" w:hAnsi="宋体"/>
                <w:bCs/>
                <w:color w:val="auto"/>
                <w:szCs w:val="21"/>
                <w:highlight w:val="none"/>
              </w:rPr>
            </w:pPr>
            <w:r>
              <w:rPr>
                <w:rFonts w:hint="eastAsia"/>
                <w:color w:val="auto"/>
                <w:szCs w:val="21"/>
                <w:highlight w:val="none"/>
              </w:rPr>
              <w:t>一档</w:t>
            </w:r>
            <w:r>
              <w:rPr>
                <w:rFonts w:hint="eastAsia" w:ascii="宋体" w:hAnsi="宋体"/>
                <w:bCs/>
                <w:color w:val="auto"/>
                <w:szCs w:val="21"/>
                <w:highlight w:val="none"/>
              </w:rPr>
              <w:t>（7分）：有专门的质量技术管理班子和制度，且人员配备合理，制度健全。主要工序的质量技术保证措施和手段满足要求，质控体系完整，能有效保证技术质量，达到承诺的质量标准，可行性、实用性和针对性强。</w:t>
            </w:r>
          </w:p>
          <w:p w14:paraId="2F06A323">
            <w:pPr>
              <w:spacing w:line="420" w:lineRule="exact"/>
              <w:ind w:firstLine="420"/>
              <w:rPr>
                <w:rFonts w:hint="eastAsia" w:ascii="宋体" w:hAnsi="宋体"/>
                <w:bCs/>
                <w:color w:val="auto"/>
                <w:szCs w:val="21"/>
                <w:highlight w:val="none"/>
              </w:rPr>
            </w:pPr>
            <w:r>
              <w:rPr>
                <w:rFonts w:hint="eastAsia"/>
                <w:color w:val="auto"/>
                <w:szCs w:val="21"/>
                <w:highlight w:val="none"/>
              </w:rPr>
              <w:t>二档</w:t>
            </w:r>
            <w:r>
              <w:rPr>
                <w:rFonts w:hint="eastAsia" w:ascii="宋体" w:hAnsi="宋体"/>
                <w:bCs/>
                <w:color w:val="auto"/>
                <w:szCs w:val="21"/>
                <w:highlight w:val="none"/>
              </w:rPr>
              <w:t>（5分）：有专门的质量技术管理班子和制度，且人员配备合理，制度健全。主要工序的质量技术保证措施和手段满足要求，质控体系较完整，基本保证技术质量，达到承诺的质量标准，具有可行性、实用性和针对性。</w:t>
            </w:r>
          </w:p>
          <w:p w14:paraId="2CAD4A89">
            <w:pPr>
              <w:spacing w:line="420" w:lineRule="exact"/>
              <w:ind w:firstLine="420"/>
              <w:rPr>
                <w:rFonts w:hint="eastAsia" w:ascii="宋体" w:hAnsi="宋体"/>
                <w:bCs/>
                <w:color w:val="auto"/>
                <w:szCs w:val="21"/>
                <w:highlight w:val="none"/>
              </w:rPr>
            </w:pPr>
            <w:r>
              <w:rPr>
                <w:rFonts w:hint="eastAsia"/>
                <w:color w:val="auto"/>
                <w:szCs w:val="21"/>
                <w:highlight w:val="none"/>
              </w:rPr>
              <w:t>三档</w:t>
            </w:r>
            <w:r>
              <w:rPr>
                <w:rFonts w:hint="eastAsia" w:ascii="宋体" w:hAnsi="宋体"/>
                <w:bCs/>
                <w:color w:val="auto"/>
                <w:szCs w:val="21"/>
                <w:highlight w:val="none"/>
              </w:rPr>
              <w:t>（3分）：有专门的质量技术管理班子和制度，且人员配备基本合理，制度基本健全。主要工序的质量技术保证措施和手段基本满足要求，质控体系基本完整，基本保证技术质量，基本达到承诺的质量标准，可行性、实用性和针对性有待提高。</w:t>
            </w:r>
          </w:p>
          <w:p w14:paraId="0F1134ED">
            <w:pPr>
              <w:spacing w:line="420" w:lineRule="exact"/>
              <w:ind w:firstLine="420"/>
              <w:rPr>
                <w:rFonts w:hint="eastAsia" w:ascii="宋体" w:hAnsi="宋体"/>
                <w:bCs/>
                <w:color w:val="auto"/>
                <w:szCs w:val="21"/>
                <w:highlight w:val="none"/>
              </w:rPr>
            </w:pPr>
            <w:r>
              <w:rPr>
                <w:rFonts w:hint="eastAsia" w:ascii="宋体" w:hAnsi="宋体"/>
                <w:bCs/>
                <w:color w:val="auto"/>
                <w:szCs w:val="21"/>
                <w:highlight w:val="none"/>
              </w:rPr>
              <w:t>四</w:t>
            </w:r>
            <w:r>
              <w:rPr>
                <w:rFonts w:hint="eastAsia"/>
                <w:color w:val="auto"/>
                <w:szCs w:val="21"/>
                <w:highlight w:val="none"/>
              </w:rPr>
              <w:t>档</w:t>
            </w:r>
            <w:r>
              <w:rPr>
                <w:rFonts w:hint="eastAsia" w:ascii="宋体" w:hAnsi="宋体"/>
                <w:bCs/>
                <w:color w:val="auto"/>
                <w:szCs w:val="21"/>
                <w:highlight w:val="none"/>
              </w:rPr>
              <w:t>（</w:t>
            </w:r>
            <w:r>
              <w:rPr>
                <w:rFonts w:ascii="宋体" w:hAnsi="宋体"/>
                <w:bCs/>
                <w:color w:val="auto"/>
                <w:szCs w:val="21"/>
                <w:highlight w:val="none"/>
              </w:rPr>
              <w:t>0</w:t>
            </w:r>
            <w:r>
              <w:rPr>
                <w:rFonts w:hint="eastAsia" w:ascii="宋体" w:hAnsi="宋体"/>
                <w:bCs/>
                <w:color w:val="auto"/>
                <w:szCs w:val="21"/>
                <w:highlight w:val="none"/>
              </w:rPr>
              <w:t>分）：有专门的质量技术管理班子和制度，人员配备不合理，制度不健全。主要工序无质量技术保证措施和手段，质控体系不完整，不能有效保证技术质量，达不到承诺的质量标准。</w:t>
            </w:r>
          </w:p>
          <w:p w14:paraId="222822B2">
            <w:pPr>
              <w:spacing w:line="420" w:lineRule="exact"/>
              <w:jc w:val="left"/>
              <w:rPr>
                <w:rFonts w:hint="eastAsia" w:ascii="宋体" w:hAnsi="宋体"/>
                <w:b/>
                <w:bCs/>
                <w:color w:val="auto"/>
                <w:szCs w:val="21"/>
                <w:highlight w:val="none"/>
              </w:rPr>
            </w:pPr>
            <w:r>
              <w:rPr>
                <w:rFonts w:hint="eastAsia" w:ascii="宋体" w:hAnsi="宋体"/>
                <w:b/>
                <w:bCs/>
                <w:color w:val="auto"/>
                <w:szCs w:val="21"/>
                <w:highlight w:val="none"/>
              </w:rPr>
              <w:t>（5）确保安全生产的技术组织措施（满分7分）</w:t>
            </w:r>
          </w:p>
          <w:p w14:paraId="78C7BBC9">
            <w:pPr>
              <w:spacing w:line="420" w:lineRule="exact"/>
              <w:ind w:firstLine="420"/>
              <w:rPr>
                <w:rFonts w:hint="eastAsia" w:ascii="宋体" w:hAnsi="宋体"/>
                <w:bCs/>
                <w:color w:val="auto"/>
                <w:szCs w:val="21"/>
                <w:highlight w:val="none"/>
              </w:rPr>
            </w:pPr>
            <w:r>
              <w:rPr>
                <w:rFonts w:hint="eastAsia"/>
                <w:color w:val="auto"/>
                <w:szCs w:val="21"/>
                <w:highlight w:val="none"/>
              </w:rPr>
              <w:t>一档</w:t>
            </w:r>
            <w:r>
              <w:rPr>
                <w:rFonts w:hint="eastAsia" w:ascii="宋体" w:hAnsi="宋体"/>
                <w:bCs/>
                <w:color w:val="auto"/>
                <w:szCs w:val="21"/>
                <w:highlight w:val="none"/>
              </w:rPr>
              <w:t>（7分）：有专门的安全管理人员和制度，且人员配备合理，制度健全，各道工序安全技术措施针对性强，</w:t>
            </w:r>
            <w:r>
              <w:rPr>
                <w:rFonts w:hint="eastAsia"/>
                <w:color w:val="auto"/>
                <w:highlight w:val="none"/>
              </w:rPr>
              <w:t>确保安全生产</w:t>
            </w:r>
            <w:r>
              <w:rPr>
                <w:rFonts w:hint="eastAsia" w:ascii="宋体" w:hAnsi="宋体"/>
                <w:bCs/>
                <w:color w:val="auto"/>
                <w:szCs w:val="21"/>
                <w:highlight w:val="none"/>
              </w:rPr>
              <w:t>的技术组织措施符合实际且满足有关安全技术标准要求。现场防火、应急救援、社会治安安全措施得力。</w:t>
            </w:r>
          </w:p>
          <w:p w14:paraId="217C05E8">
            <w:pPr>
              <w:spacing w:line="420" w:lineRule="exact"/>
              <w:ind w:firstLine="420"/>
              <w:rPr>
                <w:rFonts w:hint="eastAsia" w:ascii="宋体" w:hAnsi="宋体"/>
                <w:bCs/>
                <w:color w:val="auto"/>
                <w:szCs w:val="21"/>
                <w:highlight w:val="none"/>
              </w:rPr>
            </w:pPr>
            <w:r>
              <w:rPr>
                <w:rFonts w:hint="eastAsia"/>
                <w:color w:val="auto"/>
                <w:szCs w:val="21"/>
                <w:highlight w:val="none"/>
              </w:rPr>
              <w:t>二档</w:t>
            </w:r>
            <w:r>
              <w:rPr>
                <w:rFonts w:hint="eastAsia" w:ascii="宋体" w:hAnsi="宋体"/>
                <w:bCs/>
                <w:color w:val="auto"/>
                <w:szCs w:val="21"/>
                <w:highlight w:val="none"/>
              </w:rPr>
              <w:t>（5分）：有专门的安全管理人员和制度，且人员配备合理，制度健全，各道工序安全技术措施针对性较强，</w:t>
            </w:r>
            <w:r>
              <w:rPr>
                <w:rFonts w:hint="eastAsia"/>
                <w:color w:val="auto"/>
                <w:highlight w:val="none"/>
              </w:rPr>
              <w:t>确保安全生产</w:t>
            </w:r>
            <w:r>
              <w:rPr>
                <w:rFonts w:hint="eastAsia" w:ascii="宋体" w:hAnsi="宋体"/>
                <w:bCs/>
                <w:color w:val="auto"/>
                <w:szCs w:val="21"/>
                <w:highlight w:val="none"/>
              </w:rPr>
              <w:t>的技术组织措施符合实际且基本满足有关安全技术标准要求。现场防火、应急救援、社会治安安全措施可行。</w:t>
            </w:r>
          </w:p>
          <w:p w14:paraId="2DFB60BC">
            <w:pPr>
              <w:spacing w:line="420" w:lineRule="exact"/>
              <w:ind w:firstLine="420"/>
              <w:rPr>
                <w:rFonts w:hint="eastAsia" w:ascii="宋体" w:hAnsi="宋体"/>
                <w:bCs/>
                <w:color w:val="auto"/>
                <w:szCs w:val="21"/>
                <w:highlight w:val="none"/>
              </w:rPr>
            </w:pPr>
            <w:r>
              <w:rPr>
                <w:rFonts w:hint="eastAsia"/>
                <w:color w:val="auto"/>
                <w:szCs w:val="21"/>
                <w:highlight w:val="none"/>
              </w:rPr>
              <w:t>三档</w:t>
            </w:r>
            <w:r>
              <w:rPr>
                <w:rFonts w:hint="eastAsia" w:ascii="宋体" w:hAnsi="宋体"/>
                <w:bCs/>
                <w:color w:val="auto"/>
                <w:szCs w:val="21"/>
                <w:highlight w:val="none"/>
              </w:rPr>
              <w:t>（3分）：有专门的安全管理人员和制度，且人员配备基本合理，制度基本健全，各道工序安全技术措施有针对性，</w:t>
            </w:r>
            <w:r>
              <w:rPr>
                <w:rFonts w:hint="eastAsia"/>
                <w:color w:val="auto"/>
                <w:highlight w:val="none"/>
              </w:rPr>
              <w:t>确保安全生产</w:t>
            </w:r>
            <w:r>
              <w:rPr>
                <w:rFonts w:hint="eastAsia" w:ascii="宋体" w:hAnsi="宋体"/>
                <w:bCs/>
                <w:color w:val="auto"/>
                <w:szCs w:val="21"/>
                <w:highlight w:val="none"/>
              </w:rPr>
              <w:t>的技术组织措施符合实际且基本满足有关安全技术标准要求。现场防火、应急救援、社会治安安全措施基本可行。</w:t>
            </w:r>
          </w:p>
          <w:p w14:paraId="1FBAE2C4">
            <w:pPr>
              <w:spacing w:line="420" w:lineRule="exact"/>
              <w:ind w:firstLine="420"/>
              <w:rPr>
                <w:rFonts w:hint="eastAsia" w:ascii="宋体" w:hAnsi="宋体"/>
                <w:bCs/>
                <w:color w:val="auto"/>
                <w:szCs w:val="21"/>
                <w:highlight w:val="none"/>
              </w:rPr>
            </w:pPr>
            <w:r>
              <w:rPr>
                <w:rFonts w:hint="eastAsia" w:ascii="宋体" w:hAnsi="宋体"/>
                <w:bCs/>
                <w:color w:val="auto"/>
                <w:szCs w:val="21"/>
                <w:highlight w:val="none"/>
              </w:rPr>
              <w:t>四</w:t>
            </w:r>
            <w:r>
              <w:rPr>
                <w:rFonts w:hint="eastAsia"/>
                <w:color w:val="auto"/>
                <w:szCs w:val="21"/>
                <w:highlight w:val="none"/>
              </w:rPr>
              <w:t>档</w:t>
            </w:r>
            <w:r>
              <w:rPr>
                <w:rFonts w:hint="eastAsia" w:ascii="宋体" w:hAnsi="宋体"/>
                <w:bCs/>
                <w:color w:val="auto"/>
                <w:szCs w:val="21"/>
                <w:highlight w:val="none"/>
              </w:rPr>
              <w:t>（</w:t>
            </w:r>
            <w:r>
              <w:rPr>
                <w:rFonts w:ascii="宋体" w:hAnsi="宋体"/>
                <w:bCs/>
                <w:color w:val="auto"/>
                <w:szCs w:val="21"/>
                <w:highlight w:val="none"/>
              </w:rPr>
              <w:t>0</w:t>
            </w:r>
            <w:r>
              <w:rPr>
                <w:rFonts w:hint="eastAsia" w:ascii="宋体" w:hAnsi="宋体"/>
                <w:bCs/>
                <w:color w:val="auto"/>
                <w:szCs w:val="21"/>
                <w:highlight w:val="none"/>
              </w:rPr>
              <w:t>分）：有专门的安全管理人员和制度，人员配备不合理，制度不健全，各道工序安全技术措施无针对性，不满足有关安全技术标准要求。现场防火、应急救援、社会治安安全措施不得力。</w:t>
            </w:r>
          </w:p>
          <w:p w14:paraId="5F9A4434">
            <w:pPr>
              <w:spacing w:line="420" w:lineRule="exact"/>
              <w:jc w:val="left"/>
              <w:rPr>
                <w:rFonts w:hint="eastAsia" w:ascii="宋体" w:hAnsi="宋体"/>
                <w:b/>
                <w:bCs/>
                <w:color w:val="auto"/>
                <w:szCs w:val="21"/>
                <w:highlight w:val="none"/>
              </w:rPr>
            </w:pPr>
            <w:r>
              <w:rPr>
                <w:rFonts w:hint="eastAsia" w:ascii="宋体" w:hAnsi="宋体"/>
                <w:b/>
                <w:bCs/>
                <w:color w:val="auto"/>
                <w:szCs w:val="21"/>
                <w:highlight w:val="none"/>
              </w:rPr>
              <w:t>（6）确保工期的技术组织措施（满分7分）</w:t>
            </w:r>
          </w:p>
          <w:p w14:paraId="3C377846">
            <w:pPr>
              <w:spacing w:line="420" w:lineRule="exact"/>
              <w:ind w:firstLine="420"/>
              <w:rPr>
                <w:rFonts w:hint="eastAsia" w:ascii="宋体" w:hAnsi="宋体"/>
                <w:bCs/>
                <w:color w:val="auto"/>
                <w:szCs w:val="21"/>
                <w:highlight w:val="none"/>
              </w:rPr>
            </w:pPr>
            <w:r>
              <w:rPr>
                <w:rFonts w:hint="eastAsia"/>
                <w:color w:val="auto"/>
                <w:szCs w:val="21"/>
                <w:highlight w:val="none"/>
              </w:rPr>
              <w:t>一档</w:t>
            </w:r>
            <w:r>
              <w:rPr>
                <w:rFonts w:hint="eastAsia" w:ascii="宋体" w:hAnsi="宋体"/>
                <w:bCs/>
                <w:color w:val="auto"/>
                <w:szCs w:val="21"/>
                <w:highlight w:val="none"/>
              </w:rPr>
              <w:t>（7分）：在施工工艺、施工方法、材料选用、劳动力安排、技术等方面有保证工期的具体措施且措施得当，针对赶工措施有具体的表述，赶工措施可行性、实用性和针对性强。有控制工期的施工进度计划。有施工总进度表或施工网络图，各项计划图表编制完善，可操作性强，符合本项目施工实际要求。</w:t>
            </w:r>
          </w:p>
          <w:p w14:paraId="370DF929">
            <w:pPr>
              <w:spacing w:line="420" w:lineRule="exact"/>
              <w:ind w:firstLine="420"/>
              <w:rPr>
                <w:rFonts w:hint="eastAsia" w:ascii="宋体" w:hAnsi="宋体"/>
                <w:bCs/>
                <w:color w:val="auto"/>
                <w:szCs w:val="21"/>
                <w:highlight w:val="none"/>
              </w:rPr>
            </w:pPr>
            <w:r>
              <w:rPr>
                <w:rFonts w:hint="eastAsia"/>
                <w:color w:val="auto"/>
                <w:szCs w:val="21"/>
                <w:highlight w:val="none"/>
              </w:rPr>
              <w:t>二档</w:t>
            </w:r>
            <w:r>
              <w:rPr>
                <w:rFonts w:hint="eastAsia" w:ascii="宋体" w:hAnsi="宋体"/>
                <w:bCs/>
                <w:color w:val="auto"/>
                <w:szCs w:val="21"/>
                <w:highlight w:val="none"/>
              </w:rPr>
              <w:t>（5分）：在施工工艺、施工方法、材料选用、劳动力安排、技术等方面有保证工期的措施且措施可行，有赶工措施，赶工措施具有可行性、实用性和针对性。有控制工期的施工进度计划。有施工总进度表或施工网络图，各项计划图表编制明确，具有可操作性，基本符合本项目施工实际要求。</w:t>
            </w:r>
          </w:p>
          <w:p w14:paraId="2E1C6AAB">
            <w:pPr>
              <w:spacing w:line="420" w:lineRule="exact"/>
              <w:ind w:firstLine="420"/>
              <w:rPr>
                <w:rFonts w:hint="eastAsia" w:ascii="宋体" w:hAnsi="宋体"/>
                <w:bCs/>
                <w:color w:val="auto"/>
                <w:szCs w:val="21"/>
                <w:highlight w:val="none"/>
              </w:rPr>
            </w:pPr>
            <w:r>
              <w:rPr>
                <w:rFonts w:hint="eastAsia"/>
                <w:color w:val="auto"/>
                <w:szCs w:val="21"/>
                <w:highlight w:val="none"/>
              </w:rPr>
              <w:t>三档</w:t>
            </w:r>
            <w:r>
              <w:rPr>
                <w:rFonts w:hint="eastAsia" w:ascii="宋体" w:hAnsi="宋体"/>
                <w:bCs/>
                <w:color w:val="auto"/>
                <w:szCs w:val="21"/>
                <w:highlight w:val="none"/>
              </w:rPr>
              <w:t>（3分）：在施工工艺、施工方法、材料选用、劳动力安排、技术等方面有保证工期的措施但措施基本可行，有赶工措施，赶工措施可行性、实用性和针对性有待改善。有控制工期的施工进度计划。有施工总进度表或施工网络图，各项计划图表编制有待改善，基本符合本项目施工实际要求。</w:t>
            </w:r>
          </w:p>
          <w:p w14:paraId="1334F49F">
            <w:pPr>
              <w:spacing w:line="420" w:lineRule="exact"/>
              <w:ind w:firstLine="420"/>
              <w:jc w:val="left"/>
              <w:rPr>
                <w:rFonts w:hint="eastAsia" w:ascii="宋体" w:hAnsi="宋体"/>
                <w:bCs/>
                <w:color w:val="auto"/>
                <w:szCs w:val="21"/>
                <w:highlight w:val="none"/>
              </w:rPr>
            </w:pPr>
            <w:r>
              <w:rPr>
                <w:rFonts w:hint="eastAsia" w:ascii="宋体" w:hAnsi="宋体"/>
                <w:bCs/>
                <w:color w:val="auto"/>
                <w:szCs w:val="21"/>
                <w:highlight w:val="none"/>
              </w:rPr>
              <w:t>四</w:t>
            </w:r>
            <w:r>
              <w:rPr>
                <w:rFonts w:hint="eastAsia"/>
                <w:color w:val="auto"/>
                <w:szCs w:val="21"/>
                <w:highlight w:val="none"/>
              </w:rPr>
              <w:t>档</w:t>
            </w:r>
            <w:r>
              <w:rPr>
                <w:rFonts w:hint="eastAsia" w:ascii="宋体" w:hAnsi="宋体"/>
                <w:bCs/>
                <w:color w:val="auto"/>
                <w:szCs w:val="21"/>
                <w:highlight w:val="none"/>
              </w:rPr>
              <w:t>（</w:t>
            </w:r>
            <w:r>
              <w:rPr>
                <w:rFonts w:ascii="宋体" w:hAnsi="宋体"/>
                <w:bCs/>
                <w:color w:val="auto"/>
                <w:szCs w:val="21"/>
                <w:highlight w:val="none"/>
              </w:rPr>
              <w:t>0</w:t>
            </w:r>
            <w:r>
              <w:rPr>
                <w:rFonts w:hint="eastAsia" w:ascii="宋体" w:hAnsi="宋体"/>
                <w:bCs/>
                <w:color w:val="auto"/>
                <w:szCs w:val="21"/>
                <w:highlight w:val="none"/>
              </w:rPr>
              <w:t>分）：在施工工艺、施工方法、材料选用、劳动力安排、技术等方面有保证工期的措施但措施不符合实际。无控制工期的施工进度计划。无施工总进度表或施工网络图，不符合本项目施工实际要求。</w:t>
            </w:r>
          </w:p>
          <w:p w14:paraId="71992AB6">
            <w:pPr>
              <w:spacing w:line="420" w:lineRule="exact"/>
              <w:jc w:val="left"/>
              <w:rPr>
                <w:rFonts w:hint="eastAsia" w:ascii="宋体" w:hAnsi="宋体"/>
                <w:b/>
                <w:bCs/>
                <w:color w:val="auto"/>
                <w:szCs w:val="21"/>
                <w:highlight w:val="none"/>
              </w:rPr>
            </w:pPr>
            <w:r>
              <w:rPr>
                <w:rFonts w:hint="eastAsia" w:ascii="宋体" w:hAnsi="宋体"/>
                <w:b/>
                <w:bCs/>
                <w:color w:val="auto"/>
                <w:szCs w:val="21"/>
                <w:highlight w:val="none"/>
              </w:rPr>
              <w:t>（7）确保文明施工的技术组织措施（满分7分）</w:t>
            </w:r>
          </w:p>
          <w:p w14:paraId="1C0875BD">
            <w:pPr>
              <w:spacing w:line="420" w:lineRule="exact"/>
              <w:ind w:firstLine="420"/>
              <w:rPr>
                <w:rFonts w:hint="eastAsia" w:ascii="宋体" w:hAnsi="宋体"/>
                <w:bCs/>
                <w:color w:val="auto"/>
                <w:szCs w:val="21"/>
                <w:highlight w:val="none"/>
              </w:rPr>
            </w:pPr>
            <w:r>
              <w:rPr>
                <w:rFonts w:hint="eastAsia"/>
                <w:color w:val="auto"/>
                <w:szCs w:val="21"/>
                <w:highlight w:val="none"/>
              </w:rPr>
              <w:t>一档</w:t>
            </w:r>
            <w:r>
              <w:rPr>
                <w:rFonts w:hint="eastAsia" w:ascii="宋体" w:hAnsi="宋体"/>
                <w:bCs/>
                <w:color w:val="auto"/>
                <w:szCs w:val="21"/>
                <w:highlight w:val="none"/>
              </w:rPr>
              <w:t>（7分）：针对本工程项目特点，有现场文明施工、环境保护措施，且措施内容应达到《公路工程建设标准管理办法》</w:t>
            </w:r>
            <w:r>
              <w:rPr>
                <w:color w:val="auto"/>
                <w:highlight w:val="none"/>
              </w:rPr>
              <w:t>或现行有效版本</w:t>
            </w:r>
            <w:r>
              <w:rPr>
                <w:rFonts w:hint="eastAsia" w:ascii="宋体" w:hAnsi="宋体"/>
                <w:bCs/>
                <w:color w:val="auto"/>
                <w:szCs w:val="21"/>
                <w:highlight w:val="none"/>
              </w:rPr>
              <w:t>合格标准并符合《公路工程技术标准》要求。各项措施具体有效。有具体实现现场文明施工目标的承诺。</w:t>
            </w:r>
          </w:p>
          <w:p w14:paraId="0B99A39D">
            <w:pPr>
              <w:spacing w:line="420" w:lineRule="exact"/>
              <w:ind w:firstLine="420"/>
              <w:rPr>
                <w:rFonts w:hint="eastAsia" w:ascii="宋体" w:hAnsi="宋体"/>
                <w:bCs/>
                <w:color w:val="auto"/>
                <w:szCs w:val="21"/>
                <w:highlight w:val="none"/>
              </w:rPr>
            </w:pPr>
            <w:r>
              <w:rPr>
                <w:rFonts w:hint="eastAsia"/>
                <w:color w:val="auto"/>
                <w:szCs w:val="21"/>
                <w:highlight w:val="none"/>
              </w:rPr>
              <w:t>二档</w:t>
            </w:r>
            <w:r>
              <w:rPr>
                <w:rFonts w:hint="eastAsia" w:ascii="宋体" w:hAnsi="宋体"/>
                <w:bCs/>
                <w:color w:val="auto"/>
                <w:szCs w:val="21"/>
                <w:highlight w:val="none"/>
              </w:rPr>
              <w:t>（5分）：针对本工程项目特点，有现场文明施工、环境保护措施，且措施内容应达到《公路工程建设标准管理办法》</w:t>
            </w:r>
            <w:r>
              <w:rPr>
                <w:color w:val="auto"/>
                <w:highlight w:val="none"/>
              </w:rPr>
              <w:t>或现行有效版本</w:t>
            </w:r>
            <w:r>
              <w:rPr>
                <w:rFonts w:hint="eastAsia" w:ascii="宋体" w:hAnsi="宋体"/>
                <w:bCs/>
                <w:color w:val="auto"/>
                <w:szCs w:val="21"/>
                <w:highlight w:val="none"/>
              </w:rPr>
              <w:t>合格标准并符合《公路工程技术标准》要求。各项措施较具体有效。有具体实现现场文明施工目标的承诺。</w:t>
            </w:r>
          </w:p>
          <w:p w14:paraId="20266A3F">
            <w:pPr>
              <w:spacing w:line="420" w:lineRule="exact"/>
              <w:ind w:firstLine="420"/>
              <w:rPr>
                <w:rFonts w:hint="eastAsia" w:ascii="宋体" w:hAnsi="宋体"/>
                <w:bCs/>
                <w:color w:val="auto"/>
                <w:szCs w:val="21"/>
                <w:highlight w:val="none"/>
              </w:rPr>
            </w:pPr>
            <w:r>
              <w:rPr>
                <w:rFonts w:hint="eastAsia"/>
                <w:color w:val="auto"/>
                <w:szCs w:val="21"/>
                <w:highlight w:val="none"/>
              </w:rPr>
              <w:t>三档</w:t>
            </w:r>
            <w:r>
              <w:rPr>
                <w:rFonts w:hint="eastAsia" w:ascii="宋体" w:hAnsi="宋体"/>
                <w:bCs/>
                <w:color w:val="auto"/>
                <w:szCs w:val="21"/>
                <w:highlight w:val="none"/>
              </w:rPr>
              <w:t>（3分）：针对本工程项目特点，有现场文明施工、环境保护措施，且措施内容应达到《公路工程建设标准管理办法》</w:t>
            </w:r>
            <w:r>
              <w:rPr>
                <w:color w:val="auto"/>
                <w:highlight w:val="none"/>
              </w:rPr>
              <w:t>或现行有效版本</w:t>
            </w:r>
            <w:r>
              <w:rPr>
                <w:rFonts w:hint="eastAsia" w:ascii="宋体" w:hAnsi="宋体"/>
                <w:bCs/>
                <w:color w:val="auto"/>
                <w:szCs w:val="21"/>
                <w:highlight w:val="none"/>
              </w:rPr>
              <w:t>合格标准并符合《公路工程技术标准》要求。各项措施基本有效。有具体实现现场文明施工目标的承诺。</w:t>
            </w:r>
          </w:p>
          <w:p w14:paraId="7CC6ACCE">
            <w:pPr>
              <w:spacing w:line="420" w:lineRule="exact"/>
              <w:ind w:firstLine="315"/>
              <w:jc w:val="left"/>
              <w:rPr>
                <w:rFonts w:hint="eastAsia" w:ascii="宋体" w:hAnsi="宋体"/>
                <w:bCs/>
                <w:color w:val="auto"/>
                <w:szCs w:val="21"/>
                <w:highlight w:val="none"/>
              </w:rPr>
            </w:pPr>
            <w:r>
              <w:rPr>
                <w:rFonts w:hint="eastAsia" w:ascii="宋体" w:hAnsi="宋体"/>
                <w:bCs/>
                <w:color w:val="auto"/>
                <w:szCs w:val="21"/>
                <w:highlight w:val="none"/>
              </w:rPr>
              <w:t>四</w:t>
            </w:r>
            <w:r>
              <w:rPr>
                <w:rFonts w:hint="eastAsia"/>
                <w:color w:val="auto"/>
                <w:szCs w:val="21"/>
                <w:highlight w:val="none"/>
              </w:rPr>
              <w:t>档</w:t>
            </w:r>
            <w:r>
              <w:rPr>
                <w:rFonts w:hint="eastAsia" w:ascii="宋体" w:hAnsi="宋体"/>
                <w:bCs/>
                <w:color w:val="auto"/>
                <w:szCs w:val="21"/>
                <w:highlight w:val="none"/>
              </w:rPr>
              <w:t>（</w:t>
            </w:r>
            <w:r>
              <w:rPr>
                <w:rFonts w:ascii="宋体" w:hAnsi="宋体"/>
                <w:bCs/>
                <w:color w:val="auto"/>
                <w:szCs w:val="21"/>
                <w:highlight w:val="none"/>
              </w:rPr>
              <w:t>0</w:t>
            </w:r>
            <w:r>
              <w:rPr>
                <w:rFonts w:hint="eastAsia" w:ascii="宋体" w:hAnsi="宋体"/>
                <w:bCs/>
                <w:color w:val="auto"/>
                <w:szCs w:val="21"/>
                <w:highlight w:val="none"/>
              </w:rPr>
              <w:t>分）：针对本工程项目特点，应有现场文明施工、环境保护措施，且措施内容应达到《公路工程建设标准管理办法》</w:t>
            </w:r>
            <w:r>
              <w:rPr>
                <w:color w:val="auto"/>
                <w:highlight w:val="none"/>
              </w:rPr>
              <w:t>或现行有效版本</w:t>
            </w:r>
            <w:r>
              <w:rPr>
                <w:rFonts w:hint="eastAsia" w:ascii="宋体" w:hAnsi="宋体"/>
                <w:bCs/>
                <w:color w:val="auto"/>
                <w:szCs w:val="21"/>
                <w:highlight w:val="none"/>
              </w:rPr>
              <w:t>合格标准并符合《公路工程技术标准》要求。各项措施不合理。无具体实现现场文明施工目标的承诺。</w:t>
            </w:r>
          </w:p>
          <w:p w14:paraId="6CE04455">
            <w:pPr>
              <w:spacing w:line="420" w:lineRule="exact"/>
              <w:jc w:val="left"/>
              <w:rPr>
                <w:rFonts w:hint="eastAsia" w:ascii="宋体" w:hAnsi="宋体"/>
                <w:b/>
                <w:bCs/>
                <w:color w:val="auto"/>
                <w:szCs w:val="21"/>
                <w:highlight w:val="none"/>
              </w:rPr>
            </w:pPr>
            <w:r>
              <w:rPr>
                <w:rFonts w:hint="eastAsia" w:ascii="宋体" w:hAnsi="宋体"/>
                <w:b/>
                <w:bCs/>
                <w:color w:val="auto"/>
                <w:szCs w:val="21"/>
                <w:highlight w:val="none"/>
              </w:rPr>
              <w:t>（8）工程施工的重点和难点及保证措施（满分8分）</w:t>
            </w:r>
          </w:p>
          <w:p w14:paraId="72AA677D">
            <w:pPr>
              <w:spacing w:line="420" w:lineRule="exact"/>
              <w:ind w:firstLine="420"/>
              <w:rPr>
                <w:rFonts w:hint="eastAsia" w:ascii="宋体" w:hAnsi="宋体"/>
                <w:bCs/>
                <w:color w:val="auto"/>
                <w:szCs w:val="21"/>
                <w:highlight w:val="none"/>
              </w:rPr>
            </w:pPr>
            <w:r>
              <w:rPr>
                <w:rFonts w:hint="eastAsia"/>
                <w:color w:val="auto"/>
                <w:szCs w:val="21"/>
                <w:highlight w:val="none"/>
              </w:rPr>
              <w:t>一档</w:t>
            </w:r>
            <w:r>
              <w:rPr>
                <w:rFonts w:hint="eastAsia" w:ascii="宋体" w:hAnsi="宋体"/>
                <w:bCs/>
                <w:color w:val="auto"/>
                <w:szCs w:val="21"/>
                <w:highlight w:val="none"/>
              </w:rPr>
              <w:t>（8分）：对工程施工的重点和难点理解全面、透彻，解决重点和难点问题的方法及措施可行性、实用性、针对性强，应对方案思路清晰、内容丰富且完全满足项目的需求。</w:t>
            </w:r>
          </w:p>
          <w:p w14:paraId="0E5114EF">
            <w:pPr>
              <w:spacing w:line="420" w:lineRule="exact"/>
              <w:ind w:firstLine="420"/>
              <w:rPr>
                <w:rFonts w:hint="eastAsia" w:ascii="宋体" w:hAnsi="宋体"/>
                <w:bCs/>
                <w:color w:val="auto"/>
                <w:szCs w:val="21"/>
                <w:highlight w:val="none"/>
              </w:rPr>
            </w:pPr>
            <w:r>
              <w:rPr>
                <w:rFonts w:hint="eastAsia"/>
                <w:color w:val="auto"/>
                <w:szCs w:val="21"/>
                <w:highlight w:val="none"/>
              </w:rPr>
              <w:t>二档</w:t>
            </w:r>
            <w:r>
              <w:rPr>
                <w:rFonts w:hint="eastAsia" w:ascii="宋体" w:hAnsi="宋体"/>
                <w:bCs/>
                <w:color w:val="auto"/>
                <w:szCs w:val="21"/>
                <w:highlight w:val="none"/>
              </w:rPr>
              <w:t>（</w:t>
            </w:r>
            <w:r>
              <w:rPr>
                <w:rFonts w:ascii="宋体" w:hAnsi="宋体"/>
                <w:bCs/>
                <w:color w:val="auto"/>
                <w:szCs w:val="21"/>
                <w:highlight w:val="none"/>
              </w:rPr>
              <w:t>5</w:t>
            </w:r>
            <w:r>
              <w:rPr>
                <w:rFonts w:hint="eastAsia" w:ascii="宋体" w:hAnsi="宋体"/>
                <w:bCs/>
                <w:color w:val="auto"/>
                <w:szCs w:val="21"/>
                <w:highlight w:val="none"/>
              </w:rPr>
              <w:t>分）：有对工程施工的重点和难点理解，解决重点和难点问题的方法及措施具有可行性、实用性、针对性，应对方案能满足项目需求。</w:t>
            </w:r>
          </w:p>
          <w:p w14:paraId="579CC54D">
            <w:pPr>
              <w:spacing w:line="420" w:lineRule="exact"/>
              <w:ind w:firstLine="420"/>
              <w:rPr>
                <w:rFonts w:hint="eastAsia" w:ascii="宋体" w:hAnsi="宋体"/>
                <w:bCs/>
                <w:color w:val="auto"/>
                <w:szCs w:val="21"/>
                <w:highlight w:val="none"/>
              </w:rPr>
            </w:pPr>
            <w:r>
              <w:rPr>
                <w:rFonts w:hint="eastAsia"/>
                <w:color w:val="auto"/>
                <w:szCs w:val="21"/>
                <w:highlight w:val="none"/>
              </w:rPr>
              <w:t>三档</w:t>
            </w:r>
            <w:r>
              <w:rPr>
                <w:rFonts w:hint="eastAsia" w:ascii="宋体" w:hAnsi="宋体"/>
                <w:bCs/>
                <w:color w:val="auto"/>
                <w:szCs w:val="21"/>
                <w:highlight w:val="none"/>
              </w:rPr>
              <w:t>（</w:t>
            </w:r>
            <w:r>
              <w:rPr>
                <w:rFonts w:ascii="宋体" w:hAnsi="宋体"/>
                <w:bCs/>
                <w:color w:val="auto"/>
                <w:szCs w:val="21"/>
                <w:highlight w:val="none"/>
              </w:rPr>
              <w:t>3</w:t>
            </w:r>
            <w:r>
              <w:rPr>
                <w:rFonts w:hint="eastAsia" w:ascii="宋体" w:hAnsi="宋体"/>
                <w:bCs/>
                <w:color w:val="auto"/>
                <w:szCs w:val="21"/>
                <w:highlight w:val="none"/>
              </w:rPr>
              <w:t>分）：有对工程施工的重点和难点理解，解决重点和难点问题的方法及措施可行性、实用性和针对性有待改善，应对方案基本能满足项目需求。</w:t>
            </w:r>
          </w:p>
          <w:p w14:paraId="344A08D2">
            <w:pPr>
              <w:spacing w:line="420" w:lineRule="exact"/>
              <w:ind w:firstLine="420"/>
              <w:jc w:val="left"/>
              <w:rPr>
                <w:rFonts w:hint="eastAsia" w:ascii="宋体" w:hAnsi="宋体"/>
                <w:bCs/>
                <w:color w:val="auto"/>
                <w:szCs w:val="21"/>
                <w:highlight w:val="none"/>
              </w:rPr>
            </w:pPr>
            <w:r>
              <w:rPr>
                <w:rFonts w:hint="eastAsia" w:ascii="宋体" w:hAnsi="宋体"/>
                <w:bCs/>
                <w:color w:val="auto"/>
                <w:szCs w:val="21"/>
                <w:highlight w:val="none"/>
              </w:rPr>
              <w:t>四</w:t>
            </w:r>
            <w:r>
              <w:rPr>
                <w:rFonts w:hint="eastAsia" w:ascii="宋体" w:hAnsi="Courier New"/>
                <w:color w:val="auto"/>
                <w:szCs w:val="21"/>
                <w:highlight w:val="none"/>
              </w:rPr>
              <w:t>档</w:t>
            </w:r>
            <w:r>
              <w:rPr>
                <w:rFonts w:hint="eastAsia" w:ascii="宋体" w:hAnsi="宋体"/>
                <w:bCs/>
                <w:color w:val="auto"/>
                <w:szCs w:val="21"/>
                <w:highlight w:val="none"/>
              </w:rPr>
              <w:t>（</w:t>
            </w:r>
            <w:r>
              <w:rPr>
                <w:rFonts w:ascii="宋体" w:hAnsi="宋体"/>
                <w:bCs/>
                <w:color w:val="auto"/>
                <w:szCs w:val="21"/>
                <w:highlight w:val="none"/>
              </w:rPr>
              <w:t>0</w:t>
            </w:r>
            <w:r>
              <w:rPr>
                <w:rFonts w:hint="eastAsia" w:ascii="宋体" w:hAnsi="宋体"/>
                <w:bCs/>
                <w:color w:val="auto"/>
                <w:szCs w:val="21"/>
                <w:highlight w:val="none"/>
              </w:rPr>
              <w:t>分）：对工程施工的重点和难点理解不准确，解决重点和难点问题的方法及措施可行性、实用性和针对性不强，应对方案不能满足项目需求。</w:t>
            </w:r>
          </w:p>
          <w:p w14:paraId="17411EB5">
            <w:pPr>
              <w:spacing w:line="420" w:lineRule="exact"/>
              <w:jc w:val="left"/>
              <w:rPr>
                <w:rFonts w:hint="eastAsia" w:ascii="宋体" w:hAnsi="宋体"/>
                <w:bCs/>
                <w:color w:val="auto"/>
                <w:szCs w:val="21"/>
                <w:highlight w:val="none"/>
              </w:rPr>
            </w:pPr>
            <w:r>
              <w:rPr>
                <w:rFonts w:hint="eastAsia" w:ascii="宋体" w:hAnsi="宋体"/>
                <w:b/>
                <w:bCs/>
                <w:color w:val="auto"/>
                <w:szCs w:val="21"/>
                <w:highlight w:val="none"/>
              </w:rPr>
              <w:t>（9）</w:t>
            </w:r>
            <w:r>
              <w:rPr>
                <w:rFonts w:hint="eastAsia"/>
                <w:b/>
                <w:color w:val="auto"/>
                <w:highlight w:val="none"/>
              </w:rPr>
              <w:t>施工总平面布置图（满分7分）</w:t>
            </w:r>
          </w:p>
          <w:p w14:paraId="3843C4FF">
            <w:pPr>
              <w:spacing w:line="420" w:lineRule="exact"/>
              <w:ind w:firstLine="420"/>
              <w:rPr>
                <w:rFonts w:hint="eastAsia" w:ascii="宋体" w:hAnsi="宋体"/>
                <w:bCs/>
                <w:color w:val="auto"/>
                <w:szCs w:val="21"/>
                <w:highlight w:val="none"/>
              </w:rPr>
            </w:pPr>
            <w:r>
              <w:rPr>
                <w:rFonts w:hint="eastAsia" w:ascii="宋体" w:hAnsi="宋体"/>
                <w:bCs/>
                <w:color w:val="auto"/>
                <w:szCs w:val="21"/>
                <w:highlight w:val="none"/>
              </w:rPr>
              <w:t>一档（7分）：有施工总平面布置图，可行性、实用性和针对性强，完全符合本项目施工实际要求。</w:t>
            </w:r>
          </w:p>
          <w:p w14:paraId="1AE929CE">
            <w:pPr>
              <w:spacing w:line="420" w:lineRule="exact"/>
              <w:ind w:firstLine="420"/>
              <w:rPr>
                <w:rFonts w:hint="eastAsia" w:ascii="宋体" w:hAnsi="宋体"/>
                <w:bCs/>
                <w:color w:val="auto"/>
                <w:szCs w:val="21"/>
                <w:highlight w:val="none"/>
              </w:rPr>
            </w:pPr>
            <w:r>
              <w:rPr>
                <w:rFonts w:hint="eastAsia" w:ascii="宋体" w:hAnsi="宋体"/>
                <w:bCs/>
                <w:color w:val="auto"/>
                <w:szCs w:val="21"/>
                <w:highlight w:val="none"/>
              </w:rPr>
              <w:t>二档（5分）：有施工总平面布置图，具有可行性、实用性和针对性，符合本项目施工实际要求。</w:t>
            </w:r>
          </w:p>
          <w:p w14:paraId="7DF57C07">
            <w:pPr>
              <w:spacing w:line="420" w:lineRule="exact"/>
              <w:ind w:firstLine="420"/>
              <w:rPr>
                <w:rFonts w:hint="eastAsia" w:ascii="宋体" w:hAnsi="宋体"/>
                <w:bCs/>
                <w:color w:val="auto"/>
                <w:szCs w:val="21"/>
                <w:highlight w:val="none"/>
              </w:rPr>
            </w:pPr>
            <w:r>
              <w:rPr>
                <w:rFonts w:hint="eastAsia" w:ascii="宋体" w:hAnsi="宋体"/>
                <w:bCs/>
                <w:color w:val="auto"/>
                <w:szCs w:val="21"/>
                <w:highlight w:val="none"/>
              </w:rPr>
              <w:t>三档（3分）：有施工总平面布置图，可行性、实用性和针对性有待改善，基本符合本项目施工实际要求。</w:t>
            </w:r>
          </w:p>
          <w:p w14:paraId="4DA42196">
            <w:pPr>
              <w:spacing w:line="420" w:lineRule="exact"/>
              <w:ind w:firstLine="420"/>
              <w:rPr>
                <w:rFonts w:hint="eastAsia" w:ascii="宋体" w:hAnsi="宋体"/>
                <w:bCs/>
                <w:color w:val="auto"/>
                <w:szCs w:val="21"/>
                <w:highlight w:val="none"/>
              </w:rPr>
            </w:pPr>
            <w:r>
              <w:rPr>
                <w:rFonts w:hint="eastAsia" w:ascii="宋体" w:hAnsi="宋体"/>
                <w:bCs/>
                <w:color w:val="auto"/>
                <w:szCs w:val="21"/>
                <w:highlight w:val="none"/>
              </w:rPr>
              <w:t>四档（0分）：有施工总平面布置图，但可行性、实用性和针对性差，不符合本项目施工实际要求。</w:t>
            </w:r>
          </w:p>
        </w:tc>
        <w:tc>
          <w:tcPr>
            <w:tcW w:w="851" w:type="dxa"/>
            <w:tcBorders>
              <w:top w:val="single" w:color="auto" w:sz="4" w:space="0"/>
              <w:left w:val="single" w:color="auto" w:sz="4" w:space="0"/>
              <w:bottom w:val="single" w:color="auto" w:sz="4" w:space="0"/>
              <w:right w:val="single" w:color="auto" w:sz="4" w:space="0"/>
            </w:tcBorders>
            <w:vAlign w:val="center"/>
          </w:tcPr>
          <w:p w14:paraId="2CA959E0">
            <w:pPr>
              <w:spacing w:line="420" w:lineRule="exact"/>
              <w:jc w:val="center"/>
              <w:rPr>
                <w:rFonts w:hint="eastAsia" w:ascii="宋体" w:hAnsi="宋体" w:cs="Tahoma"/>
                <w:color w:val="auto"/>
                <w:szCs w:val="21"/>
                <w:highlight w:val="none"/>
              </w:rPr>
            </w:pPr>
            <w:r>
              <w:rPr>
                <w:rFonts w:hint="eastAsia" w:ascii="宋体" w:hAnsi="宋体" w:cs="Tahoma"/>
                <w:color w:val="auto"/>
                <w:szCs w:val="21"/>
                <w:highlight w:val="none"/>
              </w:rPr>
              <w:t>64分</w:t>
            </w:r>
          </w:p>
        </w:tc>
      </w:tr>
      <w:bookmarkEnd w:id="89"/>
      <w:tr w14:paraId="166C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5A975125">
            <w:pPr>
              <w:widowControl/>
              <w:spacing w:line="420" w:lineRule="exact"/>
              <w:jc w:val="center"/>
              <w:rPr>
                <w:rFonts w:hint="eastAsia" w:ascii="宋体" w:hAnsi="宋体" w:cs="Tahoma"/>
                <w:b/>
                <w:color w:val="auto"/>
                <w:szCs w:val="21"/>
                <w:highlight w:val="none"/>
              </w:rPr>
            </w:pPr>
            <w:r>
              <w:rPr>
                <w:rFonts w:hint="eastAsia" w:ascii="宋体" w:hAnsi="宋体" w:cs="Tahoma"/>
                <w:b/>
                <w:color w:val="auto"/>
                <w:szCs w:val="21"/>
                <w:highlight w:val="none"/>
              </w:rPr>
              <w:t>3</w:t>
            </w:r>
          </w:p>
        </w:tc>
        <w:tc>
          <w:tcPr>
            <w:tcW w:w="1314" w:type="dxa"/>
            <w:tcBorders>
              <w:top w:val="single" w:color="auto" w:sz="4" w:space="0"/>
              <w:left w:val="single" w:color="auto" w:sz="4" w:space="0"/>
              <w:bottom w:val="single" w:color="auto" w:sz="4" w:space="0"/>
              <w:right w:val="single" w:color="auto" w:sz="4" w:space="0"/>
            </w:tcBorders>
            <w:vAlign w:val="center"/>
          </w:tcPr>
          <w:p w14:paraId="7A10F173">
            <w:pPr>
              <w:widowControl/>
              <w:spacing w:line="420" w:lineRule="exact"/>
              <w:jc w:val="center"/>
              <w:rPr>
                <w:rFonts w:hint="eastAsia" w:ascii="宋体" w:hAnsi="宋体" w:cs="Courier New"/>
                <w:b/>
                <w:bCs/>
                <w:color w:val="auto"/>
                <w:szCs w:val="21"/>
                <w:highlight w:val="none"/>
              </w:rPr>
            </w:pPr>
            <w:r>
              <w:rPr>
                <w:rFonts w:hint="eastAsia" w:ascii="宋体" w:hAnsi="宋体" w:cs="Courier New"/>
                <w:b/>
                <w:bCs/>
                <w:color w:val="auto"/>
                <w:szCs w:val="21"/>
                <w:highlight w:val="none"/>
              </w:rPr>
              <w:t>商务分</w:t>
            </w:r>
          </w:p>
        </w:tc>
        <w:tc>
          <w:tcPr>
            <w:tcW w:w="7135" w:type="dxa"/>
            <w:gridSpan w:val="2"/>
            <w:tcBorders>
              <w:top w:val="single" w:color="auto" w:sz="4" w:space="0"/>
              <w:left w:val="single" w:color="auto" w:sz="4" w:space="0"/>
              <w:bottom w:val="single" w:color="auto" w:sz="4" w:space="0"/>
              <w:right w:val="single" w:color="auto" w:sz="4" w:space="0"/>
            </w:tcBorders>
            <w:vAlign w:val="center"/>
          </w:tcPr>
          <w:p w14:paraId="770BB007">
            <w:pPr>
              <w:widowControl/>
              <w:spacing w:line="420" w:lineRule="exact"/>
              <w:jc w:val="center"/>
              <w:rPr>
                <w:rFonts w:hint="eastAsia" w:ascii="宋体" w:hAnsi="宋体" w:cs="Tahoma"/>
                <w:b/>
                <w:color w:val="auto"/>
                <w:szCs w:val="21"/>
                <w:highlight w:val="none"/>
              </w:rPr>
            </w:pPr>
            <w:r>
              <w:rPr>
                <w:rFonts w:hint="eastAsia" w:ascii="宋体" w:hAnsi="宋体" w:cs="Tahoma"/>
                <w:b/>
                <w:color w:val="auto"/>
                <w:szCs w:val="21"/>
                <w:highlight w:val="none"/>
              </w:rPr>
              <w:t>评审因素</w:t>
            </w:r>
          </w:p>
        </w:tc>
      </w:tr>
      <w:tr w14:paraId="0C98F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6A29AB2C">
            <w:pPr>
              <w:widowControl/>
              <w:spacing w:line="420" w:lineRule="exact"/>
              <w:jc w:val="center"/>
              <w:rPr>
                <w:rFonts w:hint="eastAsia" w:ascii="宋体" w:hAnsi="宋体" w:cs="Tahoma"/>
                <w:color w:val="auto"/>
                <w:szCs w:val="21"/>
                <w:highlight w:val="none"/>
              </w:rPr>
            </w:pPr>
            <w:r>
              <w:rPr>
                <w:rFonts w:hint="eastAsia" w:ascii="宋体" w:hAnsi="宋体" w:cs="Tahoma"/>
                <w:color w:val="auto"/>
                <w:szCs w:val="21"/>
                <w:highlight w:val="none"/>
              </w:rPr>
              <w:t>3.1</w:t>
            </w:r>
          </w:p>
        </w:tc>
        <w:tc>
          <w:tcPr>
            <w:tcW w:w="1314" w:type="dxa"/>
            <w:tcBorders>
              <w:top w:val="single" w:color="auto" w:sz="4" w:space="0"/>
              <w:left w:val="single" w:color="auto" w:sz="4" w:space="0"/>
              <w:bottom w:val="single" w:color="auto" w:sz="4" w:space="0"/>
              <w:right w:val="single" w:color="auto" w:sz="4" w:space="0"/>
            </w:tcBorders>
            <w:vAlign w:val="center"/>
          </w:tcPr>
          <w:p w14:paraId="5B98A0A2">
            <w:pPr>
              <w:widowControl/>
              <w:spacing w:line="420" w:lineRule="exact"/>
              <w:jc w:val="center"/>
              <w:rPr>
                <w:rFonts w:hint="eastAsia" w:ascii="宋体" w:hAnsi="宋体" w:cs="Courier New"/>
                <w:bCs/>
                <w:color w:val="auto"/>
                <w:szCs w:val="21"/>
                <w:highlight w:val="none"/>
              </w:rPr>
            </w:pPr>
            <w:bookmarkStart w:id="90" w:name="OLE_LINK86"/>
            <w:r>
              <w:rPr>
                <w:rFonts w:hint="eastAsia" w:ascii="宋体" w:hAnsi="宋体" w:cs="Courier New"/>
                <w:bCs/>
                <w:color w:val="auto"/>
                <w:szCs w:val="21"/>
                <w:highlight w:val="none"/>
              </w:rPr>
              <w:t>业绩分</w:t>
            </w:r>
            <w:bookmarkEnd w:id="90"/>
          </w:p>
        </w:tc>
        <w:tc>
          <w:tcPr>
            <w:tcW w:w="6284" w:type="dxa"/>
            <w:tcBorders>
              <w:top w:val="single" w:color="auto" w:sz="4" w:space="0"/>
              <w:left w:val="single" w:color="auto" w:sz="4" w:space="0"/>
              <w:bottom w:val="single" w:color="auto" w:sz="4" w:space="0"/>
              <w:right w:val="single" w:color="auto" w:sz="4" w:space="0"/>
            </w:tcBorders>
          </w:tcPr>
          <w:p w14:paraId="0957450A">
            <w:pPr>
              <w:spacing w:line="420" w:lineRule="exact"/>
              <w:rPr>
                <w:rFonts w:hint="eastAsia" w:ascii="宋体" w:hAnsi="宋体" w:cs="Courier New"/>
                <w:bCs/>
                <w:color w:val="auto"/>
                <w:szCs w:val="21"/>
                <w:highlight w:val="none"/>
              </w:rPr>
            </w:pPr>
            <w:r>
              <w:rPr>
                <w:rFonts w:hint="eastAsia" w:ascii="宋体" w:hAnsi="宋体" w:cs="Courier New"/>
                <w:bCs/>
                <w:color w:val="auto"/>
                <w:szCs w:val="21"/>
                <w:highlight w:val="none"/>
              </w:rPr>
              <w:t>自2022年1月1日以来至响应文件递交截止日期止，供应商承接过类似项目业绩，每项得1.5分，满分6分。</w:t>
            </w:r>
          </w:p>
          <w:p w14:paraId="74005078">
            <w:pPr>
              <w:spacing w:line="420" w:lineRule="exact"/>
              <w:rPr>
                <w:rFonts w:hint="eastAsia" w:ascii="宋体" w:hAnsi="宋体" w:cs="Courier New"/>
                <w:bCs/>
                <w:color w:val="auto"/>
                <w:szCs w:val="21"/>
                <w:highlight w:val="none"/>
              </w:rPr>
            </w:pPr>
            <w:r>
              <w:rPr>
                <w:rFonts w:hint="eastAsia" w:ascii="宋体" w:hAnsi="宋体" w:cs="Courier New"/>
                <w:bCs/>
                <w:color w:val="auto"/>
                <w:szCs w:val="21"/>
                <w:highlight w:val="none"/>
              </w:rPr>
              <w:t>业绩证明材料需附中标（成交）通知书或施工合同或竣工验收书。</w:t>
            </w:r>
          </w:p>
        </w:tc>
        <w:tc>
          <w:tcPr>
            <w:tcW w:w="851" w:type="dxa"/>
            <w:tcBorders>
              <w:top w:val="single" w:color="auto" w:sz="4" w:space="0"/>
              <w:left w:val="single" w:color="auto" w:sz="4" w:space="0"/>
              <w:bottom w:val="single" w:color="auto" w:sz="4" w:space="0"/>
              <w:right w:val="single" w:color="auto" w:sz="4" w:space="0"/>
            </w:tcBorders>
            <w:vAlign w:val="center"/>
          </w:tcPr>
          <w:p w14:paraId="4B1C0281">
            <w:pPr>
              <w:widowControl/>
              <w:spacing w:line="420" w:lineRule="exact"/>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5564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25" w:type="dxa"/>
            <w:gridSpan w:val="4"/>
            <w:tcBorders>
              <w:top w:val="single" w:color="auto" w:sz="4" w:space="0"/>
              <w:left w:val="single" w:color="auto" w:sz="4" w:space="0"/>
              <w:bottom w:val="single" w:color="auto" w:sz="4" w:space="0"/>
              <w:right w:val="single" w:color="auto" w:sz="4" w:space="0"/>
            </w:tcBorders>
          </w:tcPr>
          <w:p w14:paraId="62AB0179">
            <w:pPr>
              <w:widowControl/>
              <w:spacing w:line="420" w:lineRule="exact"/>
              <w:jc w:val="left"/>
              <w:rPr>
                <w:rFonts w:hint="eastAsia" w:ascii="宋体" w:hAnsi="宋体" w:cs="Tahoma"/>
                <w:color w:val="auto"/>
                <w:szCs w:val="21"/>
                <w:highlight w:val="none"/>
              </w:rPr>
            </w:pPr>
            <w:r>
              <w:rPr>
                <w:rFonts w:hint="eastAsia" w:ascii="宋体" w:hAnsi="宋体" w:cs="Courier New"/>
                <w:bCs/>
                <w:color w:val="auto"/>
                <w:szCs w:val="21"/>
                <w:highlight w:val="none"/>
              </w:rPr>
              <w:t>总得分＝1＋2＋3</w:t>
            </w:r>
          </w:p>
        </w:tc>
      </w:tr>
    </w:tbl>
    <w:p w14:paraId="07DD02B2">
      <w:pPr>
        <w:spacing w:line="400" w:lineRule="exact"/>
        <w:rPr>
          <w:rFonts w:hint="eastAsia" w:ascii="宋体" w:hAnsi="宋体" w:cs="宋体"/>
          <w:color w:val="auto"/>
          <w:highlight w:val="none"/>
        </w:rPr>
      </w:pPr>
    </w:p>
    <w:p w14:paraId="44BD1FD6">
      <w:pPr>
        <w:pStyle w:val="199"/>
        <w:jc w:val="center"/>
        <w:rPr>
          <w:rFonts w:hint="eastAsia" w:ascii="宋体" w:hAnsi="宋体" w:cs="宋体"/>
          <w:color w:val="auto"/>
          <w:highlight w:val="none"/>
        </w:rPr>
      </w:pPr>
      <w:r>
        <w:rPr>
          <w:rFonts w:ascii="宋体" w:hAnsi="宋体" w:cs="宋体"/>
          <w:color w:val="auto"/>
          <w:highlight w:val="none"/>
        </w:rPr>
        <w:br w:type="page" w:clear="all"/>
      </w:r>
    </w:p>
    <w:p w14:paraId="267B1EEC">
      <w:pPr>
        <w:pStyle w:val="199"/>
        <w:jc w:val="center"/>
        <w:rPr>
          <w:rFonts w:hint="eastAsia" w:ascii="宋体" w:hAnsi="宋体" w:cs="宋体"/>
          <w:color w:val="auto"/>
          <w:highlight w:val="none"/>
        </w:rPr>
      </w:pPr>
    </w:p>
    <w:p w14:paraId="5C5E16D4">
      <w:pPr>
        <w:pStyle w:val="199"/>
        <w:jc w:val="center"/>
        <w:rPr>
          <w:rFonts w:hint="eastAsia" w:ascii="宋体" w:hAnsi="宋体" w:cs="宋体"/>
          <w:color w:val="auto"/>
          <w:highlight w:val="none"/>
        </w:rPr>
      </w:pPr>
    </w:p>
    <w:p w14:paraId="209EADB7">
      <w:pPr>
        <w:pStyle w:val="199"/>
        <w:jc w:val="center"/>
        <w:rPr>
          <w:rFonts w:hint="eastAsia" w:ascii="宋体" w:hAnsi="宋体" w:cs="宋体"/>
          <w:color w:val="auto"/>
          <w:highlight w:val="none"/>
        </w:rPr>
      </w:pPr>
    </w:p>
    <w:p w14:paraId="027B1223">
      <w:pPr>
        <w:rPr>
          <w:color w:val="auto"/>
          <w:highlight w:val="none"/>
        </w:rPr>
      </w:pPr>
    </w:p>
    <w:p w14:paraId="46737539">
      <w:pPr>
        <w:pStyle w:val="199"/>
        <w:jc w:val="center"/>
        <w:rPr>
          <w:color w:val="auto"/>
          <w:highlight w:val="none"/>
        </w:rPr>
      </w:pPr>
      <w:bookmarkStart w:id="91" w:name="_Toc233964165"/>
      <w:r>
        <w:rPr>
          <w:rFonts w:hint="eastAsia"/>
          <w:color w:val="auto"/>
          <w:highlight w:val="none"/>
        </w:rPr>
        <w:t>第五章 工程量清单及图纸</w:t>
      </w:r>
      <w:bookmarkEnd w:id="91"/>
    </w:p>
    <w:p w14:paraId="5664E180">
      <w:pPr>
        <w:pStyle w:val="199"/>
        <w:jc w:val="center"/>
        <w:rPr>
          <w:color w:val="auto"/>
          <w:highlight w:val="none"/>
        </w:rPr>
      </w:pPr>
    </w:p>
    <w:p w14:paraId="772BDB84">
      <w:pPr>
        <w:pStyle w:val="199"/>
        <w:spacing w:before="0" w:after="0" w:line="360" w:lineRule="auto"/>
        <w:jc w:val="center"/>
        <w:rPr>
          <w:color w:val="auto"/>
          <w:highlight w:val="none"/>
        </w:rPr>
      </w:pPr>
      <w:r>
        <w:rPr>
          <w:color w:val="auto"/>
          <w:highlight w:val="none"/>
        </w:rPr>
        <w:br w:type="page" w:clear="all"/>
      </w:r>
    </w:p>
    <w:p w14:paraId="689145FF">
      <w:pPr>
        <w:pStyle w:val="201"/>
        <w:spacing w:before="0" w:after="0" w:line="360" w:lineRule="auto"/>
        <w:rPr>
          <w:color w:val="auto"/>
          <w:highlight w:val="none"/>
        </w:rPr>
      </w:pPr>
      <w:bookmarkStart w:id="92" w:name="_Toc233964079"/>
      <w:bookmarkStart w:id="93" w:name="_Toc122424260"/>
      <w:bookmarkStart w:id="94" w:name="_Toc233964166"/>
      <w:bookmarkStart w:id="95" w:name="_Toc122424011"/>
      <w:r>
        <w:rPr>
          <w:color w:val="auto"/>
          <w:highlight w:val="none"/>
        </w:rPr>
        <w:t>1.工程量清单说明</w:t>
      </w:r>
      <w:bookmarkEnd w:id="92"/>
      <w:bookmarkEnd w:id="93"/>
      <w:bookmarkEnd w:id="94"/>
      <w:bookmarkEnd w:id="95"/>
    </w:p>
    <w:p w14:paraId="283728F8">
      <w:pPr>
        <w:spacing w:line="360" w:lineRule="auto"/>
        <w:ind w:firstLine="480"/>
        <w:rPr>
          <w:color w:val="auto"/>
          <w:highlight w:val="none"/>
        </w:rPr>
      </w:pPr>
      <w:r>
        <w:rPr>
          <w:color w:val="auto"/>
          <w:highlight w:val="none"/>
        </w:rPr>
        <w:t>1.1本工程量清单是根据磋商文件中包括的有合同约束力的工程量清单计量规则、图纸以及有关工程量清单的国家标准、行业标准、合同条款中约定的其他规则编制。约定计量规则中没有的子目，其工程量按照有合同约束力的图纸所标示尺寸的理论净量计算。计量采用中华人民共和国法定计量单位。</w:t>
      </w:r>
    </w:p>
    <w:p w14:paraId="672B8A0F">
      <w:pPr>
        <w:spacing w:line="360" w:lineRule="auto"/>
        <w:ind w:firstLine="480"/>
        <w:rPr>
          <w:color w:val="auto"/>
          <w:highlight w:val="none"/>
        </w:rPr>
      </w:pPr>
      <w:r>
        <w:rPr>
          <w:color w:val="auto"/>
          <w:highlight w:val="none"/>
        </w:rPr>
        <w:t>1.2本工程量清单应与磋商文件中的供应商须知、通用合同条款、专用合同条款、工程量清单计量规则、技术规范及图纸等一起阅读和理解。</w:t>
      </w:r>
    </w:p>
    <w:p w14:paraId="0C5C44BC">
      <w:pPr>
        <w:spacing w:line="360" w:lineRule="auto"/>
        <w:ind w:firstLine="480"/>
        <w:rPr>
          <w:color w:val="auto"/>
          <w:highlight w:val="none"/>
        </w:rPr>
      </w:pPr>
      <w:r>
        <w:rPr>
          <w:color w:val="auto"/>
          <w:highlight w:val="none"/>
        </w:rPr>
        <w:t>1.3本工程量清单中所列工程数量是估算的或设计的预计数量，仅作为竞标报价的共同基础，不能作为最终结算与支付的依据。实际支付应按实际完成的工程量， 由承包人按工程量清单计量规则规定的计量方法，以监理人认可的尺寸、断面计量， 按本工程量清单的单价和总额价计算支付金额；或根据具体情况，按合同条款第 15.4 款的规定，按监理人确定的单价或总额价计算支付额。</w:t>
      </w:r>
    </w:p>
    <w:p w14:paraId="4AC58742">
      <w:pPr>
        <w:spacing w:line="360" w:lineRule="auto"/>
        <w:ind w:firstLine="480"/>
        <w:rPr>
          <w:color w:val="auto"/>
          <w:highlight w:val="none"/>
        </w:rPr>
      </w:pPr>
      <w:r>
        <w:rPr>
          <w:color w:val="auto"/>
          <w:highlight w:val="none"/>
        </w:rPr>
        <w:t>1.4工程量清单各章是按</w:t>
      </w:r>
      <w:r>
        <w:rPr>
          <w:rFonts w:hint="eastAsia"/>
          <w:color w:val="auto"/>
          <w:highlight w:val="none"/>
        </w:rPr>
        <w:t>《公路工程标准施工招标文件》（2018年版）</w:t>
      </w:r>
      <w:r>
        <w:rPr>
          <w:color w:val="auto"/>
          <w:highlight w:val="none"/>
        </w:rPr>
        <w:t>第八章“工程量清单计量规则”、第七章“技术规范”的相应章次编号的，因此，工程量清单中各章的工程子目的范围与计量等应与“工程量清单计量规则” “技术规范”相应章节的范围、计量与支付条款结合起来理解或解释。</w:t>
      </w:r>
    </w:p>
    <w:p w14:paraId="16E2DA34">
      <w:pPr>
        <w:spacing w:line="360" w:lineRule="auto"/>
        <w:ind w:firstLine="480"/>
        <w:rPr>
          <w:color w:val="auto"/>
          <w:highlight w:val="none"/>
        </w:rPr>
      </w:pPr>
      <w:r>
        <w:rPr>
          <w:color w:val="auto"/>
          <w:highlight w:val="none"/>
        </w:rPr>
        <w:t>1.5对作业和材料的一般说明或规定，未重复写入工程量清单内，在给工程量清单各子目标价前，应参阅第七章“技术规范”的有关内容。</w:t>
      </w:r>
    </w:p>
    <w:p w14:paraId="17D9AD99">
      <w:pPr>
        <w:spacing w:line="360" w:lineRule="auto"/>
        <w:ind w:firstLine="480"/>
        <w:rPr>
          <w:color w:val="auto"/>
          <w:highlight w:val="none"/>
        </w:rPr>
      </w:pPr>
      <w:r>
        <w:rPr>
          <w:color w:val="auto"/>
          <w:highlight w:val="none"/>
        </w:rPr>
        <w:t>1.6工程量清单中所列工程量的变动，丝毫不会降低或影响合同条款的效力， 也不免除承包人按规定的标准进行施工和修复缺陷的责任。</w:t>
      </w:r>
    </w:p>
    <w:p w14:paraId="14E57C9C">
      <w:pPr>
        <w:spacing w:line="360" w:lineRule="auto"/>
        <w:ind w:firstLine="480"/>
        <w:rPr>
          <w:color w:val="auto"/>
          <w:highlight w:val="none"/>
        </w:rPr>
      </w:pPr>
      <w:r>
        <w:rPr>
          <w:color w:val="auto"/>
          <w:highlight w:val="none"/>
        </w:rPr>
        <w:t>1.7图纸中所列的工程数量表及数量汇总表仅是提供资料，不是工程量清单的外延。当图纸与工程量清单所列数量不一致时，以工程量清单所列数量作为报价的依据。</w:t>
      </w:r>
    </w:p>
    <w:p w14:paraId="42EA1EB9">
      <w:pPr>
        <w:pStyle w:val="201"/>
        <w:spacing w:before="0" w:after="0" w:line="360" w:lineRule="auto"/>
        <w:rPr>
          <w:color w:val="auto"/>
          <w:highlight w:val="none"/>
        </w:rPr>
      </w:pPr>
      <w:bookmarkStart w:id="96" w:name="_Toc122424261"/>
      <w:bookmarkStart w:id="97" w:name="_Toc233964167"/>
      <w:bookmarkStart w:id="98" w:name="_Toc122424012"/>
      <w:bookmarkStart w:id="99" w:name="_Toc5517"/>
      <w:bookmarkStart w:id="100" w:name="_Toc233964080"/>
      <w:r>
        <w:rPr>
          <w:color w:val="auto"/>
          <w:highlight w:val="none"/>
        </w:rPr>
        <w:t>2.竞标报价说明</w:t>
      </w:r>
      <w:bookmarkEnd w:id="96"/>
      <w:bookmarkEnd w:id="97"/>
      <w:bookmarkEnd w:id="98"/>
      <w:bookmarkEnd w:id="99"/>
      <w:bookmarkEnd w:id="100"/>
    </w:p>
    <w:p w14:paraId="2AA985EF">
      <w:pPr>
        <w:spacing w:line="360" w:lineRule="auto"/>
        <w:ind w:firstLine="480"/>
        <w:rPr>
          <w:color w:val="auto"/>
          <w:highlight w:val="none"/>
        </w:rPr>
      </w:pPr>
      <w:r>
        <w:rPr>
          <w:color w:val="auto"/>
          <w:highlight w:val="none"/>
        </w:rPr>
        <w:t>2.1工程量清单中的每一子目须填入单价或价格，且只允许有一个报价。</w:t>
      </w:r>
    </w:p>
    <w:p w14:paraId="4483FCCA">
      <w:pPr>
        <w:spacing w:line="360" w:lineRule="auto"/>
        <w:ind w:firstLine="480"/>
        <w:rPr>
          <w:color w:val="auto"/>
          <w:highlight w:val="none"/>
        </w:rPr>
      </w:pPr>
      <w:r>
        <w:rPr>
          <w:color w:val="auto"/>
          <w:highlight w:val="none"/>
        </w:rPr>
        <w:t>2.2除非合同另有规定，工程量清单中有标价的单价和总额价均已包括了为实施和完成合同工程所需的劳务、材料、机械、质检（自检）、安装、缺陷修复、管理、保险、税费、利润等费用，以及合同明示或暗示的所有责任、义务和一般风险。</w:t>
      </w:r>
    </w:p>
    <w:p w14:paraId="1685987E">
      <w:pPr>
        <w:spacing w:line="360" w:lineRule="auto"/>
        <w:ind w:firstLine="480"/>
        <w:rPr>
          <w:color w:val="auto"/>
          <w:highlight w:val="none"/>
        </w:rPr>
      </w:pPr>
      <w:r>
        <w:rPr>
          <w:color w:val="auto"/>
          <w:highlight w:val="none"/>
        </w:rPr>
        <w:t>2.3工程量清单中供应商没有填入单价或价格的子目，其费用视为已分摊在工程量清单中其他相关子目的单价或价格之中。承包人必须按监理人指令完成工程量清单中未填入单价或价格的子目，但不能得到结算与支付。</w:t>
      </w:r>
    </w:p>
    <w:p w14:paraId="1E37DBB6">
      <w:pPr>
        <w:spacing w:line="360" w:lineRule="auto"/>
        <w:ind w:firstLine="480"/>
        <w:rPr>
          <w:color w:val="auto"/>
          <w:highlight w:val="none"/>
        </w:rPr>
      </w:pPr>
      <w:r>
        <w:rPr>
          <w:color w:val="auto"/>
          <w:highlight w:val="none"/>
        </w:rPr>
        <w:t>2.4符合合同条款规定的全部费用应认为已被计入有标价的工程量清单所列各子目之中，未列子目不予计量的工作，其费用应视为已分摊在本合同工程的有关子目的单价或总额价之中。</w:t>
      </w:r>
    </w:p>
    <w:p w14:paraId="5FF4A8F6">
      <w:pPr>
        <w:spacing w:line="360" w:lineRule="auto"/>
        <w:ind w:firstLine="480"/>
        <w:rPr>
          <w:color w:val="auto"/>
          <w:highlight w:val="none"/>
        </w:rPr>
      </w:pPr>
      <w:r>
        <w:rPr>
          <w:color w:val="auto"/>
          <w:highlight w:val="none"/>
        </w:rPr>
        <w:t>2.5承包人用于本合同工程的各类装备的提供、运输、维护、拆卸、拼装等支付的费用，已包括在工程量清单的单价与总额价之中。</w:t>
      </w:r>
    </w:p>
    <w:p w14:paraId="4802C906">
      <w:pPr>
        <w:spacing w:line="360" w:lineRule="auto"/>
        <w:ind w:firstLine="480"/>
        <w:rPr>
          <w:color w:val="auto"/>
          <w:highlight w:val="none"/>
        </w:rPr>
      </w:pPr>
      <w:r>
        <w:rPr>
          <w:rFonts w:hint="eastAsia"/>
          <w:color w:val="auto"/>
          <w:highlight w:val="none"/>
        </w:rPr>
        <w:t>2.6供应商应根据《公路水运工程安全生产监督管理办法》，在竞标总价中计入安全生产费用，安全生产费用应符合合同条款第 9.2.5 项的规定。工程量清单第 100 章内列有上述安全生产费的支付子目，由供应商按磋商文件的规定填写总额价。</w:t>
      </w:r>
    </w:p>
    <w:p w14:paraId="2DE6B4FC">
      <w:pPr>
        <w:spacing w:line="360" w:lineRule="auto"/>
        <w:ind w:firstLine="480"/>
        <w:rPr>
          <w:color w:val="auto"/>
          <w:highlight w:val="none"/>
        </w:rPr>
      </w:pPr>
      <w:r>
        <w:rPr>
          <w:color w:val="auto"/>
          <w:highlight w:val="none"/>
        </w:rPr>
        <w:t>2.</w:t>
      </w:r>
      <w:r>
        <w:rPr>
          <w:rFonts w:hint="eastAsia"/>
          <w:color w:val="auto"/>
          <w:highlight w:val="none"/>
        </w:rPr>
        <w:t>7</w:t>
      </w:r>
      <w:r>
        <w:rPr>
          <w:color w:val="auto"/>
          <w:highlight w:val="none"/>
        </w:rPr>
        <w:t>工程量清单中各项金额均以人民币（元）结算。</w:t>
      </w:r>
    </w:p>
    <w:p w14:paraId="06B9FE2B">
      <w:pPr>
        <w:spacing w:line="360" w:lineRule="auto"/>
        <w:ind w:firstLine="480"/>
        <w:rPr>
          <w:color w:val="auto"/>
          <w:highlight w:val="none"/>
        </w:rPr>
      </w:pPr>
      <w:r>
        <w:rPr>
          <w:color w:val="auto"/>
          <w:highlight w:val="none"/>
        </w:rPr>
        <w:t>2.</w:t>
      </w:r>
      <w:r>
        <w:rPr>
          <w:rFonts w:hint="eastAsia"/>
          <w:color w:val="auto"/>
          <w:highlight w:val="none"/>
        </w:rPr>
        <w:t>8</w:t>
      </w:r>
      <w:r>
        <w:rPr>
          <w:color w:val="auto"/>
          <w:highlight w:val="none"/>
        </w:rPr>
        <w:t>暂列金额（不含计日工总额）的数量及拟用子目的说明：</w:t>
      </w:r>
      <w:r>
        <w:rPr>
          <w:color w:val="auto"/>
          <w:highlight w:val="none"/>
          <w:u w:val="single"/>
        </w:rPr>
        <w:tab/>
      </w:r>
      <w:r>
        <w:rPr>
          <w:rFonts w:hint="eastAsia"/>
          <w:color w:val="auto"/>
          <w:highlight w:val="none"/>
          <w:u w:val="single"/>
        </w:rPr>
        <w:t xml:space="preserve">/  </w:t>
      </w:r>
      <w:r>
        <w:rPr>
          <w:color w:val="auto"/>
          <w:highlight w:val="none"/>
        </w:rPr>
        <w:t>。</w:t>
      </w:r>
    </w:p>
    <w:p w14:paraId="28586A33">
      <w:pPr>
        <w:spacing w:line="360" w:lineRule="auto"/>
        <w:ind w:firstLine="480"/>
        <w:rPr>
          <w:color w:val="auto"/>
          <w:highlight w:val="none"/>
        </w:rPr>
      </w:pPr>
      <w:r>
        <w:rPr>
          <w:color w:val="auto"/>
          <w:highlight w:val="none"/>
        </w:rPr>
        <w:t>2.</w:t>
      </w:r>
      <w:r>
        <w:rPr>
          <w:rFonts w:hint="eastAsia"/>
          <w:color w:val="auto"/>
          <w:highlight w:val="none"/>
        </w:rPr>
        <w:t>9</w:t>
      </w:r>
      <w:r>
        <w:rPr>
          <w:color w:val="auto"/>
          <w:highlight w:val="none"/>
        </w:rPr>
        <w:t>暂估价的数量及拟用子目的说明：</w:t>
      </w:r>
      <w:r>
        <w:rPr>
          <w:rFonts w:hint="eastAsia"/>
          <w:color w:val="auto"/>
          <w:highlight w:val="none"/>
          <w:u w:val="single"/>
        </w:rPr>
        <w:t xml:space="preserve">  /  </w:t>
      </w:r>
      <w:r>
        <w:rPr>
          <w:color w:val="auto"/>
          <w:highlight w:val="none"/>
        </w:rPr>
        <w:t>。</w:t>
      </w:r>
    </w:p>
    <w:p w14:paraId="62EEF14E">
      <w:pPr>
        <w:pStyle w:val="201"/>
        <w:spacing w:before="0" w:after="0" w:line="360" w:lineRule="auto"/>
        <w:rPr>
          <w:color w:val="auto"/>
          <w:highlight w:val="none"/>
        </w:rPr>
      </w:pPr>
      <w:bookmarkStart w:id="101" w:name="_Toc122424262"/>
      <w:bookmarkStart w:id="102" w:name="_Toc16130"/>
      <w:bookmarkStart w:id="103" w:name="_Toc122424013"/>
      <w:bookmarkStart w:id="104" w:name="_Toc233964081"/>
      <w:bookmarkStart w:id="105" w:name="_Toc233964168"/>
      <w:r>
        <w:rPr>
          <w:color w:val="auto"/>
          <w:highlight w:val="none"/>
        </w:rPr>
        <w:t>3.计日工说明</w:t>
      </w:r>
      <w:bookmarkEnd w:id="101"/>
      <w:bookmarkEnd w:id="102"/>
      <w:bookmarkEnd w:id="103"/>
      <w:bookmarkEnd w:id="104"/>
      <w:bookmarkEnd w:id="105"/>
    </w:p>
    <w:p w14:paraId="03AC21D2">
      <w:pPr>
        <w:pStyle w:val="202"/>
        <w:rPr>
          <w:color w:val="auto"/>
          <w:highlight w:val="none"/>
        </w:rPr>
      </w:pPr>
      <w:bookmarkStart w:id="106" w:name="_Toc2050"/>
      <w:r>
        <w:rPr>
          <w:color w:val="auto"/>
          <w:highlight w:val="none"/>
        </w:rPr>
        <w:t>3.1总则</w:t>
      </w:r>
      <w:bookmarkEnd w:id="106"/>
    </w:p>
    <w:p w14:paraId="7D9A18A7">
      <w:pPr>
        <w:spacing w:line="360" w:lineRule="auto"/>
        <w:ind w:firstLine="480"/>
        <w:rPr>
          <w:color w:val="auto"/>
          <w:highlight w:val="none"/>
        </w:rPr>
      </w:pPr>
      <w:r>
        <w:rPr>
          <w:color w:val="auto"/>
          <w:highlight w:val="none"/>
        </w:rPr>
        <w:t>（1）本说明应参照通用合同条款第 15.7 款一并理解。</w:t>
      </w:r>
    </w:p>
    <w:p w14:paraId="1BB0B4AF">
      <w:pPr>
        <w:spacing w:line="360" w:lineRule="auto"/>
        <w:ind w:firstLine="480"/>
        <w:rPr>
          <w:color w:val="auto"/>
          <w:highlight w:val="none"/>
        </w:rPr>
      </w:pPr>
      <w:r>
        <w:rPr>
          <w:color w:val="auto"/>
          <w:highlight w:val="none"/>
        </w:rPr>
        <w:t>（2）未经监理人书面指令，任何工程不得按计日工施工；接到监理人按计日工施工的书面指令，承包人也不得拒绝。</w:t>
      </w:r>
    </w:p>
    <w:p w14:paraId="65105458">
      <w:pPr>
        <w:spacing w:line="360" w:lineRule="auto"/>
        <w:ind w:firstLine="480"/>
        <w:rPr>
          <w:color w:val="auto"/>
          <w:highlight w:val="none"/>
        </w:rPr>
      </w:pPr>
      <w:r>
        <w:rPr>
          <w:color w:val="auto"/>
          <w:highlight w:val="none"/>
        </w:rPr>
        <w:t>（3）供应商应在计日工单价表中填列计日工子目的基本单价或租价，该基本单价或租价适用于监理人指令的任何数量的计日工的结算与支付。计日工的劳务、材料和施工机械由采购人（或发包人）列出正常的估计数量，供应商报出单价，计算出计日工总额后列入工程量清单汇总表中并进入评标价。</w:t>
      </w:r>
    </w:p>
    <w:p w14:paraId="3E80ABB4">
      <w:pPr>
        <w:spacing w:line="360" w:lineRule="auto"/>
        <w:ind w:firstLine="480"/>
        <w:rPr>
          <w:color w:val="auto"/>
          <w:highlight w:val="none"/>
        </w:rPr>
      </w:pPr>
      <w:r>
        <w:rPr>
          <w:color w:val="auto"/>
          <w:highlight w:val="none"/>
        </w:rPr>
        <w:t>（4）计日工不调价。</w:t>
      </w:r>
    </w:p>
    <w:p w14:paraId="6947FC45">
      <w:pPr>
        <w:pStyle w:val="202"/>
        <w:rPr>
          <w:color w:val="auto"/>
          <w:highlight w:val="none"/>
        </w:rPr>
      </w:pPr>
      <w:bookmarkStart w:id="107" w:name="_Toc13076"/>
      <w:r>
        <w:rPr>
          <w:color w:val="auto"/>
          <w:highlight w:val="none"/>
        </w:rPr>
        <w:t>3.2计日工劳务</w:t>
      </w:r>
      <w:bookmarkEnd w:id="107"/>
    </w:p>
    <w:p w14:paraId="09A5C1C8">
      <w:pPr>
        <w:spacing w:line="360" w:lineRule="auto"/>
        <w:ind w:firstLine="480"/>
        <w:rPr>
          <w:color w:val="auto"/>
          <w:highlight w:val="none"/>
        </w:rPr>
      </w:pPr>
      <w:r>
        <w:rPr>
          <w:color w:val="auto"/>
          <w:highlight w:val="none"/>
        </w:rPr>
        <w:t>（1）在计算应付给承包人的计日工工资时，工时应从工人到达施工现场，并开始从事指定的工作算起，到返回原出发地点为止，扣去用餐和休息的时间。只有直接从事指定的工作，且能胜任该工作的工人才能计工，随同工人一起做工的班长应计算在内，但不包括领工（工长）和其他质检管理人员。</w:t>
      </w:r>
    </w:p>
    <w:p w14:paraId="3707B98C">
      <w:pPr>
        <w:spacing w:line="360" w:lineRule="auto"/>
        <w:ind w:firstLine="480"/>
        <w:rPr>
          <w:color w:val="auto"/>
          <w:highlight w:val="none"/>
        </w:rPr>
      </w:pPr>
      <w:r>
        <w:rPr>
          <w:color w:val="auto"/>
          <w:highlight w:val="none"/>
        </w:rPr>
        <w:t>（2）承包人可以得到用于计日工劳务的全部工时的支付，此支付按承包人填报的“计日工劳务单价表”所列单价计算，该单价应包括基本单价及承包人的管理费、税费、利润等所有附加费，说明如下：</w:t>
      </w:r>
    </w:p>
    <w:p w14:paraId="3E6609EC">
      <w:pPr>
        <w:spacing w:line="360" w:lineRule="auto"/>
        <w:ind w:firstLine="480"/>
        <w:rPr>
          <w:color w:val="auto"/>
          <w:highlight w:val="none"/>
        </w:rPr>
      </w:pPr>
      <w:r>
        <w:rPr>
          <w:color w:val="auto"/>
          <w:highlight w:val="none"/>
        </w:rPr>
        <w:t>a.劳务基本单价包括：承包人劳务的全部直接费用，如：工资、加班费、津贴、福利费及劳动保护费等。</w:t>
      </w:r>
    </w:p>
    <w:p w14:paraId="6B97894F">
      <w:pPr>
        <w:spacing w:line="360" w:lineRule="auto"/>
        <w:ind w:firstLine="480"/>
        <w:rPr>
          <w:color w:val="auto"/>
          <w:highlight w:val="none"/>
        </w:rPr>
      </w:pPr>
      <w:r>
        <w:rPr>
          <w:color w:val="auto"/>
          <w:highlight w:val="none"/>
        </w:rPr>
        <w:t>b.承包人的利润、管理、质检、保险、税费；易耗品的使用，水电及照明费， 工作台、脚手架、临时设施费，手动机具与工具的使用及维修，以及上述各项伴随而来的费用。</w:t>
      </w:r>
    </w:p>
    <w:p w14:paraId="2F7B8F17">
      <w:pPr>
        <w:pStyle w:val="202"/>
        <w:rPr>
          <w:color w:val="auto"/>
          <w:highlight w:val="none"/>
        </w:rPr>
      </w:pPr>
      <w:bookmarkStart w:id="108" w:name="_Toc23837"/>
      <w:r>
        <w:rPr>
          <w:color w:val="auto"/>
          <w:highlight w:val="none"/>
        </w:rPr>
        <w:t>3.3计日工材料</w:t>
      </w:r>
      <w:bookmarkEnd w:id="108"/>
    </w:p>
    <w:p w14:paraId="322D34B5">
      <w:pPr>
        <w:spacing w:line="360" w:lineRule="auto"/>
        <w:ind w:firstLine="480"/>
        <w:rPr>
          <w:color w:val="auto"/>
          <w:highlight w:val="none"/>
        </w:rPr>
      </w:pPr>
      <w:r>
        <w:rPr>
          <w:color w:val="auto"/>
          <w:highlight w:val="none"/>
        </w:rPr>
        <w:t>承包人可以得到计日工使用的材料费用（上述 3.2 款已计入劳务费内的材料费用除外）的支付，此费用按承包人“计日工材料单价表”中所填报的单价计算，该单价应包括基本单价及承包人的管理费、税费、利润等所有附加费，说明如下：</w:t>
      </w:r>
    </w:p>
    <w:p w14:paraId="0B4BC4F2">
      <w:pPr>
        <w:spacing w:line="360" w:lineRule="auto"/>
        <w:ind w:firstLine="480"/>
        <w:rPr>
          <w:color w:val="auto"/>
          <w:highlight w:val="none"/>
        </w:rPr>
      </w:pPr>
      <w:r>
        <w:rPr>
          <w:color w:val="auto"/>
          <w:highlight w:val="none"/>
        </w:rPr>
        <w:t>（1）材料基本单价按供货价加运杂费（到达承包人现场仓库）、保险费、仓库管理费以及运输损耗等计算；</w:t>
      </w:r>
    </w:p>
    <w:p w14:paraId="74CF2C70">
      <w:pPr>
        <w:spacing w:line="360" w:lineRule="auto"/>
        <w:ind w:firstLine="480"/>
        <w:rPr>
          <w:color w:val="auto"/>
          <w:highlight w:val="none"/>
        </w:rPr>
      </w:pPr>
      <w:r>
        <w:rPr>
          <w:color w:val="auto"/>
          <w:highlight w:val="none"/>
        </w:rPr>
        <w:t>（2）承包人的利润、管理、质检、保险、税费及其他附加费；</w:t>
      </w:r>
    </w:p>
    <w:p w14:paraId="4AE8AB30">
      <w:pPr>
        <w:spacing w:line="360" w:lineRule="auto"/>
        <w:ind w:firstLine="480"/>
        <w:rPr>
          <w:color w:val="auto"/>
          <w:highlight w:val="none"/>
        </w:rPr>
      </w:pPr>
      <w:r>
        <w:rPr>
          <w:color w:val="auto"/>
          <w:highlight w:val="none"/>
        </w:rPr>
        <w:t>（3）从现场运至使用地点的人工费和施工机械使用费不包括在上述基本单价</w:t>
      </w:r>
    </w:p>
    <w:p w14:paraId="5AFC3CDB">
      <w:pPr>
        <w:spacing w:line="360" w:lineRule="auto"/>
        <w:ind w:firstLine="480"/>
        <w:rPr>
          <w:color w:val="auto"/>
          <w:highlight w:val="none"/>
        </w:rPr>
      </w:pPr>
      <w:r>
        <w:rPr>
          <w:color w:val="auto"/>
          <w:highlight w:val="none"/>
        </w:rPr>
        <w:t>内。</w:t>
      </w:r>
    </w:p>
    <w:p w14:paraId="19B79765">
      <w:pPr>
        <w:pStyle w:val="202"/>
        <w:rPr>
          <w:color w:val="auto"/>
          <w:highlight w:val="none"/>
        </w:rPr>
      </w:pPr>
      <w:r>
        <w:rPr>
          <w:color w:val="auto"/>
          <w:highlight w:val="none"/>
        </w:rPr>
        <w:t>3.4计日工施工机械</w:t>
      </w:r>
    </w:p>
    <w:p w14:paraId="3337BE81">
      <w:pPr>
        <w:spacing w:line="360" w:lineRule="auto"/>
        <w:ind w:firstLine="480"/>
        <w:rPr>
          <w:color w:val="auto"/>
          <w:highlight w:val="none"/>
        </w:rPr>
      </w:pPr>
      <w:r>
        <w:rPr>
          <w:color w:val="auto"/>
          <w:highlight w:val="none"/>
        </w:rPr>
        <w:t>（1）承包人可以得到用于计日工作业的施工机械费用的支付，该费用按承包</w:t>
      </w:r>
    </w:p>
    <w:p w14:paraId="7C943945">
      <w:pPr>
        <w:spacing w:line="360" w:lineRule="auto"/>
        <w:ind w:firstLine="480"/>
        <w:rPr>
          <w:color w:val="auto"/>
          <w:highlight w:val="none"/>
        </w:rPr>
      </w:pPr>
      <w:r>
        <w:rPr>
          <w:color w:val="auto"/>
          <w:highlight w:val="none"/>
        </w:rPr>
        <w:t>人填报的“计日工施工机械单价表”中的租价计算。该租价应包括施工机械的折旧、利息、维修、保养、零配件、油燃料、保险和其他消耗品的费用以及全部有关使用这些机械的管理费、税费、利润和司机与助手的劳务费等费用。</w:t>
      </w:r>
    </w:p>
    <w:p w14:paraId="5D66072C">
      <w:pPr>
        <w:spacing w:line="360" w:lineRule="auto"/>
        <w:ind w:firstLine="480"/>
        <w:rPr>
          <w:color w:val="auto"/>
          <w:highlight w:val="none"/>
        </w:rPr>
      </w:pPr>
      <w:r>
        <w:rPr>
          <w:color w:val="auto"/>
          <w:highlight w:val="none"/>
        </w:rPr>
        <w:t>（2）在计日工作业中，承包人计算所用的施工机械费用时，应按实际工作小时支付。除非经监理人的同意，计算的工作小时才能将施工机械从现场某处运到监理人指令的计日工作业的另一现场往返运送时间包括在内。</w:t>
      </w:r>
    </w:p>
    <w:p w14:paraId="2E2E0D9C">
      <w:pPr>
        <w:pStyle w:val="201"/>
        <w:spacing w:before="0" w:after="0" w:line="360" w:lineRule="auto"/>
        <w:rPr>
          <w:color w:val="auto"/>
          <w:highlight w:val="none"/>
        </w:rPr>
      </w:pPr>
      <w:bookmarkStart w:id="109" w:name="_Toc25846"/>
      <w:bookmarkStart w:id="110" w:name="_Toc122424263"/>
      <w:bookmarkStart w:id="111" w:name="_Toc233964082"/>
      <w:bookmarkStart w:id="112" w:name="_Toc233964169"/>
      <w:r>
        <w:rPr>
          <w:color w:val="auto"/>
          <w:highlight w:val="none"/>
        </w:rPr>
        <w:t>4.其他说明</w:t>
      </w:r>
      <w:bookmarkEnd w:id="109"/>
      <w:bookmarkEnd w:id="110"/>
      <w:bookmarkEnd w:id="111"/>
      <w:bookmarkEnd w:id="112"/>
    </w:p>
    <w:p w14:paraId="37CCDF5B">
      <w:pPr>
        <w:pStyle w:val="201"/>
        <w:spacing w:before="0" w:after="0" w:line="360" w:lineRule="auto"/>
        <w:rPr>
          <w:color w:val="auto"/>
          <w:highlight w:val="none"/>
        </w:rPr>
      </w:pPr>
      <w:bookmarkStart w:id="113" w:name="_Toc233964083"/>
      <w:bookmarkStart w:id="114" w:name="_Toc233964170"/>
      <w:r>
        <w:rPr>
          <w:rFonts w:hint="eastAsia"/>
          <w:color w:val="auto"/>
          <w:highlight w:val="none"/>
        </w:rPr>
        <w:t>5.图纸（另册）</w:t>
      </w:r>
      <w:bookmarkEnd w:id="113"/>
      <w:bookmarkEnd w:id="114"/>
    </w:p>
    <w:p w14:paraId="49A17D0D">
      <w:pPr>
        <w:pStyle w:val="201"/>
        <w:spacing w:before="0" w:after="0" w:line="360" w:lineRule="auto"/>
        <w:rPr>
          <w:color w:val="auto"/>
          <w:highlight w:val="none"/>
        </w:rPr>
      </w:pPr>
      <w:r>
        <w:rPr>
          <w:color w:val="auto"/>
          <w:highlight w:val="none"/>
        </w:rPr>
        <w:br w:type="page" w:clear="all"/>
      </w:r>
    </w:p>
    <w:p w14:paraId="53473124">
      <w:pPr>
        <w:rPr>
          <w:color w:val="auto"/>
          <w:highlight w:val="none"/>
        </w:rPr>
      </w:pPr>
    </w:p>
    <w:p w14:paraId="6D350E9D">
      <w:pPr>
        <w:rPr>
          <w:color w:val="auto"/>
          <w:highlight w:val="none"/>
        </w:rPr>
      </w:pPr>
    </w:p>
    <w:p w14:paraId="277E8364">
      <w:pPr>
        <w:rPr>
          <w:color w:val="auto"/>
          <w:highlight w:val="none"/>
        </w:rPr>
      </w:pPr>
    </w:p>
    <w:p w14:paraId="3B834B9A">
      <w:pPr>
        <w:rPr>
          <w:color w:val="auto"/>
          <w:highlight w:val="none"/>
        </w:rPr>
      </w:pPr>
    </w:p>
    <w:p w14:paraId="36F8163B">
      <w:pPr>
        <w:rPr>
          <w:color w:val="auto"/>
          <w:highlight w:val="none"/>
        </w:rPr>
      </w:pPr>
    </w:p>
    <w:p w14:paraId="6679B39E">
      <w:pPr>
        <w:rPr>
          <w:color w:val="auto"/>
          <w:highlight w:val="none"/>
        </w:rPr>
      </w:pPr>
    </w:p>
    <w:p w14:paraId="65EC9A99">
      <w:pPr>
        <w:rPr>
          <w:color w:val="auto"/>
          <w:highlight w:val="none"/>
        </w:rPr>
      </w:pPr>
    </w:p>
    <w:p w14:paraId="40F3D67E">
      <w:pPr>
        <w:rPr>
          <w:color w:val="auto"/>
          <w:highlight w:val="none"/>
        </w:rPr>
      </w:pPr>
    </w:p>
    <w:p w14:paraId="657883BA">
      <w:pPr>
        <w:rPr>
          <w:color w:val="auto"/>
          <w:highlight w:val="none"/>
        </w:rPr>
      </w:pPr>
    </w:p>
    <w:p w14:paraId="5B625C3F">
      <w:pPr>
        <w:rPr>
          <w:color w:val="auto"/>
          <w:highlight w:val="none"/>
        </w:rPr>
      </w:pPr>
    </w:p>
    <w:p w14:paraId="6779C961">
      <w:pPr>
        <w:rPr>
          <w:color w:val="auto"/>
          <w:highlight w:val="none"/>
        </w:rPr>
      </w:pPr>
    </w:p>
    <w:p w14:paraId="462F8F0A">
      <w:pPr>
        <w:rPr>
          <w:color w:val="auto"/>
          <w:highlight w:val="none"/>
        </w:rPr>
      </w:pPr>
    </w:p>
    <w:p w14:paraId="298F55B1">
      <w:pPr>
        <w:rPr>
          <w:color w:val="auto"/>
          <w:highlight w:val="none"/>
        </w:rPr>
      </w:pPr>
    </w:p>
    <w:p w14:paraId="7AD71FB8">
      <w:pPr>
        <w:rPr>
          <w:color w:val="auto"/>
          <w:highlight w:val="none"/>
        </w:rPr>
      </w:pPr>
    </w:p>
    <w:p w14:paraId="29E8CD6E">
      <w:pPr>
        <w:rPr>
          <w:color w:val="auto"/>
          <w:highlight w:val="none"/>
        </w:rPr>
      </w:pPr>
    </w:p>
    <w:p w14:paraId="631DCAE7">
      <w:pPr>
        <w:rPr>
          <w:color w:val="auto"/>
          <w:highlight w:val="none"/>
        </w:rPr>
      </w:pPr>
    </w:p>
    <w:p w14:paraId="08FDE6E0">
      <w:pPr>
        <w:rPr>
          <w:color w:val="auto"/>
          <w:highlight w:val="none"/>
        </w:rPr>
      </w:pPr>
    </w:p>
    <w:p w14:paraId="0F8EC285">
      <w:pPr>
        <w:pStyle w:val="199"/>
        <w:jc w:val="center"/>
        <w:rPr>
          <w:color w:val="auto"/>
          <w:highlight w:val="none"/>
        </w:rPr>
      </w:pPr>
      <w:bookmarkStart w:id="115" w:name="_Toc233964171"/>
      <w:r>
        <w:rPr>
          <w:rFonts w:hint="eastAsia"/>
          <w:color w:val="auto"/>
          <w:highlight w:val="none"/>
        </w:rPr>
        <w:t>第六章 响应文件格式</w:t>
      </w:r>
      <w:bookmarkEnd w:id="115"/>
    </w:p>
    <w:p w14:paraId="72C9230F">
      <w:pPr>
        <w:spacing w:line="240" w:lineRule="atLeast"/>
        <w:rPr>
          <w:rFonts w:hint="eastAsia" w:ascii="宋体" w:hAnsi="宋体"/>
          <w:b/>
          <w:color w:val="auto"/>
          <w:sz w:val="32"/>
          <w:szCs w:val="32"/>
          <w:highlight w:val="none"/>
        </w:rPr>
      </w:pPr>
    </w:p>
    <w:p w14:paraId="2952DFE0">
      <w:pPr>
        <w:spacing w:line="240" w:lineRule="atLeast"/>
        <w:rPr>
          <w:rFonts w:hint="eastAsia" w:ascii="宋体" w:hAnsi="宋体"/>
          <w:b/>
          <w:color w:val="auto"/>
          <w:sz w:val="32"/>
          <w:szCs w:val="32"/>
          <w:highlight w:val="none"/>
        </w:rPr>
      </w:pPr>
    </w:p>
    <w:p w14:paraId="6B635DBA">
      <w:pPr>
        <w:spacing w:line="240" w:lineRule="atLeast"/>
        <w:rPr>
          <w:rFonts w:hint="eastAsia" w:ascii="宋体" w:hAnsi="宋体"/>
          <w:b/>
          <w:color w:val="auto"/>
          <w:sz w:val="32"/>
          <w:szCs w:val="32"/>
          <w:highlight w:val="none"/>
        </w:rPr>
      </w:pPr>
    </w:p>
    <w:p w14:paraId="5E0FA21A">
      <w:pPr>
        <w:spacing w:line="240" w:lineRule="atLeast"/>
        <w:rPr>
          <w:rFonts w:hint="eastAsia" w:ascii="宋体" w:hAnsi="宋体"/>
          <w:b/>
          <w:color w:val="auto"/>
          <w:sz w:val="32"/>
          <w:szCs w:val="32"/>
          <w:highlight w:val="none"/>
        </w:rPr>
      </w:pPr>
    </w:p>
    <w:p w14:paraId="18CAB144">
      <w:pPr>
        <w:spacing w:line="240" w:lineRule="atLeast"/>
        <w:rPr>
          <w:rFonts w:hint="eastAsia" w:ascii="宋体" w:hAnsi="宋体"/>
          <w:b/>
          <w:color w:val="auto"/>
          <w:sz w:val="32"/>
          <w:szCs w:val="32"/>
          <w:highlight w:val="none"/>
        </w:rPr>
      </w:pPr>
    </w:p>
    <w:p w14:paraId="32FF2DCF">
      <w:pPr>
        <w:spacing w:line="240" w:lineRule="atLeast"/>
        <w:rPr>
          <w:rFonts w:hint="eastAsia" w:ascii="宋体" w:hAnsi="宋体"/>
          <w:b/>
          <w:color w:val="auto"/>
          <w:sz w:val="32"/>
          <w:szCs w:val="32"/>
          <w:highlight w:val="none"/>
        </w:rPr>
      </w:pPr>
    </w:p>
    <w:p w14:paraId="028D2935">
      <w:pPr>
        <w:spacing w:line="240" w:lineRule="atLeast"/>
        <w:rPr>
          <w:rFonts w:hint="eastAsia" w:ascii="宋体" w:hAnsi="宋体"/>
          <w:b/>
          <w:color w:val="auto"/>
          <w:sz w:val="32"/>
          <w:szCs w:val="32"/>
          <w:highlight w:val="none"/>
        </w:rPr>
      </w:pPr>
    </w:p>
    <w:p w14:paraId="7C7282E8">
      <w:pPr>
        <w:spacing w:line="240" w:lineRule="atLeast"/>
        <w:rPr>
          <w:rFonts w:hint="eastAsia" w:ascii="宋体" w:hAnsi="宋体"/>
          <w:b/>
          <w:color w:val="auto"/>
          <w:sz w:val="32"/>
          <w:szCs w:val="32"/>
          <w:highlight w:val="none"/>
        </w:rPr>
      </w:pPr>
    </w:p>
    <w:p w14:paraId="50150860">
      <w:pPr>
        <w:spacing w:line="240" w:lineRule="atLeast"/>
        <w:rPr>
          <w:rFonts w:hint="eastAsia" w:ascii="宋体" w:hAnsi="宋体"/>
          <w:b/>
          <w:color w:val="auto"/>
          <w:sz w:val="32"/>
          <w:szCs w:val="32"/>
          <w:highlight w:val="none"/>
        </w:rPr>
      </w:pPr>
    </w:p>
    <w:p w14:paraId="51EF32A6">
      <w:pPr>
        <w:spacing w:before="50" w:after="50"/>
        <w:outlineLvl w:val="1"/>
        <w:rPr>
          <w:rFonts w:hint="eastAsia" w:ascii="宋体" w:hAnsi="宋体"/>
          <w:b/>
          <w:bCs/>
          <w:color w:val="auto"/>
          <w:sz w:val="24"/>
          <w:highlight w:val="none"/>
        </w:rPr>
      </w:pPr>
    </w:p>
    <w:p w14:paraId="6076FA19">
      <w:pPr>
        <w:spacing w:before="156" w:after="50"/>
        <w:jc w:val="center"/>
        <w:rPr>
          <w:rFonts w:hint="eastAsia" w:ascii="仿宋_GB2312" w:hAnsi="仿宋_GB2312" w:eastAsia="仿宋_GB2312" w:cs="仿宋_GB2312"/>
          <w:bCs/>
          <w:color w:val="auto"/>
          <w:sz w:val="32"/>
          <w:szCs w:val="32"/>
          <w:highlight w:val="none"/>
        </w:rPr>
      </w:pPr>
    </w:p>
    <w:p w14:paraId="4F656B38">
      <w:pPr>
        <w:rPr>
          <w:b/>
          <w:color w:val="auto"/>
          <w:sz w:val="32"/>
          <w:szCs w:val="32"/>
          <w:highlight w:val="none"/>
        </w:rPr>
      </w:pPr>
      <w:r>
        <w:rPr>
          <w:b/>
          <w:color w:val="auto"/>
          <w:sz w:val="32"/>
          <w:szCs w:val="32"/>
          <w:highlight w:val="none"/>
        </w:rPr>
        <w:br w:type="page" w:clear="all"/>
      </w:r>
      <w:r>
        <w:rPr>
          <w:rFonts w:hint="eastAsia"/>
          <w:b/>
          <w:color w:val="auto"/>
          <w:sz w:val="32"/>
          <w:szCs w:val="32"/>
          <w:highlight w:val="none"/>
        </w:rPr>
        <w:t>一、资格证明文件格式</w:t>
      </w:r>
    </w:p>
    <w:p w14:paraId="00CF30E5">
      <w:pPr>
        <w:spacing w:before="156" w:after="50" w:line="360" w:lineRule="auto"/>
        <w:jc w:val="left"/>
        <w:rPr>
          <w:rFonts w:hint="eastAsia"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279363BC">
      <w:pPr>
        <w:spacing w:before="156" w:after="50"/>
        <w:jc w:val="center"/>
        <w:rPr>
          <w:rFonts w:hint="eastAsia" w:ascii="宋体" w:hAnsi="宋体"/>
          <w:color w:val="auto"/>
          <w:sz w:val="44"/>
          <w:szCs w:val="44"/>
          <w:highlight w:val="none"/>
        </w:rPr>
      </w:pPr>
    </w:p>
    <w:p w14:paraId="5C65F305">
      <w:pPr>
        <w:spacing w:before="156" w:after="50"/>
        <w:jc w:val="center"/>
        <w:rPr>
          <w:rFonts w:hint="eastAsia" w:ascii="宋体" w:hAnsi="宋体"/>
          <w:color w:val="auto"/>
          <w:sz w:val="44"/>
          <w:szCs w:val="44"/>
          <w:highlight w:val="none"/>
        </w:rPr>
      </w:pPr>
      <w:r>
        <w:rPr>
          <w:rFonts w:hint="eastAsia" w:ascii="宋体" w:hAnsi="宋体"/>
          <w:color w:val="auto"/>
          <w:sz w:val="44"/>
          <w:szCs w:val="44"/>
          <w:highlight w:val="none"/>
        </w:rPr>
        <w:t>电 子 响 应 文 件</w:t>
      </w:r>
    </w:p>
    <w:p w14:paraId="4E28F659">
      <w:pPr>
        <w:spacing w:before="156" w:after="50"/>
        <w:rPr>
          <w:rFonts w:hint="eastAsia" w:ascii="宋体" w:hAnsi="宋体"/>
          <w:color w:val="auto"/>
          <w:sz w:val="24"/>
          <w:szCs w:val="20"/>
          <w:highlight w:val="none"/>
        </w:rPr>
      </w:pPr>
    </w:p>
    <w:p w14:paraId="147F894E">
      <w:pPr>
        <w:spacing w:before="156"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7BC3280F">
      <w:pPr>
        <w:spacing w:before="156" w:after="50"/>
        <w:rPr>
          <w:rFonts w:hint="eastAsia" w:ascii="宋体" w:hAnsi="宋体"/>
          <w:bCs/>
          <w:color w:val="auto"/>
          <w:sz w:val="24"/>
          <w:szCs w:val="20"/>
          <w:highlight w:val="none"/>
        </w:rPr>
      </w:pPr>
    </w:p>
    <w:p w14:paraId="08E4C688">
      <w:pPr>
        <w:spacing w:before="156" w:after="50"/>
        <w:rPr>
          <w:rFonts w:hint="eastAsia" w:ascii="宋体" w:hAnsi="宋体"/>
          <w:bCs/>
          <w:color w:val="auto"/>
          <w:sz w:val="24"/>
          <w:szCs w:val="20"/>
          <w:highlight w:val="none"/>
        </w:rPr>
      </w:pPr>
    </w:p>
    <w:p w14:paraId="4BA10548">
      <w:pPr>
        <w:spacing w:before="156" w:after="50"/>
        <w:rPr>
          <w:rFonts w:hint="eastAsia" w:ascii="宋体" w:hAnsi="宋体"/>
          <w:bCs/>
          <w:color w:val="auto"/>
          <w:sz w:val="24"/>
          <w:szCs w:val="20"/>
          <w:highlight w:val="none"/>
        </w:rPr>
      </w:pPr>
    </w:p>
    <w:p w14:paraId="7B5465A2">
      <w:pPr>
        <w:spacing w:before="156" w:after="50"/>
        <w:rPr>
          <w:rFonts w:hint="eastAsia" w:ascii="宋体" w:hAnsi="宋体"/>
          <w:bCs/>
          <w:color w:val="auto"/>
          <w:sz w:val="24"/>
          <w:szCs w:val="20"/>
          <w:highlight w:val="none"/>
        </w:rPr>
      </w:pPr>
    </w:p>
    <w:p w14:paraId="6FCBE6D1">
      <w:pPr>
        <w:spacing w:before="156" w:after="50"/>
        <w:rPr>
          <w:rFonts w:hint="eastAsia" w:ascii="宋体" w:hAnsi="宋体"/>
          <w:bCs/>
          <w:color w:val="auto"/>
          <w:sz w:val="24"/>
          <w:szCs w:val="20"/>
          <w:highlight w:val="none"/>
        </w:rPr>
      </w:pPr>
    </w:p>
    <w:p w14:paraId="7C62E093">
      <w:pPr>
        <w:spacing w:before="156"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784E62F5">
      <w:pPr>
        <w:spacing w:before="156" w:after="50"/>
        <w:ind w:firstLine="720"/>
        <w:rPr>
          <w:rFonts w:hint="eastAsia" w:ascii="宋体" w:hAnsi="宋体" w:cs="仿宋_GB2312"/>
          <w:bCs/>
          <w:color w:val="auto"/>
          <w:sz w:val="32"/>
          <w:szCs w:val="32"/>
          <w:highlight w:val="none"/>
        </w:rPr>
      </w:pPr>
    </w:p>
    <w:p w14:paraId="72373F12">
      <w:pPr>
        <w:spacing w:before="156"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C7B8F4C">
      <w:pPr>
        <w:spacing w:before="156"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3B3536E5">
      <w:pPr>
        <w:spacing w:before="156"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0387B255">
      <w:pPr>
        <w:spacing w:before="156" w:after="50"/>
        <w:ind w:firstLine="720"/>
        <w:rPr>
          <w:rFonts w:hint="eastAsia" w:ascii="宋体" w:hAnsi="宋体" w:cs="仿宋_GB2312"/>
          <w:bCs/>
          <w:color w:val="auto"/>
          <w:sz w:val="32"/>
          <w:szCs w:val="32"/>
          <w:highlight w:val="none"/>
        </w:rPr>
      </w:pPr>
    </w:p>
    <w:p w14:paraId="07D110C5">
      <w:pPr>
        <w:pStyle w:val="204"/>
        <w:spacing w:before="5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7A7CF748">
      <w:pPr>
        <w:spacing w:before="156" w:after="50"/>
        <w:ind w:firstLine="640"/>
        <w:rPr>
          <w:rFonts w:hint="eastAsia" w:ascii="宋体" w:hAnsi="宋体" w:cs="仿宋_GB2312"/>
          <w:bCs/>
          <w:color w:val="auto"/>
          <w:sz w:val="32"/>
          <w:szCs w:val="32"/>
          <w:highlight w:val="none"/>
        </w:rPr>
      </w:pPr>
    </w:p>
    <w:p w14:paraId="27277B52">
      <w:pPr>
        <w:pStyle w:val="204"/>
        <w:spacing w:before="50" w:after="50"/>
        <w:ind w:firstLine="720"/>
        <w:rPr>
          <w:rFonts w:hint="eastAsia" w:ascii="宋体" w:hAnsi="宋体" w:cs="仿宋_GB2312"/>
          <w:bCs/>
          <w:color w:val="auto"/>
          <w:sz w:val="32"/>
          <w:szCs w:val="32"/>
          <w:highlight w:val="none"/>
        </w:rPr>
      </w:pPr>
    </w:p>
    <w:p w14:paraId="30B2BD80">
      <w:pPr>
        <w:pStyle w:val="204"/>
        <w:spacing w:before="50" w:after="50"/>
        <w:ind w:firstLine="720"/>
        <w:rPr>
          <w:rFonts w:hint="eastAsia" w:ascii="宋体" w:hAnsi="宋体" w:cs="仿宋_GB2312"/>
          <w:bCs/>
          <w:color w:val="auto"/>
          <w:sz w:val="32"/>
          <w:szCs w:val="32"/>
          <w:highlight w:val="none"/>
        </w:rPr>
      </w:pPr>
    </w:p>
    <w:p w14:paraId="541CA0A1">
      <w:pPr>
        <w:pStyle w:val="204"/>
        <w:spacing w:before="50" w:after="50"/>
        <w:ind w:firstLine="1280"/>
        <w:rPr>
          <w:rFonts w:hint="eastAsia" w:ascii="宋体" w:hAnsi="宋体" w:cs="仿宋_GB2312"/>
          <w:bCs/>
          <w:color w:val="auto"/>
          <w:sz w:val="32"/>
          <w:szCs w:val="32"/>
          <w:highlight w:val="none"/>
        </w:rPr>
      </w:pPr>
    </w:p>
    <w:p w14:paraId="694B251D">
      <w:pPr>
        <w:spacing w:before="156"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02DBC792">
      <w:pPr>
        <w:spacing w:before="156" w:after="50" w:line="360" w:lineRule="auto"/>
        <w:ind w:left="142"/>
        <w:jc w:val="left"/>
        <w:rPr>
          <w:rFonts w:hint="eastAsia" w:ascii="宋体" w:hAnsi="宋体"/>
          <w:b/>
          <w:bCs/>
          <w:color w:val="auto"/>
          <w:sz w:val="32"/>
          <w:szCs w:val="32"/>
          <w:highlight w:val="none"/>
        </w:rPr>
      </w:pPr>
      <w:r>
        <w:rPr>
          <w:rFonts w:ascii="宋体" w:hAnsi="宋体"/>
          <w:color w:val="auto"/>
          <w:sz w:val="24"/>
          <w:highlight w:val="none"/>
        </w:rPr>
        <w:br w:type="page" w:clear="all"/>
      </w:r>
      <w:r>
        <w:rPr>
          <w:rFonts w:hint="eastAsia" w:ascii="宋体" w:hAnsi="宋体"/>
          <w:b/>
          <w:bCs/>
          <w:color w:val="auto"/>
          <w:sz w:val="32"/>
          <w:szCs w:val="32"/>
          <w:highlight w:val="none"/>
        </w:rPr>
        <w:t>2.资格证明文件目录</w:t>
      </w:r>
    </w:p>
    <w:p w14:paraId="4483CD15">
      <w:pPr>
        <w:spacing w:before="156" w:after="50" w:line="360" w:lineRule="auto"/>
        <w:ind w:firstLine="645"/>
        <w:rPr>
          <w:rFonts w:hint="eastAsia"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0F5F7C72">
      <w:pPr>
        <w:spacing w:before="156" w:after="50"/>
        <w:rPr>
          <w:rFonts w:hint="eastAsia" w:ascii="宋体" w:hAnsi="宋体"/>
          <w:color w:val="auto"/>
          <w:sz w:val="24"/>
          <w:szCs w:val="20"/>
          <w:highlight w:val="none"/>
        </w:rPr>
      </w:pPr>
      <w:r>
        <w:rPr>
          <w:rFonts w:ascii="宋体" w:hAnsi="宋体"/>
          <w:color w:val="auto"/>
          <w:sz w:val="24"/>
          <w:szCs w:val="20"/>
          <w:highlight w:val="none"/>
        </w:rPr>
        <w:t xml:space="preserve"> </w:t>
      </w:r>
    </w:p>
    <w:p w14:paraId="5D35D56A">
      <w:pPr>
        <w:spacing w:line="300" w:lineRule="auto"/>
        <w:rPr>
          <w:rFonts w:hint="eastAsia" w:ascii="宋体" w:hAnsi="宋体"/>
          <w:color w:val="auto"/>
          <w:szCs w:val="21"/>
          <w:highlight w:val="none"/>
        </w:rPr>
      </w:pPr>
    </w:p>
    <w:p w14:paraId="75491F97">
      <w:pPr>
        <w:spacing w:line="300" w:lineRule="auto"/>
        <w:rPr>
          <w:rFonts w:hint="eastAsia" w:ascii="宋体" w:hAnsi="宋体"/>
          <w:color w:val="auto"/>
          <w:szCs w:val="21"/>
          <w:highlight w:val="none"/>
        </w:rPr>
      </w:pPr>
    </w:p>
    <w:p w14:paraId="114DED21">
      <w:pPr>
        <w:spacing w:line="300" w:lineRule="auto"/>
        <w:rPr>
          <w:rFonts w:hint="eastAsia" w:ascii="宋体" w:hAnsi="宋体"/>
          <w:color w:val="auto"/>
          <w:szCs w:val="21"/>
          <w:highlight w:val="none"/>
        </w:rPr>
      </w:pPr>
    </w:p>
    <w:p w14:paraId="758EB578">
      <w:pPr>
        <w:spacing w:line="300" w:lineRule="auto"/>
        <w:rPr>
          <w:rFonts w:hint="eastAsia" w:ascii="宋体" w:hAnsi="宋体"/>
          <w:color w:val="auto"/>
          <w:szCs w:val="21"/>
          <w:highlight w:val="none"/>
        </w:rPr>
      </w:pPr>
    </w:p>
    <w:p w14:paraId="7ED4BC6B">
      <w:pPr>
        <w:spacing w:line="300" w:lineRule="auto"/>
        <w:rPr>
          <w:rFonts w:hint="eastAsia" w:ascii="宋体" w:hAnsi="宋体"/>
          <w:color w:val="auto"/>
          <w:szCs w:val="21"/>
          <w:highlight w:val="none"/>
        </w:rPr>
      </w:pPr>
    </w:p>
    <w:p w14:paraId="424D5094">
      <w:pPr>
        <w:spacing w:line="300" w:lineRule="auto"/>
        <w:rPr>
          <w:rFonts w:hint="eastAsia" w:ascii="宋体" w:hAnsi="宋体"/>
          <w:color w:val="auto"/>
          <w:szCs w:val="21"/>
          <w:highlight w:val="none"/>
        </w:rPr>
      </w:pPr>
    </w:p>
    <w:p w14:paraId="2B191369">
      <w:pPr>
        <w:spacing w:line="300" w:lineRule="auto"/>
        <w:rPr>
          <w:rFonts w:hint="eastAsia" w:ascii="宋体" w:hAnsi="宋体"/>
          <w:color w:val="auto"/>
          <w:szCs w:val="21"/>
          <w:highlight w:val="none"/>
        </w:rPr>
      </w:pPr>
    </w:p>
    <w:p w14:paraId="7C0A6E38">
      <w:pPr>
        <w:spacing w:line="300" w:lineRule="auto"/>
        <w:rPr>
          <w:rFonts w:hint="eastAsia" w:ascii="宋体" w:hAnsi="宋体"/>
          <w:color w:val="auto"/>
          <w:szCs w:val="21"/>
          <w:highlight w:val="none"/>
        </w:rPr>
      </w:pPr>
    </w:p>
    <w:p w14:paraId="37335AB2">
      <w:pPr>
        <w:spacing w:line="300" w:lineRule="auto"/>
        <w:rPr>
          <w:rFonts w:hint="eastAsia" w:ascii="宋体" w:hAnsi="宋体"/>
          <w:color w:val="auto"/>
          <w:szCs w:val="21"/>
          <w:highlight w:val="none"/>
        </w:rPr>
      </w:pPr>
    </w:p>
    <w:p w14:paraId="482B3E59">
      <w:pPr>
        <w:spacing w:line="300" w:lineRule="auto"/>
        <w:rPr>
          <w:rFonts w:hint="eastAsia" w:ascii="宋体" w:hAnsi="宋体"/>
          <w:color w:val="auto"/>
          <w:szCs w:val="21"/>
          <w:highlight w:val="none"/>
        </w:rPr>
      </w:pPr>
    </w:p>
    <w:p w14:paraId="3E03B473">
      <w:pPr>
        <w:spacing w:line="300" w:lineRule="auto"/>
        <w:rPr>
          <w:rFonts w:hint="eastAsia" w:ascii="宋体" w:hAnsi="宋体"/>
          <w:color w:val="auto"/>
          <w:szCs w:val="21"/>
          <w:highlight w:val="none"/>
        </w:rPr>
      </w:pPr>
    </w:p>
    <w:p w14:paraId="2F2E6AA2">
      <w:pPr>
        <w:spacing w:line="300" w:lineRule="auto"/>
        <w:rPr>
          <w:rFonts w:hint="eastAsia" w:ascii="宋体" w:hAnsi="宋体"/>
          <w:color w:val="auto"/>
          <w:szCs w:val="21"/>
          <w:highlight w:val="none"/>
        </w:rPr>
      </w:pPr>
    </w:p>
    <w:p w14:paraId="22BD8DF0">
      <w:pPr>
        <w:spacing w:line="300" w:lineRule="auto"/>
        <w:rPr>
          <w:rFonts w:hint="eastAsia" w:ascii="宋体" w:hAnsi="宋体"/>
          <w:color w:val="auto"/>
          <w:szCs w:val="21"/>
          <w:highlight w:val="none"/>
        </w:rPr>
      </w:pPr>
    </w:p>
    <w:p w14:paraId="5CFAF5CB">
      <w:pPr>
        <w:spacing w:line="300" w:lineRule="auto"/>
        <w:rPr>
          <w:rFonts w:hint="eastAsia" w:ascii="宋体" w:hAnsi="宋体"/>
          <w:color w:val="auto"/>
          <w:szCs w:val="21"/>
          <w:highlight w:val="none"/>
        </w:rPr>
      </w:pPr>
    </w:p>
    <w:p w14:paraId="22B46323">
      <w:pPr>
        <w:spacing w:line="300" w:lineRule="auto"/>
        <w:rPr>
          <w:rFonts w:hint="eastAsia" w:ascii="宋体" w:hAnsi="宋体"/>
          <w:color w:val="auto"/>
          <w:szCs w:val="21"/>
          <w:highlight w:val="none"/>
        </w:rPr>
      </w:pPr>
    </w:p>
    <w:p w14:paraId="7D4BE8E3">
      <w:pPr>
        <w:spacing w:line="320" w:lineRule="exact"/>
        <w:jc w:val="left"/>
        <w:rPr>
          <w:rFonts w:hint="eastAsia" w:ascii="宋体" w:hAnsi="宋体"/>
          <w:color w:val="auto"/>
          <w:szCs w:val="21"/>
          <w:highlight w:val="none"/>
        </w:rPr>
      </w:pPr>
      <w:r>
        <w:rPr>
          <w:rFonts w:ascii="宋体" w:hAnsi="宋体"/>
          <w:color w:val="auto"/>
          <w:szCs w:val="21"/>
          <w:highlight w:val="none"/>
        </w:rPr>
        <w:br w:type="page" w:clear="all"/>
      </w:r>
      <w:r>
        <w:rPr>
          <w:rFonts w:hint="eastAsia" w:ascii="宋体" w:hAnsi="宋体"/>
          <w:color w:val="auto"/>
          <w:szCs w:val="21"/>
          <w:highlight w:val="none"/>
        </w:rPr>
        <w:t xml:space="preserve"> </w:t>
      </w:r>
    </w:p>
    <w:p w14:paraId="64324EFD">
      <w:pPr>
        <w:spacing w:before="156" w:after="50" w:line="320" w:lineRule="exact"/>
        <w:ind w:right="482" w:firstLine="210"/>
        <w:contextualSpacing/>
        <w:jc w:val="center"/>
        <w:rPr>
          <w:rFonts w:hint="eastAsia" w:ascii="宋体" w:hAnsi="宋体"/>
          <w:color w:val="auto"/>
          <w:szCs w:val="21"/>
          <w:highlight w:val="none"/>
        </w:rPr>
      </w:pPr>
    </w:p>
    <w:p w14:paraId="790D29EE">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供应商直接控股、管理关系信息表</w:t>
      </w:r>
    </w:p>
    <w:p w14:paraId="090E907E">
      <w:pPr>
        <w:spacing w:before="156" w:after="50" w:line="360" w:lineRule="auto"/>
        <w:jc w:val="center"/>
        <w:rPr>
          <w:rFonts w:hint="eastAsia" w:ascii="宋体" w:hAnsi="宋体"/>
          <w:b/>
          <w:color w:val="auto"/>
          <w:sz w:val="24"/>
          <w:highlight w:val="none"/>
        </w:rPr>
      </w:pPr>
    </w:p>
    <w:p w14:paraId="0EC9DD29">
      <w:pPr>
        <w:spacing w:line="360" w:lineRule="auto"/>
        <w:contextualSpacing/>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供应商直接控股股东信息表</w:t>
      </w:r>
    </w:p>
    <w:p w14:paraId="713627E3">
      <w:pPr>
        <w:spacing w:line="360" w:lineRule="auto"/>
        <w:contextualSpacing/>
        <w:jc w:val="center"/>
        <w:rPr>
          <w:rFonts w:hint="eastAsia" w:ascii="宋体" w:hAnsi="宋体"/>
          <w:b/>
          <w:color w:val="auto"/>
          <w:sz w:val="24"/>
          <w:highlight w:val="none"/>
        </w:rPr>
      </w:pPr>
    </w:p>
    <w:tbl>
      <w:tblPr>
        <w:tblStyle w:val="44"/>
        <w:tblW w:w="0" w:type="auto"/>
        <w:jc w:val="center"/>
        <w:shd w:val="clear" w:color="auto" w:fill="FBFBFB"/>
        <w:tblLayout w:type="fixed"/>
        <w:tblCellMar>
          <w:top w:w="120" w:type="dxa"/>
          <w:left w:w="120" w:type="dxa"/>
          <w:bottom w:w="120" w:type="dxa"/>
          <w:right w:w="120" w:type="dxa"/>
        </w:tblCellMar>
      </w:tblPr>
      <w:tblGrid>
        <w:gridCol w:w="880"/>
        <w:gridCol w:w="2655"/>
        <w:gridCol w:w="1455"/>
        <w:gridCol w:w="4287"/>
        <w:gridCol w:w="870"/>
      </w:tblGrid>
      <w:tr w14:paraId="1A429F55">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5A51FEF">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AC6E006">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A8D3BF7">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7426140">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899AB04">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4041DC72">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E7426B">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AEBC1BD">
            <w:pPr>
              <w:widowControl/>
              <w:spacing w:line="360" w:lineRule="auto"/>
              <w:contextualSpacing/>
              <w:jc w:val="center"/>
              <w:rPr>
                <w:rFonts w:hint="eastAsia"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1743259">
            <w:pPr>
              <w:widowControl/>
              <w:spacing w:line="360" w:lineRule="auto"/>
              <w:contextualSpacing/>
              <w:jc w:val="center"/>
              <w:rPr>
                <w:rFonts w:hint="eastAsia"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1BC4D22">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FE7F229">
            <w:pPr>
              <w:widowControl/>
              <w:spacing w:line="360" w:lineRule="auto"/>
              <w:contextualSpacing/>
              <w:jc w:val="center"/>
              <w:rPr>
                <w:rFonts w:hint="eastAsia" w:ascii="宋体" w:hAnsi="宋体" w:cs="宋体"/>
                <w:color w:val="auto"/>
                <w:sz w:val="24"/>
                <w:highlight w:val="none"/>
              </w:rPr>
            </w:pPr>
          </w:p>
        </w:tc>
      </w:tr>
      <w:tr w14:paraId="5FBC696C">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9B2DB2E">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D8F3E6B">
            <w:pPr>
              <w:widowControl/>
              <w:spacing w:line="360" w:lineRule="auto"/>
              <w:contextualSpacing/>
              <w:jc w:val="center"/>
              <w:rPr>
                <w:rFonts w:hint="eastAsia"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B5A4605">
            <w:pPr>
              <w:widowControl/>
              <w:spacing w:line="360" w:lineRule="auto"/>
              <w:contextualSpacing/>
              <w:jc w:val="center"/>
              <w:rPr>
                <w:rFonts w:hint="eastAsia"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13CFBAA">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B8F9E65">
            <w:pPr>
              <w:widowControl/>
              <w:spacing w:line="360" w:lineRule="auto"/>
              <w:contextualSpacing/>
              <w:jc w:val="center"/>
              <w:rPr>
                <w:rFonts w:hint="eastAsia" w:ascii="宋体" w:hAnsi="宋体" w:cs="宋体"/>
                <w:color w:val="auto"/>
                <w:sz w:val="24"/>
                <w:highlight w:val="none"/>
              </w:rPr>
            </w:pPr>
          </w:p>
        </w:tc>
      </w:tr>
      <w:tr w14:paraId="616435BC">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A25412E">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425F98">
            <w:pPr>
              <w:widowControl/>
              <w:spacing w:line="360" w:lineRule="auto"/>
              <w:contextualSpacing/>
              <w:jc w:val="center"/>
              <w:rPr>
                <w:rFonts w:hint="eastAsia"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5A3AEA">
            <w:pPr>
              <w:widowControl/>
              <w:spacing w:line="360" w:lineRule="auto"/>
              <w:contextualSpacing/>
              <w:jc w:val="center"/>
              <w:rPr>
                <w:rFonts w:hint="eastAsia"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B92DDAD">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C4F184D">
            <w:pPr>
              <w:widowControl/>
              <w:spacing w:line="360" w:lineRule="auto"/>
              <w:contextualSpacing/>
              <w:jc w:val="center"/>
              <w:rPr>
                <w:rFonts w:hint="eastAsia" w:ascii="宋体" w:hAnsi="宋体" w:cs="宋体"/>
                <w:color w:val="auto"/>
                <w:sz w:val="24"/>
                <w:highlight w:val="none"/>
              </w:rPr>
            </w:pPr>
          </w:p>
        </w:tc>
      </w:tr>
      <w:tr w14:paraId="124E7501">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C6E5F7C">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152115C">
            <w:pPr>
              <w:widowControl/>
              <w:spacing w:line="360" w:lineRule="auto"/>
              <w:contextualSpacing/>
              <w:jc w:val="center"/>
              <w:rPr>
                <w:rFonts w:hint="eastAsia"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470ACD3">
            <w:pPr>
              <w:widowControl/>
              <w:spacing w:line="360" w:lineRule="auto"/>
              <w:contextualSpacing/>
              <w:jc w:val="center"/>
              <w:rPr>
                <w:rFonts w:hint="eastAsia"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A2C92F">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D0CE233">
            <w:pPr>
              <w:widowControl/>
              <w:spacing w:line="360" w:lineRule="auto"/>
              <w:contextualSpacing/>
              <w:jc w:val="center"/>
              <w:rPr>
                <w:rFonts w:hint="eastAsia" w:ascii="宋体" w:hAnsi="宋体" w:cs="宋体"/>
                <w:color w:val="auto"/>
                <w:sz w:val="24"/>
                <w:highlight w:val="none"/>
              </w:rPr>
            </w:pPr>
          </w:p>
        </w:tc>
      </w:tr>
    </w:tbl>
    <w:p w14:paraId="66EB5CDC">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6E565848">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185C5BC">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03FF6F47">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795CB030">
      <w:pPr>
        <w:spacing w:line="360" w:lineRule="auto"/>
        <w:ind w:firstLine="420"/>
        <w:contextualSpacing/>
        <w:jc w:val="left"/>
        <w:rPr>
          <w:rFonts w:hint="eastAsia" w:ascii="宋体" w:hAnsi="宋体" w:cs="宋体"/>
          <w:color w:val="auto"/>
          <w:szCs w:val="21"/>
          <w:highlight w:val="none"/>
        </w:rPr>
      </w:pPr>
    </w:p>
    <w:p w14:paraId="73E00C04">
      <w:pPr>
        <w:spacing w:line="360" w:lineRule="auto"/>
        <w:ind w:firstLine="560"/>
        <w:contextualSpacing/>
        <w:jc w:val="left"/>
        <w:rPr>
          <w:rFonts w:hint="eastAsia" w:ascii="宋体" w:hAnsi="宋体" w:cs="宋体"/>
          <w:color w:val="auto"/>
          <w:sz w:val="28"/>
          <w:szCs w:val="28"/>
          <w:highlight w:val="none"/>
        </w:rPr>
      </w:pPr>
    </w:p>
    <w:p w14:paraId="7539E9AA">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49C61478">
      <w:pPr>
        <w:spacing w:line="360" w:lineRule="auto"/>
        <w:ind w:right="480" w:firstLine="300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w:t>
      </w:r>
      <w:r>
        <w:rPr>
          <w:rFonts w:hint="eastAsia" w:ascii="宋体" w:hAnsi="宋体"/>
          <w:color w:val="auto"/>
          <w:sz w:val="24"/>
          <w:highlight w:val="none"/>
        </w:rPr>
        <w:t>（电子签章）</w:t>
      </w: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p>
    <w:p w14:paraId="4F0C2738">
      <w:pPr>
        <w:spacing w:line="360" w:lineRule="auto"/>
        <w:ind w:firstLine="480"/>
        <w:contextualSpacing/>
        <w:jc w:val="right"/>
        <w:rPr>
          <w:rFonts w:hint="eastAsia" w:ascii="宋体" w:hAnsi="宋体" w:cs="宋体"/>
          <w:color w:val="auto"/>
          <w:sz w:val="28"/>
          <w:szCs w:val="28"/>
          <w:highlight w:val="none"/>
        </w:rPr>
      </w:pPr>
      <w:r>
        <w:rPr>
          <w:rFonts w:hint="eastAsia" w:ascii="宋体" w:hAnsi="宋体" w:cs="宋体"/>
          <w:color w:val="auto"/>
          <w:sz w:val="24"/>
          <w:highlight w:val="none"/>
        </w:rPr>
        <w:t>年    月    日</w:t>
      </w:r>
    </w:p>
    <w:p w14:paraId="20497134">
      <w:pPr>
        <w:jc w:val="center"/>
        <w:rPr>
          <w:rFonts w:hint="eastAsia" w:ascii="宋体" w:hAnsi="宋体"/>
          <w:b/>
          <w:color w:val="auto"/>
          <w:sz w:val="28"/>
          <w:szCs w:val="28"/>
          <w:highlight w:val="none"/>
        </w:rPr>
      </w:pPr>
      <w:r>
        <w:rPr>
          <w:rFonts w:ascii="宋体" w:hAnsi="宋体"/>
          <w:b/>
          <w:color w:val="auto"/>
          <w:sz w:val="28"/>
          <w:szCs w:val="28"/>
          <w:highlight w:val="none"/>
        </w:rPr>
        <w:br w:type="page" w:clear="all"/>
      </w:r>
    </w:p>
    <w:p w14:paraId="3C8893E9">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供应商直接管理关系信息表</w:t>
      </w:r>
    </w:p>
    <w:p w14:paraId="5E9F1813">
      <w:pPr>
        <w:spacing w:line="360" w:lineRule="auto"/>
        <w:jc w:val="center"/>
        <w:rPr>
          <w:rFonts w:hint="eastAsia" w:ascii="宋体" w:hAnsi="宋体"/>
          <w:b/>
          <w:color w:val="auto"/>
          <w:sz w:val="24"/>
          <w:highlight w:val="none"/>
        </w:rPr>
      </w:pPr>
    </w:p>
    <w:tbl>
      <w:tblPr>
        <w:tblStyle w:val="44"/>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257B75E8">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86B8738">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02F1B8D">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A40D081">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38BCE71">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相互关系</w:t>
            </w:r>
          </w:p>
        </w:tc>
      </w:tr>
      <w:tr w14:paraId="09F48843">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67093F">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7DA5FB2">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F961724">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C0293FF">
            <w:pPr>
              <w:widowControl/>
              <w:spacing w:line="360" w:lineRule="auto"/>
              <w:contextualSpacing/>
              <w:jc w:val="center"/>
              <w:rPr>
                <w:rFonts w:hint="eastAsia" w:ascii="宋体" w:hAnsi="宋体" w:cs="宋体"/>
                <w:color w:val="auto"/>
                <w:sz w:val="24"/>
                <w:highlight w:val="none"/>
              </w:rPr>
            </w:pPr>
          </w:p>
        </w:tc>
      </w:tr>
      <w:tr w14:paraId="2B738B5D">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51C381A">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A0F50B">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E5784C">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944B229">
            <w:pPr>
              <w:widowControl/>
              <w:spacing w:line="360" w:lineRule="auto"/>
              <w:contextualSpacing/>
              <w:jc w:val="center"/>
              <w:rPr>
                <w:rFonts w:hint="eastAsia" w:ascii="宋体" w:hAnsi="宋体" w:cs="宋体"/>
                <w:color w:val="auto"/>
                <w:sz w:val="24"/>
                <w:highlight w:val="none"/>
              </w:rPr>
            </w:pPr>
          </w:p>
        </w:tc>
      </w:tr>
      <w:tr w14:paraId="168AC7BB">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AB638AB">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BA8AF59">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15B97C9">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1DAEB8A">
            <w:pPr>
              <w:widowControl/>
              <w:spacing w:line="360" w:lineRule="auto"/>
              <w:contextualSpacing/>
              <w:jc w:val="center"/>
              <w:rPr>
                <w:rFonts w:hint="eastAsia" w:ascii="宋体" w:hAnsi="宋体" w:cs="宋体"/>
                <w:color w:val="auto"/>
                <w:sz w:val="24"/>
                <w:highlight w:val="none"/>
              </w:rPr>
            </w:pPr>
          </w:p>
        </w:tc>
      </w:tr>
      <w:tr w14:paraId="053DA9B1">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51D060E">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57E3EF9">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42A1E8">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24A3E1C">
            <w:pPr>
              <w:widowControl/>
              <w:spacing w:line="360" w:lineRule="auto"/>
              <w:contextualSpacing/>
              <w:jc w:val="center"/>
              <w:rPr>
                <w:rFonts w:hint="eastAsia" w:ascii="宋体" w:hAnsi="宋体" w:cs="宋体"/>
                <w:color w:val="auto"/>
                <w:sz w:val="24"/>
                <w:highlight w:val="none"/>
              </w:rPr>
            </w:pPr>
          </w:p>
        </w:tc>
      </w:tr>
    </w:tbl>
    <w:p w14:paraId="29A3A5E5">
      <w:pPr>
        <w:spacing w:line="360" w:lineRule="auto"/>
        <w:contextualSpacing/>
        <w:jc w:val="left"/>
        <w:rPr>
          <w:rFonts w:hint="eastAsia" w:ascii="宋体" w:hAnsi="宋体"/>
          <w:color w:val="auto"/>
          <w:sz w:val="24"/>
          <w:highlight w:val="none"/>
        </w:rPr>
      </w:pPr>
      <w:r>
        <w:rPr>
          <w:rFonts w:hint="eastAsia" w:ascii="宋体" w:hAnsi="宋体"/>
          <w:color w:val="auto"/>
          <w:sz w:val="24"/>
          <w:highlight w:val="none"/>
        </w:rPr>
        <w:t>注：</w:t>
      </w:r>
    </w:p>
    <w:p w14:paraId="06201DAF">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191F6DBC">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65C190BF">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4DDAEC37">
      <w:pPr>
        <w:spacing w:line="360" w:lineRule="auto"/>
        <w:contextualSpacing/>
        <w:jc w:val="left"/>
        <w:rPr>
          <w:rFonts w:hint="eastAsia" w:ascii="宋体" w:hAnsi="宋体"/>
          <w:color w:val="auto"/>
          <w:sz w:val="28"/>
          <w:szCs w:val="28"/>
          <w:highlight w:val="none"/>
        </w:rPr>
      </w:pPr>
    </w:p>
    <w:p w14:paraId="62A4EB58">
      <w:pPr>
        <w:spacing w:line="360" w:lineRule="auto"/>
        <w:contextualSpacing/>
        <w:jc w:val="left"/>
        <w:rPr>
          <w:rFonts w:hint="eastAsia" w:ascii="宋体" w:hAnsi="宋体"/>
          <w:color w:val="auto"/>
          <w:sz w:val="28"/>
          <w:szCs w:val="28"/>
          <w:highlight w:val="none"/>
        </w:rPr>
      </w:pPr>
    </w:p>
    <w:p w14:paraId="6BE5885A">
      <w:pPr>
        <w:spacing w:line="360" w:lineRule="auto"/>
        <w:contextualSpacing/>
        <w:jc w:val="left"/>
        <w:rPr>
          <w:color w:val="auto"/>
          <w:sz w:val="28"/>
          <w:szCs w:val="28"/>
          <w:highlight w:val="none"/>
        </w:rPr>
      </w:pPr>
    </w:p>
    <w:p w14:paraId="5FACC86C">
      <w:pPr>
        <w:spacing w:line="360" w:lineRule="auto"/>
        <w:contextualSpacing/>
        <w:jc w:val="left"/>
        <w:rPr>
          <w:color w:val="auto"/>
          <w:sz w:val="28"/>
          <w:szCs w:val="28"/>
          <w:highlight w:val="none"/>
        </w:rPr>
      </w:pPr>
    </w:p>
    <w:p w14:paraId="0291CE73">
      <w:pPr>
        <w:spacing w:line="360" w:lineRule="auto"/>
        <w:contextualSpacing/>
        <w:jc w:val="left"/>
        <w:rPr>
          <w:color w:val="auto"/>
          <w:sz w:val="28"/>
          <w:szCs w:val="28"/>
          <w:highlight w:val="none"/>
        </w:rPr>
      </w:pPr>
    </w:p>
    <w:p w14:paraId="2EA9C4E1">
      <w:pPr>
        <w:spacing w:line="360" w:lineRule="auto"/>
        <w:contextualSpacing/>
        <w:jc w:val="left"/>
        <w:rPr>
          <w:rFonts w:hint="eastAsia" w:ascii="宋体" w:hAnsi="宋体"/>
          <w:color w:val="auto"/>
          <w:sz w:val="28"/>
          <w:szCs w:val="28"/>
          <w:highlight w:val="none"/>
        </w:rPr>
      </w:pPr>
    </w:p>
    <w:p w14:paraId="41F2C0EF">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18E06F76">
      <w:pPr>
        <w:spacing w:line="360" w:lineRule="auto"/>
        <w:ind w:right="480" w:firstLine="336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7520C526">
      <w:pPr>
        <w:spacing w:line="360" w:lineRule="auto"/>
        <w:ind w:firstLine="480"/>
        <w:contextualSpacing/>
        <w:jc w:val="left"/>
        <w:rPr>
          <w:rFonts w:hint="eastAsia" w:ascii="宋体" w:hAnsi="宋体"/>
          <w:color w:val="auto"/>
          <w:sz w:val="28"/>
          <w:szCs w:val="28"/>
          <w:highlight w:val="none"/>
        </w:rPr>
      </w:pPr>
      <w:r>
        <w:rPr>
          <w:rFonts w:hint="eastAsia" w:ascii="宋体" w:hAnsi="宋体"/>
          <w:color w:val="auto"/>
          <w:sz w:val="24"/>
          <w:highlight w:val="none"/>
        </w:rPr>
        <w:t xml:space="preserve">                                        年    月    日</w:t>
      </w:r>
    </w:p>
    <w:p w14:paraId="0538475B">
      <w:pPr>
        <w:spacing w:line="320" w:lineRule="exact"/>
        <w:jc w:val="center"/>
        <w:rPr>
          <w:rFonts w:hint="eastAsia" w:ascii="宋体" w:hAnsi="宋体"/>
          <w:b/>
          <w:color w:val="auto"/>
          <w:sz w:val="32"/>
          <w:szCs w:val="32"/>
          <w:highlight w:val="none"/>
        </w:rPr>
      </w:pPr>
      <w:r>
        <w:rPr>
          <w:rFonts w:ascii="宋体" w:hAnsi="宋体"/>
          <w:color w:val="auto"/>
          <w:sz w:val="28"/>
          <w:szCs w:val="28"/>
          <w:highlight w:val="none"/>
        </w:rPr>
        <w:br w:type="page" w:clear="all"/>
      </w:r>
      <w:r>
        <w:rPr>
          <w:rFonts w:hint="eastAsia" w:ascii="宋体" w:hAnsi="宋体"/>
          <w:b/>
          <w:color w:val="auto"/>
          <w:sz w:val="32"/>
          <w:szCs w:val="32"/>
          <w:highlight w:val="none"/>
        </w:rPr>
        <w:t>竞标声明</w:t>
      </w:r>
    </w:p>
    <w:p w14:paraId="5B162DF9">
      <w:pPr>
        <w:spacing w:line="320" w:lineRule="exact"/>
        <w:jc w:val="center"/>
        <w:rPr>
          <w:rFonts w:hint="eastAsia" w:ascii="宋体" w:hAnsi="宋体"/>
          <w:color w:val="auto"/>
          <w:sz w:val="24"/>
          <w:szCs w:val="20"/>
          <w:highlight w:val="none"/>
        </w:rPr>
      </w:pPr>
    </w:p>
    <w:p w14:paraId="7CEE80F8">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4D6B04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B35ED03">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（项目名称）（项目编号）</w:t>
      </w:r>
      <w:r>
        <w:rPr>
          <w:rFonts w:hint="eastAsia" w:ascii="宋体" w:hAnsi="宋体" w:cs="宋体"/>
          <w:color w:val="auto"/>
          <w:sz w:val="24"/>
          <w:highlight w:val="none"/>
        </w:rPr>
        <w:t>项目的竞标，为便于贵方公正、择优地确定成交供应商及其服务，我方就本次竞标有关事项郑重声明如下：</w:t>
      </w:r>
    </w:p>
    <w:p w14:paraId="7ED255A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662D693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7729888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0F680D1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25CC22D3">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2360B3D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4FE0525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6BC3AA8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4C71A521">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3ED8C3B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1CD956C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58E3614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26175E6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698D29B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678680A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E02C72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3B9F3BB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□我方本次响应文件内容中未涉及商业秘密；</w:t>
      </w:r>
    </w:p>
    <w:p w14:paraId="66C2FB2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129E3ED">
      <w:pPr>
        <w:pStyle w:val="238"/>
        <w:spacing w:line="360" w:lineRule="auto"/>
        <w:ind w:firstLine="48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1F19F65B">
      <w:pPr>
        <w:pStyle w:val="238"/>
        <w:spacing w:line="360" w:lineRule="auto"/>
        <w:ind w:firstLine="48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420CD32E">
      <w:pPr>
        <w:pStyle w:val="234"/>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010E688D">
      <w:pPr>
        <w:pStyle w:val="234"/>
        <w:tabs>
          <w:tab w:val="left" w:pos="939"/>
        </w:tabs>
        <w:spacing w:line="360" w:lineRule="auto"/>
        <w:ind w:left="0" w:firstLine="48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20CD9EB9">
      <w:pPr>
        <w:pStyle w:val="234"/>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特此承诺。</w:t>
      </w:r>
    </w:p>
    <w:p w14:paraId="0B4EED36">
      <w:pPr>
        <w:spacing w:line="360" w:lineRule="auto"/>
        <w:ind w:firstLine="482"/>
        <w:contextualSpacing/>
        <w:jc w:val="left"/>
        <w:rPr>
          <w:rFonts w:hint="eastAsia" w:ascii="宋体" w:hAnsi="宋体"/>
          <w:b/>
          <w:color w:val="auto"/>
          <w:sz w:val="24"/>
          <w:highlight w:val="none"/>
        </w:rPr>
      </w:pPr>
      <w:r>
        <w:rPr>
          <w:rFonts w:hint="eastAsia" w:ascii="宋体" w:hAnsi="宋体" w:cs="宋体"/>
          <w:b/>
          <w:color w:val="auto"/>
          <w:sz w:val="24"/>
          <w:highlight w:val="none"/>
        </w:rPr>
        <w:t>注：</w:t>
      </w:r>
      <w:r>
        <w:rPr>
          <w:rFonts w:hint="eastAsia" w:ascii="宋体" w:hAnsi="宋体"/>
          <w:b/>
          <w:color w:val="auto"/>
          <w:sz w:val="24"/>
          <w:highlight w:val="none"/>
        </w:rPr>
        <w:t>如为联合体竞标，盖章处须加盖联合体牵头人电子签章并由联合体牵头人法定代表人签字或者盖章或者电子签名，否则响应文件按无效处理。</w:t>
      </w:r>
    </w:p>
    <w:p w14:paraId="6DEEF2F7">
      <w:pPr>
        <w:spacing w:line="360" w:lineRule="auto"/>
        <w:contextualSpacing/>
        <w:jc w:val="left"/>
        <w:rPr>
          <w:rFonts w:hint="eastAsia" w:ascii="宋体" w:hAnsi="宋体" w:cs="宋体"/>
          <w:color w:val="auto"/>
          <w:sz w:val="24"/>
          <w:highlight w:val="none"/>
        </w:rPr>
      </w:pPr>
    </w:p>
    <w:p w14:paraId="02EBD4B9">
      <w:pPr>
        <w:spacing w:line="360" w:lineRule="auto"/>
        <w:ind w:firstLine="1800"/>
        <w:contextualSpacing/>
        <w:rPr>
          <w:color w:val="auto"/>
          <w:sz w:val="24"/>
          <w:highlight w:val="none"/>
        </w:rPr>
      </w:pPr>
      <w:r>
        <w:rPr>
          <w:rFonts w:hint="eastAsia"/>
          <w:color w:val="auto"/>
          <w:sz w:val="24"/>
          <w:highlight w:val="none"/>
        </w:rPr>
        <w:t>法定代表人（</w:t>
      </w:r>
      <w:r>
        <w:rPr>
          <w:rFonts w:hint="eastAsia" w:ascii="宋体" w:hAnsi="宋体"/>
          <w:color w:val="auto"/>
          <w:sz w:val="24"/>
          <w:highlight w:val="none"/>
        </w:rPr>
        <w:t>签字或者盖章或者电子签名</w:t>
      </w:r>
      <w:r>
        <w:rPr>
          <w:rFonts w:hint="eastAsia"/>
          <w:color w:val="auto"/>
          <w:sz w:val="24"/>
          <w:highlight w:val="none"/>
        </w:rPr>
        <w:t>）：</w:t>
      </w:r>
      <w:r>
        <w:rPr>
          <w:rFonts w:hint="eastAsia"/>
          <w:color w:val="auto"/>
          <w:sz w:val="24"/>
          <w:highlight w:val="none"/>
          <w:u w:val="single"/>
        </w:rPr>
        <w:t xml:space="preserve">               </w:t>
      </w:r>
      <w:r>
        <w:rPr>
          <w:rFonts w:hint="eastAsia"/>
          <w:color w:val="auto"/>
          <w:sz w:val="24"/>
          <w:highlight w:val="none"/>
        </w:rPr>
        <w:t xml:space="preserve">                                     </w:t>
      </w:r>
    </w:p>
    <w:p w14:paraId="2C4C7721">
      <w:pPr>
        <w:spacing w:line="360" w:lineRule="auto"/>
        <w:ind w:firstLine="4320"/>
        <w:contextualSpacing/>
        <w:rPr>
          <w:rFonts w:hint="eastAsia" w:ascii="宋体" w:hAnsi="宋体" w:cs="宋体"/>
          <w:color w:val="auto"/>
          <w:sz w:val="24"/>
          <w:highlight w:val="none"/>
          <w:u w:val="single"/>
        </w:rPr>
      </w:pPr>
      <w:r>
        <w:rPr>
          <w:rFonts w:hint="eastAsia"/>
          <w:color w:val="auto"/>
          <w:sz w:val="24"/>
          <w:highlight w:val="none"/>
        </w:rPr>
        <w:t>供应商（电子签章）：</w:t>
      </w:r>
      <w:r>
        <w:rPr>
          <w:rFonts w:hint="eastAsia"/>
          <w:color w:val="auto"/>
          <w:sz w:val="24"/>
          <w:highlight w:val="none"/>
          <w:u w:val="single"/>
        </w:rPr>
        <w:t xml:space="preserve">                               </w:t>
      </w:r>
      <w:r>
        <w:rPr>
          <w:rFonts w:hint="eastAsia"/>
          <w:color w:val="auto"/>
          <w:sz w:val="24"/>
          <w:highlight w:val="none"/>
        </w:rPr>
        <w:t xml:space="preserve">       </w:t>
      </w:r>
      <w:r>
        <w:rPr>
          <w:rFonts w:hint="eastAsia" w:ascii="宋体" w:hAnsi="宋体" w:cs="宋体"/>
          <w:color w:val="auto"/>
          <w:sz w:val="24"/>
          <w:highlight w:val="none"/>
        </w:rPr>
        <w:t xml:space="preserve">    </w:t>
      </w:r>
    </w:p>
    <w:p w14:paraId="0C82F021">
      <w:pPr>
        <w:pStyle w:val="234"/>
        <w:tabs>
          <w:tab w:val="left" w:pos="939"/>
        </w:tabs>
        <w:spacing w:line="360" w:lineRule="auto"/>
        <w:ind w:left="0" w:firstLine="480"/>
        <w:rPr>
          <w:color w:val="auto"/>
          <w:sz w:val="24"/>
          <w:highlight w:val="none"/>
        </w:rPr>
      </w:pPr>
      <w:r>
        <w:rPr>
          <w:rFonts w:hint="eastAsia" w:ascii="宋体" w:hAnsi="宋体" w:cs="宋体"/>
          <w:color w:val="auto"/>
          <w:sz w:val="24"/>
          <w:highlight w:val="none"/>
        </w:rPr>
        <w:t xml:space="preserve">                                             </w:t>
      </w:r>
      <w:r>
        <w:rPr>
          <w:rFonts w:hint="eastAsia"/>
          <w:color w:val="auto"/>
          <w:sz w:val="24"/>
          <w:highlight w:val="none"/>
        </w:rPr>
        <w:t>年    月    日</w:t>
      </w:r>
    </w:p>
    <w:p w14:paraId="1642E2E1">
      <w:pPr>
        <w:pStyle w:val="204"/>
        <w:spacing w:line="520" w:lineRule="exact"/>
        <w:ind w:firstLine="0"/>
        <w:jc w:val="center"/>
        <w:rPr>
          <w:rFonts w:hint="eastAsia" w:ascii="宋体" w:hAnsi="宋体" w:cs="方正小标宋简体"/>
          <w:b/>
          <w:color w:val="auto"/>
          <w:sz w:val="32"/>
          <w:szCs w:val="32"/>
          <w:highlight w:val="none"/>
        </w:rPr>
      </w:pPr>
      <w:r>
        <w:rPr>
          <w:rFonts w:hint="eastAsia"/>
          <w:color w:val="auto"/>
          <w:sz w:val="24"/>
          <w:highlight w:val="none"/>
        </w:rPr>
        <w:br w:type="page" w:clear="all"/>
      </w:r>
      <w:r>
        <w:rPr>
          <w:rFonts w:hint="eastAsia" w:ascii="宋体" w:hAnsi="宋体" w:cs="方正小标宋简体"/>
          <w:b/>
          <w:color w:val="auto"/>
          <w:sz w:val="32"/>
          <w:szCs w:val="32"/>
          <w:highlight w:val="none"/>
        </w:rPr>
        <w:t>联合体竞标协议书</w:t>
      </w:r>
    </w:p>
    <w:p w14:paraId="1F0690C1">
      <w:pPr>
        <w:pStyle w:val="204"/>
        <w:spacing w:line="360" w:lineRule="auto"/>
        <w:ind w:firstLine="0"/>
        <w:rPr>
          <w:rFonts w:hint="eastAsia" w:ascii="宋体" w:hAnsi="宋体"/>
          <w:color w:val="auto"/>
          <w:sz w:val="24"/>
          <w:szCs w:val="24"/>
          <w:highlight w:val="none"/>
        </w:rPr>
      </w:pPr>
    </w:p>
    <w:p w14:paraId="59EC0CBC">
      <w:pPr>
        <w:pStyle w:val="204"/>
        <w:spacing w:line="360" w:lineRule="auto"/>
        <w:ind w:firstLine="48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u w:val="single"/>
        </w:rPr>
        <w:t xml:space="preserve">      （所有成员单位名称）</w:t>
      </w:r>
      <w:r>
        <w:rPr>
          <w:rFonts w:hint="eastAsia" w:ascii="宋体" w:hAnsi="宋体" w:cs="仿宋_GB2312"/>
          <w:color w:val="auto"/>
          <w:sz w:val="24"/>
          <w:szCs w:val="24"/>
          <w:highlight w:val="none"/>
        </w:rPr>
        <w:t>自愿组成</w:t>
      </w:r>
      <w:r>
        <w:rPr>
          <w:rFonts w:hint="eastAsia" w:ascii="宋体" w:hAnsi="宋体" w:cs="仿宋_GB2312"/>
          <w:color w:val="auto"/>
          <w:sz w:val="24"/>
          <w:szCs w:val="24"/>
          <w:highlight w:val="none"/>
          <w:u w:val="single"/>
        </w:rPr>
        <w:t xml:space="preserve">      （联合体名称）</w:t>
      </w:r>
      <w:r>
        <w:rPr>
          <w:rFonts w:hint="eastAsia" w:ascii="宋体" w:hAnsi="宋体" w:cs="仿宋_GB2312"/>
          <w:color w:val="auto"/>
          <w:sz w:val="24"/>
          <w:szCs w:val="24"/>
          <w:highlight w:val="none"/>
        </w:rPr>
        <w:t>联合体，共同参加</w:t>
      </w:r>
      <w:r>
        <w:rPr>
          <w:rFonts w:hint="eastAsia" w:ascii="宋体" w:hAnsi="宋体" w:cs="仿宋_GB2312"/>
          <w:color w:val="auto"/>
          <w:sz w:val="24"/>
          <w:szCs w:val="24"/>
          <w:highlight w:val="none"/>
          <w:u w:val="single"/>
        </w:rPr>
        <w:t xml:space="preserve">      （项目名称）</w:t>
      </w:r>
      <w:r>
        <w:rPr>
          <w:rFonts w:hint="eastAsia" w:ascii="宋体" w:hAnsi="宋体" w:cs="宋体"/>
          <w:color w:val="auto"/>
          <w:sz w:val="24"/>
          <w:highlight w:val="none"/>
          <w:u w:val="single"/>
        </w:rPr>
        <w:t>（项目编号）</w:t>
      </w:r>
      <w:r>
        <w:rPr>
          <w:rFonts w:hint="eastAsia" w:ascii="宋体" w:hAnsi="宋体" w:cs="仿宋_GB2312"/>
          <w:color w:val="auto"/>
          <w:sz w:val="24"/>
          <w:szCs w:val="24"/>
          <w:highlight w:val="none"/>
        </w:rPr>
        <w:t>采购项目竞标。现就联合体竞标事宜订立如下协议。</w:t>
      </w:r>
    </w:p>
    <w:p w14:paraId="4FB17338">
      <w:pPr>
        <w:pStyle w:val="204"/>
        <w:spacing w:line="360" w:lineRule="auto"/>
        <w:ind w:firstLine="48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1.</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u w:val="single"/>
        </w:rPr>
        <w:tab/>
      </w:r>
      <w:r>
        <w:rPr>
          <w:rFonts w:hint="eastAsia" w:ascii="宋体" w:hAnsi="宋体" w:cs="仿宋_GB2312"/>
          <w:color w:val="auto"/>
          <w:sz w:val="24"/>
          <w:szCs w:val="24"/>
          <w:highlight w:val="none"/>
          <w:u w:val="single"/>
        </w:rPr>
        <w:t xml:space="preserve">   （某成员单位名称）</w:t>
      </w:r>
      <w:r>
        <w:rPr>
          <w:rFonts w:hint="eastAsia" w:ascii="宋体" w:hAnsi="宋体" w:cs="仿宋_GB2312"/>
          <w:color w:val="auto"/>
          <w:sz w:val="24"/>
          <w:szCs w:val="24"/>
          <w:highlight w:val="none"/>
        </w:rPr>
        <w:t>为</w:t>
      </w:r>
      <w:r>
        <w:rPr>
          <w:rFonts w:hint="eastAsia" w:ascii="宋体" w:hAnsi="宋体" w:cs="仿宋_GB2312"/>
          <w:color w:val="auto"/>
          <w:sz w:val="24"/>
          <w:szCs w:val="24"/>
          <w:highlight w:val="none"/>
          <w:u w:val="single"/>
        </w:rPr>
        <w:t xml:space="preserve">     （联合体名称）</w:t>
      </w:r>
      <w:r>
        <w:rPr>
          <w:rFonts w:hint="eastAsia" w:ascii="宋体" w:hAnsi="宋体" w:cs="仿宋_GB2312"/>
          <w:color w:val="auto"/>
          <w:sz w:val="24"/>
          <w:szCs w:val="24"/>
          <w:highlight w:val="none"/>
        </w:rPr>
        <w:t>牵头人。</w:t>
      </w:r>
    </w:p>
    <w:p w14:paraId="659E0CE6">
      <w:pPr>
        <w:pStyle w:val="204"/>
        <w:spacing w:line="360" w:lineRule="auto"/>
        <w:ind w:firstLine="48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7B61C06C">
      <w:pPr>
        <w:pStyle w:val="204"/>
        <w:spacing w:line="360" w:lineRule="auto"/>
        <w:ind w:firstLine="48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3.联合体牵头人在本项目中签署和盖章的一切文件和处理的一切事宜，联合体各成员均予以承认。联合体各成员将严格按照磋商文件、响应文件和合同的要求全面履行义务，并向采购人承担连带责任。</w:t>
      </w:r>
    </w:p>
    <w:p w14:paraId="701FEC83">
      <w:pPr>
        <w:pStyle w:val="204"/>
        <w:spacing w:line="360" w:lineRule="auto"/>
        <w:ind w:firstLine="48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4.联合体各成员单位内部的职责分工如下：</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w:t>
      </w:r>
    </w:p>
    <w:p w14:paraId="13C15268">
      <w:pPr>
        <w:pStyle w:val="204"/>
        <w:spacing w:line="360" w:lineRule="auto"/>
        <w:ind w:firstLine="48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5.本</w:t>
      </w:r>
      <w:r>
        <w:rPr>
          <w:rFonts w:hint="eastAsia" w:ascii="宋体" w:hAnsi="宋体" w:cs="仿宋_GB2312"/>
          <w:color w:val="auto"/>
          <w:spacing w:val="-6"/>
          <w:sz w:val="24"/>
          <w:szCs w:val="24"/>
          <w:highlight w:val="none"/>
        </w:rPr>
        <w:t>协议书自所有成员单位法定代表人或者其委托代理人签字或者盖单位章之日起生效，合同履行完毕后自动失效。</w:t>
      </w:r>
    </w:p>
    <w:p w14:paraId="7A831A26">
      <w:pPr>
        <w:pStyle w:val="204"/>
        <w:spacing w:line="360" w:lineRule="auto"/>
        <w:ind w:firstLine="48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6.本协议书一式</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u w:val="single"/>
        </w:rPr>
        <w:tab/>
      </w:r>
      <w:r>
        <w:rPr>
          <w:rFonts w:hint="eastAsia" w:ascii="宋体" w:hAnsi="宋体" w:cs="仿宋_GB2312"/>
          <w:color w:val="auto"/>
          <w:sz w:val="24"/>
          <w:szCs w:val="24"/>
          <w:highlight w:val="none"/>
        </w:rPr>
        <w:t>份，联合体成员和采购人各执一份。</w:t>
      </w:r>
    </w:p>
    <w:p w14:paraId="128F10C1">
      <w:pPr>
        <w:pStyle w:val="204"/>
        <w:spacing w:line="360" w:lineRule="auto"/>
        <w:ind w:firstLine="48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注：本协议书应附法定代表人身份证明书；有委托代理的，应附授权委托书（格式自拟）。</w:t>
      </w:r>
    </w:p>
    <w:p w14:paraId="158273CA">
      <w:pPr>
        <w:pStyle w:val="204"/>
        <w:spacing w:line="360" w:lineRule="auto"/>
        <w:contextualSpacing/>
        <w:rPr>
          <w:rFonts w:hint="eastAsia" w:ascii="宋体" w:hAnsi="宋体" w:cs="仿宋_GB2312"/>
          <w:color w:val="auto"/>
          <w:sz w:val="24"/>
          <w:szCs w:val="24"/>
          <w:highlight w:val="none"/>
        </w:rPr>
      </w:pPr>
    </w:p>
    <w:p w14:paraId="48A0BE49">
      <w:pPr>
        <w:pStyle w:val="204"/>
        <w:spacing w:line="360" w:lineRule="auto"/>
        <w:ind w:firstLine="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联合体牵头人名称（电子签章）：</w:t>
      </w:r>
    </w:p>
    <w:p w14:paraId="59B0CF4F">
      <w:pPr>
        <w:pStyle w:val="204"/>
        <w:spacing w:line="360" w:lineRule="auto"/>
        <w:ind w:firstLine="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法定代表人或者其委托代理人（签字或者电子签名）：</w:t>
      </w:r>
    </w:p>
    <w:p w14:paraId="6F0DECE7">
      <w:pPr>
        <w:pStyle w:val="204"/>
        <w:spacing w:line="360" w:lineRule="auto"/>
        <w:ind w:firstLine="0"/>
        <w:contextualSpacing/>
        <w:rPr>
          <w:rFonts w:hint="eastAsia" w:ascii="宋体" w:hAnsi="宋体" w:cs="仿宋_GB2312"/>
          <w:color w:val="auto"/>
          <w:sz w:val="24"/>
          <w:szCs w:val="24"/>
          <w:highlight w:val="none"/>
        </w:rPr>
      </w:pPr>
    </w:p>
    <w:p w14:paraId="044646A5">
      <w:pPr>
        <w:pStyle w:val="204"/>
        <w:spacing w:line="360" w:lineRule="auto"/>
        <w:ind w:firstLine="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联合体成员名称（盖公章或者电子签章）：</w:t>
      </w:r>
    </w:p>
    <w:p w14:paraId="1710CAA3">
      <w:pPr>
        <w:pStyle w:val="204"/>
        <w:spacing w:line="360" w:lineRule="auto"/>
        <w:ind w:firstLine="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法定代表人或者其委托代理人（签字或者电子签名）：</w:t>
      </w:r>
    </w:p>
    <w:p w14:paraId="7A3A8682">
      <w:pPr>
        <w:pStyle w:val="204"/>
        <w:spacing w:line="360" w:lineRule="auto"/>
        <w:ind w:firstLine="0"/>
        <w:contextualSpacing/>
        <w:rPr>
          <w:rFonts w:hint="eastAsia" w:ascii="宋体" w:hAnsi="宋体" w:cs="仿宋_GB2312"/>
          <w:color w:val="auto"/>
          <w:sz w:val="24"/>
          <w:szCs w:val="24"/>
          <w:highlight w:val="none"/>
        </w:rPr>
      </w:pPr>
    </w:p>
    <w:p w14:paraId="32472B61">
      <w:pPr>
        <w:pStyle w:val="204"/>
        <w:spacing w:line="360" w:lineRule="auto"/>
        <w:ind w:firstLine="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联合体成员名称（盖公章或者电子签章）：</w:t>
      </w:r>
    </w:p>
    <w:p w14:paraId="6F57EF58">
      <w:pPr>
        <w:pStyle w:val="204"/>
        <w:spacing w:line="360" w:lineRule="auto"/>
        <w:ind w:firstLine="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法定代表人或者其委托代理人（签字或者电子签名）：</w:t>
      </w:r>
    </w:p>
    <w:p w14:paraId="1B85EB45">
      <w:pPr>
        <w:pStyle w:val="204"/>
        <w:spacing w:line="360" w:lineRule="auto"/>
        <w:ind w:firstLine="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w:t>
      </w:r>
    </w:p>
    <w:p w14:paraId="7B9F89E8">
      <w:pPr>
        <w:spacing w:line="360" w:lineRule="auto"/>
        <w:ind w:right="480" w:firstLine="240"/>
        <w:contextualSpacing/>
        <w:jc w:val="center"/>
        <w:rPr>
          <w:rFonts w:hint="eastAsia" w:ascii="宋体" w:hAnsi="宋体"/>
          <w:b/>
          <w:bCs/>
          <w:color w:val="auto"/>
          <w:sz w:val="32"/>
          <w:szCs w:val="32"/>
          <w:highlight w:val="none"/>
        </w:rPr>
      </w:pPr>
      <w:r>
        <w:rPr>
          <w:rFonts w:hint="eastAsia" w:ascii="宋体" w:hAnsi="宋体" w:cs="仿宋_GB2312"/>
          <w:color w:val="auto"/>
          <w:sz w:val="24"/>
          <w:highlight w:val="none"/>
        </w:rPr>
        <w:t xml:space="preserve">                                         日期：    年   月   日</w:t>
      </w:r>
    </w:p>
    <w:p w14:paraId="327A934D">
      <w:pPr>
        <w:spacing w:line="360" w:lineRule="auto"/>
        <w:ind w:right="420"/>
        <w:contextualSpacing/>
        <w:jc w:val="left"/>
        <w:rPr>
          <w:rFonts w:hint="eastAsia" w:ascii="宋体" w:hAnsi="宋体"/>
          <w:b/>
          <w:color w:val="auto"/>
          <w:sz w:val="32"/>
          <w:szCs w:val="32"/>
          <w:highlight w:val="none"/>
        </w:rPr>
      </w:pPr>
      <w:r>
        <w:rPr>
          <w:rFonts w:ascii="宋体" w:hAnsi="宋体"/>
          <w:b/>
          <w:bCs/>
          <w:color w:val="auto"/>
          <w:sz w:val="32"/>
          <w:szCs w:val="32"/>
          <w:highlight w:val="none"/>
        </w:rPr>
        <w:br w:type="page" w:clear="all"/>
      </w: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14:paraId="2371BAEE">
      <w:pPr>
        <w:spacing w:before="156"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1.报价文件封面格式</w:t>
      </w:r>
    </w:p>
    <w:p w14:paraId="5D1CFAA6">
      <w:pPr>
        <w:spacing w:before="156"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3BC8A95E">
      <w:pPr>
        <w:spacing w:before="156"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1C1646AE">
      <w:pPr>
        <w:spacing w:before="156" w:after="50"/>
        <w:rPr>
          <w:rFonts w:hint="eastAsia" w:ascii="宋体" w:hAnsi="宋体"/>
          <w:color w:val="auto"/>
          <w:sz w:val="24"/>
          <w:szCs w:val="20"/>
          <w:highlight w:val="none"/>
        </w:rPr>
      </w:pPr>
    </w:p>
    <w:p w14:paraId="1DA23849">
      <w:pPr>
        <w:spacing w:before="156" w:after="50"/>
        <w:rPr>
          <w:rFonts w:hint="eastAsia" w:ascii="宋体" w:hAnsi="宋体"/>
          <w:color w:val="auto"/>
          <w:sz w:val="24"/>
          <w:szCs w:val="20"/>
          <w:highlight w:val="none"/>
        </w:rPr>
      </w:pPr>
    </w:p>
    <w:p w14:paraId="73560F66">
      <w:pPr>
        <w:spacing w:before="156"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14:paraId="4799B5D0">
      <w:pPr>
        <w:spacing w:before="156" w:after="50"/>
        <w:rPr>
          <w:rFonts w:hint="eastAsia" w:ascii="宋体" w:hAnsi="宋体"/>
          <w:bCs/>
          <w:color w:val="auto"/>
          <w:sz w:val="24"/>
          <w:szCs w:val="20"/>
          <w:highlight w:val="none"/>
        </w:rPr>
      </w:pPr>
    </w:p>
    <w:p w14:paraId="6EE0CCD8">
      <w:pPr>
        <w:spacing w:before="156" w:after="50"/>
        <w:rPr>
          <w:rFonts w:hint="eastAsia" w:ascii="宋体" w:hAnsi="宋体"/>
          <w:bCs/>
          <w:color w:val="auto"/>
          <w:sz w:val="24"/>
          <w:szCs w:val="20"/>
          <w:highlight w:val="none"/>
        </w:rPr>
      </w:pPr>
    </w:p>
    <w:p w14:paraId="411F63F8">
      <w:pPr>
        <w:spacing w:before="156" w:after="50"/>
        <w:rPr>
          <w:rFonts w:hint="eastAsia" w:ascii="宋体" w:hAnsi="宋体"/>
          <w:bCs/>
          <w:color w:val="auto"/>
          <w:sz w:val="24"/>
          <w:szCs w:val="20"/>
          <w:highlight w:val="none"/>
        </w:rPr>
      </w:pPr>
    </w:p>
    <w:p w14:paraId="6C4AF157">
      <w:pPr>
        <w:spacing w:before="156" w:after="50"/>
        <w:rPr>
          <w:rFonts w:hint="eastAsia" w:ascii="宋体" w:hAnsi="宋体"/>
          <w:bCs/>
          <w:color w:val="auto"/>
          <w:sz w:val="24"/>
          <w:szCs w:val="20"/>
          <w:highlight w:val="none"/>
        </w:rPr>
      </w:pPr>
    </w:p>
    <w:p w14:paraId="1219850E">
      <w:pPr>
        <w:spacing w:before="156" w:after="50"/>
        <w:rPr>
          <w:rFonts w:hint="eastAsia" w:ascii="宋体" w:hAnsi="宋体"/>
          <w:bCs/>
          <w:color w:val="auto"/>
          <w:sz w:val="24"/>
          <w:szCs w:val="20"/>
          <w:highlight w:val="none"/>
        </w:rPr>
      </w:pPr>
    </w:p>
    <w:p w14:paraId="781213AB">
      <w:pPr>
        <w:spacing w:before="156"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6889800E">
      <w:pPr>
        <w:spacing w:before="156" w:after="50"/>
        <w:ind w:firstLine="720"/>
        <w:rPr>
          <w:rFonts w:hint="eastAsia" w:ascii="宋体" w:hAnsi="宋体" w:cs="仿宋_GB2312"/>
          <w:bCs/>
          <w:color w:val="auto"/>
          <w:sz w:val="32"/>
          <w:szCs w:val="32"/>
          <w:highlight w:val="none"/>
        </w:rPr>
      </w:pPr>
    </w:p>
    <w:p w14:paraId="7E027984">
      <w:pPr>
        <w:spacing w:before="156"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3FFCB464">
      <w:pPr>
        <w:spacing w:before="156"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5CA1287C">
      <w:pPr>
        <w:spacing w:before="156"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D9AF3D1">
      <w:pPr>
        <w:spacing w:before="156" w:after="50"/>
        <w:ind w:firstLine="720"/>
        <w:rPr>
          <w:rFonts w:hint="eastAsia" w:ascii="宋体" w:hAnsi="宋体" w:cs="仿宋_GB2312"/>
          <w:bCs/>
          <w:color w:val="auto"/>
          <w:sz w:val="32"/>
          <w:szCs w:val="32"/>
          <w:highlight w:val="none"/>
        </w:rPr>
      </w:pPr>
    </w:p>
    <w:p w14:paraId="2C885971">
      <w:pPr>
        <w:pStyle w:val="204"/>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05DC0697">
      <w:pPr>
        <w:pStyle w:val="204"/>
        <w:spacing w:before="50" w:after="50"/>
        <w:ind w:firstLine="640"/>
        <w:rPr>
          <w:rFonts w:hint="eastAsia" w:ascii="宋体" w:hAnsi="宋体" w:cs="仿宋_GB2312"/>
          <w:bCs/>
          <w:color w:val="auto"/>
          <w:sz w:val="32"/>
          <w:szCs w:val="32"/>
          <w:highlight w:val="none"/>
        </w:rPr>
      </w:pPr>
    </w:p>
    <w:p w14:paraId="64F58DB8">
      <w:pPr>
        <w:pStyle w:val="204"/>
        <w:spacing w:before="50" w:after="50"/>
        <w:ind w:firstLine="720"/>
        <w:rPr>
          <w:rFonts w:hint="eastAsia" w:ascii="宋体" w:hAnsi="宋体" w:cs="仿宋_GB2312"/>
          <w:bCs/>
          <w:color w:val="auto"/>
          <w:sz w:val="32"/>
          <w:szCs w:val="32"/>
          <w:highlight w:val="none"/>
        </w:rPr>
      </w:pPr>
    </w:p>
    <w:p w14:paraId="3B4AB4E5">
      <w:pPr>
        <w:pStyle w:val="204"/>
        <w:spacing w:before="50" w:after="50"/>
        <w:ind w:firstLine="0"/>
        <w:rPr>
          <w:rFonts w:hint="eastAsia" w:ascii="宋体" w:hAnsi="宋体" w:cs="仿宋_GB2312"/>
          <w:bCs/>
          <w:color w:val="auto"/>
          <w:sz w:val="32"/>
          <w:szCs w:val="32"/>
          <w:highlight w:val="none"/>
        </w:rPr>
      </w:pPr>
    </w:p>
    <w:p w14:paraId="3C0A81FE">
      <w:pPr>
        <w:pStyle w:val="204"/>
        <w:spacing w:before="50" w:after="50"/>
        <w:ind w:firstLine="1280"/>
        <w:rPr>
          <w:rFonts w:hint="eastAsia" w:ascii="宋体" w:hAnsi="宋体" w:cs="仿宋_GB2312"/>
          <w:bCs/>
          <w:color w:val="auto"/>
          <w:sz w:val="32"/>
          <w:szCs w:val="32"/>
          <w:highlight w:val="none"/>
        </w:rPr>
      </w:pPr>
    </w:p>
    <w:p w14:paraId="7A29CE14">
      <w:pPr>
        <w:spacing w:before="156"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30D3C92E">
      <w:pPr>
        <w:spacing w:before="156" w:after="50" w:line="360" w:lineRule="auto"/>
        <w:ind w:left="142"/>
        <w:jc w:val="left"/>
        <w:rPr>
          <w:rFonts w:hint="eastAsia" w:ascii="宋体" w:hAnsi="宋体"/>
          <w:b/>
          <w:bCs/>
          <w:color w:val="auto"/>
          <w:sz w:val="24"/>
          <w:highlight w:val="none"/>
        </w:rPr>
      </w:pPr>
      <w:r>
        <w:rPr>
          <w:rFonts w:hint="eastAsia" w:ascii="宋体" w:hAnsi="宋体"/>
          <w:color w:val="auto"/>
          <w:szCs w:val="21"/>
          <w:highlight w:val="none"/>
        </w:rPr>
        <w:br w:type="page" w:clear="all"/>
      </w:r>
      <w:r>
        <w:rPr>
          <w:rFonts w:hint="eastAsia" w:ascii="宋体" w:hAnsi="宋体"/>
          <w:b/>
          <w:bCs/>
          <w:color w:val="auto"/>
          <w:sz w:val="32"/>
          <w:szCs w:val="32"/>
          <w:highlight w:val="none"/>
        </w:rPr>
        <w:t>2.报价文件目录</w:t>
      </w:r>
    </w:p>
    <w:p w14:paraId="47D9C38D">
      <w:pPr>
        <w:spacing w:line="520" w:lineRule="exact"/>
        <w:jc w:val="left"/>
        <w:rPr>
          <w:rFonts w:hint="eastAsia"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082FC9E6">
      <w:pPr>
        <w:spacing w:line="520" w:lineRule="exact"/>
        <w:jc w:val="center"/>
        <w:rPr>
          <w:rFonts w:hint="eastAsia" w:ascii="宋体" w:hAnsi="宋体" w:cs="方正小标宋简体"/>
          <w:b/>
          <w:bCs/>
          <w:color w:val="auto"/>
          <w:sz w:val="32"/>
          <w:szCs w:val="32"/>
          <w:highlight w:val="none"/>
        </w:rPr>
      </w:pPr>
      <w:r>
        <w:rPr>
          <w:rFonts w:ascii="宋体" w:hAnsi="宋体"/>
          <w:b/>
          <w:bCs/>
          <w:color w:val="auto"/>
          <w:sz w:val="32"/>
          <w:szCs w:val="32"/>
          <w:highlight w:val="none"/>
        </w:rPr>
        <w:br w:type="page" w:clear="all"/>
      </w:r>
      <w:r>
        <w:rPr>
          <w:rFonts w:hint="eastAsia" w:ascii="宋体" w:hAnsi="宋体" w:cs="方正小标宋简体"/>
          <w:b/>
          <w:bCs/>
          <w:color w:val="auto"/>
          <w:sz w:val="32"/>
          <w:szCs w:val="32"/>
          <w:highlight w:val="none"/>
        </w:rPr>
        <w:t>竞标函及竞标函附录</w:t>
      </w:r>
    </w:p>
    <w:p w14:paraId="2C612F95">
      <w:pPr>
        <w:spacing w:line="520" w:lineRule="exact"/>
        <w:jc w:val="center"/>
        <w:rPr>
          <w:rFonts w:hint="eastAsia" w:ascii="宋体" w:hAnsi="宋体" w:cs="方正小标宋简体"/>
          <w:b/>
          <w:bCs/>
          <w:color w:val="auto"/>
          <w:sz w:val="32"/>
          <w:szCs w:val="32"/>
          <w:highlight w:val="none"/>
        </w:rPr>
      </w:pPr>
    </w:p>
    <w:p w14:paraId="276B355B">
      <w:pPr>
        <w:spacing w:line="520" w:lineRule="exact"/>
        <w:jc w:val="center"/>
        <w:rPr>
          <w:rFonts w:hint="eastAsia"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（一）竞标函</w:t>
      </w:r>
    </w:p>
    <w:p w14:paraId="56EAAFCF">
      <w:pPr>
        <w:spacing w:line="520" w:lineRule="exact"/>
        <w:jc w:val="center"/>
        <w:rPr>
          <w:rFonts w:hint="eastAsia" w:ascii="宋体" w:hAnsi="宋体" w:cs="方正小标宋简体"/>
          <w:b/>
          <w:bCs/>
          <w:color w:val="auto"/>
          <w:sz w:val="32"/>
          <w:szCs w:val="32"/>
          <w:highlight w:val="none"/>
        </w:rPr>
      </w:pPr>
    </w:p>
    <w:p w14:paraId="04678A8B">
      <w:pPr>
        <w:spacing w:line="360" w:lineRule="auto"/>
        <w:rPr>
          <w:color w:val="auto"/>
          <w:szCs w:val="21"/>
          <w:highlight w:val="none"/>
        </w:rPr>
      </w:pP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w:t>
      </w:r>
      <w:r>
        <w:rPr>
          <w:rFonts w:hint="eastAsia"/>
          <w:color w:val="auto"/>
          <w:szCs w:val="21"/>
          <w:highlight w:val="none"/>
          <w:lang w:val="zh-CN" w:bidi="zh-CN"/>
        </w:rPr>
        <w:t>采购人</w:t>
      </w:r>
      <w:r>
        <w:rPr>
          <w:color w:val="auto"/>
          <w:szCs w:val="21"/>
          <w:highlight w:val="none"/>
          <w:lang w:val="zh-CN" w:bidi="zh-CN"/>
        </w:rPr>
        <w:t>名称</w:t>
      </w:r>
      <w:r>
        <w:rPr>
          <w:color w:val="auto"/>
          <w:szCs w:val="21"/>
          <w:highlight w:val="none"/>
        </w:rPr>
        <w:t>）：</w:t>
      </w:r>
    </w:p>
    <w:p w14:paraId="133AB105">
      <w:pPr>
        <w:pStyle w:val="374"/>
        <w:numPr>
          <w:ilvl w:val="0"/>
          <w:numId w:val="1"/>
        </w:numPr>
        <w:tabs>
          <w:tab w:val="left" w:pos="762"/>
          <w:tab w:val="left" w:pos="2074"/>
          <w:tab w:val="left" w:pos="3430"/>
          <w:tab w:val="left" w:pos="4687"/>
          <w:tab w:val="left" w:pos="7898"/>
        </w:tabs>
        <w:ind w:firstLine="440"/>
        <w:rPr>
          <w:rFonts w:ascii="Times New Roman" w:hAnsi="Times New Roman" w:cs="Times New Roman"/>
          <w:color w:val="auto"/>
          <w:szCs w:val="21"/>
          <w:highlight w:val="none"/>
        </w:rPr>
      </w:pPr>
      <w:r>
        <w:rPr>
          <w:rFonts w:ascii="Times New Roman" w:hAnsi="Times New Roman" w:cs="Times New Roman"/>
          <w:color w:val="auto"/>
          <w:szCs w:val="21"/>
          <w:highlight w:val="none"/>
        </w:rPr>
        <w:t>我方已仔细研究了</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u w:val="single"/>
        </w:rPr>
        <w:t>（项目名称</w:t>
      </w:r>
      <w:r>
        <w:rPr>
          <w:rFonts w:hint="eastAsia" w:ascii="Times New Roman" w:hAnsi="Times New Roman" w:cs="Times New Roman"/>
          <w:color w:val="auto"/>
          <w:szCs w:val="21"/>
          <w:highlight w:val="none"/>
          <w:u w:val="single"/>
        </w:rPr>
        <w:t>、项目编号</w:t>
      </w:r>
      <w:r>
        <w:rPr>
          <w:rFonts w:ascii="Times New Roman" w:hAnsi="Times New Roman" w:cs="Times New Roman"/>
          <w:color w:val="auto"/>
          <w:szCs w:val="21"/>
          <w:highlight w:val="none"/>
          <w:u w:val="single"/>
        </w:rPr>
        <w:t>）</w:t>
      </w:r>
      <w:r>
        <w:rPr>
          <w:rFonts w:hint="eastAsia" w:ascii="Times New Roman" w:hAnsi="Times New Roman" w:cs="Times New Roman"/>
          <w:color w:val="auto"/>
          <w:szCs w:val="21"/>
          <w:highlight w:val="none"/>
          <w:u w:val="single"/>
          <w:lang w:val="en-US"/>
        </w:rPr>
        <w:t xml:space="preserve">          </w:t>
      </w:r>
      <w:r>
        <w:rPr>
          <w:rFonts w:hint="eastAsia" w:ascii="Times New Roman" w:hAnsi="Times New Roman" w:cs="Times New Roman"/>
          <w:color w:val="auto"/>
          <w:szCs w:val="21"/>
          <w:highlight w:val="none"/>
        </w:rPr>
        <w:t>磋商</w:t>
      </w:r>
      <w:r>
        <w:rPr>
          <w:rFonts w:ascii="Times New Roman" w:hAnsi="Times New Roman" w:cs="Times New Roman"/>
          <w:color w:val="auto"/>
          <w:szCs w:val="21"/>
          <w:highlight w:val="none"/>
        </w:rPr>
        <w:t>文件的全部内容，愿意以人民币（大写）</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元（¥</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）的</w:t>
      </w:r>
      <w:r>
        <w:rPr>
          <w:rFonts w:hint="eastAsia" w:ascii="Times New Roman" w:hAnsi="Times New Roman" w:cs="Times New Roman"/>
          <w:color w:val="auto"/>
          <w:szCs w:val="21"/>
          <w:highlight w:val="none"/>
        </w:rPr>
        <w:t>竞</w:t>
      </w:r>
      <w:r>
        <w:rPr>
          <w:rFonts w:ascii="Times New Roman" w:hAnsi="Times New Roman" w:cs="Times New Roman"/>
          <w:color w:val="auto"/>
          <w:szCs w:val="21"/>
          <w:highlight w:val="none"/>
        </w:rPr>
        <w:t>标总报价，工期</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日历天，按合同约定实施和完成承包工程，修补工程中的任何缺陷，工程质量达到</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u w:val="single"/>
        </w:rPr>
        <w:t xml:space="preserve"> </w:t>
      </w:r>
      <w:r>
        <w:rPr>
          <w:rFonts w:ascii="Times New Roman" w:hAnsi="Times New Roman" w:cs="Times New Roman"/>
          <w:color w:val="auto"/>
          <w:szCs w:val="21"/>
          <w:highlight w:val="none"/>
          <w:lang w:val="en-US" w:bidi="en-US"/>
        </w:rPr>
        <w:t>。</w:t>
      </w:r>
    </w:p>
    <w:p w14:paraId="4DA5BAF9">
      <w:pPr>
        <w:pStyle w:val="374"/>
        <w:numPr>
          <w:ilvl w:val="0"/>
          <w:numId w:val="1"/>
        </w:numPr>
        <w:tabs>
          <w:tab w:val="left" w:pos="762"/>
        </w:tabs>
        <w:ind w:firstLine="420"/>
        <w:rPr>
          <w:rFonts w:ascii="Times New Roman" w:hAnsi="Times New Roman" w:cs="Times New Roman"/>
          <w:color w:val="auto"/>
          <w:szCs w:val="21"/>
          <w:highlight w:val="none"/>
        </w:rPr>
      </w:pPr>
      <w:r>
        <w:rPr>
          <w:rFonts w:hint="eastAsia"/>
          <w:color w:val="auto"/>
          <w:highlight w:val="none"/>
        </w:rPr>
        <w:t>我方承认竞标函附录是我方竞标函的组成部分。</w:t>
      </w:r>
    </w:p>
    <w:p w14:paraId="6A02B819">
      <w:pPr>
        <w:pStyle w:val="374"/>
        <w:numPr>
          <w:ilvl w:val="0"/>
          <w:numId w:val="1"/>
        </w:numPr>
        <w:tabs>
          <w:tab w:val="left" w:pos="762"/>
        </w:tabs>
        <w:ind w:firstLine="420"/>
        <w:rPr>
          <w:rFonts w:ascii="Times New Roman" w:hAnsi="Times New Roman" w:cs="Times New Roman"/>
          <w:color w:val="auto"/>
          <w:szCs w:val="21"/>
          <w:highlight w:val="none"/>
        </w:rPr>
      </w:pPr>
      <w:r>
        <w:rPr>
          <w:rFonts w:ascii="Times New Roman" w:hAnsi="Times New Roman" w:cs="Times New Roman"/>
          <w:color w:val="auto"/>
          <w:szCs w:val="21"/>
          <w:highlight w:val="none"/>
        </w:rPr>
        <w:t>如我方</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w:t>
      </w:r>
    </w:p>
    <w:p w14:paraId="055D8887">
      <w:pPr>
        <w:pStyle w:val="374"/>
        <w:tabs>
          <w:tab w:val="left" w:pos="903"/>
        </w:tabs>
        <w:ind w:firstLine="420"/>
        <w:rPr>
          <w:rFonts w:ascii="Times New Roman" w:hAnsi="Times New Roman" w:cs="Times New Roman"/>
          <w:color w:val="auto"/>
          <w:szCs w:val="21"/>
          <w:highlight w:val="none"/>
        </w:rPr>
      </w:pPr>
      <w:r>
        <w:rPr>
          <w:rFonts w:ascii="Times New Roman" w:hAnsi="Times New Roman" w:cs="Times New Roman"/>
          <w:color w:val="auto"/>
          <w:szCs w:val="21"/>
          <w:highlight w:val="none"/>
        </w:rPr>
        <w:t>（1）我方承诺在收到</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通知书后，在</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通知书规定的期限内与你方签订合同。</w:t>
      </w:r>
    </w:p>
    <w:p w14:paraId="704B56AA">
      <w:pPr>
        <w:pStyle w:val="374"/>
        <w:tabs>
          <w:tab w:val="left" w:pos="903"/>
        </w:tabs>
        <w:ind w:firstLine="420"/>
        <w:rPr>
          <w:rFonts w:ascii="Times New Roman" w:hAnsi="Times New Roman" w:cs="Times New Roman"/>
          <w:color w:val="auto"/>
          <w:szCs w:val="21"/>
          <w:highlight w:val="none"/>
        </w:rPr>
      </w:pPr>
      <w:r>
        <w:rPr>
          <w:rFonts w:ascii="Times New Roman" w:hAnsi="Times New Roman" w:cs="Times New Roman"/>
          <w:color w:val="auto"/>
          <w:szCs w:val="21"/>
          <w:highlight w:val="none"/>
        </w:rPr>
        <w:t>（2）</w:t>
      </w:r>
      <w:r>
        <w:rPr>
          <w:color w:val="auto"/>
          <w:highlight w:val="none"/>
        </w:rPr>
        <w:t>在签订合同时不向你方提出附加条件</w:t>
      </w:r>
      <w:r>
        <w:rPr>
          <w:rFonts w:ascii="Times New Roman" w:hAnsi="Times New Roman" w:cs="Times New Roman"/>
          <w:color w:val="auto"/>
          <w:szCs w:val="21"/>
          <w:highlight w:val="none"/>
        </w:rPr>
        <w:t>。</w:t>
      </w:r>
    </w:p>
    <w:p w14:paraId="1548BDBC">
      <w:pPr>
        <w:pStyle w:val="374"/>
        <w:tabs>
          <w:tab w:val="left" w:pos="903"/>
        </w:tabs>
        <w:ind w:firstLine="420"/>
        <w:rPr>
          <w:rFonts w:ascii="Times New Roman" w:hAnsi="Times New Roman" w:cs="Times New Roman"/>
          <w:color w:val="auto"/>
          <w:szCs w:val="21"/>
          <w:highlight w:val="none"/>
        </w:rPr>
      </w:pPr>
      <w:r>
        <w:rPr>
          <w:rFonts w:ascii="Times New Roman" w:hAnsi="Times New Roman" w:cs="Times New Roman"/>
          <w:color w:val="auto"/>
          <w:szCs w:val="21"/>
          <w:highlight w:val="none"/>
        </w:rPr>
        <w:t>（3）我方承诺按照</w:t>
      </w:r>
      <w:r>
        <w:rPr>
          <w:rFonts w:hint="eastAsia" w:ascii="Times New Roman" w:hAnsi="Times New Roman" w:cs="Times New Roman"/>
          <w:color w:val="auto"/>
          <w:szCs w:val="21"/>
          <w:highlight w:val="none"/>
        </w:rPr>
        <w:t>磋商</w:t>
      </w:r>
      <w:r>
        <w:rPr>
          <w:rFonts w:ascii="Times New Roman" w:hAnsi="Times New Roman" w:cs="Times New Roman"/>
          <w:color w:val="auto"/>
          <w:szCs w:val="21"/>
          <w:highlight w:val="none"/>
        </w:rPr>
        <w:t>文件规定向你方递交履约担保。</w:t>
      </w:r>
    </w:p>
    <w:p w14:paraId="22A38015">
      <w:pPr>
        <w:pStyle w:val="374"/>
        <w:tabs>
          <w:tab w:val="left" w:pos="903"/>
        </w:tabs>
        <w:ind w:firstLine="420"/>
        <w:rPr>
          <w:rFonts w:ascii="Times New Roman" w:hAnsi="Times New Roman" w:cs="Times New Roman"/>
          <w:color w:val="auto"/>
          <w:szCs w:val="21"/>
          <w:highlight w:val="none"/>
        </w:rPr>
      </w:pPr>
      <w:r>
        <w:rPr>
          <w:rFonts w:ascii="Times New Roman" w:hAnsi="Times New Roman" w:cs="Times New Roman"/>
          <w:color w:val="auto"/>
          <w:szCs w:val="21"/>
          <w:highlight w:val="none"/>
        </w:rPr>
        <w:t>（4）我方承诺在合同约定的期限内完成并移交全部合同工程。</w:t>
      </w:r>
    </w:p>
    <w:p w14:paraId="7575749A">
      <w:pPr>
        <w:pStyle w:val="374"/>
        <w:tabs>
          <w:tab w:val="left" w:pos="903"/>
        </w:tabs>
        <w:ind w:firstLine="420"/>
        <w:rPr>
          <w:rFonts w:hint="eastAsia"/>
          <w:color w:val="auto"/>
          <w:highlight w:val="none"/>
        </w:rPr>
      </w:pPr>
      <w:r>
        <w:rPr>
          <w:rFonts w:hint="eastAsia" w:ascii="Times New Roman" w:hAnsi="Times New Roman" w:cs="Times New Roman"/>
          <w:color w:val="auto"/>
          <w:szCs w:val="21"/>
          <w:highlight w:val="none"/>
        </w:rPr>
        <w:t>（5）</w:t>
      </w:r>
      <w:r>
        <w:rPr>
          <w:rFonts w:ascii="Times New Roman" w:hAnsi="Times New Roman" w:cs="Times New Roman"/>
          <w:color w:val="auto"/>
          <w:szCs w:val="21"/>
          <w:highlight w:val="none"/>
        </w:rPr>
        <w:t>在你方和我方进行合同谈判之前，我方将按照合同附件提出的最低要求填报派驻本分标的其他管理和技术人员及主要机械设备和试验检测设备，经你方审批后作为派驻本分标的项目管理机构主要人员和主要设备且不进行更换。如我方拟派驻的人员和设备不满足合同附件要求，你方有权取消我方</w:t>
      </w:r>
      <w:r>
        <w:rPr>
          <w:rFonts w:hint="eastAsia" w:ascii="Times New Roman" w:hAnsi="Times New Roman" w:cs="Times New Roman"/>
          <w:color w:val="auto"/>
          <w:szCs w:val="21"/>
          <w:highlight w:val="none"/>
        </w:rPr>
        <w:t>成交</w:t>
      </w:r>
      <w:r>
        <w:rPr>
          <w:color w:val="auto"/>
          <w:highlight w:val="none"/>
        </w:rPr>
        <w:t>资格。</w:t>
      </w:r>
    </w:p>
    <w:p w14:paraId="36072305">
      <w:pPr>
        <w:pStyle w:val="374"/>
        <w:numPr>
          <w:ilvl w:val="0"/>
          <w:numId w:val="1"/>
        </w:numPr>
        <w:tabs>
          <w:tab w:val="left" w:pos="762"/>
        </w:tabs>
        <w:ind w:firstLine="440"/>
        <w:rPr>
          <w:rFonts w:ascii="Times New Roman" w:hAnsi="Times New Roman" w:cs="Times New Roman"/>
          <w:color w:val="auto"/>
          <w:szCs w:val="21"/>
          <w:highlight w:val="none"/>
        </w:rPr>
      </w:pPr>
      <w:r>
        <w:rPr>
          <w:color w:val="auto"/>
          <w:highlight w:val="none"/>
        </w:rPr>
        <w:t>在合同协议书正式签署生效之前，本</w:t>
      </w:r>
      <w:r>
        <w:rPr>
          <w:rFonts w:hint="eastAsia" w:ascii="Times New Roman" w:hAnsi="Times New Roman" w:cs="Times New Roman"/>
          <w:color w:val="auto"/>
          <w:szCs w:val="21"/>
          <w:highlight w:val="none"/>
        </w:rPr>
        <w:t>竞</w:t>
      </w:r>
      <w:r>
        <w:rPr>
          <w:rFonts w:ascii="Times New Roman" w:hAnsi="Times New Roman" w:cs="Times New Roman"/>
          <w:color w:val="auto"/>
          <w:szCs w:val="21"/>
          <w:highlight w:val="none"/>
        </w:rPr>
        <w:t>标</w:t>
      </w:r>
      <w:r>
        <w:rPr>
          <w:color w:val="auto"/>
          <w:highlight w:val="none"/>
        </w:rPr>
        <w:t>函连同你方的</w:t>
      </w:r>
      <w:r>
        <w:rPr>
          <w:rFonts w:hint="eastAsia"/>
          <w:color w:val="auto"/>
          <w:highlight w:val="none"/>
        </w:rPr>
        <w:t>成交</w:t>
      </w:r>
      <w:r>
        <w:rPr>
          <w:color w:val="auto"/>
          <w:highlight w:val="none"/>
        </w:rPr>
        <w:t>通知书将构成我们双方之间共同遵守的文件，对双方具有约束力</w:t>
      </w:r>
      <w:r>
        <w:rPr>
          <w:rFonts w:ascii="Times New Roman" w:hAnsi="Times New Roman" w:cs="Times New Roman"/>
          <w:color w:val="auto"/>
          <w:szCs w:val="21"/>
          <w:highlight w:val="none"/>
        </w:rPr>
        <w:t>。</w:t>
      </w:r>
    </w:p>
    <w:p w14:paraId="4AD74005">
      <w:pPr>
        <w:spacing w:line="360" w:lineRule="auto"/>
        <w:ind w:firstLine="420"/>
        <w:rPr>
          <w:color w:val="auto"/>
          <w:szCs w:val="21"/>
          <w:highlight w:val="none"/>
        </w:rPr>
      </w:pPr>
      <w:r>
        <w:rPr>
          <w:rFonts w:hint="eastAsia"/>
          <w:color w:val="auto"/>
          <w:szCs w:val="21"/>
          <w:highlight w:val="none"/>
        </w:rPr>
        <w:t>5.</w:t>
      </w:r>
      <w:r>
        <w:rPr>
          <w:rFonts w:hint="eastAsia"/>
          <w:color w:val="auto"/>
          <w:szCs w:val="21"/>
          <w:highlight w:val="none"/>
          <w:u w:val="single"/>
        </w:rPr>
        <w:t xml:space="preserve">                                                   </w:t>
      </w:r>
      <w:r>
        <w:rPr>
          <w:color w:val="auto"/>
          <w:szCs w:val="21"/>
          <w:highlight w:val="none"/>
        </w:rPr>
        <w:t>（其他补充说明）。</w:t>
      </w:r>
    </w:p>
    <w:p w14:paraId="3EBFEB6A">
      <w:pPr>
        <w:spacing w:line="360" w:lineRule="auto"/>
        <w:jc w:val="center"/>
        <w:rPr>
          <w:rFonts w:hint="eastAsia" w:ascii="宋体" w:hAnsi="宋体" w:cs="方正小标宋简体"/>
          <w:b/>
          <w:bCs/>
          <w:color w:val="auto"/>
          <w:sz w:val="32"/>
          <w:szCs w:val="32"/>
          <w:highlight w:val="none"/>
        </w:rPr>
      </w:pPr>
    </w:p>
    <w:p w14:paraId="63B7150D">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01AF81DF">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4515FBF0">
      <w:pPr>
        <w:spacing w:line="360" w:lineRule="auto"/>
        <w:jc w:val="center"/>
        <w:rPr>
          <w:rFonts w:hint="eastAsia" w:ascii="宋体" w:hAnsi="宋体" w:cs="方正小标宋简体"/>
          <w:b/>
          <w:bCs/>
          <w:color w:val="auto"/>
          <w:sz w:val="32"/>
          <w:szCs w:val="32"/>
          <w:highlight w:val="none"/>
        </w:rPr>
      </w:pPr>
      <w:r>
        <w:rPr>
          <w:rFonts w:hint="eastAsia" w:ascii="宋体" w:hAnsi="宋体" w:cs="仿宋_GB2312"/>
          <w:color w:val="auto"/>
          <w:sz w:val="24"/>
          <w:highlight w:val="none"/>
        </w:rPr>
        <w:t>日期：   年   月   日</w:t>
      </w:r>
      <w:r>
        <w:rPr>
          <w:rFonts w:ascii="宋体" w:hAnsi="宋体" w:cs="方正小标宋简体"/>
          <w:b/>
          <w:bCs/>
          <w:color w:val="auto"/>
          <w:sz w:val="32"/>
          <w:szCs w:val="32"/>
          <w:highlight w:val="none"/>
        </w:rPr>
        <w:br w:type="page" w:clear="all"/>
      </w:r>
      <w:r>
        <w:rPr>
          <w:rFonts w:hint="eastAsia" w:ascii="宋体" w:hAnsi="宋体" w:cs="方正小标宋简体"/>
          <w:b/>
          <w:bCs/>
          <w:color w:val="auto"/>
          <w:sz w:val="32"/>
          <w:szCs w:val="32"/>
          <w:highlight w:val="none"/>
        </w:rPr>
        <w:t>（二）竞标函附录</w:t>
      </w:r>
    </w:p>
    <w:p w14:paraId="776EFB4E">
      <w:pPr>
        <w:spacing w:line="360" w:lineRule="auto"/>
        <w:jc w:val="center"/>
        <w:rPr>
          <w:rFonts w:hint="eastAsia" w:ascii="宋体" w:hAnsi="宋体" w:cs="仿宋_GB2312"/>
          <w:color w:val="auto"/>
          <w:sz w:val="24"/>
          <w:highlight w:val="none"/>
        </w:rPr>
      </w:pPr>
    </w:p>
    <w:tbl>
      <w:tblPr>
        <w:tblStyle w:val="44"/>
        <w:tblW w:w="8373"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6"/>
        <w:gridCol w:w="2924"/>
        <w:gridCol w:w="3863"/>
        <w:gridCol w:w="850"/>
      </w:tblGrid>
      <w:tr w14:paraId="557CF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77ABDD5D">
            <w:pPr>
              <w:jc w:val="center"/>
              <w:rPr>
                <w:color w:val="auto"/>
                <w:highlight w:val="none"/>
              </w:rPr>
            </w:pPr>
            <w:r>
              <w:rPr>
                <w:color w:val="auto"/>
                <w:highlight w:val="none"/>
              </w:rPr>
              <w:t>序号</w:t>
            </w:r>
          </w:p>
        </w:tc>
        <w:tc>
          <w:tcPr>
            <w:tcW w:w="2924" w:type="dxa"/>
            <w:tcBorders>
              <w:top w:val="single" w:color="000000" w:sz="4" w:space="0"/>
              <w:left w:val="single" w:color="000000" w:sz="4" w:space="0"/>
              <w:bottom w:val="single" w:color="000000" w:sz="4" w:space="0"/>
              <w:right w:val="single" w:color="000000" w:sz="4" w:space="0"/>
            </w:tcBorders>
            <w:vAlign w:val="center"/>
          </w:tcPr>
          <w:p w14:paraId="175826B5">
            <w:pPr>
              <w:jc w:val="center"/>
              <w:rPr>
                <w:color w:val="auto"/>
                <w:highlight w:val="none"/>
              </w:rPr>
            </w:pPr>
            <w:r>
              <w:rPr>
                <w:color w:val="auto"/>
                <w:highlight w:val="none"/>
              </w:rPr>
              <w:t>条款名称</w:t>
            </w:r>
          </w:p>
        </w:tc>
        <w:tc>
          <w:tcPr>
            <w:tcW w:w="3863" w:type="dxa"/>
            <w:tcBorders>
              <w:top w:val="single" w:color="000000" w:sz="4" w:space="0"/>
              <w:left w:val="single" w:color="000000" w:sz="4" w:space="0"/>
              <w:bottom w:val="single" w:color="000000" w:sz="4" w:space="0"/>
              <w:right w:val="single" w:color="000000" w:sz="4" w:space="0"/>
            </w:tcBorders>
            <w:vAlign w:val="center"/>
          </w:tcPr>
          <w:p w14:paraId="2BD1B337">
            <w:pPr>
              <w:jc w:val="center"/>
              <w:rPr>
                <w:color w:val="auto"/>
                <w:highlight w:val="none"/>
              </w:rPr>
            </w:pPr>
            <w:r>
              <w:rPr>
                <w:color w:val="auto"/>
                <w:highlight w:val="none"/>
              </w:rPr>
              <w:t>约定内容</w:t>
            </w:r>
          </w:p>
        </w:tc>
        <w:tc>
          <w:tcPr>
            <w:tcW w:w="850" w:type="dxa"/>
            <w:tcBorders>
              <w:top w:val="single" w:color="000000" w:sz="4" w:space="0"/>
              <w:left w:val="single" w:color="000000" w:sz="4" w:space="0"/>
              <w:bottom w:val="single" w:color="000000" w:sz="4" w:space="0"/>
              <w:right w:val="single" w:color="000000" w:sz="4" w:space="0"/>
            </w:tcBorders>
            <w:vAlign w:val="center"/>
          </w:tcPr>
          <w:p w14:paraId="26D50712">
            <w:pPr>
              <w:jc w:val="center"/>
              <w:rPr>
                <w:color w:val="auto"/>
                <w:highlight w:val="none"/>
              </w:rPr>
            </w:pPr>
            <w:r>
              <w:rPr>
                <w:color w:val="auto"/>
                <w:highlight w:val="none"/>
              </w:rPr>
              <w:t>备注</w:t>
            </w:r>
          </w:p>
        </w:tc>
      </w:tr>
      <w:tr w14:paraId="1215B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3667AA6B">
            <w:pPr>
              <w:jc w:val="center"/>
              <w:rPr>
                <w:color w:val="auto"/>
                <w:highlight w:val="none"/>
              </w:rPr>
            </w:pPr>
            <w:r>
              <w:rPr>
                <w:color w:val="auto"/>
                <w:highlight w:val="none"/>
              </w:rPr>
              <w:t>1</w:t>
            </w:r>
          </w:p>
        </w:tc>
        <w:tc>
          <w:tcPr>
            <w:tcW w:w="2924" w:type="dxa"/>
            <w:tcBorders>
              <w:top w:val="single" w:color="000000" w:sz="4" w:space="0"/>
              <w:left w:val="single" w:color="000000" w:sz="4" w:space="0"/>
              <w:bottom w:val="single" w:color="000000" w:sz="4" w:space="0"/>
              <w:right w:val="single" w:color="000000" w:sz="4" w:space="0"/>
            </w:tcBorders>
            <w:vAlign w:val="center"/>
          </w:tcPr>
          <w:p w14:paraId="4201956D">
            <w:pPr>
              <w:jc w:val="center"/>
              <w:rPr>
                <w:color w:val="auto"/>
                <w:highlight w:val="none"/>
              </w:rPr>
            </w:pPr>
            <w:r>
              <w:rPr>
                <w:color w:val="auto"/>
                <w:highlight w:val="none"/>
              </w:rPr>
              <w:t>缺陷责任期</w:t>
            </w:r>
          </w:p>
        </w:tc>
        <w:tc>
          <w:tcPr>
            <w:tcW w:w="3863" w:type="dxa"/>
            <w:tcBorders>
              <w:top w:val="single" w:color="000000" w:sz="4" w:space="0"/>
              <w:left w:val="single" w:color="000000" w:sz="4" w:space="0"/>
              <w:bottom w:val="single" w:color="000000" w:sz="4" w:space="0"/>
              <w:right w:val="single" w:color="000000" w:sz="4" w:space="0"/>
            </w:tcBorders>
            <w:vAlign w:val="center"/>
          </w:tcPr>
          <w:p w14:paraId="51CE462C">
            <w:pPr>
              <w:jc w:val="center"/>
              <w:rPr>
                <w:color w:val="auto"/>
                <w:highlight w:val="none"/>
              </w:rPr>
            </w:pPr>
            <w:r>
              <w:rPr>
                <w:color w:val="auto"/>
                <w:highlight w:val="none"/>
              </w:rPr>
              <w:t>自实际交工日期起计算</w:t>
            </w:r>
            <w:r>
              <w:rPr>
                <w:rFonts w:hint="eastAsia"/>
                <w:color w:val="auto"/>
                <w:highlight w:val="none"/>
              </w:rPr>
              <w:t xml:space="preserve">   </w:t>
            </w:r>
            <w:r>
              <w:rPr>
                <w:color w:val="auto"/>
                <w:highlight w:val="none"/>
              </w:rPr>
              <w:t>年</w:t>
            </w:r>
          </w:p>
        </w:tc>
        <w:tc>
          <w:tcPr>
            <w:tcW w:w="850" w:type="dxa"/>
            <w:tcBorders>
              <w:top w:val="single" w:color="000000" w:sz="4" w:space="0"/>
              <w:left w:val="single" w:color="000000" w:sz="4" w:space="0"/>
              <w:bottom w:val="single" w:color="000000" w:sz="4" w:space="0"/>
              <w:right w:val="single" w:color="000000" w:sz="4" w:space="0"/>
            </w:tcBorders>
            <w:vAlign w:val="center"/>
          </w:tcPr>
          <w:p w14:paraId="7166DC13">
            <w:pPr>
              <w:jc w:val="center"/>
              <w:rPr>
                <w:color w:val="auto"/>
                <w:highlight w:val="none"/>
              </w:rPr>
            </w:pPr>
          </w:p>
        </w:tc>
      </w:tr>
      <w:tr w14:paraId="374BC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66856202">
            <w:pPr>
              <w:jc w:val="center"/>
              <w:rPr>
                <w:color w:val="auto"/>
                <w:highlight w:val="none"/>
              </w:rPr>
            </w:pPr>
            <w:r>
              <w:rPr>
                <w:color w:val="auto"/>
                <w:highlight w:val="none"/>
              </w:rPr>
              <w:t>2</w:t>
            </w:r>
          </w:p>
        </w:tc>
        <w:tc>
          <w:tcPr>
            <w:tcW w:w="2924" w:type="dxa"/>
            <w:tcBorders>
              <w:top w:val="single" w:color="000000" w:sz="4" w:space="0"/>
              <w:left w:val="single" w:color="000000" w:sz="4" w:space="0"/>
              <w:bottom w:val="single" w:color="000000" w:sz="4" w:space="0"/>
              <w:right w:val="single" w:color="000000" w:sz="4" w:space="0"/>
            </w:tcBorders>
            <w:vAlign w:val="center"/>
          </w:tcPr>
          <w:p w14:paraId="260DC896">
            <w:pPr>
              <w:jc w:val="center"/>
              <w:rPr>
                <w:color w:val="auto"/>
                <w:highlight w:val="none"/>
              </w:rPr>
            </w:pPr>
            <w:r>
              <w:rPr>
                <w:color w:val="auto"/>
                <w:highlight w:val="none"/>
              </w:rPr>
              <w:t>逾期交工违约金</w:t>
            </w:r>
          </w:p>
        </w:tc>
        <w:tc>
          <w:tcPr>
            <w:tcW w:w="3863" w:type="dxa"/>
            <w:tcBorders>
              <w:top w:val="single" w:color="000000" w:sz="4" w:space="0"/>
              <w:left w:val="single" w:color="000000" w:sz="4" w:space="0"/>
              <w:bottom w:val="single" w:color="000000" w:sz="4" w:space="0"/>
              <w:right w:val="single" w:color="000000" w:sz="4" w:space="0"/>
            </w:tcBorders>
            <w:vAlign w:val="center"/>
          </w:tcPr>
          <w:p w14:paraId="79D4DE82">
            <w:pPr>
              <w:ind w:firstLine="420"/>
              <w:jc w:val="center"/>
              <w:rPr>
                <w:color w:val="auto"/>
                <w:highlight w:val="none"/>
              </w:rPr>
            </w:pPr>
            <w:r>
              <w:rPr>
                <w:color w:val="auto"/>
                <w:highlight w:val="none"/>
              </w:rPr>
              <w:t>元/天</w:t>
            </w:r>
          </w:p>
        </w:tc>
        <w:tc>
          <w:tcPr>
            <w:tcW w:w="850" w:type="dxa"/>
            <w:tcBorders>
              <w:top w:val="single" w:color="000000" w:sz="4" w:space="0"/>
              <w:left w:val="single" w:color="000000" w:sz="4" w:space="0"/>
              <w:bottom w:val="single" w:color="000000" w:sz="4" w:space="0"/>
              <w:right w:val="single" w:color="000000" w:sz="4" w:space="0"/>
            </w:tcBorders>
            <w:vAlign w:val="center"/>
          </w:tcPr>
          <w:p w14:paraId="76690E05">
            <w:pPr>
              <w:jc w:val="center"/>
              <w:rPr>
                <w:color w:val="auto"/>
                <w:highlight w:val="none"/>
              </w:rPr>
            </w:pPr>
          </w:p>
        </w:tc>
      </w:tr>
      <w:tr w14:paraId="0A95E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71E2E0A2">
            <w:pPr>
              <w:jc w:val="center"/>
              <w:rPr>
                <w:color w:val="auto"/>
                <w:highlight w:val="none"/>
              </w:rPr>
            </w:pPr>
            <w:r>
              <w:rPr>
                <w:color w:val="auto"/>
                <w:highlight w:val="none"/>
              </w:rPr>
              <w:t>3</w:t>
            </w:r>
          </w:p>
        </w:tc>
        <w:tc>
          <w:tcPr>
            <w:tcW w:w="2924" w:type="dxa"/>
            <w:tcBorders>
              <w:top w:val="single" w:color="000000" w:sz="4" w:space="0"/>
              <w:left w:val="single" w:color="000000" w:sz="4" w:space="0"/>
              <w:bottom w:val="single" w:color="000000" w:sz="4" w:space="0"/>
              <w:right w:val="single" w:color="000000" w:sz="4" w:space="0"/>
            </w:tcBorders>
            <w:vAlign w:val="center"/>
          </w:tcPr>
          <w:p w14:paraId="27D08E1B">
            <w:pPr>
              <w:jc w:val="center"/>
              <w:rPr>
                <w:color w:val="auto"/>
                <w:highlight w:val="none"/>
              </w:rPr>
            </w:pPr>
            <w:r>
              <w:rPr>
                <w:color w:val="auto"/>
                <w:highlight w:val="none"/>
              </w:rPr>
              <w:t>逾期交工违约金限额</w:t>
            </w:r>
          </w:p>
        </w:tc>
        <w:tc>
          <w:tcPr>
            <w:tcW w:w="3863" w:type="dxa"/>
            <w:tcBorders>
              <w:top w:val="single" w:color="000000" w:sz="4" w:space="0"/>
              <w:left w:val="single" w:color="000000" w:sz="4" w:space="0"/>
              <w:bottom w:val="single" w:color="000000" w:sz="4" w:space="0"/>
              <w:right w:val="single" w:color="000000" w:sz="4" w:space="0"/>
            </w:tcBorders>
            <w:vAlign w:val="center"/>
          </w:tcPr>
          <w:p w14:paraId="06E860FA">
            <w:pPr>
              <w:jc w:val="center"/>
              <w:rPr>
                <w:color w:val="auto"/>
                <w:highlight w:val="none"/>
              </w:rPr>
            </w:pPr>
            <w:r>
              <w:rPr>
                <w:color w:val="auto"/>
                <w:highlight w:val="none"/>
              </w:rPr>
              <w:t>%签约合同价</w:t>
            </w:r>
          </w:p>
        </w:tc>
        <w:tc>
          <w:tcPr>
            <w:tcW w:w="850" w:type="dxa"/>
            <w:tcBorders>
              <w:top w:val="single" w:color="000000" w:sz="4" w:space="0"/>
              <w:left w:val="single" w:color="000000" w:sz="4" w:space="0"/>
              <w:bottom w:val="single" w:color="000000" w:sz="4" w:space="0"/>
              <w:right w:val="single" w:color="000000" w:sz="4" w:space="0"/>
            </w:tcBorders>
            <w:vAlign w:val="center"/>
          </w:tcPr>
          <w:p w14:paraId="1BDD0F05">
            <w:pPr>
              <w:jc w:val="center"/>
              <w:rPr>
                <w:color w:val="auto"/>
                <w:highlight w:val="none"/>
              </w:rPr>
            </w:pPr>
          </w:p>
        </w:tc>
      </w:tr>
      <w:tr w14:paraId="3063D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3503CDA9">
            <w:pPr>
              <w:jc w:val="center"/>
              <w:rPr>
                <w:color w:val="auto"/>
                <w:highlight w:val="none"/>
              </w:rPr>
            </w:pPr>
            <w:r>
              <w:rPr>
                <w:color w:val="auto"/>
                <w:highlight w:val="none"/>
              </w:rPr>
              <w:t>4</w:t>
            </w:r>
          </w:p>
        </w:tc>
        <w:tc>
          <w:tcPr>
            <w:tcW w:w="2924" w:type="dxa"/>
            <w:tcBorders>
              <w:top w:val="single" w:color="000000" w:sz="4" w:space="0"/>
              <w:left w:val="single" w:color="000000" w:sz="4" w:space="0"/>
              <w:bottom w:val="single" w:color="000000" w:sz="4" w:space="0"/>
              <w:right w:val="single" w:color="000000" w:sz="4" w:space="0"/>
            </w:tcBorders>
            <w:vAlign w:val="center"/>
          </w:tcPr>
          <w:p w14:paraId="6DF58BDB">
            <w:pPr>
              <w:jc w:val="center"/>
              <w:rPr>
                <w:color w:val="auto"/>
                <w:highlight w:val="none"/>
              </w:rPr>
            </w:pPr>
            <w:r>
              <w:rPr>
                <w:color w:val="auto"/>
                <w:highlight w:val="none"/>
              </w:rPr>
              <w:t>提前交工的奖金</w:t>
            </w:r>
          </w:p>
        </w:tc>
        <w:tc>
          <w:tcPr>
            <w:tcW w:w="3863" w:type="dxa"/>
            <w:tcBorders>
              <w:top w:val="single" w:color="000000" w:sz="4" w:space="0"/>
              <w:left w:val="single" w:color="000000" w:sz="4" w:space="0"/>
              <w:bottom w:val="single" w:color="000000" w:sz="4" w:space="0"/>
              <w:right w:val="single" w:color="000000" w:sz="4" w:space="0"/>
            </w:tcBorders>
            <w:vAlign w:val="center"/>
          </w:tcPr>
          <w:p w14:paraId="00034AFF">
            <w:pPr>
              <w:jc w:val="center"/>
              <w:rPr>
                <w:color w:val="auto"/>
                <w:highlight w:val="none"/>
              </w:rPr>
            </w:pPr>
            <w:r>
              <w:rPr>
                <w:color w:val="auto"/>
                <w:highlight w:val="none"/>
              </w:rPr>
              <w:t>元/天</w:t>
            </w:r>
          </w:p>
        </w:tc>
        <w:tc>
          <w:tcPr>
            <w:tcW w:w="850" w:type="dxa"/>
            <w:tcBorders>
              <w:top w:val="single" w:color="000000" w:sz="4" w:space="0"/>
              <w:left w:val="single" w:color="000000" w:sz="4" w:space="0"/>
              <w:bottom w:val="single" w:color="000000" w:sz="4" w:space="0"/>
              <w:right w:val="single" w:color="000000" w:sz="4" w:space="0"/>
            </w:tcBorders>
            <w:vAlign w:val="center"/>
          </w:tcPr>
          <w:p w14:paraId="1960C49F">
            <w:pPr>
              <w:jc w:val="center"/>
              <w:rPr>
                <w:color w:val="auto"/>
                <w:highlight w:val="none"/>
              </w:rPr>
            </w:pPr>
          </w:p>
        </w:tc>
      </w:tr>
      <w:tr w14:paraId="27B8E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00A7E968">
            <w:pPr>
              <w:jc w:val="center"/>
              <w:rPr>
                <w:color w:val="auto"/>
                <w:highlight w:val="none"/>
              </w:rPr>
            </w:pPr>
            <w:r>
              <w:rPr>
                <w:color w:val="auto"/>
                <w:highlight w:val="none"/>
              </w:rPr>
              <w:t>5</w:t>
            </w:r>
          </w:p>
        </w:tc>
        <w:tc>
          <w:tcPr>
            <w:tcW w:w="2924" w:type="dxa"/>
            <w:tcBorders>
              <w:top w:val="single" w:color="000000" w:sz="4" w:space="0"/>
              <w:left w:val="single" w:color="000000" w:sz="4" w:space="0"/>
              <w:bottom w:val="single" w:color="000000" w:sz="4" w:space="0"/>
              <w:right w:val="single" w:color="000000" w:sz="4" w:space="0"/>
            </w:tcBorders>
            <w:vAlign w:val="center"/>
          </w:tcPr>
          <w:p w14:paraId="44B1E408">
            <w:pPr>
              <w:jc w:val="center"/>
              <w:rPr>
                <w:color w:val="auto"/>
                <w:highlight w:val="none"/>
              </w:rPr>
            </w:pPr>
            <w:r>
              <w:rPr>
                <w:color w:val="auto"/>
                <w:highlight w:val="none"/>
              </w:rPr>
              <w:t>提前交工的奖金限额</w:t>
            </w:r>
          </w:p>
        </w:tc>
        <w:tc>
          <w:tcPr>
            <w:tcW w:w="3863" w:type="dxa"/>
            <w:tcBorders>
              <w:top w:val="single" w:color="000000" w:sz="4" w:space="0"/>
              <w:left w:val="single" w:color="000000" w:sz="4" w:space="0"/>
              <w:bottom w:val="single" w:color="000000" w:sz="4" w:space="0"/>
              <w:right w:val="single" w:color="000000" w:sz="4" w:space="0"/>
            </w:tcBorders>
            <w:vAlign w:val="center"/>
          </w:tcPr>
          <w:p w14:paraId="7785CD4D">
            <w:pPr>
              <w:jc w:val="center"/>
              <w:rPr>
                <w:color w:val="auto"/>
                <w:highlight w:val="none"/>
              </w:rPr>
            </w:pPr>
            <w:r>
              <w:rPr>
                <w:color w:val="auto"/>
                <w:highlight w:val="none"/>
              </w:rPr>
              <w:t>%签约合同价</w:t>
            </w:r>
          </w:p>
        </w:tc>
        <w:tc>
          <w:tcPr>
            <w:tcW w:w="850" w:type="dxa"/>
            <w:tcBorders>
              <w:top w:val="single" w:color="000000" w:sz="4" w:space="0"/>
              <w:left w:val="single" w:color="000000" w:sz="4" w:space="0"/>
              <w:bottom w:val="single" w:color="000000" w:sz="4" w:space="0"/>
              <w:right w:val="single" w:color="000000" w:sz="4" w:space="0"/>
            </w:tcBorders>
            <w:vAlign w:val="center"/>
          </w:tcPr>
          <w:p w14:paraId="6321EE1E">
            <w:pPr>
              <w:jc w:val="center"/>
              <w:rPr>
                <w:color w:val="auto"/>
                <w:highlight w:val="none"/>
              </w:rPr>
            </w:pPr>
          </w:p>
        </w:tc>
      </w:tr>
      <w:tr w14:paraId="6466E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7C2FC8AB">
            <w:pPr>
              <w:jc w:val="center"/>
              <w:rPr>
                <w:color w:val="auto"/>
                <w:highlight w:val="none"/>
              </w:rPr>
            </w:pPr>
            <w:r>
              <w:rPr>
                <w:color w:val="auto"/>
                <w:highlight w:val="none"/>
              </w:rPr>
              <w:t>6</w:t>
            </w:r>
          </w:p>
        </w:tc>
        <w:tc>
          <w:tcPr>
            <w:tcW w:w="2924" w:type="dxa"/>
            <w:tcBorders>
              <w:top w:val="single" w:color="000000" w:sz="4" w:space="0"/>
              <w:left w:val="single" w:color="000000" w:sz="4" w:space="0"/>
              <w:bottom w:val="single" w:color="000000" w:sz="4" w:space="0"/>
              <w:right w:val="single" w:color="000000" w:sz="4" w:space="0"/>
            </w:tcBorders>
            <w:vAlign w:val="center"/>
          </w:tcPr>
          <w:p w14:paraId="50323E48">
            <w:pPr>
              <w:jc w:val="center"/>
              <w:rPr>
                <w:color w:val="auto"/>
                <w:highlight w:val="none"/>
              </w:rPr>
            </w:pPr>
            <w:r>
              <w:rPr>
                <w:color w:val="auto"/>
                <w:highlight w:val="none"/>
              </w:rPr>
              <w:t>价格调整的差额计算</w:t>
            </w:r>
          </w:p>
        </w:tc>
        <w:tc>
          <w:tcPr>
            <w:tcW w:w="3863" w:type="dxa"/>
            <w:tcBorders>
              <w:top w:val="single" w:color="000000" w:sz="4" w:space="0"/>
              <w:left w:val="single" w:color="000000" w:sz="4" w:space="0"/>
              <w:bottom w:val="single" w:color="000000" w:sz="4" w:space="0"/>
              <w:right w:val="single" w:color="000000" w:sz="4" w:space="0"/>
            </w:tcBorders>
            <w:vAlign w:val="center"/>
          </w:tcPr>
          <w:p w14:paraId="328C3B3B">
            <w:pPr>
              <w:jc w:val="center"/>
              <w:rPr>
                <w:color w:val="auto"/>
                <w:highlight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48C90F90">
            <w:pPr>
              <w:jc w:val="center"/>
              <w:rPr>
                <w:color w:val="auto"/>
                <w:highlight w:val="none"/>
              </w:rPr>
            </w:pPr>
          </w:p>
        </w:tc>
      </w:tr>
      <w:tr w14:paraId="06FAA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5B765437">
            <w:pPr>
              <w:jc w:val="center"/>
              <w:rPr>
                <w:color w:val="auto"/>
                <w:highlight w:val="none"/>
              </w:rPr>
            </w:pPr>
            <w:r>
              <w:rPr>
                <w:color w:val="auto"/>
                <w:highlight w:val="none"/>
              </w:rPr>
              <w:t>7</w:t>
            </w:r>
          </w:p>
        </w:tc>
        <w:tc>
          <w:tcPr>
            <w:tcW w:w="2924" w:type="dxa"/>
            <w:tcBorders>
              <w:top w:val="single" w:color="000000" w:sz="4" w:space="0"/>
              <w:left w:val="single" w:color="000000" w:sz="4" w:space="0"/>
              <w:bottom w:val="single" w:color="000000" w:sz="4" w:space="0"/>
              <w:right w:val="single" w:color="000000" w:sz="4" w:space="0"/>
            </w:tcBorders>
            <w:vAlign w:val="center"/>
          </w:tcPr>
          <w:p w14:paraId="6589AFC0">
            <w:pPr>
              <w:jc w:val="center"/>
              <w:rPr>
                <w:color w:val="auto"/>
                <w:highlight w:val="none"/>
              </w:rPr>
            </w:pPr>
            <w:r>
              <w:rPr>
                <w:color w:val="auto"/>
                <w:highlight w:val="none"/>
              </w:rPr>
              <w:t>开工预付款金额</w:t>
            </w:r>
          </w:p>
        </w:tc>
        <w:tc>
          <w:tcPr>
            <w:tcW w:w="3863" w:type="dxa"/>
            <w:tcBorders>
              <w:top w:val="single" w:color="000000" w:sz="4" w:space="0"/>
              <w:left w:val="single" w:color="000000" w:sz="4" w:space="0"/>
              <w:bottom w:val="single" w:color="000000" w:sz="4" w:space="0"/>
              <w:right w:val="single" w:color="000000" w:sz="4" w:space="0"/>
            </w:tcBorders>
            <w:vAlign w:val="center"/>
          </w:tcPr>
          <w:p w14:paraId="6E28368F">
            <w:pPr>
              <w:jc w:val="center"/>
              <w:rPr>
                <w:color w:val="auto"/>
                <w:highlight w:val="none"/>
              </w:rPr>
            </w:pPr>
            <w:r>
              <w:rPr>
                <w:color w:val="auto"/>
                <w:highlight w:val="none"/>
              </w:rPr>
              <w:t>%签约合同价</w:t>
            </w:r>
          </w:p>
        </w:tc>
        <w:tc>
          <w:tcPr>
            <w:tcW w:w="850" w:type="dxa"/>
            <w:tcBorders>
              <w:top w:val="single" w:color="000000" w:sz="4" w:space="0"/>
              <w:left w:val="single" w:color="000000" w:sz="4" w:space="0"/>
              <w:bottom w:val="single" w:color="000000" w:sz="4" w:space="0"/>
              <w:right w:val="single" w:color="000000" w:sz="4" w:space="0"/>
            </w:tcBorders>
            <w:vAlign w:val="center"/>
          </w:tcPr>
          <w:p w14:paraId="17C1F5AD">
            <w:pPr>
              <w:jc w:val="center"/>
              <w:rPr>
                <w:color w:val="auto"/>
                <w:highlight w:val="none"/>
              </w:rPr>
            </w:pPr>
          </w:p>
        </w:tc>
      </w:tr>
      <w:tr w14:paraId="05D15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59C0AB2A">
            <w:pPr>
              <w:jc w:val="center"/>
              <w:rPr>
                <w:color w:val="auto"/>
                <w:highlight w:val="none"/>
              </w:rPr>
            </w:pPr>
          </w:p>
          <w:p w14:paraId="4F735D6C">
            <w:pPr>
              <w:jc w:val="center"/>
              <w:rPr>
                <w:color w:val="auto"/>
                <w:highlight w:val="none"/>
              </w:rPr>
            </w:pPr>
            <w:r>
              <w:rPr>
                <w:color w:val="auto"/>
                <w:highlight w:val="none"/>
              </w:rPr>
              <w:t>8</w:t>
            </w:r>
          </w:p>
        </w:tc>
        <w:tc>
          <w:tcPr>
            <w:tcW w:w="2924" w:type="dxa"/>
            <w:tcBorders>
              <w:top w:val="single" w:color="000000" w:sz="4" w:space="0"/>
              <w:left w:val="single" w:color="000000" w:sz="4" w:space="0"/>
              <w:bottom w:val="single" w:color="000000" w:sz="4" w:space="0"/>
              <w:right w:val="single" w:color="000000" w:sz="4" w:space="0"/>
            </w:tcBorders>
            <w:vAlign w:val="center"/>
          </w:tcPr>
          <w:p w14:paraId="17D3D90B">
            <w:pPr>
              <w:jc w:val="center"/>
              <w:rPr>
                <w:color w:val="auto"/>
                <w:highlight w:val="none"/>
              </w:rPr>
            </w:pPr>
            <w:r>
              <w:rPr>
                <w:color w:val="auto"/>
                <w:highlight w:val="none"/>
              </w:rPr>
              <w:t>材料、设备预付款比例</w:t>
            </w:r>
          </w:p>
        </w:tc>
        <w:tc>
          <w:tcPr>
            <w:tcW w:w="3863" w:type="dxa"/>
            <w:tcBorders>
              <w:top w:val="single" w:color="000000" w:sz="4" w:space="0"/>
              <w:left w:val="single" w:color="000000" w:sz="4" w:space="0"/>
              <w:bottom w:val="single" w:color="000000" w:sz="4" w:space="0"/>
              <w:right w:val="single" w:color="000000" w:sz="4" w:space="0"/>
            </w:tcBorders>
            <w:vAlign w:val="center"/>
          </w:tcPr>
          <w:p w14:paraId="353A488C">
            <w:pPr>
              <w:jc w:val="center"/>
              <w:rPr>
                <w:color w:val="auto"/>
                <w:highlight w:val="none"/>
              </w:rPr>
            </w:pPr>
            <w:r>
              <w:rPr>
                <w:color w:val="auto"/>
                <w:highlight w:val="none"/>
              </w:rPr>
              <w:t>等主要材料、设备单据所列费用的</w:t>
            </w:r>
            <w:r>
              <w:rPr>
                <w:color w:val="auto"/>
                <w:highlight w:val="none"/>
              </w:rPr>
              <w:tab/>
            </w:r>
            <w:r>
              <w:rPr>
                <w:color w:val="auto"/>
                <w:highlight w:val="none"/>
                <w:u w:val="single"/>
              </w:rPr>
              <w:tab/>
            </w:r>
            <w:r>
              <w:rPr>
                <w:color w:val="auto"/>
                <w:highlight w:val="none"/>
              </w:rPr>
              <w:t>%</w:t>
            </w:r>
          </w:p>
        </w:tc>
        <w:tc>
          <w:tcPr>
            <w:tcW w:w="850" w:type="dxa"/>
            <w:tcBorders>
              <w:top w:val="single" w:color="000000" w:sz="4" w:space="0"/>
              <w:left w:val="single" w:color="000000" w:sz="4" w:space="0"/>
              <w:bottom w:val="single" w:color="000000" w:sz="4" w:space="0"/>
              <w:right w:val="single" w:color="000000" w:sz="4" w:space="0"/>
            </w:tcBorders>
            <w:vAlign w:val="center"/>
          </w:tcPr>
          <w:p w14:paraId="17FDFCA0">
            <w:pPr>
              <w:jc w:val="center"/>
              <w:rPr>
                <w:color w:val="auto"/>
                <w:highlight w:val="none"/>
              </w:rPr>
            </w:pPr>
          </w:p>
        </w:tc>
      </w:tr>
      <w:tr w14:paraId="52DC6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4A16B287">
            <w:pPr>
              <w:jc w:val="center"/>
              <w:rPr>
                <w:color w:val="auto"/>
                <w:highlight w:val="none"/>
              </w:rPr>
            </w:pPr>
            <w:r>
              <w:rPr>
                <w:color w:val="auto"/>
                <w:highlight w:val="none"/>
              </w:rPr>
              <w:t>9</w:t>
            </w:r>
          </w:p>
        </w:tc>
        <w:tc>
          <w:tcPr>
            <w:tcW w:w="2924" w:type="dxa"/>
            <w:tcBorders>
              <w:top w:val="single" w:color="000000" w:sz="4" w:space="0"/>
              <w:left w:val="single" w:color="000000" w:sz="4" w:space="0"/>
              <w:bottom w:val="single" w:color="000000" w:sz="4" w:space="0"/>
              <w:right w:val="single" w:color="000000" w:sz="4" w:space="0"/>
            </w:tcBorders>
            <w:vAlign w:val="center"/>
          </w:tcPr>
          <w:p w14:paraId="63CBB2E4">
            <w:pPr>
              <w:jc w:val="center"/>
              <w:rPr>
                <w:color w:val="auto"/>
                <w:highlight w:val="none"/>
              </w:rPr>
            </w:pPr>
            <w:r>
              <w:rPr>
                <w:color w:val="auto"/>
                <w:highlight w:val="none"/>
              </w:rPr>
              <w:t>进度付款证书最低限额</w:t>
            </w:r>
          </w:p>
        </w:tc>
        <w:tc>
          <w:tcPr>
            <w:tcW w:w="3863" w:type="dxa"/>
            <w:tcBorders>
              <w:top w:val="single" w:color="000000" w:sz="4" w:space="0"/>
              <w:left w:val="single" w:color="000000" w:sz="4" w:space="0"/>
              <w:bottom w:val="single" w:color="000000" w:sz="4" w:space="0"/>
              <w:right w:val="single" w:color="000000" w:sz="4" w:space="0"/>
            </w:tcBorders>
            <w:vAlign w:val="center"/>
          </w:tcPr>
          <w:p w14:paraId="189ACA78">
            <w:pPr>
              <w:jc w:val="center"/>
              <w:rPr>
                <w:color w:val="auto"/>
                <w:highlight w:val="none"/>
              </w:rPr>
            </w:pPr>
            <w:r>
              <w:rPr>
                <w:color w:val="auto"/>
                <w:highlight w:val="none"/>
              </w:rPr>
              <w:t>%签约合同价或</w:t>
            </w:r>
            <w:r>
              <w:rPr>
                <w:rFonts w:hint="eastAsia"/>
                <w:color w:val="auto"/>
                <w:highlight w:val="none"/>
              </w:rPr>
              <w:t xml:space="preserve">   </w:t>
            </w:r>
            <w:r>
              <w:rPr>
                <w:color w:val="auto"/>
                <w:highlight w:val="none"/>
              </w:rPr>
              <w:t>万元</w:t>
            </w:r>
          </w:p>
        </w:tc>
        <w:tc>
          <w:tcPr>
            <w:tcW w:w="850" w:type="dxa"/>
            <w:tcBorders>
              <w:top w:val="single" w:color="000000" w:sz="4" w:space="0"/>
              <w:left w:val="single" w:color="000000" w:sz="4" w:space="0"/>
              <w:bottom w:val="single" w:color="000000" w:sz="4" w:space="0"/>
              <w:right w:val="single" w:color="000000" w:sz="4" w:space="0"/>
            </w:tcBorders>
            <w:vAlign w:val="center"/>
          </w:tcPr>
          <w:p w14:paraId="055617D1">
            <w:pPr>
              <w:jc w:val="center"/>
              <w:rPr>
                <w:color w:val="auto"/>
                <w:highlight w:val="none"/>
              </w:rPr>
            </w:pPr>
          </w:p>
        </w:tc>
      </w:tr>
      <w:tr w14:paraId="774BB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6C31782A">
            <w:pPr>
              <w:jc w:val="center"/>
              <w:rPr>
                <w:color w:val="auto"/>
                <w:highlight w:val="none"/>
              </w:rPr>
            </w:pPr>
            <w:r>
              <w:rPr>
                <w:color w:val="auto"/>
                <w:highlight w:val="none"/>
              </w:rPr>
              <w:t>10</w:t>
            </w:r>
          </w:p>
        </w:tc>
        <w:tc>
          <w:tcPr>
            <w:tcW w:w="2924" w:type="dxa"/>
            <w:tcBorders>
              <w:top w:val="single" w:color="000000" w:sz="4" w:space="0"/>
              <w:left w:val="single" w:color="000000" w:sz="4" w:space="0"/>
              <w:bottom w:val="single" w:color="000000" w:sz="4" w:space="0"/>
              <w:right w:val="single" w:color="000000" w:sz="4" w:space="0"/>
            </w:tcBorders>
            <w:vAlign w:val="center"/>
          </w:tcPr>
          <w:p w14:paraId="40DBD333">
            <w:pPr>
              <w:jc w:val="center"/>
              <w:rPr>
                <w:color w:val="auto"/>
                <w:highlight w:val="none"/>
              </w:rPr>
            </w:pPr>
            <w:r>
              <w:rPr>
                <w:color w:val="auto"/>
                <w:highlight w:val="none"/>
              </w:rPr>
              <w:t>逾期付款违约金的利率</w:t>
            </w:r>
          </w:p>
        </w:tc>
        <w:tc>
          <w:tcPr>
            <w:tcW w:w="3863" w:type="dxa"/>
            <w:tcBorders>
              <w:top w:val="single" w:color="000000" w:sz="4" w:space="0"/>
              <w:left w:val="single" w:color="000000" w:sz="4" w:space="0"/>
              <w:bottom w:val="single" w:color="000000" w:sz="4" w:space="0"/>
              <w:right w:val="single" w:color="000000" w:sz="4" w:space="0"/>
            </w:tcBorders>
            <w:vAlign w:val="center"/>
          </w:tcPr>
          <w:p w14:paraId="4C4233C1">
            <w:pPr>
              <w:jc w:val="center"/>
              <w:rPr>
                <w:color w:val="auto"/>
                <w:highlight w:val="none"/>
              </w:rPr>
            </w:pPr>
            <w:r>
              <w:rPr>
                <w:color w:val="auto"/>
                <w:highlight w:val="none"/>
              </w:rPr>
              <w:t>‰/天</w:t>
            </w:r>
          </w:p>
        </w:tc>
        <w:tc>
          <w:tcPr>
            <w:tcW w:w="850" w:type="dxa"/>
            <w:tcBorders>
              <w:top w:val="single" w:color="000000" w:sz="4" w:space="0"/>
              <w:left w:val="single" w:color="000000" w:sz="4" w:space="0"/>
              <w:bottom w:val="single" w:color="000000" w:sz="4" w:space="0"/>
              <w:right w:val="single" w:color="000000" w:sz="4" w:space="0"/>
            </w:tcBorders>
            <w:vAlign w:val="center"/>
          </w:tcPr>
          <w:p w14:paraId="22C83FFE">
            <w:pPr>
              <w:jc w:val="center"/>
              <w:rPr>
                <w:color w:val="auto"/>
                <w:highlight w:val="none"/>
              </w:rPr>
            </w:pPr>
          </w:p>
        </w:tc>
      </w:tr>
      <w:tr w14:paraId="358F9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9"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2E5F8D5E">
            <w:pPr>
              <w:jc w:val="center"/>
              <w:rPr>
                <w:color w:val="auto"/>
                <w:highlight w:val="none"/>
              </w:rPr>
            </w:pPr>
          </w:p>
          <w:p w14:paraId="22BF294A">
            <w:pPr>
              <w:jc w:val="center"/>
              <w:rPr>
                <w:color w:val="auto"/>
                <w:highlight w:val="none"/>
              </w:rPr>
            </w:pPr>
          </w:p>
          <w:p w14:paraId="1A9FC311">
            <w:pPr>
              <w:jc w:val="center"/>
              <w:rPr>
                <w:color w:val="auto"/>
                <w:highlight w:val="none"/>
              </w:rPr>
            </w:pPr>
          </w:p>
          <w:p w14:paraId="7E0B2C14">
            <w:pPr>
              <w:jc w:val="center"/>
              <w:rPr>
                <w:color w:val="auto"/>
                <w:highlight w:val="none"/>
              </w:rPr>
            </w:pPr>
            <w:r>
              <w:rPr>
                <w:color w:val="auto"/>
                <w:highlight w:val="none"/>
              </w:rPr>
              <w:t>11</w:t>
            </w:r>
          </w:p>
        </w:tc>
        <w:tc>
          <w:tcPr>
            <w:tcW w:w="2924" w:type="dxa"/>
            <w:tcBorders>
              <w:top w:val="single" w:color="000000" w:sz="4" w:space="0"/>
              <w:left w:val="single" w:color="000000" w:sz="4" w:space="0"/>
              <w:bottom w:val="single" w:color="000000" w:sz="4" w:space="0"/>
              <w:right w:val="single" w:color="000000" w:sz="4" w:space="0"/>
            </w:tcBorders>
            <w:vAlign w:val="center"/>
          </w:tcPr>
          <w:p w14:paraId="0DA6F15B">
            <w:pPr>
              <w:jc w:val="center"/>
              <w:rPr>
                <w:color w:val="auto"/>
                <w:highlight w:val="none"/>
              </w:rPr>
            </w:pPr>
            <w:r>
              <w:rPr>
                <w:color w:val="auto"/>
                <w:highlight w:val="none"/>
              </w:rPr>
              <w:t>质量保证金金额</w:t>
            </w:r>
          </w:p>
        </w:tc>
        <w:tc>
          <w:tcPr>
            <w:tcW w:w="3863" w:type="dxa"/>
            <w:tcBorders>
              <w:top w:val="single" w:color="000000" w:sz="4" w:space="0"/>
              <w:left w:val="single" w:color="000000" w:sz="4" w:space="0"/>
              <w:bottom w:val="single" w:color="000000" w:sz="4" w:space="0"/>
              <w:right w:val="single" w:color="000000" w:sz="4" w:space="0"/>
            </w:tcBorders>
            <w:vAlign w:val="center"/>
          </w:tcPr>
          <w:p w14:paraId="5885EDB9">
            <w:pPr>
              <w:jc w:val="center"/>
              <w:rPr>
                <w:color w:val="auto"/>
                <w:highlight w:val="none"/>
              </w:rPr>
            </w:pPr>
            <w:r>
              <w:rPr>
                <w:rFonts w:hint="eastAsia"/>
                <w:color w:val="auto"/>
                <w:highlight w:val="none"/>
                <w:u w:val="single"/>
              </w:rPr>
              <w:t xml:space="preserve">   </w:t>
            </w:r>
            <w:r>
              <w:rPr>
                <w:color w:val="auto"/>
                <w:highlight w:val="none"/>
              </w:rPr>
              <w:t>%合同价格，若交工验收时承包人具备被招标项目所在地省级交通运输主管部门评定的最高信用等级，发包人给予</w:t>
            </w:r>
            <w:r>
              <w:rPr>
                <w:rFonts w:hint="eastAsia"/>
                <w:color w:val="auto"/>
                <w:highlight w:val="none"/>
                <w:u w:val="single"/>
              </w:rPr>
              <w:t xml:space="preserve">   </w:t>
            </w:r>
            <w:r>
              <w:rPr>
                <w:color w:val="auto"/>
                <w:highlight w:val="none"/>
              </w:rPr>
              <w:t>%合同价格质量保证金的优惠</w:t>
            </w:r>
            <w:r>
              <w:rPr>
                <w:rFonts w:hint="eastAsia"/>
                <w:color w:val="auto"/>
                <w:highlight w:val="none"/>
              </w:rPr>
              <w:t>。</w:t>
            </w:r>
          </w:p>
        </w:tc>
        <w:tc>
          <w:tcPr>
            <w:tcW w:w="850" w:type="dxa"/>
            <w:tcBorders>
              <w:top w:val="single" w:color="000000" w:sz="4" w:space="0"/>
              <w:left w:val="single" w:color="000000" w:sz="4" w:space="0"/>
              <w:bottom w:val="single" w:color="000000" w:sz="4" w:space="0"/>
              <w:right w:val="single" w:color="000000" w:sz="4" w:space="0"/>
            </w:tcBorders>
            <w:vAlign w:val="center"/>
          </w:tcPr>
          <w:p w14:paraId="24FDBEDB">
            <w:pPr>
              <w:jc w:val="center"/>
              <w:rPr>
                <w:color w:val="auto"/>
                <w:highlight w:val="none"/>
              </w:rPr>
            </w:pPr>
          </w:p>
        </w:tc>
      </w:tr>
      <w:tr w14:paraId="03F6F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vAlign w:val="center"/>
          </w:tcPr>
          <w:p w14:paraId="610350DA">
            <w:pPr>
              <w:jc w:val="center"/>
              <w:rPr>
                <w:color w:val="auto"/>
                <w:highlight w:val="none"/>
              </w:rPr>
            </w:pPr>
            <w:r>
              <w:rPr>
                <w:color w:val="auto"/>
                <w:highlight w:val="none"/>
              </w:rPr>
              <w:t>12</w:t>
            </w:r>
          </w:p>
        </w:tc>
        <w:tc>
          <w:tcPr>
            <w:tcW w:w="2924" w:type="dxa"/>
            <w:tcBorders>
              <w:top w:val="single" w:color="000000" w:sz="4" w:space="0"/>
              <w:left w:val="single" w:color="000000" w:sz="4" w:space="0"/>
              <w:bottom w:val="single" w:color="000000" w:sz="4" w:space="0"/>
              <w:right w:val="single" w:color="000000" w:sz="4" w:space="0"/>
            </w:tcBorders>
            <w:vAlign w:val="center"/>
          </w:tcPr>
          <w:p w14:paraId="57419ABA">
            <w:pPr>
              <w:jc w:val="center"/>
              <w:rPr>
                <w:color w:val="auto"/>
                <w:highlight w:val="none"/>
              </w:rPr>
            </w:pPr>
            <w:r>
              <w:rPr>
                <w:color w:val="auto"/>
                <w:highlight w:val="none"/>
              </w:rPr>
              <w:t>保修期</w:t>
            </w:r>
          </w:p>
        </w:tc>
        <w:tc>
          <w:tcPr>
            <w:tcW w:w="3863" w:type="dxa"/>
            <w:tcBorders>
              <w:top w:val="single" w:color="000000" w:sz="4" w:space="0"/>
              <w:left w:val="single" w:color="000000" w:sz="4" w:space="0"/>
              <w:bottom w:val="single" w:color="000000" w:sz="4" w:space="0"/>
              <w:right w:val="single" w:color="000000" w:sz="4" w:space="0"/>
            </w:tcBorders>
            <w:vAlign w:val="center"/>
          </w:tcPr>
          <w:p w14:paraId="0AD9C21E">
            <w:pPr>
              <w:jc w:val="center"/>
              <w:rPr>
                <w:color w:val="auto"/>
                <w:highlight w:val="none"/>
              </w:rPr>
            </w:pPr>
            <w:r>
              <w:rPr>
                <w:color w:val="auto"/>
                <w:highlight w:val="none"/>
              </w:rPr>
              <w:t>自实际交工日期起计算</w:t>
            </w:r>
            <w:r>
              <w:rPr>
                <w:color w:val="auto"/>
                <w:highlight w:val="none"/>
              </w:rPr>
              <w:tab/>
            </w:r>
            <w:r>
              <w:rPr>
                <w:color w:val="auto"/>
                <w:highlight w:val="none"/>
              </w:rPr>
              <w:t>年</w:t>
            </w:r>
          </w:p>
        </w:tc>
        <w:tc>
          <w:tcPr>
            <w:tcW w:w="850" w:type="dxa"/>
            <w:tcBorders>
              <w:top w:val="single" w:color="000000" w:sz="4" w:space="0"/>
              <w:left w:val="single" w:color="000000" w:sz="4" w:space="0"/>
              <w:bottom w:val="single" w:color="000000" w:sz="4" w:space="0"/>
              <w:right w:val="single" w:color="000000" w:sz="4" w:space="0"/>
            </w:tcBorders>
            <w:vAlign w:val="center"/>
          </w:tcPr>
          <w:p w14:paraId="5EF8A5A1">
            <w:pPr>
              <w:jc w:val="center"/>
              <w:rPr>
                <w:color w:val="auto"/>
                <w:highlight w:val="none"/>
              </w:rPr>
            </w:pPr>
          </w:p>
        </w:tc>
      </w:tr>
    </w:tbl>
    <w:p w14:paraId="35358A17">
      <w:pPr>
        <w:spacing w:line="360" w:lineRule="auto"/>
        <w:ind w:right="-817" w:firstLine="2640"/>
        <w:contextualSpacing/>
        <w:rPr>
          <w:rFonts w:hint="eastAsia" w:ascii="宋体" w:hAnsi="宋体" w:cs="仿宋_GB2312"/>
          <w:color w:val="auto"/>
          <w:sz w:val="24"/>
          <w:highlight w:val="none"/>
        </w:rPr>
      </w:pPr>
    </w:p>
    <w:p w14:paraId="61FF6739">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1E27F1DE">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7D76844C">
      <w:pPr>
        <w:spacing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46BE4FB8">
      <w:pPr>
        <w:spacing w:line="360" w:lineRule="auto"/>
        <w:jc w:val="center"/>
        <w:rPr>
          <w:rFonts w:hint="eastAsia" w:ascii="方正小标宋简体" w:hAnsi="方正小标宋简体" w:eastAsia="方正小标宋简体" w:cs="方正小标宋简体"/>
          <w:bCs/>
          <w:color w:val="auto"/>
          <w:sz w:val="32"/>
          <w:szCs w:val="32"/>
          <w:highlight w:val="none"/>
        </w:rPr>
      </w:pPr>
      <w:r>
        <w:rPr>
          <w:rFonts w:ascii="宋体" w:hAnsi="宋体"/>
          <w:b/>
          <w:bCs/>
          <w:color w:val="auto"/>
          <w:sz w:val="32"/>
          <w:szCs w:val="32"/>
          <w:highlight w:val="none"/>
        </w:rPr>
        <w:br w:type="page" w:clear="all"/>
      </w:r>
      <w:r>
        <w:rPr>
          <w:rFonts w:hint="eastAsia" w:ascii="宋体" w:hAnsi="宋体" w:cs="方正小标宋简体"/>
          <w:b/>
          <w:bCs/>
          <w:color w:val="auto"/>
          <w:sz w:val="32"/>
          <w:szCs w:val="32"/>
          <w:highlight w:val="none"/>
        </w:rPr>
        <w:t>竞标报价表</w:t>
      </w:r>
    </w:p>
    <w:p w14:paraId="0E052648">
      <w:pPr>
        <w:spacing w:line="440" w:lineRule="exact"/>
        <w:jc w:val="center"/>
        <w:rPr>
          <w:rFonts w:hint="eastAsia" w:ascii="方正小标宋简体" w:hAnsi="方正小标宋简体" w:eastAsia="方正小标宋简体" w:cs="方正小标宋简体"/>
          <w:bCs/>
          <w:color w:val="auto"/>
          <w:sz w:val="32"/>
          <w:szCs w:val="32"/>
          <w:highlight w:val="none"/>
        </w:rPr>
      </w:pPr>
    </w:p>
    <w:p w14:paraId="769A42DD">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170406A8">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分标（如有）：</w:t>
      </w:r>
      <w:r>
        <w:rPr>
          <w:rFonts w:hint="eastAsia" w:ascii="宋体" w:hAnsi="宋体" w:cs="仿宋_GB2312"/>
          <w:color w:val="auto"/>
          <w:sz w:val="24"/>
          <w:highlight w:val="none"/>
          <w:u w:val="single"/>
        </w:rPr>
        <w:t xml:space="preserve">            </w:t>
      </w:r>
    </w:p>
    <w:p w14:paraId="108023F1">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1EEF7DEA">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44"/>
        <w:tblW w:w="909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15B5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64BE37AC">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706AAE21">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标的</w:t>
            </w:r>
            <w:r>
              <w:rPr>
                <w:rFonts w:ascii="宋体" w:hAnsi="宋体" w:cs="仿宋_GB2312"/>
                <w:color w:val="auto"/>
                <w:sz w:val="24"/>
                <w:highlight w:val="none"/>
              </w:rPr>
              <w:t>名称</w:t>
            </w:r>
          </w:p>
        </w:tc>
        <w:tc>
          <w:tcPr>
            <w:tcW w:w="1505" w:type="dxa"/>
            <w:tcBorders>
              <w:top w:val="single" w:color="auto" w:sz="4" w:space="0"/>
              <w:left w:val="single" w:color="auto" w:sz="4" w:space="0"/>
              <w:bottom w:val="single" w:color="auto" w:sz="4" w:space="0"/>
              <w:right w:val="single" w:color="auto" w:sz="4" w:space="0"/>
            </w:tcBorders>
            <w:vAlign w:val="center"/>
          </w:tcPr>
          <w:p w14:paraId="47A7105D">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数量及单位</w:t>
            </w:r>
          </w:p>
        </w:tc>
        <w:tc>
          <w:tcPr>
            <w:tcW w:w="3107" w:type="dxa"/>
            <w:tcBorders>
              <w:top w:val="single" w:color="auto" w:sz="4" w:space="0"/>
              <w:left w:val="single" w:color="auto" w:sz="4" w:space="0"/>
              <w:bottom w:val="single" w:color="auto" w:sz="4" w:space="0"/>
              <w:right w:val="single" w:color="auto" w:sz="4" w:space="0"/>
            </w:tcBorders>
            <w:vAlign w:val="center"/>
          </w:tcPr>
          <w:p w14:paraId="6F2B9AAC">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总价</w:t>
            </w:r>
          </w:p>
        </w:tc>
        <w:tc>
          <w:tcPr>
            <w:tcW w:w="1184" w:type="dxa"/>
            <w:tcBorders>
              <w:top w:val="single" w:color="auto" w:sz="4" w:space="0"/>
              <w:left w:val="single" w:color="auto" w:sz="4" w:space="0"/>
              <w:bottom w:val="single" w:color="auto" w:sz="4" w:space="0"/>
              <w:right w:val="single" w:color="auto" w:sz="4" w:space="0"/>
            </w:tcBorders>
            <w:vAlign w:val="center"/>
          </w:tcPr>
          <w:p w14:paraId="76D99EFC">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备注</w:t>
            </w:r>
          </w:p>
        </w:tc>
      </w:tr>
      <w:tr w14:paraId="0830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5F189EA3">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vAlign w:val="center"/>
          </w:tcPr>
          <w:p w14:paraId="4E8AC15C">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3C28C0B6">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1项</w:t>
            </w:r>
          </w:p>
        </w:tc>
        <w:tc>
          <w:tcPr>
            <w:tcW w:w="3107" w:type="dxa"/>
            <w:tcBorders>
              <w:top w:val="single" w:color="auto" w:sz="4" w:space="0"/>
              <w:left w:val="single" w:color="auto" w:sz="4" w:space="0"/>
              <w:bottom w:val="single" w:color="auto" w:sz="4" w:space="0"/>
              <w:right w:val="single" w:color="auto" w:sz="4" w:space="0"/>
            </w:tcBorders>
          </w:tcPr>
          <w:p w14:paraId="0275DB3D">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7E6873D2">
            <w:pPr>
              <w:spacing w:line="360" w:lineRule="auto"/>
              <w:contextualSpacing/>
              <w:rPr>
                <w:rFonts w:hint="eastAsia" w:ascii="宋体" w:hAnsi="宋体" w:cs="仿宋_GB2312"/>
                <w:color w:val="auto"/>
                <w:sz w:val="24"/>
                <w:highlight w:val="none"/>
              </w:rPr>
            </w:pPr>
          </w:p>
        </w:tc>
      </w:tr>
      <w:tr w14:paraId="62AC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vAlign w:val="center"/>
          </w:tcPr>
          <w:p w14:paraId="3C995DB1">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 xml:space="preserve"> （</w:t>
            </w:r>
            <w:r>
              <w:rPr>
                <w:rFonts w:ascii="宋体" w:hAnsi="宋体" w:cs="仿宋_GB2312"/>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7E072609">
      <w:pPr>
        <w:spacing w:line="360" w:lineRule="auto"/>
        <w:contextualSpacing/>
        <w:jc w:val="left"/>
        <w:rPr>
          <w:rFonts w:hint="eastAsia" w:ascii="宋体" w:hAnsi="宋体" w:cs="仿宋_GB2312"/>
          <w:color w:val="auto"/>
          <w:sz w:val="24"/>
          <w:highlight w:val="none"/>
        </w:rPr>
      </w:pPr>
    </w:p>
    <w:p w14:paraId="734B2BE4">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25DFB727">
      <w:pPr>
        <w:spacing w:line="360" w:lineRule="auto"/>
        <w:ind w:firstLine="48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1282073F">
      <w:pPr>
        <w:spacing w:line="360" w:lineRule="auto"/>
        <w:ind w:firstLine="48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报价一经涂改，应在涂改处加盖供应商公章或者加盖电子签章或者由法定代表人或者授权委托代理人签字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215CB895">
      <w:pPr>
        <w:spacing w:line="360" w:lineRule="auto"/>
        <w:ind w:firstLine="480"/>
        <w:contextualSpacing/>
        <w:jc w:val="left"/>
        <w:rPr>
          <w:rFonts w:hint="eastAsia" w:ascii="宋体" w:hAnsi="宋体" w:cs="仿宋_GB2312"/>
          <w:b/>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否则其响应文件按无效处理。</w:t>
      </w:r>
    </w:p>
    <w:p w14:paraId="7D21E48C">
      <w:pPr>
        <w:spacing w:line="360" w:lineRule="auto"/>
        <w:ind w:firstLine="480"/>
        <w:contextualSpacing/>
        <w:jc w:val="left"/>
        <w:rPr>
          <w:rFonts w:hint="eastAsia"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 如为联合体竞标，</w:t>
      </w:r>
      <w:r>
        <w:rPr>
          <w:rFonts w:hint="eastAsia" w:ascii="宋体" w:hAnsi="宋体"/>
          <w:color w:val="auto"/>
          <w:spacing w:val="-6"/>
          <w:sz w:val="24"/>
          <w:highlight w:val="none"/>
        </w:rPr>
        <w:t xml:space="preserve"> 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1849C673">
      <w:pPr>
        <w:spacing w:line="360" w:lineRule="auto"/>
        <w:ind w:firstLine="480"/>
        <w:contextualSpacing/>
        <w:rPr>
          <w:rFonts w:hint="eastAsia" w:ascii="宋体" w:hAnsi="宋体" w:cs="仿宋_GB2312"/>
          <w:color w:val="auto"/>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否则其响应文件按无效处理。</w:t>
      </w:r>
    </w:p>
    <w:p w14:paraId="614ED95B">
      <w:pPr>
        <w:spacing w:line="360" w:lineRule="auto"/>
        <w:ind w:right="-817"/>
        <w:contextualSpacing/>
        <w:rPr>
          <w:rFonts w:hint="eastAsia" w:ascii="宋体" w:hAnsi="宋体" w:cs="仿宋_GB2312"/>
          <w:color w:val="auto"/>
          <w:sz w:val="24"/>
          <w:highlight w:val="none"/>
        </w:rPr>
      </w:pPr>
    </w:p>
    <w:p w14:paraId="28F55F03">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684ABF98">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16A50B54">
      <w:pPr>
        <w:spacing w:line="360" w:lineRule="auto"/>
        <w:ind w:right="-817" w:firstLine="408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54B05893">
      <w:pPr>
        <w:spacing w:line="360" w:lineRule="auto"/>
        <w:contextualSpacing/>
        <w:jc w:val="center"/>
        <w:rPr>
          <w:rFonts w:hint="eastAsia" w:ascii="宋体" w:hAnsi="宋体" w:cs="仿宋_GB2312"/>
          <w:b/>
          <w:color w:val="auto"/>
          <w:sz w:val="32"/>
          <w:szCs w:val="32"/>
          <w:highlight w:val="none"/>
        </w:rPr>
      </w:pPr>
      <w:r>
        <w:rPr>
          <w:rFonts w:ascii="宋体" w:hAnsi="宋体" w:cs="仿宋_GB2312"/>
          <w:color w:val="auto"/>
          <w:sz w:val="24"/>
          <w:highlight w:val="none"/>
        </w:rPr>
        <w:br w:type="page" w:clear="all"/>
      </w:r>
      <w:r>
        <w:rPr>
          <w:rFonts w:hint="eastAsia" w:ascii="宋体" w:hAnsi="宋体" w:cs="宋体"/>
          <w:b/>
          <w:color w:val="auto"/>
          <w:sz w:val="32"/>
          <w:szCs w:val="32"/>
          <w:highlight w:val="none"/>
        </w:rPr>
        <w:t>已标价工程量清单</w:t>
      </w:r>
    </w:p>
    <w:p w14:paraId="0C42EF0D">
      <w:pPr>
        <w:spacing w:line="360" w:lineRule="auto"/>
        <w:ind w:firstLine="420"/>
        <w:contextualSpacing/>
        <w:jc w:val="left"/>
        <w:rPr>
          <w:color w:val="auto"/>
          <w:highlight w:val="none"/>
        </w:rPr>
      </w:pPr>
      <w:r>
        <w:rPr>
          <w:rFonts w:hint="eastAsia"/>
          <w:color w:val="auto"/>
          <w:highlight w:val="none"/>
        </w:rPr>
        <w:t>供应商</w:t>
      </w:r>
      <w:r>
        <w:rPr>
          <w:color w:val="auto"/>
          <w:highlight w:val="none"/>
        </w:rPr>
        <w:t>应按照第五章</w:t>
      </w:r>
      <w:r>
        <w:rPr>
          <w:rFonts w:hint="eastAsia"/>
          <w:color w:val="auto"/>
          <w:highlight w:val="none"/>
        </w:rPr>
        <w:t>“</w:t>
      </w:r>
      <w:r>
        <w:rPr>
          <w:color w:val="auto"/>
          <w:highlight w:val="none"/>
        </w:rPr>
        <w:t>工程量清单</w:t>
      </w:r>
      <w:r>
        <w:rPr>
          <w:rFonts w:hint="eastAsia"/>
          <w:color w:val="auto"/>
          <w:highlight w:val="none"/>
        </w:rPr>
        <w:t>及图纸”</w:t>
      </w:r>
      <w:r>
        <w:rPr>
          <w:color w:val="auto"/>
          <w:highlight w:val="none"/>
        </w:rPr>
        <w:t>的要求逐项填报工程量清单，包括工程量清单说明、</w:t>
      </w:r>
      <w:r>
        <w:rPr>
          <w:rFonts w:hint="eastAsia"/>
          <w:color w:val="auto"/>
          <w:highlight w:val="none"/>
        </w:rPr>
        <w:t>竞</w:t>
      </w:r>
      <w:r>
        <w:rPr>
          <w:color w:val="auto"/>
          <w:highlight w:val="none"/>
        </w:rPr>
        <w:t>标</w:t>
      </w:r>
      <w:r>
        <w:rPr>
          <w:color w:val="auto"/>
          <w:highlight w:val="none"/>
        </w:rPr>
        <w:t>报价说明、计日工说明、其他说明及工程量清单各项表格（工程量清单表 5.1～表 5.5）。</w:t>
      </w:r>
    </w:p>
    <w:p w14:paraId="7ED96B8F">
      <w:pPr>
        <w:spacing w:line="360" w:lineRule="auto"/>
        <w:ind w:firstLine="643"/>
        <w:contextualSpacing/>
        <w:jc w:val="center"/>
        <w:rPr>
          <w:rFonts w:hint="eastAsia" w:ascii="宋体" w:hAnsi="宋体"/>
          <w:b/>
          <w:color w:val="auto"/>
          <w:sz w:val="32"/>
          <w:szCs w:val="32"/>
          <w:highlight w:val="none"/>
        </w:rPr>
      </w:pPr>
      <w:r>
        <w:rPr>
          <w:rFonts w:ascii="宋体" w:hAnsi="宋体"/>
          <w:b/>
          <w:bCs/>
          <w:color w:val="auto"/>
          <w:sz w:val="32"/>
          <w:szCs w:val="32"/>
          <w:highlight w:val="none"/>
        </w:rPr>
        <w:br w:type="page" w:clear="all"/>
      </w: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p>
    <w:p w14:paraId="760042BC">
      <w:pPr>
        <w:spacing w:before="156"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1.商务技术文件封面格式</w:t>
      </w:r>
    </w:p>
    <w:p w14:paraId="030D14D2">
      <w:pPr>
        <w:spacing w:before="156"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27E46CC5">
      <w:pPr>
        <w:spacing w:before="156"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012D890E">
      <w:pPr>
        <w:spacing w:before="156" w:after="50"/>
        <w:rPr>
          <w:rFonts w:hint="eastAsia" w:ascii="宋体" w:hAnsi="宋体"/>
          <w:color w:val="auto"/>
          <w:sz w:val="24"/>
          <w:szCs w:val="20"/>
          <w:highlight w:val="none"/>
        </w:rPr>
      </w:pPr>
    </w:p>
    <w:p w14:paraId="4AEF8D24">
      <w:pPr>
        <w:spacing w:before="156" w:after="50"/>
        <w:rPr>
          <w:rFonts w:hint="eastAsia" w:ascii="宋体" w:hAnsi="宋体"/>
          <w:color w:val="auto"/>
          <w:sz w:val="24"/>
          <w:szCs w:val="20"/>
          <w:highlight w:val="none"/>
        </w:rPr>
      </w:pPr>
    </w:p>
    <w:p w14:paraId="63067A9D">
      <w:pPr>
        <w:spacing w:before="156"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0A9ACADB">
      <w:pPr>
        <w:spacing w:before="156" w:after="50"/>
        <w:rPr>
          <w:rFonts w:hint="eastAsia" w:ascii="宋体" w:hAnsi="宋体"/>
          <w:bCs/>
          <w:color w:val="auto"/>
          <w:sz w:val="24"/>
          <w:szCs w:val="20"/>
          <w:highlight w:val="none"/>
        </w:rPr>
      </w:pPr>
    </w:p>
    <w:p w14:paraId="6F64E3A9">
      <w:pPr>
        <w:spacing w:before="156" w:after="50"/>
        <w:rPr>
          <w:rFonts w:hint="eastAsia" w:ascii="宋体" w:hAnsi="宋体"/>
          <w:bCs/>
          <w:color w:val="auto"/>
          <w:sz w:val="24"/>
          <w:szCs w:val="20"/>
          <w:highlight w:val="none"/>
        </w:rPr>
      </w:pPr>
    </w:p>
    <w:p w14:paraId="0C7EBBC4">
      <w:pPr>
        <w:spacing w:before="156" w:after="50"/>
        <w:rPr>
          <w:rFonts w:hint="eastAsia" w:ascii="宋体" w:hAnsi="宋体"/>
          <w:bCs/>
          <w:color w:val="auto"/>
          <w:sz w:val="24"/>
          <w:szCs w:val="20"/>
          <w:highlight w:val="none"/>
        </w:rPr>
      </w:pPr>
    </w:p>
    <w:p w14:paraId="74F5FAEF">
      <w:pPr>
        <w:spacing w:before="156" w:after="50"/>
        <w:rPr>
          <w:rFonts w:hint="eastAsia" w:ascii="宋体" w:hAnsi="宋体"/>
          <w:bCs/>
          <w:color w:val="auto"/>
          <w:sz w:val="24"/>
          <w:szCs w:val="20"/>
          <w:highlight w:val="none"/>
        </w:rPr>
      </w:pPr>
    </w:p>
    <w:p w14:paraId="1BA88D86">
      <w:pPr>
        <w:spacing w:before="156" w:after="50"/>
        <w:rPr>
          <w:rFonts w:hint="eastAsia" w:ascii="宋体" w:hAnsi="宋体"/>
          <w:bCs/>
          <w:color w:val="auto"/>
          <w:sz w:val="24"/>
          <w:szCs w:val="20"/>
          <w:highlight w:val="none"/>
        </w:rPr>
      </w:pPr>
    </w:p>
    <w:p w14:paraId="2C4A1A55">
      <w:pPr>
        <w:spacing w:before="156"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31E101C0">
      <w:pPr>
        <w:spacing w:before="156" w:after="50"/>
        <w:ind w:firstLine="720"/>
        <w:rPr>
          <w:rFonts w:hint="eastAsia" w:ascii="宋体" w:hAnsi="宋体" w:cs="仿宋_GB2312"/>
          <w:bCs/>
          <w:color w:val="auto"/>
          <w:sz w:val="32"/>
          <w:szCs w:val="32"/>
          <w:highlight w:val="none"/>
        </w:rPr>
      </w:pPr>
    </w:p>
    <w:p w14:paraId="200CF88C">
      <w:pPr>
        <w:spacing w:before="156"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2CA7C583">
      <w:pPr>
        <w:spacing w:before="156"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3B510456">
      <w:pPr>
        <w:spacing w:before="156"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E20379A">
      <w:pPr>
        <w:spacing w:before="156" w:after="50"/>
        <w:ind w:firstLine="720"/>
        <w:rPr>
          <w:rFonts w:hint="eastAsia" w:ascii="宋体" w:hAnsi="宋体" w:cs="仿宋_GB2312"/>
          <w:bCs/>
          <w:color w:val="auto"/>
          <w:sz w:val="32"/>
          <w:szCs w:val="32"/>
          <w:highlight w:val="none"/>
        </w:rPr>
      </w:pPr>
    </w:p>
    <w:p w14:paraId="2501D90D">
      <w:pPr>
        <w:pStyle w:val="204"/>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2F093D9">
      <w:pPr>
        <w:pStyle w:val="204"/>
        <w:spacing w:before="50" w:after="50"/>
        <w:ind w:firstLine="640"/>
        <w:rPr>
          <w:rFonts w:hint="eastAsia" w:ascii="宋体" w:hAnsi="宋体" w:cs="仿宋_GB2312"/>
          <w:bCs/>
          <w:color w:val="auto"/>
          <w:sz w:val="32"/>
          <w:szCs w:val="32"/>
          <w:highlight w:val="none"/>
        </w:rPr>
      </w:pPr>
    </w:p>
    <w:p w14:paraId="7264DAA6">
      <w:pPr>
        <w:pStyle w:val="204"/>
        <w:spacing w:before="50" w:after="50"/>
        <w:ind w:firstLine="720"/>
        <w:rPr>
          <w:rFonts w:hint="eastAsia" w:ascii="宋体" w:hAnsi="宋体" w:cs="仿宋_GB2312"/>
          <w:bCs/>
          <w:color w:val="auto"/>
          <w:sz w:val="32"/>
          <w:szCs w:val="32"/>
          <w:highlight w:val="none"/>
        </w:rPr>
      </w:pPr>
    </w:p>
    <w:p w14:paraId="222504F2">
      <w:pPr>
        <w:pStyle w:val="204"/>
        <w:spacing w:before="50" w:after="50"/>
        <w:ind w:firstLine="0"/>
        <w:rPr>
          <w:rFonts w:hint="eastAsia" w:ascii="宋体" w:hAnsi="宋体" w:cs="仿宋_GB2312"/>
          <w:bCs/>
          <w:color w:val="auto"/>
          <w:sz w:val="32"/>
          <w:szCs w:val="32"/>
          <w:highlight w:val="none"/>
        </w:rPr>
      </w:pPr>
    </w:p>
    <w:p w14:paraId="013B8E76">
      <w:pPr>
        <w:pStyle w:val="204"/>
        <w:spacing w:before="50" w:after="50"/>
        <w:ind w:firstLine="1280"/>
        <w:rPr>
          <w:rFonts w:hint="eastAsia" w:ascii="宋体" w:hAnsi="宋体" w:cs="仿宋_GB2312"/>
          <w:bCs/>
          <w:color w:val="auto"/>
          <w:sz w:val="32"/>
          <w:szCs w:val="32"/>
          <w:highlight w:val="none"/>
        </w:rPr>
      </w:pPr>
    </w:p>
    <w:p w14:paraId="64D4F079">
      <w:pPr>
        <w:spacing w:before="156"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581A4738">
      <w:pPr>
        <w:spacing w:before="156" w:after="50" w:line="360" w:lineRule="auto"/>
        <w:ind w:right="480" w:firstLine="240"/>
        <w:jc w:val="left"/>
        <w:rPr>
          <w:rFonts w:hint="eastAsia" w:ascii="宋体" w:hAnsi="宋体"/>
          <w:b/>
          <w:bCs/>
          <w:color w:val="auto"/>
          <w:sz w:val="24"/>
          <w:highlight w:val="none"/>
        </w:rPr>
      </w:pPr>
      <w:r>
        <w:rPr>
          <w:rFonts w:ascii="宋体" w:hAnsi="宋体"/>
          <w:color w:val="auto"/>
          <w:sz w:val="24"/>
          <w:highlight w:val="none"/>
        </w:rPr>
        <w:br w:type="page" w:clear="all"/>
      </w:r>
      <w:r>
        <w:rPr>
          <w:rFonts w:hint="eastAsia" w:ascii="宋体" w:hAnsi="宋体"/>
          <w:b/>
          <w:bCs/>
          <w:color w:val="auto"/>
          <w:sz w:val="32"/>
          <w:szCs w:val="32"/>
          <w:highlight w:val="none"/>
        </w:rPr>
        <w:t>2.商务技术文件目录</w:t>
      </w:r>
    </w:p>
    <w:p w14:paraId="032B1EEA">
      <w:pPr>
        <w:spacing w:before="156" w:after="50" w:line="360" w:lineRule="auto"/>
        <w:ind w:firstLine="640"/>
        <w:rPr>
          <w:rFonts w:hint="eastAsia"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284DBC3E">
      <w:pPr>
        <w:spacing w:line="400" w:lineRule="exact"/>
        <w:rPr>
          <w:rFonts w:hint="eastAsia" w:ascii="仿宋_GB2312" w:hAnsi="仿宋_GB2312" w:eastAsia="仿宋_GB2312" w:cs="仿宋_GB2312"/>
          <w:color w:val="auto"/>
          <w:sz w:val="32"/>
          <w:szCs w:val="32"/>
          <w:highlight w:val="none"/>
        </w:rPr>
      </w:pPr>
    </w:p>
    <w:p w14:paraId="493B6A12">
      <w:pPr>
        <w:spacing w:line="520" w:lineRule="exact"/>
        <w:jc w:val="center"/>
        <w:rPr>
          <w:rFonts w:hint="eastAsia" w:ascii="宋体" w:hAnsi="宋体" w:cs="仿宋_GB2312"/>
          <w:b/>
          <w:color w:val="auto"/>
          <w:sz w:val="32"/>
          <w:szCs w:val="32"/>
          <w:highlight w:val="none"/>
        </w:rPr>
      </w:pPr>
      <w:r>
        <w:rPr>
          <w:rFonts w:hint="eastAsia" w:ascii="方正小标宋简体" w:hAnsi="方正小标宋简体" w:eastAsia="方正小标宋简体" w:cs="方正小标宋简体"/>
          <w:color w:val="auto"/>
          <w:sz w:val="44"/>
          <w:szCs w:val="44"/>
          <w:highlight w:val="none"/>
        </w:rPr>
        <w:br w:type="page" w:clear="all"/>
      </w:r>
      <w:r>
        <w:rPr>
          <w:rFonts w:hint="eastAsia" w:ascii="宋体" w:hAnsi="宋体" w:cs="方正小标宋简体"/>
          <w:b/>
          <w:color w:val="auto"/>
          <w:sz w:val="32"/>
          <w:szCs w:val="32"/>
          <w:highlight w:val="none"/>
        </w:rPr>
        <w:t>无串通竞标行为的承诺函</w:t>
      </w:r>
    </w:p>
    <w:p w14:paraId="07611354">
      <w:pPr>
        <w:spacing w:line="360" w:lineRule="auto"/>
        <w:ind w:firstLine="640"/>
        <w:contextualSpacing/>
        <w:rPr>
          <w:rFonts w:hint="eastAsia" w:ascii="仿宋_GB2312" w:hAnsi="仿宋_GB2312" w:eastAsia="仿宋_GB2312" w:cs="仿宋_GB2312"/>
          <w:color w:val="auto"/>
          <w:sz w:val="32"/>
          <w:szCs w:val="32"/>
          <w:highlight w:val="none"/>
        </w:rPr>
      </w:pPr>
    </w:p>
    <w:p w14:paraId="322F2860">
      <w:pPr>
        <w:spacing w:line="360" w:lineRule="auto"/>
        <w:ind w:firstLine="482"/>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562CC0D1">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1.不同供应商的响应文件由同一单位或者个人编制； </w:t>
      </w:r>
    </w:p>
    <w:p w14:paraId="0DEDF8E1">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7D71993D">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0A10C0A2">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3FBAC9EA">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7BE0DF49">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7CE2E615">
      <w:pPr>
        <w:spacing w:line="360" w:lineRule="auto"/>
        <w:ind w:firstLine="482"/>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27A1A97E">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7FF015F8">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3887CB12">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4C8654AB">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586B09DF">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1D66A37B">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059A55A4">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0CD431A6">
      <w:pPr>
        <w:spacing w:line="360" w:lineRule="auto"/>
        <w:ind w:firstLine="480"/>
        <w:contextualSpacing/>
        <w:rPr>
          <w:rFonts w:hint="eastAsia" w:ascii="宋体" w:hAnsi="宋体" w:cs="仿宋_GB2312"/>
          <w:color w:val="auto"/>
          <w:sz w:val="24"/>
          <w:highlight w:val="none"/>
        </w:rPr>
      </w:pPr>
    </w:p>
    <w:p w14:paraId="43816234">
      <w:pPr>
        <w:spacing w:line="360" w:lineRule="auto"/>
        <w:ind w:firstLine="482"/>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55A147DF">
      <w:pPr>
        <w:spacing w:line="360" w:lineRule="auto"/>
        <w:contextualSpacing/>
        <w:rPr>
          <w:rFonts w:hint="eastAsia" w:ascii="宋体" w:hAnsi="宋体" w:cs="仿宋_GB2312"/>
          <w:color w:val="auto"/>
          <w:sz w:val="24"/>
          <w:highlight w:val="none"/>
        </w:rPr>
      </w:pPr>
    </w:p>
    <w:p w14:paraId="274F0DD4">
      <w:pPr>
        <w:spacing w:line="360" w:lineRule="auto"/>
        <w:ind w:firstLine="36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14:paraId="1ED2535C">
      <w:pPr>
        <w:spacing w:line="360" w:lineRule="auto"/>
        <w:ind w:firstLine="480"/>
        <w:contextualSpacing/>
        <w:jc w:val="center"/>
        <w:rPr>
          <w:rFonts w:hint="eastAsia"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年   月   日</w:t>
      </w:r>
    </w:p>
    <w:p w14:paraId="05D4C5FE">
      <w:pPr>
        <w:spacing w:line="520" w:lineRule="exact"/>
        <w:jc w:val="center"/>
        <w:rPr>
          <w:rFonts w:hint="eastAsia" w:ascii="宋体" w:hAnsi="宋体" w:cs="仿宋_GB2312"/>
          <w:b/>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br w:type="page" w:clear="all"/>
      </w:r>
      <w:r>
        <w:rPr>
          <w:rFonts w:hint="eastAsia" w:ascii="宋体" w:hAnsi="宋体" w:cs="方正小标宋简体"/>
          <w:b/>
          <w:bCs/>
          <w:color w:val="auto"/>
          <w:sz w:val="32"/>
          <w:szCs w:val="32"/>
          <w:highlight w:val="none"/>
        </w:rPr>
        <w:t>法定代表人证明书</w:t>
      </w:r>
    </w:p>
    <w:p w14:paraId="4EBC6562">
      <w:pPr>
        <w:spacing w:line="360" w:lineRule="auto"/>
        <w:ind w:left="540"/>
        <w:contextualSpacing/>
        <w:rPr>
          <w:rFonts w:hint="eastAsia" w:ascii="仿宋_GB2312" w:hAnsi="仿宋_GB2312" w:eastAsia="仿宋_GB2312" w:cs="仿宋_GB2312"/>
          <w:color w:val="auto"/>
          <w:sz w:val="32"/>
          <w:szCs w:val="32"/>
          <w:highlight w:val="none"/>
        </w:rPr>
      </w:pPr>
    </w:p>
    <w:p w14:paraId="2C8A3EB7">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4E94AB5A">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387E705D">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65A9835D">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33216FFC">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24D1F149">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25225616">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14:paraId="314D584B">
      <w:pPr>
        <w:spacing w:line="360" w:lineRule="auto"/>
        <w:ind w:left="540"/>
        <w:contextualSpacing/>
        <w:rPr>
          <w:rFonts w:hint="eastAsia" w:ascii="宋体" w:hAnsi="宋体" w:cs="仿宋_GB2312"/>
          <w:color w:val="auto"/>
          <w:sz w:val="24"/>
          <w:highlight w:val="none"/>
        </w:rPr>
      </w:pPr>
    </w:p>
    <w:p w14:paraId="7F4107F7">
      <w:pPr>
        <w:spacing w:line="360" w:lineRule="auto"/>
        <w:ind w:left="540"/>
        <w:contextualSpacing/>
        <w:rPr>
          <w:rFonts w:hint="eastAsia" w:ascii="宋体" w:hAnsi="宋体" w:cs="仿宋_GB2312"/>
          <w:color w:val="auto"/>
          <w:sz w:val="24"/>
          <w:highlight w:val="none"/>
        </w:rPr>
      </w:pPr>
    </w:p>
    <w:p w14:paraId="7CDB7CF2">
      <w:pPr>
        <w:spacing w:line="360" w:lineRule="auto"/>
        <w:ind w:left="540"/>
        <w:contextualSpacing/>
        <w:rPr>
          <w:rFonts w:hint="eastAsia" w:ascii="宋体" w:hAnsi="宋体" w:cs="仿宋_GB2312"/>
          <w:color w:val="auto"/>
          <w:sz w:val="24"/>
          <w:highlight w:val="none"/>
        </w:rPr>
      </w:pPr>
    </w:p>
    <w:p w14:paraId="0B55579D">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640ED3B6">
      <w:pPr>
        <w:spacing w:line="360" w:lineRule="auto"/>
        <w:ind w:left="540"/>
        <w:contextualSpacing/>
        <w:rPr>
          <w:rFonts w:hint="eastAsia" w:ascii="宋体" w:hAnsi="宋体" w:cs="仿宋_GB2312"/>
          <w:color w:val="auto"/>
          <w:sz w:val="24"/>
          <w:highlight w:val="none"/>
        </w:rPr>
      </w:pPr>
    </w:p>
    <w:p w14:paraId="27DCD75E">
      <w:pPr>
        <w:spacing w:line="360" w:lineRule="auto"/>
        <w:ind w:left="540" w:firstLine="30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r>
        <w:rPr>
          <w:rFonts w:hint="eastAsia" w:ascii="宋体" w:hAnsi="宋体" w:cs="仿宋_GB2312"/>
          <w:color w:val="auto"/>
          <w:sz w:val="24"/>
          <w:highlight w:val="none"/>
          <w:u w:val="single"/>
        </w:rPr>
        <w:t xml:space="preserve">               </w:t>
      </w:r>
    </w:p>
    <w:p w14:paraId="5E3EFA5A">
      <w:pPr>
        <w:spacing w:line="360" w:lineRule="auto"/>
        <w:ind w:firstLine="4080"/>
        <w:contextualSpacing/>
        <w:rPr>
          <w:rFonts w:hint="eastAsia"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31173A4B">
      <w:pPr>
        <w:spacing w:line="360" w:lineRule="auto"/>
        <w:contextualSpacing/>
        <w:jc w:val="center"/>
        <w:rPr>
          <w:rFonts w:hint="eastAsia" w:ascii="宋体" w:hAnsi="宋体" w:cs="仿宋_GB2312"/>
          <w:b/>
          <w:color w:val="auto"/>
          <w:sz w:val="24"/>
          <w:highlight w:val="none"/>
        </w:rPr>
      </w:pPr>
    </w:p>
    <w:p w14:paraId="632422CA">
      <w:pPr>
        <w:spacing w:line="360" w:lineRule="auto"/>
        <w:contextualSpacing/>
        <w:jc w:val="left"/>
        <w:rPr>
          <w:rFonts w:hint="eastAsia" w:ascii="宋体" w:hAnsi="宋体" w:cs="仿宋_GB2312"/>
          <w:color w:val="auto"/>
          <w:sz w:val="24"/>
          <w:highlight w:val="none"/>
        </w:rPr>
      </w:pPr>
    </w:p>
    <w:p w14:paraId="7C578D86">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注：联合体竞标的只需牵头人出具。</w:t>
      </w:r>
    </w:p>
    <w:p w14:paraId="45DD4E55">
      <w:pPr>
        <w:spacing w:line="300" w:lineRule="auto"/>
        <w:jc w:val="left"/>
        <w:rPr>
          <w:rFonts w:hint="eastAsia" w:ascii="宋体" w:hAnsi="宋体"/>
          <w:b/>
          <w:color w:val="auto"/>
          <w:szCs w:val="21"/>
          <w:highlight w:val="none"/>
        </w:rPr>
      </w:pPr>
    </w:p>
    <w:p w14:paraId="5612E812">
      <w:pPr>
        <w:spacing w:line="50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clear="all"/>
      </w:r>
      <w:r>
        <w:rPr>
          <w:rFonts w:ascii="方正小标宋简体" w:hAnsi="方正小标宋简体" w:eastAsia="方正小标宋简体" w:cs="方正小标宋简体"/>
          <w:color w:val="auto"/>
          <w:sz w:val="44"/>
          <w:szCs w:val="44"/>
          <w:highlight w:val="none"/>
        </w:rPr>
        <w:t xml:space="preserve"> </w:t>
      </w:r>
    </w:p>
    <w:p w14:paraId="2E5DE889">
      <w:pPr>
        <w:spacing w:line="520" w:lineRule="exact"/>
        <w:jc w:val="center"/>
        <w:rPr>
          <w:rFonts w:hint="eastAsia" w:ascii="宋体" w:hAnsi="宋体" w:cs="方正小标宋简体"/>
          <w:b/>
          <w:color w:val="auto"/>
          <w:sz w:val="32"/>
          <w:szCs w:val="32"/>
          <w:highlight w:val="none"/>
        </w:rPr>
      </w:pPr>
      <w:r>
        <w:rPr>
          <w:rFonts w:hint="eastAsia" w:ascii="宋体" w:hAnsi="宋体" w:cs="方正小标宋简体"/>
          <w:b/>
          <w:color w:val="auto"/>
          <w:sz w:val="32"/>
          <w:szCs w:val="32"/>
          <w:highlight w:val="none"/>
        </w:rPr>
        <w:t>授权委托书</w:t>
      </w:r>
    </w:p>
    <w:p w14:paraId="63AE9C1F">
      <w:pPr>
        <w:spacing w:line="520" w:lineRule="exact"/>
        <w:jc w:val="center"/>
        <w:rPr>
          <w:rFonts w:hint="eastAsia" w:ascii="宋体" w:hAnsi="宋体" w:cs="方正小标宋简体"/>
          <w:b/>
          <w:color w:val="auto"/>
          <w:sz w:val="24"/>
          <w:highlight w:val="none"/>
        </w:rPr>
      </w:pPr>
      <w:r>
        <w:rPr>
          <w:rFonts w:hint="eastAsia" w:ascii="宋体" w:hAnsi="宋体" w:cs="方正小标宋简体"/>
          <w:b/>
          <w:color w:val="auto"/>
          <w:sz w:val="24"/>
          <w:highlight w:val="none"/>
        </w:rPr>
        <w:t>（非联合体竞标格式）</w:t>
      </w:r>
    </w:p>
    <w:p w14:paraId="3CA82E9F">
      <w:pPr>
        <w:spacing w:line="520" w:lineRule="exact"/>
        <w:jc w:val="center"/>
        <w:rPr>
          <w:rFonts w:hint="eastAsia" w:ascii="宋体" w:hAnsi="宋体" w:cs="方正小标宋简体"/>
          <w:b/>
          <w:color w:val="auto"/>
          <w:sz w:val="24"/>
          <w:highlight w:val="none"/>
        </w:rPr>
      </w:pPr>
      <w:r>
        <w:rPr>
          <w:rFonts w:hint="eastAsia" w:ascii="宋体" w:hAnsi="宋体" w:cs="方正小标宋简体"/>
          <w:b/>
          <w:color w:val="auto"/>
          <w:sz w:val="24"/>
          <w:highlight w:val="none"/>
        </w:rPr>
        <w:t>（如有委托时）</w:t>
      </w:r>
    </w:p>
    <w:p w14:paraId="1B11700B">
      <w:pPr>
        <w:spacing w:line="520" w:lineRule="exact"/>
        <w:rPr>
          <w:rFonts w:hint="eastAsia" w:ascii="仿宋_GB2312" w:hAnsi="仿宋_GB2312" w:eastAsia="仿宋_GB2312" w:cs="仿宋_GB2312"/>
          <w:color w:val="auto"/>
          <w:sz w:val="32"/>
          <w:szCs w:val="32"/>
          <w:highlight w:val="none"/>
        </w:rPr>
      </w:pPr>
    </w:p>
    <w:p w14:paraId="07040727">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40931CA3">
      <w:pPr>
        <w:spacing w:line="360" w:lineRule="auto"/>
        <w:ind w:firstLine="480"/>
        <w:rPr>
          <w:rFonts w:hint="eastAsia"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66BE7F44">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我方对委托代理人的签字</w:t>
      </w:r>
      <w:r>
        <w:rPr>
          <w:rFonts w:hint="eastAsia" w:ascii="宋体" w:hAnsi="宋体"/>
          <w:color w:val="auto"/>
          <w:sz w:val="24"/>
          <w:highlight w:val="none"/>
        </w:rPr>
        <w:t>或者电子签名</w:t>
      </w:r>
      <w:r>
        <w:rPr>
          <w:rFonts w:hint="eastAsia" w:ascii="宋体" w:hAnsi="宋体" w:cs="仿宋_GB2312"/>
          <w:color w:val="auto"/>
          <w:sz w:val="24"/>
          <w:highlight w:val="none"/>
        </w:rPr>
        <w:t>事项负全部责任。</w:t>
      </w:r>
    </w:p>
    <w:p w14:paraId="35253CAE">
      <w:pPr>
        <w:spacing w:line="360" w:lineRule="auto"/>
        <w:ind w:firstLine="480"/>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7095A50B">
      <w:pPr>
        <w:spacing w:line="360" w:lineRule="auto"/>
        <w:ind w:firstLine="480"/>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37E97BED">
      <w:pPr>
        <w:spacing w:line="360" w:lineRule="auto"/>
        <w:ind w:firstLine="480"/>
        <w:rPr>
          <w:rFonts w:hint="eastAsia"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1344005A">
      <w:pPr>
        <w:spacing w:line="360" w:lineRule="auto"/>
        <w:rPr>
          <w:rFonts w:hint="eastAsia" w:ascii="宋体" w:hAnsi="宋体" w:cs="仿宋_GB2312"/>
          <w:color w:val="auto"/>
          <w:sz w:val="24"/>
          <w:highlight w:val="none"/>
        </w:rPr>
      </w:pPr>
    </w:p>
    <w:p w14:paraId="32CE3A96">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 xml:space="preserve">）：     法定代表人（签字或者盖章或者电子签名）：                    </w:t>
      </w:r>
    </w:p>
    <w:p w14:paraId="2CAA67AE">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20585A3A">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788A18A4">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供应商（电子签章）：                      </w:t>
      </w:r>
    </w:p>
    <w:p w14:paraId="64E046E8">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0B0D31E3">
      <w:pPr>
        <w:spacing w:line="360" w:lineRule="auto"/>
        <w:rPr>
          <w:rFonts w:hint="eastAsia" w:ascii="宋体" w:hAnsi="宋体" w:cs="仿宋_GB2312"/>
          <w:color w:val="auto"/>
          <w:sz w:val="24"/>
          <w:highlight w:val="none"/>
        </w:rPr>
      </w:pPr>
    </w:p>
    <w:p w14:paraId="143F91C2">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注：法定代表人必须在授权委托书上签字或者盖章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否则其响应文件按无效处理。</w:t>
      </w:r>
    </w:p>
    <w:p w14:paraId="65C76D1B">
      <w:pPr>
        <w:spacing w:line="360" w:lineRule="auto"/>
        <w:ind w:firstLine="420"/>
        <w:jc w:val="left"/>
        <w:rPr>
          <w:rFonts w:hint="eastAsia" w:ascii="仿宋_GB2312" w:hAnsi="仿宋_GB2312" w:eastAsia="仿宋_GB2312" w:cs="仿宋_GB2312"/>
          <w:color w:val="auto"/>
          <w:szCs w:val="21"/>
          <w:highlight w:val="none"/>
        </w:rPr>
      </w:pPr>
    </w:p>
    <w:p w14:paraId="2EB19667">
      <w:pPr>
        <w:spacing w:line="500" w:lineRule="exact"/>
        <w:jc w:val="center"/>
        <w:rPr>
          <w:rFonts w:hint="eastAsia" w:ascii="宋体" w:hAnsi="宋体" w:cs="方正小标宋简体"/>
          <w:b/>
          <w:color w:val="auto"/>
          <w:sz w:val="32"/>
          <w:szCs w:val="32"/>
          <w:highlight w:val="none"/>
        </w:rPr>
      </w:pPr>
      <w:r>
        <w:rPr>
          <w:rFonts w:ascii="仿宋_GB2312" w:hAnsi="仿宋_GB2312" w:eastAsia="仿宋_GB2312" w:cs="仿宋_GB2312"/>
          <w:color w:val="auto"/>
          <w:szCs w:val="21"/>
          <w:highlight w:val="none"/>
        </w:rPr>
        <w:br w:type="page" w:clear="all"/>
      </w:r>
      <w:r>
        <w:rPr>
          <w:rFonts w:hint="eastAsia" w:ascii="宋体" w:hAnsi="宋体" w:cs="方正小标宋简体"/>
          <w:b/>
          <w:color w:val="auto"/>
          <w:sz w:val="32"/>
          <w:szCs w:val="32"/>
          <w:highlight w:val="none"/>
        </w:rPr>
        <w:t>授权委托书</w:t>
      </w:r>
    </w:p>
    <w:p w14:paraId="6DE3AEFA">
      <w:pPr>
        <w:spacing w:line="500" w:lineRule="exact"/>
        <w:jc w:val="center"/>
        <w:rPr>
          <w:rFonts w:hint="eastAsia" w:ascii="宋体" w:hAnsi="宋体" w:cs="方正小标宋简体"/>
          <w:b/>
          <w:color w:val="auto"/>
          <w:sz w:val="24"/>
          <w:highlight w:val="none"/>
        </w:rPr>
      </w:pPr>
      <w:r>
        <w:rPr>
          <w:rFonts w:hint="eastAsia" w:ascii="宋体" w:hAnsi="宋体" w:cs="方正小标宋简体"/>
          <w:b/>
          <w:color w:val="auto"/>
          <w:sz w:val="24"/>
          <w:highlight w:val="none"/>
        </w:rPr>
        <w:t>（联合体竞标格式）</w:t>
      </w:r>
    </w:p>
    <w:p w14:paraId="52BCAA8D">
      <w:pPr>
        <w:spacing w:line="500" w:lineRule="exact"/>
        <w:jc w:val="center"/>
        <w:rPr>
          <w:rFonts w:hint="eastAsia" w:ascii="宋体" w:hAnsi="宋体" w:cs="方正小标宋简体"/>
          <w:b/>
          <w:color w:val="auto"/>
          <w:sz w:val="24"/>
          <w:highlight w:val="none"/>
        </w:rPr>
      </w:pPr>
      <w:r>
        <w:rPr>
          <w:rFonts w:hint="eastAsia" w:ascii="宋体" w:hAnsi="宋体" w:cs="方正小标宋简体"/>
          <w:b/>
          <w:color w:val="auto"/>
          <w:sz w:val="24"/>
          <w:highlight w:val="none"/>
        </w:rPr>
        <w:t>（如有委托时）</w:t>
      </w:r>
    </w:p>
    <w:p w14:paraId="2AE7B545">
      <w:pPr>
        <w:spacing w:line="500" w:lineRule="exact"/>
        <w:jc w:val="center"/>
        <w:rPr>
          <w:rFonts w:hint="eastAsia" w:ascii="方正小标宋简体" w:hAnsi="方正小标宋简体" w:eastAsia="方正小标宋简体" w:cs="方正小标宋简体"/>
          <w:color w:val="auto"/>
          <w:sz w:val="44"/>
          <w:szCs w:val="44"/>
          <w:highlight w:val="none"/>
        </w:rPr>
      </w:pPr>
    </w:p>
    <w:p w14:paraId="1621EDF0">
      <w:pPr>
        <w:spacing w:line="500" w:lineRule="exact"/>
        <w:jc w:val="center"/>
        <w:rPr>
          <w:rFonts w:hint="eastAsia" w:ascii="仿宋_GB2312" w:hAnsi="仿宋_GB2312" w:eastAsia="仿宋_GB2312" w:cs="仿宋_GB2312"/>
          <w:color w:val="auto"/>
          <w:sz w:val="32"/>
          <w:szCs w:val="32"/>
          <w:highlight w:val="none"/>
        </w:rPr>
      </w:pPr>
    </w:p>
    <w:p w14:paraId="2EB1C9CF">
      <w:pPr>
        <w:spacing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本授权委托书声明：根据</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（牵头人名称）与</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（联合体其他成员名称）签订的《联合体竞标协议书》的内容，</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（牵头人名称）的法定代表人</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（姓名）现授权</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（姓名）为联合委托代理人，并代表我方全权办理针对上述项目的所有采购程序和环节的具体事务和签署相关文件。</w:t>
      </w:r>
    </w:p>
    <w:p w14:paraId="7597D7D2">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我方对委托代理人的</w:t>
      </w:r>
      <w:r>
        <w:rPr>
          <w:rFonts w:hint="eastAsia" w:ascii="宋体" w:hAnsi="宋体"/>
          <w:color w:val="auto"/>
          <w:sz w:val="24"/>
          <w:highlight w:val="none"/>
        </w:rPr>
        <w:t>签字或者电子签名</w:t>
      </w:r>
      <w:r>
        <w:rPr>
          <w:rFonts w:hint="eastAsia" w:ascii="宋体" w:hAnsi="宋体" w:cs="仿宋_GB2312"/>
          <w:color w:val="auto"/>
          <w:sz w:val="24"/>
          <w:highlight w:val="none"/>
        </w:rPr>
        <w:t>事项负全部责任。</w:t>
      </w:r>
    </w:p>
    <w:p w14:paraId="5D3F9A62">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6C128E9F">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1EF64E9E">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附：法定代表人身份证明书及委托代理人有效身份证正反面复印件</w:t>
      </w:r>
    </w:p>
    <w:p w14:paraId="6A32C9C1">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牵头人法定代表人（签字或者盖章或者电子签名）：</w:t>
      </w:r>
    </w:p>
    <w:p w14:paraId="3972E075">
      <w:pPr>
        <w:spacing w:line="360" w:lineRule="auto"/>
        <w:ind w:firstLine="3120"/>
        <w:contextualSpacing/>
        <w:rPr>
          <w:rFonts w:hint="eastAsia" w:ascii="宋体" w:hAnsi="宋体" w:cs="仿宋_GB2312"/>
          <w:color w:val="auto"/>
          <w:sz w:val="24"/>
          <w:highlight w:val="none"/>
        </w:rPr>
      </w:pPr>
      <w:r>
        <w:rPr>
          <w:rFonts w:hint="eastAsia" w:ascii="宋体" w:hAnsi="宋体" w:cs="仿宋_GB2312"/>
          <w:color w:val="auto"/>
          <w:sz w:val="24"/>
          <w:highlight w:val="none"/>
        </w:rPr>
        <w:t>牵头人（电子签章）：</w:t>
      </w:r>
    </w:p>
    <w:p w14:paraId="0719BF33">
      <w:pPr>
        <w:spacing w:line="360" w:lineRule="auto"/>
        <w:ind w:firstLine="384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01C8C114">
      <w:pPr>
        <w:spacing w:line="360" w:lineRule="auto"/>
        <w:contextualSpacing/>
        <w:rPr>
          <w:rFonts w:hint="eastAsia" w:ascii="宋体" w:hAnsi="宋体" w:cs="仿宋_GB2312"/>
          <w:color w:val="auto"/>
          <w:sz w:val="24"/>
          <w:highlight w:val="none"/>
        </w:rPr>
      </w:pPr>
    </w:p>
    <w:p w14:paraId="0DA3BC90">
      <w:pPr>
        <w:spacing w:line="360" w:lineRule="auto"/>
        <w:ind w:firstLine="3120"/>
        <w:contextualSpacing/>
        <w:rPr>
          <w:rFonts w:hint="eastAsia" w:ascii="宋体" w:hAnsi="宋体" w:cs="仿宋_GB2312"/>
          <w:color w:val="auto"/>
          <w:sz w:val="24"/>
          <w:highlight w:val="none"/>
        </w:rPr>
      </w:pPr>
      <w:r>
        <w:rPr>
          <w:rFonts w:hint="eastAsia" w:ascii="宋体" w:hAnsi="宋体" w:cs="仿宋_GB2312"/>
          <w:color w:val="auto"/>
          <w:sz w:val="24"/>
          <w:highlight w:val="none"/>
        </w:rPr>
        <w:t>被授权人（签字或者电子签名）：</w:t>
      </w:r>
    </w:p>
    <w:p w14:paraId="5D859ECE">
      <w:pPr>
        <w:spacing w:line="360" w:lineRule="auto"/>
        <w:ind w:firstLine="384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6A2A220B">
      <w:pPr>
        <w:spacing w:line="360" w:lineRule="auto"/>
        <w:contextualSpacing/>
        <w:rPr>
          <w:rFonts w:hint="eastAsia" w:ascii="宋体" w:hAnsi="宋体" w:cs="仿宋_GB2312"/>
          <w:color w:val="auto"/>
          <w:sz w:val="24"/>
          <w:highlight w:val="none"/>
        </w:rPr>
      </w:pPr>
    </w:p>
    <w:p w14:paraId="6D68FEB3">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注：法定代表人必须在授权委托书上签字或者盖章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否则其响应文件按无效处理。</w:t>
      </w:r>
    </w:p>
    <w:p w14:paraId="6FFFF8C8">
      <w:pPr>
        <w:spacing w:line="360" w:lineRule="auto"/>
        <w:jc w:val="center"/>
        <w:rPr>
          <w:rFonts w:hint="eastAsia" w:ascii="宋体" w:hAnsi="宋体" w:cs="方正小标宋简体"/>
          <w:b/>
          <w:color w:val="auto"/>
          <w:sz w:val="32"/>
          <w:szCs w:val="32"/>
          <w:highlight w:val="none"/>
        </w:rPr>
      </w:pPr>
      <w:r>
        <w:rPr>
          <w:rFonts w:ascii="仿宋_GB2312" w:hAnsi="仿宋_GB2312" w:eastAsia="仿宋_GB2312" w:cs="仿宋_GB2312"/>
          <w:color w:val="auto"/>
          <w:sz w:val="32"/>
          <w:szCs w:val="32"/>
          <w:highlight w:val="none"/>
        </w:rPr>
        <w:br w:type="page" w:clear="all"/>
      </w:r>
      <w:r>
        <w:rPr>
          <w:rFonts w:hint="eastAsia" w:ascii="宋体" w:hAnsi="宋体" w:cs="方正小标宋简体"/>
          <w:b/>
          <w:color w:val="auto"/>
          <w:sz w:val="32"/>
          <w:szCs w:val="32"/>
          <w:highlight w:val="none"/>
        </w:rPr>
        <w:t>建筑材料和设备节能环保要求承诺书</w:t>
      </w:r>
    </w:p>
    <w:p w14:paraId="49F81641">
      <w:pPr>
        <w:spacing w:line="360" w:lineRule="auto"/>
        <w:jc w:val="center"/>
        <w:rPr>
          <w:rFonts w:hint="eastAsia" w:ascii="宋体" w:hAnsi="宋体" w:cs="宋体"/>
          <w:color w:val="auto"/>
          <w:szCs w:val="21"/>
          <w:highlight w:val="none"/>
        </w:rPr>
      </w:pPr>
    </w:p>
    <w:p w14:paraId="4D7A905B">
      <w:pPr>
        <w:spacing w:line="360" w:lineRule="auto"/>
        <w:ind w:firstLine="480"/>
        <w:jc w:val="left"/>
        <w:rPr>
          <w:color w:val="auto"/>
          <w:sz w:val="24"/>
          <w:highlight w:val="none"/>
        </w:rPr>
      </w:pPr>
      <w:r>
        <w:rPr>
          <w:rFonts w:hint="eastAsia"/>
          <w:color w:val="auto"/>
          <w:sz w:val="24"/>
          <w:highlight w:val="none"/>
        </w:rPr>
        <w:t>我方承诺，一旦成交，我方保证严格执行</w:t>
      </w:r>
      <w:r>
        <w:rPr>
          <w:rFonts w:hint="eastAsia" w:cs="宋体"/>
          <w:color w:val="auto"/>
          <w:sz w:val="24"/>
          <w:highlight w:val="none"/>
        </w:rPr>
        <w:t>《财政部 国家发展改革委关于印发〈节能产品政府采购实施意见〉的通知》</w:t>
      </w:r>
      <w:r>
        <w:rPr>
          <w:rFonts w:hint="eastAsia" w:ascii="宋体" w:hAnsi="宋体"/>
          <w:color w:val="auto"/>
          <w:sz w:val="24"/>
          <w:highlight w:val="none"/>
        </w:rPr>
        <w:t>（财库〔2004〕185号）、</w:t>
      </w:r>
      <w:r>
        <w:rPr>
          <w:rFonts w:hint="eastAsia" w:cs="宋体"/>
          <w:color w:val="auto"/>
          <w:sz w:val="24"/>
          <w:highlight w:val="none"/>
        </w:rPr>
        <w:t>《财政部</w:t>
      </w:r>
      <w:r>
        <w:rPr>
          <w:rFonts w:cs="宋体"/>
          <w:color w:val="auto"/>
          <w:sz w:val="24"/>
          <w:highlight w:val="none"/>
        </w:rPr>
        <w:t xml:space="preserve"> </w:t>
      </w:r>
      <w:r>
        <w:rPr>
          <w:rFonts w:hint="eastAsia" w:cs="宋体"/>
          <w:color w:val="auto"/>
          <w:sz w:val="24"/>
          <w:highlight w:val="none"/>
        </w:rPr>
        <w:t>发展改革委</w:t>
      </w:r>
      <w:r>
        <w:rPr>
          <w:rFonts w:cs="宋体"/>
          <w:color w:val="auto"/>
          <w:sz w:val="24"/>
          <w:highlight w:val="none"/>
        </w:rPr>
        <w:t xml:space="preserve"> </w:t>
      </w:r>
      <w:r>
        <w:rPr>
          <w:rFonts w:hint="eastAsia" w:cs="宋体"/>
          <w:color w:val="auto"/>
          <w:sz w:val="24"/>
          <w:highlight w:val="none"/>
        </w:rPr>
        <w:t>生态环境部</w:t>
      </w:r>
      <w:r>
        <w:rPr>
          <w:rFonts w:cs="宋体"/>
          <w:color w:val="auto"/>
          <w:sz w:val="24"/>
          <w:highlight w:val="none"/>
        </w:rPr>
        <w:t xml:space="preserve"> </w:t>
      </w:r>
      <w:r>
        <w:rPr>
          <w:rFonts w:hint="eastAsia" w:cs="宋体"/>
          <w:color w:val="auto"/>
          <w:sz w:val="24"/>
          <w:highlight w:val="none"/>
        </w:rPr>
        <w:t>市场监管总局关于调整优化节能产品、环境标志产品政府采购执行机制的通知》（财库〔</w:t>
      </w:r>
      <w:r>
        <w:rPr>
          <w:rFonts w:cs="宋体"/>
          <w:color w:val="auto"/>
          <w:sz w:val="24"/>
          <w:highlight w:val="none"/>
        </w:rPr>
        <w:t>2019</w:t>
      </w:r>
      <w:r>
        <w:rPr>
          <w:rFonts w:hint="eastAsia" w:cs="宋体"/>
          <w:color w:val="auto"/>
          <w:sz w:val="24"/>
          <w:highlight w:val="none"/>
        </w:rPr>
        <w:t>〕</w:t>
      </w:r>
      <w:r>
        <w:rPr>
          <w:rFonts w:cs="宋体"/>
          <w:color w:val="auto"/>
          <w:sz w:val="24"/>
          <w:highlight w:val="none"/>
        </w:rPr>
        <w:t>9</w:t>
      </w:r>
      <w:r>
        <w:rPr>
          <w:rFonts w:hint="eastAsia" w:cs="宋体"/>
          <w:color w:val="auto"/>
          <w:sz w:val="24"/>
          <w:highlight w:val="none"/>
        </w:rPr>
        <w:t>号）和《关于印发节能产品政府采购品目清单的通知》（财库〔</w:t>
      </w:r>
      <w:r>
        <w:rPr>
          <w:rFonts w:cs="宋体"/>
          <w:color w:val="auto"/>
          <w:sz w:val="24"/>
          <w:highlight w:val="none"/>
        </w:rPr>
        <w:t>2019</w:t>
      </w:r>
      <w:r>
        <w:rPr>
          <w:rFonts w:hint="eastAsia" w:cs="宋体"/>
          <w:color w:val="auto"/>
          <w:sz w:val="24"/>
          <w:highlight w:val="none"/>
        </w:rPr>
        <w:t>〕</w:t>
      </w:r>
      <w:r>
        <w:rPr>
          <w:rFonts w:cs="宋体"/>
          <w:color w:val="auto"/>
          <w:sz w:val="24"/>
          <w:highlight w:val="none"/>
        </w:rPr>
        <w:t>19</w:t>
      </w:r>
      <w:r>
        <w:rPr>
          <w:rFonts w:hint="eastAsia" w:cs="宋体"/>
          <w:color w:val="auto"/>
          <w:sz w:val="24"/>
          <w:highlight w:val="none"/>
        </w:rPr>
        <w:t>号）的规定，所有工程中涉及的建筑材料和设备如属于财库〔</w:t>
      </w:r>
      <w:r>
        <w:rPr>
          <w:rFonts w:cs="宋体"/>
          <w:color w:val="auto"/>
          <w:sz w:val="24"/>
          <w:highlight w:val="none"/>
        </w:rPr>
        <w:t>2019</w:t>
      </w:r>
      <w:r>
        <w:rPr>
          <w:rFonts w:hint="eastAsia" w:cs="宋体"/>
          <w:color w:val="auto"/>
          <w:sz w:val="24"/>
          <w:highlight w:val="none"/>
        </w:rPr>
        <w:t>〕</w:t>
      </w:r>
      <w:r>
        <w:rPr>
          <w:rFonts w:cs="宋体"/>
          <w:color w:val="auto"/>
          <w:sz w:val="24"/>
          <w:highlight w:val="none"/>
        </w:rPr>
        <w:t>19</w:t>
      </w:r>
      <w:r>
        <w:rPr>
          <w:rFonts w:hint="eastAsia" w:cs="宋体"/>
          <w:color w:val="auto"/>
          <w:sz w:val="24"/>
          <w:highlight w:val="none"/>
        </w:rPr>
        <w:t>号文中《节能产品政府采购品目清单》内标注“★”的产品，都使用政府强制采购的节能产品。</w:t>
      </w:r>
      <w:r>
        <w:rPr>
          <w:rFonts w:hint="eastAsia"/>
          <w:color w:val="auto"/>
          <w:sz w:val="24"/>
          <w:highlight w:val="none"/>
        </w:rPr>
        <w:t>如我方在该项目的承包中出现未按规定执行的情形，我方愿意按照相关规定接受采购人及有关行政主管部门的处罚，愿意承担一切后果，并不再寻求任何旨在减轻或者免除法律责任的辩解。</w:t>
      </w:r>
    </w:p>
    <w:p w14:paraId="7200DD9B">
      <w:pPr>
        <w:spacing w:line="360" w:lineRule="auto"/>
        <w:ind w:firstLine="480"/>
        <w:jc w:val="center"/>
        <w:rPr>
          <w:color w:val="auto"/>
          <w:sz w:val="24"/>
          <w:highlight w:val="none"/>
        </w:rPr>
      </w:pPr>
    </w:p>
    <w:p w14:paraId="26426864">
      <w:pPr>
        <w:spacing w:line="360" w:lineRule="auto"/>
        <w:contextualSpacing/>
        <w:rPr>
          <w:rFonts w:hint="eastAsia" w:ascii="宋体" w:hAnsi="宋体" w:cs="仿宋_GB2312"/>
          <w:color w:val="auto"/>
          <w:sz w:val="24"/>
          <w:highlight w:val="none"/>
        </w:rPr>
      </w:pPr>
    </w:p>
    <w:p w14:paraId="5CAB7927">
      <w:pPr>
        <w:spacing w:line="360" w:lineRule="auto"/>
        <w:ind w:firstLine="36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14:paraId="3953A92E">
      <w:pPr>
        <w:spacing w:before="156" w:after="50"/>
        <w:jc w:val="left"/>
        <w:rPr>
          <w:rFonts w:hint="eastAsia" w:ascii="方正小标宋简体" w:hAnsi="方正小标宋简体" w:eastAsia="方正小标宋简体" w:cs="方正小标宋简体"/>
          <w:bCs/>
          <w:color w:val="auto"/>
          <w:szCs w:val="21"/>
          <w:highlight w:val="none"/>
        </w:rPr>
      </w:pPr>
      <w:r>
        <w:rPr>
          <w:rFonts w:hint="eastAsia" w:ascii="宋体" w:hAnsi="宋体" w:cs="仿宋_GB2312"/>
          <w:color w:val="auto"/>
          <w:sz w:val="24"/>
          <w:highlight w:val="none"/>
        </w:rPr>
        <w:t xml:space="preserve">                               年   月   日</w:t>
      </w:r>
      <w:r>
        <w:rPr>
          <w:rFonts w:hint="eastAsia" w:ascii="仿宋_GB2312" w:hAnsi="仿宋_GB2312" w:eastAsia="仿宋_GB2312" w:cs="仿宋_GB2312"/>
          <w:color w:val="auto"/>
          <w:sz w:val="32"/>
          <w:szCs w:val="32"/>
          <w:highlight w:val="none"/>
        </w:rPr>
        <w:br w:type="page" w:clear="all"/>
      </w:r>
      <w:r>
        <w:rPr>
          <w:rFonts w:hint="eastAsia" w:ascii="方正小标宋简体" w:hAnsi="方正小标宋简体" w:eastAsia="方正小标宋简体" w:cs="方正小标宋简体"/>
          <w:bCs/>
          <w:color w:val="auto"/>
          <w:szCs w:val="21"/>
          <w:highlight w:val="none"/>
        </w:rPr>
        <w:t>代理服务费承诺书（如本项目为采购人支付代理服务费的，无需提供）</w:t>
      </w:r>
    </w:p>
    <w:p w14:paraId="598E25A6">
      <w:pPr>
        <w:spacing w:before="156" w:after="50"/>
        <w:jc w:val="left"/>
        <w:rPr>
          <w:rFonts w:hint="eastAsia" w:ascii="方正小标宋简体" w:hAnsi="方正小标宋简体" w:eastAsia="方正小标宋简体" w:cs="方正小标宋简体"/>
          <w:bCs/>
          <w:color w:val="auto"/>
          <w:szCs w:val="21"/>
          <w:highlight w:val="none"/>
        </w:rPr>
      </w:pPr>
    </w:p>
    <w:p w14:paraId="3D472646">
      <w:pPr>
        <w:spacing w:before="156" w:after="50"/>
        <w:jc w:val="center"/>
        <w:rPr>
          <w:rFonts w:hint="eastAsia" w:ascii="方正小标宋简体" w:hAnsi="方正小标宋简体" w:eastAsia="方正小标宋简体" w:cs="方正小标宋简体"/>
          <w:bCs/>
          <w:color w:val="auto"/>
          <w:sz w:val="32"/>
          <w:szCs w:val="32"/>
          <w:highlight w:val="none"/>
        </w:rPr>
      </w:pPr>
      <w:r>
        <w:rPr>
          <w:rFonts w:hint="eastAsia" w:ascii="方正小标宋简体" w:hAnsi="方正小标宋简体" w:eastAsia="方正小标宋简体" w:cs="方正小标宋简体"/>
          <w:bCs/>
          <w:color w:val="auto"/>
          <w:sz w:val="32"/>
          <w:szCs w:val="32"/>
          <w:highlight w:val="none"/>
        </w:rPr>
        <w:t>代理服务费承诺书</w:t>
      </w:r>
    </w:p>
    <w:p w14:paraId="6D942484">
      <w:pPr>
        <w:spacing w:before="156" w:after="50"/>
        <w:jc w:val="center"/>
        <w:rPr>
          <w:rFonts w:hint="eastAsia" w:ascii="宋体" w:hAnsi="宋体"/>
          <w:b/>
          <w:color w:val="auto"/>
          <w:sz w:val="24"/>
          <w:highlight w:val="none"/>
        </w:rPr>
      </w:pPr>
    </w:p>
    <w:p w14:paraId="6749DB08">
      <w:pPr>
        <w:spacing w:line="360" w:lineRule="auto"/>
        <w:rPr>
          <w:rFonts w:hint="eastAsia"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采购代理机构名称</w:t>
      </w:r>
    </w:p>
    <w:p w14:paraId="17649E25">
      <w:pPr>
        <w:spacing w:line="360" w:lineRule="auto"/>
        <w:ind w:firstLine="480"/>
        <w:rPr>
          <w:rFonts w:hint="eastAsia" w:ascii="宋体" w:hAnsi="宋体"/>
          <w:color w:val="auto"/>
          <w:sz w:val="24"/>
          <w:highlight w:val="none"/>
        </w:rPr>
      </w:pPr>
      <w:r>
        <w:rPr>
          <w:rFonts w:hint="eastAsia" w:ascii="宋体" w:hAnsi="宋体"/>
          <w:color w:val="auto"/>
          <w:sz w:val="24"/>
          <w:highlight w:val="none"/>
        </w:rPr>
        <w:t>本单位参加了贵方组织的</w:t>
      </w:r>
      <w:r>
        <w:rPr>
          <w:rFonts w:hint="eastAsia" w:ascii="宋体" w:hAnsi="宋体"/>
          <w:color w:val="auto"/>
          <w:sz w:val="24"/>
          <w:highlight w:val="none"/>
          <w:u w:val="single"/>
        </w:rPr>
        <w:t xml:space="preserve">  项目名称（项目编号）  </w:t>
      </w:r>
      <w:r>
        <w:rPr>
          <w:rFonts w:hint="eastAsia" w:ascii="宋体" w:hAnsi="宋体"/>
          <w:color w:val="auto"/>
          <w:sz w:val="24"/>
          <w:highlight w:val="none"/>
        </w:rPr>
        <w:t>项目， 在此说明如下：</w:t>
      </w:r>
    </w:p>
    <w:p w14:paraId="0A13BBEC">
      <w:pPr>
        <w:spacing w:line="360" w:lineRule="auto"/>
        <w:ind w:firstLine="480"/>
        <w:rPr>
          <w:rFonts w:hint="eastAsia" w:ascii="宋体" w:hAnsi="宋体"/>
          <w:color w:val="auto"/>
          <w:sz w:val="24"/>
          <w:highlight w:val="none"/>
        </w:rPr>
      </w:pPr>
      <w:r>
        <w:rPr>
          <w:rFonts w:hint="eastAsia" w:ascii="宋体" w:hAnsi="宋体"/>
          <w:color w:val="auto"/>
          <w:sz w:val="24"/>
          <w:highlight w:val="none"/>
        </w:rPr>
        <w:t>1.我方承诺，若本单位成交，保证在发出成交通知书之后，按本项目磋商文件的规定标准向贵单位一次性足额支付代理服务费, 在领取成交通知书后，由于被质疑、投诉或者其他原因而导致成交结果改变，我方将放弃对已缴纳的成交服务费追还的一切权利。</w:t>
      </w:r>
    </w:p>
    <w:p w14:paraId="321D1557">
      <w:pPr>
        <w:spacing w:line="360" w:lineRule="auto"/>
        <w:ind w:firstLine="480"/>
        <w:rPr>
          <w:rFonts w:hint="eastAsia" w:ascii="宋体" w:hAnsi="宋体"/>
          <w:color w:val="auto"/>
          <w:sz w:val="24"/>
          <w:highlight w:val="none"/>
        </w:rPr>
      </w:pPr>
      <w:r>
        <w:rPr>
          <w:rFonts w:hint="eastAsia" w:ascii="宋体" w:hAnsi="宋体"/>
          <w:color w:val="auto"/>
          <w:sz w:val="24"/>
          <w:highlight w:val="none"/>
        </w:rPr>
        <w:t>2.本单位选择第</w:t>
      </w:r>
      <w:r>
        <w:rPr>
          <w:rFonts w:hint="eastAsia" w:ascii="宋体" w:hAnsi="宋体"/>
          <w:color w:val="auto"/>
          <w:sz w:val="24"/>
          <w:highlight w:val="none"/>
          <w:u w:val="single"/>
        </w:rPr>
        <w:t xml:space="preserve">     </w:t>
      </w:r>
      <w:r>
        <w:rPr>
          <w:rFonts w:hint="eastAsia" w:ascii="宋体" w:hAnsi="宋体"/>
          <w:color w:val="auto"/>
          <w:sz w:val="24"/>
          <w:highlight w:val="none"/>
        </w:rPr>
        <w:t>种方式作为代理服务费开票类型：</w:t>
      </w:r>
    </w:p>
    <w:p w14:paraId="20C884D2">
      <w:pPr>
        <w:spacing w:line="360" w:lineRule="auto"/>
        <w:ind w:firstLine="480"/>
        <w:rPr>
          <w:rFonts w:hint="eastAsia" w:ascii="宋体" w:hAnsi="宋体"/>
          <w:color w:val="auto"/>
          <w:sz w:val="24"/>
          <w:highlight w:val="none"/>
        </w:rPr>
      </w:pPr>
      <w:r>
        <w:rPr>
          <w:rFonts w:hint="eastAsia" w:ascii="宋体" w:hAnsi="宋体"/>
          <w:color w:val="auto"/>
          <w:sz w:val="24"/>
          <w:highlight w:val="none"/>
        </w:rPr>
        <w:t>第一种方式：开具增值税普通发票。开票信息如下：</w:t>
      </w:r>
    </w:p>
    <w:p w14:paraId="479C3A70">
      <w:pPr>
        <w:spacing w:line="360" w:lineRule="auto"/>
        <w:ind w:firstLine="480"/>
        <w:rPr>
          <w:rFonts w:hint="eastAsia"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4F7AC5D6">
      <w:pPr>
        <w:spacing w:line="360" w:lineRule="auto"/>
        <w:ind w:firstLine="480"/>
        <w:rPr>
          <w:rFonts w:hint="eastAsia"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340472D7">
      <w:pPr>
        <w:spacing w:line="360" w:lineRule="auto"/>
        <w:ind w:firstLine="480"/>
        <w:rPr>
          <w:rFonts w:hint="eastAsia" w:ascii="宋体" w:hAnsi="宋体"/>
          <w:color w:val="auto"/>
          <w:sz w:val="24"/>
          <w:highlight w:val="none"/>
        </w:rPr>
      </w:pPr>
      <w:r>
        <w:rPr>
          <w:rFonts w:hint="eastAsia" w:ascii="宋体" w:hAnsi="宋体"/>
          <w:color w:val="auto"/>
          <w:sz w:val="24"/>
          <w:highlight w:val="none"/>
        </w:rPr>
        <w:t>第二种方式：开具增值税专用发票，开票信息如下：</w:t>
      </w:r>
    </w:p>
    <w:p w14:paraId="29B6829D">
      <w:pPr>
        <w:spacing w:line="360" w:lineRule="auto"/>
        <w:ind w:firstLine="480"/>
        <w:rPr>
          <w:rFonts w:hint="eastAsia"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59BD9913">
      <w:pPr>
        <w:spacing w:line="360" w:lineRule="auto"/>
        <w:ind w:firstLine="480"/>
        <w:rPr>
          <w:rFonts w:hint="eastAsia"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59A65826">
      <w:pPr>
        <w:spacing w:line="360" w:lineRule="auto"/>
        <w:ind w:firstLine="480"/>
        <w:rPr>
          <w:rFonts w:hint="eastAsia" w:ascii="宋体" w:hAnsi="宋体"/>
          <w:color w:val="auto"/>
          <w:sz w:val="24"/>
          <w:highlight w:val="none"/>
        </w:rPr>
      </w:pPr>
      <w:r>
        <w:rPr>
          <w:rFonts w:hint="eastAsia" w:ascii="宋体" w:hAnsi="宋体"/>
          <w:color w:val="auto"/>
          <w:sz w:val="24"/>
          <w:highlight w:val="none"/>
        </w:rPr>
        <w:t>（3）在税</w:t>
      </w:r>
      <w:r>
        <w:rPr>
          <w:rFonts w:hint="eastAsia" w:ascii="宋体" w:hAnsi="宋体"/>
          <w:color w:val="auto"/>
          <w:sz w:val="24"/>
          <w:highlight w:val="none"/>
          <w:lang w:val="en-US" w:eastAsia="zh-CN"/>
        </w:rPr>
        <w:t>务</w:t>
      </w:r>
      <w:r>
        <w:rPr>
          <w:rFonts w:hint="eastAsia" w:ascii="宋体" w:hAnsi="宋体"/>
          <w:color w:val="auto"/>
          <w:sz w:val="24"/>
          <w:highlight w:val="none"/>
        </w:rPr>
        <w:t>局登记的地址</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5D90995F">
      <w:pPr>
        <w:spacing w:line="360" w:lineRule="auto"/>
        <w:ind w:firstLine="480"/>
        <w:rPr>
          <w:rFonts w:hint="eastAsia" w:ascii="宋体" w:hAnsi="宋体"/>
          <w:color w:val="auto"/>
          <w:sz w:val="24"/>
          <w:highlight w:val="none"/>
        </w:rPr>
      </w:pPr>
      <w:r>
        <w:rPr>
          <w:rFonts w:hint="eastAsia" w:ascii="宋体" w:hAnsi="宋体"/>
          <w:color w:val="auto"/>
          <w:sz w:val="24"/>
          <w:highlight w:val="none"/>
        </w:rPr>
        <w:t>（4）在税</w:t>
      </w:r>
      <w:r>
        <w:rPr>
          <w:rFonts w:hint="eastAsia" w:ascii="宋体" w:hAnsi="宋体"/>
          <w:color w:val="auto"/>
          <w:sz w:val="24"/>
          <w:highlight w:val="none"/>
          <w:lang w:val="en-US" w:eastAsia="zh-CN"/>
        </w:rPr>
        <w:t>务</w:t>
      </w:r>
      <w:r>
        <w:rPr>
          <w:rFonts w:hint="eastAsia" w:ascii="宋体" w:hAnsi="宋体"/>
          <w:color w:val="auto"/>
          <w:sz w:val="24"/>
          <w:highlight w:val="none"/>
        </w:rPr>
        <w:t>局登记的电话</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0F58BD1D">
      <w:pPr>
        <w:spacing w:line="360" w:lineRule="auto"/>
        <w:ind w:firstLine="480"/>
        <w:rPr>
          <w:rFonts w:hint="eastAsia" w:ascii="宋体" w:hAnsi="宋体"/>
          <w:color w:val="auto"/>
          <w:sz w:val="24"/>
          <w:highlight w:val="none"/>
        </w:rPr>
      </w:pPr>
      <w:r>
        <w:rPr>
          <w:rFonts w:hint="eastAsia" w:ascii="宋体" w:hAnsi="宋体"/>
          <w:color w:val="auto"/>
          <w:sz w:val="24"/>
          <w:highlight w:val="none"/>
        </w:rPr>
        <w:t>（5）开户银行</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5A5BAEB7">
      <w:pPr>
        <w:spacing w:line="360" w:lineRule="auto"/>
        <w:ind w:firstLine="480"/>
        <w:rPr>
          <w:rFonts w:hint="eastAsia" w:ascii="宋体" w:hAnsi="宋体"/>
          <w:color w:val="auto"/>
          <w:sz w:val="24"/>
          <w:highlight w:val="none"/>
        </w:rPr>
      </w:pPr>
      <w:r>
        <w:rPr>
          <w:rFonts w:hint="eastAsia" w:ascii="宋体" w:hAnsi="宋体"/>
          <w:color w:val="auto"/>
          <w:sz w:val="24"/>
          <w:highlight w:val="none"/>
        </w:rPr>
        <w:t>（6）银行账户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0A4A90A1">
      <w:pPr>
        <w:spacing w:line="440" w:lineRule="exact"/>
        <w:rPr>
          <w:rFonts w:hint="eastAsia" w:ascii="宋体" w:hAnsi="宋体"/>
          <w:color w:val="auto"/>
          <w:sz w:val="24"/>
          <w:highlight w:val="none"/>
        </w:rPr>
      </w:pPr>
    </w:p>
    <w:p w14:paraId="699B2469">
      <w:pPr>
        <w:spacing w:line="440" w:lineRule="exact"/>
        <w:rPr>
          <w:rFonts w:hint="eastAsia" w:ascii="宋体" w:hAnsi="宋体"/>
          <w:color w:val="auto"/>
          <w:sz w:val="24"/>
          <w:highlight w:val="none"/>
        </w:rPr>
      </w:pPr>
    </w:p>
    <w:p w14:paraId="7FD0CB9F">
      <w:pPr>
        <w:spacing w:line="440" w:lineRule="exact"/>
        <w:rPr>
          <w:rFonts w:hint="eastAsia" w:ascii="宋体" w:hAnsi="宋体"/>
          <w:color w:val="auto"/>
          <w:sz w:val="24"/>
          <w:highlight w:val="none"/>
        </w:rPr>
      </w:pPr>
    </w:p>
    <w:p w14:paraId="0820A028">
      <w:pPr>
        <w:spacing w:line="360" w:lineRule="auto"/>
        <w:ind w:left="-2" w:right="-817" w:firstLine="1920"/>
        <w:rPr>
          <w:rFonts w:hint="eastAsia" w:ascii="宋体" w:hAnsi="宋体"/>
          <w:color w:val="auto"/>
          <w:sz w:val="24"/>
          <w:highlight w:val="none"/>
        </w:rPr>
      </w:pPr>
      <w:r>
        <w:rPr>
          <w:rFonts w:hint="eastAsia" w:ascii="宋体" w:hAnsi="宋体"/>
          <w:color w:val="auto"/>
          <w:sz w:val="24"/>
          <w:highlight w:val="none"/>
        </w:rPr>
        <w:t xml:space="preserve">法定代表人或者委托代理人（签字或者电子签名）： </w:t>
      </w:r>
    </w:p>
    <w:p w14:paraId="66ACC8B7">
      <w:pPr>
        <w:spacing w:line="360" w:lineRule="auto"/>
        <w:ind w:left="-3" w:right="-817" w:hanging="28"/>
        <w:rPr>
          <w:rFonts w:hint="eastAsia" w:ascii="宋体" w:hAnsi="宋体"/>
          <w:color w:val="auto"/>
          <w:sz w:val="24"/>
          <w:highlight w:val="none"/>
        </w:rPr>
      </w:pPr>
      <w:r>
        <w:rPr>
          <w:rFonts w:hint="eastAsia" w:ascii="宋体" w:hAnsi="宋体"/>
          <w:color w:val="auto"/>
          <w:sz w:val="24"/>
          <w:highlight w:val="none"/>
        </w:rPr>
        <w:t xml:space="preserve">                                      供应商公章（电子签章）：</w:t>
      </w:r>
    </w:p>
    <w:p w14:paraId="0D9CF870">
      <w:pPr>
        <w:spacing w:line="360" w:lineRule="auto"/>
        <w:ind w:firstLine="480"/>
        <w:jc w:val="center"/>
        <w:rPr>
          <w:rFonts w:hint="eastAsia" w:ascii="宋体" w:hAnsi="宋体" w:cs="方正小标宋简体"/>
          <w:b/>
          <w:bCs/>
          <w:color w:val="auto"/>
          <w:sz w:val="32"/>
          <w:szCs w:val="32"/>
          <w:highlight w:val="none"/>
        </w:rPr>
      </w:pPr>
      <w:r>
        <w:rPr>
          <w:rFonts w:hint="eastAsia" w:ascii="宋体" w:hAnsi="宋体"/>
          <w:color w:val="auto"/>
          <w:sz w:val="24"/>
          <w:highlight w:val="none"/>
        </w:rPr>
        <w:t xml:space="preserve">                                    日期：    年   月   日</w:t>
      </w:r>
      <w:r>
        <w:rPr>
          <w:rFonts w:ascii="仿宋_GB2312" w:hAnsi="仿宋_GB2312" w:eastAsia="仿宋_GB2312" w:cs="仿宋_GB2312"/>
          <w:color w:val="auto"/>
          <w:sz w:val="32"/>
          <w:szCs w:val="32"/>
          <w:highlight w:val="none"/>
        </w:rPr>
        <w:br w:type="page" w:clear="all"/>
      </w:r>
      <w:r>
        <w:rPr>
          <w:rFonts w:hint="eastAsia" w:ascii="宋体" w:hAnsi="宋体" w:cs="方正小标宋简体"/>
          <w:b/>
          <w:bCs/>
          <w:color w:val="auto"/>
          <w:sz w:val="32"/>
          <w:szCs w:val="32"/>
          <w:highlight w:val="none"/>
        </w:rPr>
        <w:t>施工组织设计</w:t>
      </w:r>
    </w:p>
    <w:p w14:paraId="59F3A000">
      <w:pPr>
        <w:spacing w:line="360" w:lineRule="auto"/>
        <w:ind w:firstLine="480"/>
        <w:rPr>
          <w:color w:val="auto"/>
          <w:highlight w:val="none"/>
          <w:lang w:val="zh-CN"/>
        </w:rPr>
      </w:pPr>
      <w:r>
        <w:rPr>
          <w:color w:val="auto"/>
          <w:highlight w:val="none"/>
        </w:rPr>
        <w:t>1.</w:t>
      </w:r>
      <w:r>
        <w:rPr>
          <w:rFonts w:hint="eastAsia"/>
          <w:color w:val="auto"/>
          <w:highlight w:val="none"/>
        </w:rPr>
        <w:t xml:space="preserve"> </w:t>
      </w:r>
      <w:r>
        <w:rPr>
          <w:rFonts w:hint="eastAsia"/>
          <w:color w:val="auto"/>
          <w:highlight w:val="none"/>
          <w:lang w:val="zh-CN"/>
        </w:rPr>
        <w:t>供应商</w:t>
      </w:r>
      <w:r>
        <w:rPr>
          <w:color w:val="auto"/>
          <w:highlight w:val="none"/>
          <w:lang w:val="zh-CN"/>
        </w:rPr>
        <w:t>应按以下要点编制施工组织设计：</w:t>
      </w:r>
    </w:p>
    <w:p w14:paraId="724E0C7E">
      <w:pPr>
        <w:spacing w:line="360" w:lineRule="auto"/>
        <w:ind w:firstLine="420"/>
        <w:rPr>
          <w:color w:val="auto"/>
          <w:highlight w:val="none"/>
          <w:lang w:val="zh-CN"/>
        </w:rPr>
      </w:pPr>
      <w:r>
        <w:rPr>
          <w:rFonts w:hint="eastAsia"/>
          <w:color w:val="auto"/>
          <w:highlight w:val="none"/>
          <w:lang w:val="zh-CN"/>
        </w:rPr>
        <w:t>（1）</w:t>
      </w:r>
      <w:r>
        <w:rPr>
          <w:color w:val="auto"/>
          <w:highlight w:val="none"/>
          <w:lang w:val="zh-CN"/>
        </w:rPr>
        <w:t>总体施工组织布置及规划</w:t>
      </w:r>
    </w:p>
    <w:p w14:paraId="37423E93">
      <w:pPr>
        <w:spacing w:line="360" w:lineRule="auto"/>
        <w:ind w:firstLine="420"/>
        <w:rPr>
          <w:color w:val="auto"/>
          <w:highlight w:val="none"/>
          <w:lang w:val="zh-CN"/>
        </w:rPr>
      </w:pPr>
      <w:r>
        <w:rPr>
          <w:rFonts w:hint="eastAsia"/>
          <w:color w:val="auto"/>
          <w:highlight w:val="none"/>
          <w:lang w:val="zh-CN"/>
        </w:rPr>
        <w:t>（2）</w:t>
      </w:r>
      <w:r>
        <w:rPr>
          <w:color w:val="auto"/>
          <w:highlight w:val="none"/>
          <w:lang w:val="zh-CN"/>
        </w:rPr>
        <w:t>主要工程项目的施工方案、方法与技术措施（尤其对重点、关键和难点工程的施工方案、方法及措施）</w:t>
      </w:r>
    </w:p>
    <w:p w14:paraId="03677089">
      <w:pPr>
        <w:spacing w:line="360" w:lineRule="auto"/>
        <w:ind w:firstLine="420"/>
        <w:rPr>
          <w:color w:val="auto"/>
          <w:highlight w:val="none"/>
          <w:lang w:val="zh-CN"/>
        </w:rPr>
      </w:pPr>
      <w:r>
        <w:rPr>
          <w:rFonts w:hint="eastAsia"/>
          <w:color w:val="auto"/>
          <w:highlight w:val="none"/>
          <w:lang w:val="zh-CN"/>
        </w:rPr>
        <w:t>（3）</w:t>
      </w:r>
      <w:r>
        <w:rPr>
          <w:color w:val="auto"/>
          <w:highlight w:val="none"/>
          <w:lang w:val="zh-CN"/>
        </w:rPr>
        <w:t>工期保证体系及保证措施</w:t>
      </w:r>
    </w:p>
    <w:p w14:paraId="3254F729">
      <w:pPr>
        <w:spacing w:line="360" w:lineRule="auto"/>
        <w:ind w:firstLine="420"/>
        <w:rPr>
          <w:color w:val="auto"/>
          <w:highlight w:val="none"/>
          <w:lang w:val="zh-CN"/>
        </w:rPr>
      </w:pPr>
      <w:r>
        <w:rPr>
          <w:rFonts w:hint="eastAsia"/>
          <w:color w:val="auto"/>
          <w:highlight w:val="none"/>
          <w:lang w:val="zh-CN"/>
        </w:rPr>
        <w:t>（4）</w:t>
      </w:r>
      <w:r>
        <w:rPr>
          <w:color w:val="auto"/>
          <w:highlight w:val="none"/>
          <w:lang w:val="zh-CN"/>
        </w:rPr>
        <w:t>工程质量管理体系及保证措施</w:t>
      </w:r>
    </w:p>
    <w:p w14:paraId="009AAD00">
      <w:pPr>
        <w:spacing w:line="360" w:lineRule="auto"/>
        <w:ind w:firstLine="420"/>
        <w:rPr>
          <w:color w:val="auto"/>
          <w:highlight w:val="none"/>
          <w:lang w:val="zh-CN"/>
        </w:rPr>
      </w:pPr>
      <w:r>
        <w:rPr>
          <w:rFonts w:hint="eastAsia"/>
          <w:color w:val="auto"/>
          <w:highlight w:val="none"/>
          <w:lang w:val="zh-CN"/>
        </w:rPr>
        <w:t>（5）</w:t>
      </w:r>
      <w:r>
        <w:rPr>
          <w:color w:val="auto"/>
          <w:highlight w:val="none"/>
          <w:lang w:val="zh-CN"/>
        </w:rPr>
        <w:t>安全生产管理体系及保证措施</w:t>
      </w:r>
    </w:p>
    <w:p w14:paraId="48EB88F4">
      <w:pPr>
        <w:spacing w:line="360" w:lineRule="auto"/>
        <w:ind w:firstLine="420"/>
        <w:rPr>
          <w:color w:val="auto"/>
          <w:highlight w:val="none"/>
          <w:lang w:val="zh-CN"/>
        </w:rPr>
      </w:pPr>
      <w:r>
        <w:rPr>
          <w:rFonts w:hint="eastAsia"/>
          <w:color w:val="auto"/>
          <w:highlight w:val="none"/>
          <w:lang w:val="zh-CN"/>
        </w:rPr>
        <w:t>（6）</w:t>
      </w:r>
      <w:r>
        <w:rPr>
          <w:color w:val="auto"/>
          <w:highlight w:val="none"/>
          <w:lang w:val="zh-CN"/>
        </w:rPr>
        <w:t>环境保护、水土保持保证体系及保证措施</w:t>
      </w:r>
    </w:p>
    <w:p w14:paraId="0EF1DC13">
      <w:pPr>
        <w:spacing w:line="360" w:lineRule="auto"/>
        <w:ind w:firstLine="420"/>
        <w:rPr>
          <w:color w:val="auto"/>
          <w:highlight w:val="none"/>
          <w:lang w:val="zh-CN"/>
        </w:rPr>
      </w:pPr>
      <w:r>
        <w:rPr>
          <w:rFonts w:hint="eastAsia"/>
          <w:color w:val="auto"/>
          <w:highlight w:val="none"/>
          <w:lang w:val="zh-CN"/>
        </w:rPr>
        <w:t>（7）</w:t>
      </w:r>
      <w:r>
        <w:rPr>
          <w:color w:val="auto"/>
          <w:highlight w:val="none"/>
          <w:lang w:val="zh-CN"/>
        </w:rPr>
        <w:t>文明施工、文物保护保证体系及保证措施</w:t>
      </w:r>
    </w:p>
    <w:p w14:paraId="6F948543">
      <w:pPr>
        <w:spacing w:line="360" w:lineRule="auto"/>
        <w:ind w:firstLine="420"/>
        <w:rPr>
          <w:color w:val="auto"/>
          <w:highlight w:val="none"/>
          <w:lang w:val="zh-CN"/>
        </w:rPr>
      </w:pPr>
      <w:r>
        <w:rPr>
          <w:rFonts w:hint="eastAsia"/>
          <w:color w:val="auto"/>
          <w:highlight w:val="none"/>
          <w:lang w:val="zh-CN"/>
        </w:rPr>
        <w:t>（8）</w:t>
      </w:r>
      <w:r>
        <w:rPr>
          <w:color w:val="auto"/>
          <w:highlight w:val="none"/>
          <w:lang w:val="zh-CN"/>
        </w:rPr>
        <w:t>项目风险预测与防范，事故应急预案</w:t>
      </w:r>
    </w:p>
    <w:p w14:paraId="2FC95CAB">
      <w:pPr>
        <w:spacing w:line="360" w:lineRule="auto"/>
        <w:ind w:firstLine="420"/>
        <w:rPr>
          <w:color w:val="auto"/>
          <w:highlight w:val="none"/>
          <w:lang w:val="zh-CN"/>
        </w:rPr>
      </w:pPr>
      <w:r>
        <w:rPr>
          <w:rFonts w:hint="eastAsia"/>
          <w:color w:val="auto"/>
          <w:highlight w:val="none"/>
          <w:lang w:val="zh-CN"/>
        </w:rPr>
        <w:t>（9）</w:t>
      </w:r>
      <w:r>
        <w:rPr>
          <w:color w:val="auto"/>
          <w:highlight w:val="none"/>
          <w:lang w:val="zh-CN"/>
        </w:rPr>
        <w:t>其他应说明的事项</w:t>
      </w:r>
    </w:p>
    <w:p w14:paraId="5AF4D360">
      <w:pPr>
        <w:spacing w:line="360" w:lineRule="auto"/>
        <w:ind w:firstLine="480"/>
        <w:rPr>
          <w:color w:val="auto"/>
          <w:highlight w:val="none"/>
          <w:lang w:val="zh-CN"/>
        </w:rPr>
      </w:pPr>
      <w:r>
        <w:rPr>
          <w:color w:val="auto"/>
          <w:highlight w:val="none"/>
        </w:rPr>
        <w:t>2.</w:t>
      </w:r>
      <w:r>
        <w:rPr>
          <w:rFonts w:hint="eastAsia"/>
          <w:color w:val="auto"/>
          <w:highlight w:val="none"/>
        </w:rPr>
        <w:t xml:space="preserve"> </w:t>
      </w:r>
      <w:r>
        <w:rPr>
          <w:color w:val="auto"/>
          <w:highlight w:val="none"/>
          <w:lang w:val="zh-CN"/>
        </w:rPr>
        <w:t>施工组织设计除采用文字表述外可附下列图表，图表及格式要求</w:t>
      </w:r>
      <w:r>
        <w:rPr>
          <w:rFonts w:hint="eastAsia"/>
          <w:color w:val="auto"/>
          <w:highlight w:val="none"/>
          <w:lang w:val="zh-CN"/>
        </w:rPr>
        <w:t>可参考《公路工程标准施工招标文件》（2018年版）</w:t>
      </w:r>
      <w:r>
        <w:rPr>
          <w:color w:val="auto"/>
          <w:highlight w:val="none"/>
          <w:lang w:val="zh-CN"/>
        </w:rPr>
        <w:t>。</w:t>
      </w:r>
    </w:p>
    <w:p w14:paraId="7D5E001C">
      <w:pPr>
        <w:spacing w:line="360" w:lineRule="auto"/>
        <w:ind w:firstLine="480"/>
        <w:rPr>
          <w:color w:val="auto"/>
          <w:highlight w:val="none"/>
          <w:lang w:val="zh-CN"/>
        </w:rPr>
      </w:pPr>
      <w:r>
        <w:rPr>
          <w:color w:val="auto"/>
          <w:highlight w:val="none"/>
          <w:lang w:val="zh-CN"/>
        </w:rPr>
        <w:t>附表一</w:t>
      </w:r>
      <w:r>
        <w:rPr>
          <w:color w:val="auto"/>
          <w:highlight w:val="none"/>
          <w:lang w:val="zh-CN"/>
        </w:rPr>
        <w:tab/>
      </w:r>
      <w:r>
        <w:rPr>
          <w:color w:val="auto"/>
          <w:highlight w:val="none"/>
          <w:lang w:val="zh-CN"/>
        </w:rPr>
        <w:t>施工总体计划表</w:t>
      </w:r>
    </w:p>
    <w:p w14:paraId="1A372424">
      <w:pPr>
        <w:spacing w:line="360" w:lineRule="auto"/>
        <w:ind w:firstLine="480"/>
        <w:rPr>
          <w:color w:val="auto"/>
          <w:highlight w:val="none"/>
          <w:lang w:val="zh-CN"/>
        </w:rPr>
      </w:pPr>
      <w:r>
        <w:rPr>
          <w:color w:val="auto"/>
          <w:highlight w:val="none"/>
          <w:lang w:val="zh-CN"/>
        </w:rPr>
        <w:t>附表二</w:t>
      </w:r>
      <w:r>
        <w:rPr>
          <w:color w:val="auto"/>
          <w:highlight w:val="none"/>
          <w:lang w:val="zh-CN"/>
        </w:rPr>
        <w:tab/>
      </w:r>
      <w:r>
        <w:rPr>
          <w:color w:val="auto"/>
          <w:highlight w:val="none"/>
          <w:lang w:val="zh-CN"/>
        </w:rPr>
        <w:t>分项工程进度率计划（斜率图）</w:t>
      </w:r>
    </w:p>
    <w:p w14:paraId="50723731">
      <w:pPr>
        <w:spacing w:line="360" w:lineRule="auto"/>
        <w:ind w:firstLine="480"/>
        <w:rPr>
          <w:color w:val="auto"/>
          <w:highlight w:val="none"/>
          <w:lang w:val="zh-CN"/>
        </w:rPr>
      </w:pPr>
      <w:r>
        <w:rPr>
          <w:color w:val="auto"/>
          <w:highlight w:val="none"/>
          <w:lang w:val="zh-CN"/>
        </w:rPr>
        <w:t>附表三</w:t>
      </w:r>
      <w:r>
        <w:rPr>
          <w:color w:val="auto"/>
          <w:highlight w:val="none"/>
          <w:lang w:val="zh-CN"/>
        </w:rPr>
        <w:tab/>
      </w:r>
      <w:r>
        <w:rPr>
          <w:color w:val="auto"/>
          <w:highlight w:val="none"/>
          <w:lang w:val="zh-CN"/>
        </w:rPr>
        <w:t>工程管理曲线</w:t>
      </w:r>
    </w:p>
    <w:p w14:paraId="48BC42E5">
      <w:pPr>
        <w:spacing w:line="360" w:lineRule="auto"/>
        <w:ind w:firstLine="480"/>
        <w:rPr>
          <w:color w:val="auto"/>
          <w:highlight w:val="none"/>
          <w:lang w:val="zh-CN"/>
        </w:rPr>
      </w:pPr>
      <w:r>
        <w:rPr>
          <w:color w:val="auto"/>
          <w:highlight w:val="none"/>
          <w:lang w:val="zh-CN"/>
        </w:rPr>
        <w:t>附表四</w:t>
      </w:r>
      <w:r>
        <w:rPr>
          <w:color w:val="auto"/>
          <w:highlight w:val="none"/>
          <w:lang w:val="zh-CN"/>
        </w:rPr>
        <w:tab/>
      </w:r>
      <w:r>
        <w:rPr>
          <w:color w:val="auto"/>
          <w:highlight w:val="none"/>
          <w:lang w:val="zh-CN"/>
        </w:rPr>
        <w:t>分项工程生产率和施工周期表</w:t>
      </w:r>
    </w:p>
    <w:p w14:paraId="795F1AD6">
      <w:pPr>
        <w:spacing w:line="360" w:lineRule="auto"/>
        <w:ind w:firstLine="480"/>
        <w:rPr>
          <w:color w:val="auto"/>
          <w:highlight w:val="none"/>
          <w:lang w:val="zh-CN"/>
        </w:rPr>
      </w:pPr>
      <w:r>
        <w:rPr>
          <w:color w:val="auto"/>
          <w:highlight w:val="none"/>
          <w:lang w:val="zh-CN"/>
        </w:rPr>
        <w:t>附表五</w:t>
      </w:r>
      <w:r>
        <w:rPr>
          <w:color w:val="auto"/>
          <w:highlight w:val="none"/>
          <w:lang w:val="zh-CN"/>
        </w:rPr>
        <w:tab/>
      </w:r>
      <w:r>
        <w:rPr>
          <w:color w:val="auto"/>
          <w:highlight w:val="none"/>
          <w:lang w:val="zh-CN"/>
        </w:rPr>
        <w:t>施工总平面图</w:t>
      </w:r>
    </w:p>
    <w:p w14:paraId="5095872A">
      <w:pPr>
        <w:spacing w:line="360" w:lineRule="auto"/>
        <w:ind w:firstLine="480"/>
        <w:rPr>
          <w:color w:val="auto"/>
          <w:highlight w:val="none"/>
          <w:lang w:val="zh-CN"/>
        </w:rPr>
      </w:pPr>
      <w:r>
        <w:rPr>
          <w:color w:val="auto"/>
          <w:highlight w:val="none"/>
          <w:lang w:val="zh-CN"/>
        </w:rPr>
        <w:t>附表六</w:t>
      </w:r>
      <w:r>
        <w:rPr>
          <w:color w:val="auto"/>
          <w:highlight w:val="none"/>
          <w:lang w:val="zh-CN"/>
        </w:rPr>
        <w:tab/>
      </w:r>
      <w:r>
        <w:rPr>
          <w:color w:val="auto"/>
          <w:highlight w:val="none"/>
          <w:lang w:val="zh-CN"/>
        </w:rPr>
        <w:t>劳动力计划表</w:t>
      </w:r>
    </w:p>
    <w:p w14:paraId="136F472E">
      <w:pPr>
        <w:spacing w:line="360" w:lineRule="auto"/>
        <w:ind w:firstLine="480"/>
        <w:rPr>
          <w:color w:val="auto"/>
          <w:highlight w:val="none"/>
          <w:lang w:val="zh-CN"/>
        </w:rPr>
      </w:pPr>
      <w:r>
        <w:rPr>
          <w:color w:val="auto"/>
          <w:highlight w:val="none"/>
          <w:lang w:val="zh-CN"/>
        </w:rPr>
        <w:t>附表七</w:t>
      </w:r>
      <w:r>
        <w:rPr>
          <w:color w:val="auto"/>
          <w:highlight w:val="none"/>
          <w:lang w:val="zh-CN"/>
        </w:rPr>
        <w:tab/>
      </w:r>
      <w:r>
        <w:rPr>
          <w:color w:val="auto"/>
          <w:highlight w:val="none"/>
          <w:lang w:val="zh-CN"/>
        </w:rPr>
        <w:t>临时占地计划表</w:t>
      </w:r>
    </w:p>
    <w:p w14:paraId="2F0A58EC">
      <w:pPr>
        <w:spacing w:line="360" w:lineRule="auto"/>
        <w:ind w:firstLine="480"/>
        <w:rPr>
          <w:color w:val="auto"/>
          <w:highlight w:val="none"/>
          <w:lang w:val="zh-CN"/>
        </w:rPr>
      </w:pPr>
      <w:r>
        <w:rPr>
          <w:color w:val="auto"/>
          <w:highlight w:val="none"/>
          <w:lang w:val="zh-CN"/>
        </w:rPr>
        <w:t>附表八</w:t>
      </w:r>
      <w:r>
        <w:rPr>
          <w:color w:val="auto"/>
          <w:highlight w:val="none"/>
          <w:lang w:val="zh-CN"/>
        </w:rPr>
        <w:tab/>
      </w:r>
      <w:r>
        <w:rPr>
          <w:color w:val="auto"/>
          <w:highlight w:val="none"/>
          <w:lang w:val="zh-CN"/>
        </w:rPr>
        <w:t>外供电力需求计划表</w:t>
      </w:r>
    </w:p>
    <w:p w14:paraId="3B022BD4">
      <w:pPr>
        <w:spacing w:line="360" w:lineRule="auto"/>
        <w:jc w:val="center"/>
        <w:rPr>
          <w:rFonts w:hint="eastAsia" w:ascii="宋体" w:hAnsi="宋体" w:cs="方正小标宋简体"/>
          <w:b/>
          <w:bCs/>
          <w:color w:val="auto"/>
          <w:sz w:val="32"/>
          <w:szCs w:val="32"/>
          <w:highlight w:val="none"/>
        </w:rPr>
      </w:pPr>
      <w:r>
        <w:rPr>
          <w:rFonts w:ascii="方正小标宋简体" w:hAnsi="方正小标宋简体" w:eastAsia="方正小标宋简体" w:cs="方正小标宋简体"/>
          <w:bCs/>
          <w:color w:val="auto"/>
          <w:sz w:val="44"/>
          <w:szCs w:val="44"/>
          <w:highlight w:val="none"/>
        </w:rPr>
        <w:br w:type="page" w:clear="all"/>
      </w:r>
      <w:r>
        <w:rPr>
          <w:rFonts w:hint="eastAsia" w:ascii="宋体" w:hAnsi="宋体" w:cs="方正小标宋简体"/>
          <w:b/>
          <w:bCs/>
          <w:color w:val="auto"/>
          <w:sz w:val="32"/>
          <w:szCs w:val="32"/>
          <w:highlight w:val="none"/>
        </w:rPr>
        <w:t>拟分包项目情况表</w:t>
      </w:r>
    </w:p>
    <w:p w14:paraId="5D58328A">
      <w:pPr>
        <w:spacing w:line="520" w:lineRule="exact"/>
        <w:rPr>
          <w:rFonts w:hint="eastAsia" w:ascii="仿宋_GB2312" w:hAnsi="仿宋_GB2312" w:eastAsia="仿宋_GB2312" w:cs="仿宋_GB2312"/>
          <w:color w:val="auto"/>
          <w:sz w:val="32"/>
          <w:szCs w:val="32"/>
          <w:highlight w:val="none"/>
        </w:rPr>
      </w:pPr>
    </w:p>
    <w:p w14:paraId="1B97BFC3">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分标（如有）：</w:t>
      </w:r>
      <w:r>
        <w:rPr>
          <w:rFonts w:hint="eastAsia" w:ascii="宋体" w:hAnsi="宋体" w:cs="仿宋_GB2312"/>
          <w:color w:val="auto"/>
          <w:sz w:val="24"/>
          <w:highlight w:val="none"/>
          <w:u w:val="single"/>
        </w:rPr>
        <w:t xml:space="preserve">                 </w:t>
      </w:r>
    </w:p>
    <w:tbl>
      <w:tblPr>
        <w:tblStyle w:val="44"/>
        <w:tblW w:w="93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693"/>
        <w:gridCol w:w="751"/>
        <w:gridCol w:w="950"/>
        <w:gridCol w:w="1123"/>
        <w:gridCol w:w="1090"/>
        <w:gridCol w:w="1197"/>
        <w:gridCol w:w="1268"/>
        <w:gridCol w:w="673"/>
      </w:tblGrid>
      <w:tr w14:paraId="093C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7A45756">
            <w:pPr>
              <w:jc w:val="center"/>
              <w:rPr>
                <w:color w:val="auto"/>
                <w:highlight w:val="none"/>
              </w:rPr>
            </w:pPr>
            <w:r>
              <w:rPr>
                <w:rFonts w:hint="eastAsia" w:cs="宋体"/>
                <w:color w:val="auto"/>
                <w:highlight w:val="none"/>
              </w:rPr>
              <w:t>序号</w:t>
            </w:r>
          </w:p>
        </w:tc>
        <w:tc>
          <w:tcPr>
            <w:tcW w:w="1693"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6B73A42">
            <w:pPr>
              <w:jc w:val="center"/>
              <w:rPr>
                <w:color w:val="auto"/>
                <w:highlight w:val="none"/>
              </w:rPr>
            </w:pPr>
            <w:r>
              <w:rPr>
                <w:rFonts w:hint="eastAsia" w:cs="宋体"/>
                <w:color w:val="auto"/>
                <w:highlight w:val="none"/>
              </w:rPr>
              <w:t>拟分包项目名称、范围及理由</w:t>
            </w:r>
          </w:p>
        </w:tc>
        <w:tc>
          <w:tcPr>
            <w:tcW w:w="6379" w:type="dxa"/>
            <w:gridSpan w:val="6"/>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E42E2C6">
            <w:pPr>
              <w:jc w:val="center"/>
              <w:rPr>
                <w:rFonts w:cs="宋体"/>
                <w:color w:val="auto"/>
                <w:highlight w:val="none"/>
              </w:rPr>
            </w:pPr>
            <w:r>
              <w:rPr>
                <w:rFonts w:hint="eastAsia" w:cs="宋体"/>
                <w:color w:val="auto"/>
                <w:highlight w:val="none"/>
              </w:rPr>
              <w:t>拟选分包人</w:t>
            </w:r>
          </w:p>
        </w:tc>
        <w:tc>
          <w:tcPr>
            <w:tcW w:w="673"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70295E2">
            <w:pPr>
              <w:jc w:val="center"/>
              <w:rPr>
                <w:color w:val="auto"/>
                <w:highlight w:val="none"/>
              </w:rPr>
            </w:pPr>
            <w:r>
              <w:rPr>
                <w:rFonts w:hint="eastAsia" w:cs="宋体"/>
                <w:color w:val="auto"/>
                <w:highlight w:val="none"/>
              </w:rPr>
              <w:t>备注</w:t>
            </w:r>
          </w:p>
        </w:tc>
      </w:tr>
      <w:tr w14:paraId="33DFC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784D5FB">
            <w:pPr>
              <w:jc w:val="center"/>
              <w:rPr>
                <w:color w:val="auto"/>
                <w:highlight w:val="none"/>
              </w:rPr>
            </w:pPr>
          </w:p>
        </w:tc>
        <w:tc>
          <w:tcPr>
            <w:tcW w:w="1693"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E11E7AF">
            <w:pPr>
              <w:jc w:val="center"/>
              <w:rPr>
                <w:color w:val="auto"/>
                <w:highlight w:val="none"/>
              </w:rPr>
            </w:pPr>
          </w:p>
        </w:tc>
        <w:tc>
          <w:tcPr>
            <w:tcW w:w="1701" w:type="dxa"/>
            <w:gridSpan w:val="2"/>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FF1F4D2">
            <w:pPr>
              <w:jc w:val="center"/>
              <w:rPr>
                <w:color w:val="auto"/>
                <w:highlight w:val="none"/>
              </w:rPr>
            </w:pPr>
            <w:r>
              <w:rPr>
                <w:rFonts w:hint="eastAsia" w:cs="宋体"/>
                <w:color w:val="auto"/>
                <w:highlight w:val="none"/>
              </w:rPr>
              <w:t>拟选分包人名称</w:t>
            </w:r>
          </w:p>
        </w:tc>
        <w:tc>
          <w:tcPr>
            <w:tcW w:w="112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04A0ABD">
            <w:pPr>
              <w:jc w:val="center"/>
              <w:rPr>
                <w:color w:val="auto"/>
                <w:highlight w:val="none"/>
              </w:rPr>
            </w:pPr>
            <w:r>
              <w:rPr>
                <w:rFonts w:hint="eastAsia" w:cs="宋体"/>
                <w:color w:val="auto"/>
                <w:highlight w:val="none"/>
              </w:rPr>
              <w:t>注册地点</w:t>
            </w:r>
          </w:p>
        </w:tc>
        <w:tc>
          <w:tcPr>
            <w:tcW w:w="109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38A9E19">
            <w:pPr>
              <w:jc w:val="center"/>
              <w:rPr>
                <w:color w:val="auto"/>
                <w:highlight w:val="none"/>
              </w:rPr>
            </w:pPr>
            <w:r>
              <w:rPr>
                <w:rFonts w:hint="eastAsia" w:cs="宋体"/>
                <w:color w:val="auto"/>
                <w:highlight w:val="none"/>
              </w:rPr>
              <w:t>企业资质</w:t>
            </w:r>
          </w:p>
        </w:tc>
        <w:tc>
          <w:tcPr>
            <w:tcW w:w="1197"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7DFE9B7">
            <w:pPr>
              <w:jc w:val="center"/>
              <w:rPr>
                <w:color w:val="auto"/>
                <w:highlight w:val="none"/>
              </w:rPr>
            </w:pPr>
            <w:r>
              <w:rPr>
                <w:rFonts w:hint="eastAsia" w:cs="宋体"/>
                <w:color w:val="auto"/>
                <w:highlight w:val="none"/>
              </w:rPr>
              <w:t>有关业绩</w:t>
            </w:r>
          </w:p>
        </w:tc>
        <w:tc>
          <w:tcPr>
            <w:tcW w:w="1268" w:type="dxa"/>
            <w:tcBorders>
              <w:top w:val="single" w:color="auto" w:sz="4" w:space="0"/>
              <w:left w:val="single" w:color="auto" w:sz="4" w:space="0"/>
              <w:bottom w:val="single" w:color="auto" w:sz="4" w:space="0"/>
              <w:right w:val="single" w:color="auto" w:sz="4" w:space="0"/>
            </w:tcBorders>
            <w:vAlign w:val="center"/>
          </w:tcPr>
          <w:p w14:paraId="6415FA01">
            <w:pPr>
              <w:jc w:val="center"/>
              <w:rPr>
                <w:rFonts w:cs="宋体"/>
                <w:color w:val="auto"/>
                <w:highlight w:val="none"/>
              </w:rPr>
            </w:pPr>
            <w:r>
              <w:rPr>
                <w:rFonts w:hint="eastAsia" w:cs="宋体"/>
                <w:color w:val="auto"/>
                <w:highlight w:val="none"/>
              </w:rPr>
              <w:t>拟分包金额</w:t>
            </w:r>
          </w:p>
        </w:tc>
        <w:tc>
          <w:tcPr>
            <w:tcW w:w="673"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A24E130">
            <w:pPr>
              <w:jc w:val="center"/>
              <w:rPr>
                <w:color w:val="auto"/>
                <w:highlight w:val="none"/>
              </w:rPr>
            </w:pPr>
          </w:p>
        </w:tc>
      </w:tr>
      <w:tr w14:paraId="07A35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BBCB5D6">
            <w:pPr>
              <w:jc w:val="center"/>
              <w:rPr>
                <w:color w:val="auto"/>
                <w:highlight w:val="none"/>
              </w:rPr>
            </w:pPr>
          </w:p>
        </w:tc>
        <w:tc>
          <w:tcPr>
            <w:tcW w:w="1693"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1989F2C">
            <w:pPr>
              <w:jc w:val="center"/>
              <w:rPr>
                <w:color w:val="auto"/>
                <w:highlight w:val="none"/>
              </w:rPr>
            </w:pPr>
          </w:p>
        </w:tc>
        <w:tc>
          <w:tcPr>
            <w:tcW w:w="75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71F18F3">
            <w:pPr>
              <w:jc w:val="center"/>
              <w:rPr>
                <w:color w:val="auto"/>
                <w:highlight w:val="none"/>
              </w:rPr>
            </w:pPr>
            <w:r>
              <w:rPr>
                <w:color w:val="auto"/>
                <w:highlight w:val="none"/>
              </w:rPr>
              <w:t>1</w:t>
            </w:r>
          </w:p>
        </w:tc>
        <w:tc>
          <w:tcPr>
            <w:tcW w:w="9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F0D046F">
            <w:pPr>
              <w:jc w:val="center"/>
              <w:rPr>
                <w:color w:val="auto"/>
                <w:highlight w:val="none"/>
              </w:rPr>
            </w:pPr>
          </w:p>
        </w:tc>
        <w:tc>
          <w:tcPr>
            <w:tcW w:w="112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16FF9AF">
            <w:pPr>
              <w:jc w:val="center"/>
              <w:rPr>
                <w:color w:val="auto"/>
                <w:highlight w:val="none"/>
              </w:rPr>
            </w:pPr>
          </w:p>
        </w:tc>
        <w:tc>
          <w:tcPr>
            <w:tcW w:w="109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FCA5C82">
            <w:pPr>
              <w:jc w:val="center"/>
              <w:rPr>
                <w:color w:val="auto"/>
                <w:highlight w:val="none"/>
              </w:rPr>
            </w:pPr>
          </w:p>
        </w:tc>
        <w:tc>
          <w:tcPr>
            <w:tcW w:w="1197"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14BA7F7">
            <w:pPr>
              <w:jc w:val="center"/>
              <w:rPr>
                <w:color w:val="auto"/>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14:paraId="2E77862C">
            <w:pPr>
              <w:jc w:val="center"/>
              <w:rPr>
                <w:color w:val="auto"/>
                <w:highlight w:val="none"/>
              </w:rPr>
            </w:pPr>
          </w:p>
        </w:tc>
        <w:tc>
          <w:tcPr>
            <w:tcW w:w="67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A631EDA">
            <w:pPr>
              <w:jc w:val="center"/>
              <w:rPr>
                <w:color w:val="auto"/>
                <w:highlight w:val="none"/>
              </w:rPr>
            </w:pPr>
          </w:p>
        </w:tc>
      </w:tr>
      <w:tr w14:paraId="0785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000EFF7">
            <w:pPr>
              <w:jc w:val="center"/>
              <w:rPr>
                <w:color w:val="auto"/>
                <w:highlight w:val="none"/>
              </w:rPr>
            </w:pPr>
          </w:p>
        </w:tc>
        <w:tc>
          <w:tcPr>
            <w:tcW w:w="1693"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F02A015">
            <w:pPr>
              <w:jc w:val="center"/>
              <w:rPr>
                <w:color w:val="auto"/>
                <w:highlight w:val="none"/>
              </w:rPr>
            </w:pPr>
          </w:p>
        </w:tc>
        <w:tc>
          <w:tcPr>
            <w:tcW w:w="75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2C43F2B">
            <w:pPr>
              <w:jc w:val="center"/>
              <w:rPr>
                <w:color w:val="auto"/>
                <w:highlight w:val="none"/>
              </w:rPr>
            </w:pPr>
            <w:r>
              <w:rPr>
                <w:color w:val="auto"/>
                <w:highlight w:val="none"/>
              </w:rPr>
              <w:t>2</w:t>
            </w:r>
          </w:p>
        </w:tc>
        <w:tc>
          <w:tcPr>
            <w:tcW w:w="9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DB7F990">
            <w:pPr>
              <w:jc w:val="center"/>
              <w:rPr>
                <w:color w:val="auto"/>
                <w:highlight w:val="none"/>
              </w:rPr>
            </w:pPr>
          </w:p>
        </w:tc>
        <w:tc>
          <w:tcPr>
            <w:tcW w:w="112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5EDD1D8">
            <w:pPr>
              <w:jc w:val="center"/>
              <w:rPr>
                <w:color w:val="auto"/>
                <w:highlight w:val="none"/>
              </w:rPr>
            </w:pPr>
          </w:p>
        </w:tc>
        <w:tc>
          <w:tcPr>
            <w:tcW w:w="109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F9835B8">
            <w:pPr>
              <w:jc w:val="center"/>
              <w:rPr>
                <w:color w:val="auto"/>
                <w:highlight w:val="none"/>
              </w:rPr>
            </w:pPr>
          </w:p>
        </w:tc>
        <w:tc>
          <w:tcPr>
            <w:tcW w:w="1197"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D519D0D">
            <w:pPr>
              <w:jc w:val="center"/>
              <w:rPr>
                <w:color w:val="auto"/>
                <w:highlight w:val="none"/>
              </w:rPr>
            </w:pPr>
          </w:p>
        </w:tc>
        <w:tc>
          <w:tcPr>
            <w:tcW w:w="1268" w:type="dxa"/>
            <w:tcBorders>
              <w:top w:val="single" w:color="auto" w:sz="4" w:space="0"/>
              <w:left w:val="single" w:color="auto" w:sz="4" w:space="0"/>
              <w:bottom w:val="single" w:color="auto" w:sz="4" w:space="0"/>
              <w:right w:val="single" w:color="auto" w:sz="4" w:space="0"/>
            </w:tcBorders>
          </w:tcPr>
          <w:p w14:paraId="2F02C0F5">
            <w:pPr>
              <w:jc w:val="center"/>
              <w:rPr>
                <w:color w:val="auto"/>
                <w:highlight w:val="none"/>
              </w:rPr>
            </w:pPr>
          </w:p>
        </w:tc>
        <w:tc>
          <w:tcPr>
            <w:tcW w:w="67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7B14A8D">
            <w:pPr>
              <w:jc w:val="center"/>
              <w:rPr>
                <w:color w:val="auto"/>
                <w:highlight w:val="none"/>
              </w:rPr>
            </w:pPr>
          </w:p>
        </w:tc>
      </w:tr>
      <w:tr w14:paraId="12A8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2C9BFA7">
            <w:pPr>
              <w:jc w:val="center"/>
              <w:rPr>
                <w:color w:val="auto"/>
                <w:highlight w:val="none"/>
              </w:rPr>
            </w:pPr>
          </w:p>
        </w:tc>
        <w:tc>
          <w:tcPr>
            <w:tcW w:w="1693"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0CA3ECA">
            <w:pPr>
              <w:jc w:val="center"/>
              <w:rPr>
                <w:color w:val="auto"/>
                <w:highlight w:val="none"/>
              </w:rPr>
            </w:pPr>
          </w:p>
        </w:tc>
        <w:tc>
          <w:tcPr>
            <w:tcW w:w="75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9D78C0B">
            <w:pPr>
              <w:jc w:val="center"/>
              <w:rPr>
                <w:color w:val="auto"/>
                <w:highlight w:val="none"/>
              </w:rPr>
            </w:pPr>
            <w:r>
              <w:rPr>
                <w:color w:val="auto"/>
                <w:highlight w:val="none"/>
              </w:rPr>
              <w:t>3</w:t>
            </w:r>
          </w:p>
        </w:tc>
        <w:tc>
          <w:tcPr>
            <w:tcW w:w="9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D2478D6">
            <w:pPr>
              <w:jc w:val="center"/>
              <w:rPr>
                <w:color w:val="auto"/>
                <w:highlight w:val="none"/>
              </w:rPr>
            </w:pPr>
          </w:p>
        </w:tc>
        <w:tc>
          <w:tcPr>
            <w:tcW w:w="112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B3C6BD4">
            <w:pPr>
              <w:jc w:val="center"/>
              <w:rPr>
                <w:color w:val="auto"/>
                <w:highlight w:val="none"/>
              </w:rPr>
            </w:pPr>
          </w:p>
        </w:tc>
        <w:tc>
          <w:tcPr>
            <w:tcW w:w="109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80185CC">
            <w:pPr>
              <w:jc w:val="center"/>
              <w:rPr>
                <w:color w:val="auto"/>
                <w:highlight w:val="none"/>
              </w:rPr>
            </w:pPr>
          </w:p>
        </w:tc>
        <w:tc>
          <w:tcPr>
            <w:tcW w:w="1197"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D76BE86">
            <w:pPr>
              <w:jc w:val="center"/>
              <w:rPr>
                <w:color w:val="auto"/>
                <w:highlight w:val="none"/>
              </w:rPr>
            </w:pPr>
          </w:p>
        </w:tc>
        <w:tc>
          <w:tcPr>
            <w:tcW w:w="1268" w:type="dxa"/>
            <w:tcBorders>
              <w:top w:val="single" w:color="auto" w:sz="4" w:space="0"/>
              <w:left w:val="single" w:color="auto" w:sz="4" w:space="0"/>
              <w:bottom w:val="single" w:color="auto" w:sz="4" w:space="0"/>
              <w:right w:val="single" w:color="auto" w:sz="4" w:space="0"/>
            </w:tcBorders>
          </w:tcPr>
          <w:p w14:paraId="6F77E53B">
            <w:pPr>
              <w:jc w:val="center"/>
              <w:rPr>
                <w:color w:val="auto"/>
                <w:highlight w:val="none"/>
              </w:rPr>
            </w:pPr>
          </w:p>
        </w:tc>
        <w:tc>
          <w:tcPr>
            <w:tcW w:w="67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5A1FE5E">
            <w:pPr>
              <w:jc w:val="center"/>
              <w:rPr>
                <w:color w:val="auto"/>
                <w:highlight w:val="none"/>
              </w:rPr>
            </w:pPr>
          </w:p>
        </w:tc>
      </w:tr>
      <w:tr w14:paraId="6214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F61C093">
            <w:pPr>
              <w:jc w:val="center"/>
              <w:rPr>
                <w:color w:val="auto"/>
                <w:highlight w:val="none"/>
              </w:rPr>
            </w:pPr>
          </w:p>
        </w:tc>
        <w:tc>
          <w:tcPr>
            <w:tcW w:w="1693"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425A6C9">
            <w:pPr>
              <w:jc w:val="center"/>
              <w:rPr>
                <w:color w:val="auto"/>
                <w:highlight w:val="none"/>
              </w:rPr>
            </w:pPr>
          </w:p>
        </w:tc>
        <w:tc>
          <w:tcPr>
            <w:tcW w:w="75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37C4F9F">
            <w:pPr>
              <w:jc w:val="center"/>
              <w:rPr>
                <w:color w:val="auto"/>
                <w:highlight w:val="none"/>
              </w:rPr>
            </w:pPr>
            <w:r>
              <w:rPr>
                <w:color w:val="auto"/>
                <w:highlight w:val="none"/>
              </w:rPr>
              <w:t>1</w:t>
            </w:r>
          </w:p>
        </w:tc>
        <w:tc>
          <w:tcPr>
            <w:tcW w:w="9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3078877">
            <w:pPr>
              <w:jc w:val="center"/>
              <w:rPr>
                <w:color w:val="auto"/>
                <w:highlight w:val="none"/>
              </w:rPr>
            </w:pPr>
          </w:p>
        </w:tc>
        <w:tc>
          <w:tcPr>
            <w:tcW w:w="112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30B00E4">
            <w:pPr>
              <w:jc w:val="center"/>
              <w:rPr>
                <w:color w:val="auto"/>
                <w:highlight w:val="none"/>
              </w:rPr>
            </w:pPr>
          </w:p>
        </w:tc>
        <w:tc>
          <w:tcPr>
            <w:tcW w:w="109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82E057E">
            <w:pPr>
              <w:jc w:val="center"/>
              <w:rPr>
                <w:color w:val="auto"/>
                <w:highlight w:val="none"/>
              </w:rPr>
            </w:pPr>
          </w:p>
        </w:tc>
        <w:tc>
          <w:tcPr>
            <w:tcW w:w="1197"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8959B60">
            <w:pPr>
              <w:jc w:val="center"/>
              <w:rPr>
                <w:color w:val="auto"/>
                <w:highlight w:val="none"/>
              </w:rPr>
            </w:pPr>
          </w:p>
        </w:tc>
        <w:tc>
          <w:tcPr>
            <w:tcW w:w="1268" w:type="dxa"/>
            <w:tcBorders>
              <w:top w:val="single" w:color="auto" w:sz="4" w:space="0"/>
              <w:left w:val="single" w:color="auto" w:sz="4" w:space="0"/>
              <w:bottom w:val="single" w:color="auto" w:sz="4" w:space="0"/>
              <w:right w:val="single" w:color="auto" w:sz="4" w:space="0"/>
            </w:tcBorders>
          </w:tcPr>
          <w:p w14:paraId="2E767B3B">
            <w:pPr>
              <w:jc w:val="center"/>
              <w:rPr>
                <w:color w:val="auto"/>
                <w:highlight w:val="none"/>
              </w:rPr>
            </w:pPr>
          </w:p>
        </w:tc>
        <w:tc>
          <w:tcPr>
            <w:tcW w:w="67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262599B">
            <w:pPr>
              <w:jc w:val="center"/>
              <w:rPr>
                <w:color w:val="auto"/>
                <w:highlight w:val="none"/>
              </w:rPr>
            </w:pPr>
          </w:p>
        </w:tc>
      </w:tr>
      <w:tr w14:paraId="3707B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1E50191">
            <w:pPr>
              <w:jc w:val="center"/>
              <w:rPr>
                <w:color w:val="auto"/>
                <w:highlight w:val="none"/>
              </w:rPr>
            </w:pPr>
          </w:p>
        </w:tc>
        <w:tc>
          <w:tcPr>
            <w:tcW w:w="1693"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979EAED">
            <w:pPr>
              <w:jc w:val="center"/>
              <w:rPr>
                <w:color w:val="auto"/>
                <w:highlight w:val="none"/>
              </w:rPr>
            </w:pPr>
          </w:p>
        </w:tc>
        <w:tc>
          <w:tcPr>
            <w:tcW w:w="75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5363202">
            <w:pPr>
              <w:jc w:val="center"/>
              <w:rPr>
                <w:color w:val="auto"/>
                <w:highlight w:val="none"/>
              </w:rPr>
            </w:pPr>
            <w:r>
              <w:rPr>
                <w:color w:val="auto"/>
                <w:highlight w:val="none"/>
              </w:rPr>
              <w:t>2</w:t>
            </w:r>
          </w:p>
        </w:tc>
        <w:tc>
          <w:tcPr>
            <w:tcW w:w="9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B293B23">
            <w:pPr>
              <w:jc w:val="center"/>
              <w:rPr>
                <w:color w:val="auto"/>
                <w:highlight w:val="none"/>
              </w:rPr>
            </w:pPr>
          </w:p>
        </w:tc>
        <w:tc>
          <w:tcPr>
            <w:tcW w:w="112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7CE8155">
            <w:pPr>
              <w:jc w:val="center"/>
              <w:rPr>
                <w:color w:val="auto"/>
                <w:highlight w:val="none"/>
              </w:rPr>
            </w:pPr>
          </w:p>
        </w:tc>
        <w:tc>
          <w:tcPr>
            <w:tcW w:w="109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8448EFD">
            <w:pPr>
              <w:jc w:val="center"/>
              <w:rPr>
                <w:color w:val="auto"/>
                <w:highlight w:val="none"/>
              </w:rPr>
            </w:pPr>
          </w:p>
        </w:tc>
        <w:tc>
          <w:tcPr>
            <w:tcW w:w="1197"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92E7C70">
            <w:pPr>
              <w:jc w:val="center"/>
              <w:rPr>
                <w:color w:val="auto"/>
                <w:highlight w:val="none"/>
              </w:rPr>
            </w:pPr>
          </w:p>
        </w:tc>
        <w:tc>
          <w:tcPr>
            <w:tcW w:w="1268" w:type="dxa"/>
            <w:tcBorders>
              <w:top w:val="single" w:color="auto" w:sz="4" w:space="0"/>
              <w:left w:val="single" w:color="auto" w:sz="4" w:space="0"/>
              <w:bottom w:val="single" w:color="auto" w:sz="4" w:space="0"/>
              <w:right w:val="single" w:color="auto" w:sz="4" w:space="0"/>
            </w:tcBorders>
          </w:tcPr>
          <w:p w14:paraId="0768D0B3">
            <w:pPr>
              <w:jc w:val="center"/>
              <w:rPr>
                <w:color w:val="auto"/>
                <w:highlight w:val="none"/>
              </w:rPr>
            </w:pPr>
          </w:p>
        </w:tc>
        <w:tc>
          <w:tcPr>
            <w:tcW w:w="67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B1B07D1">
            <w:pPr>
              <w:jc w:val="center"/>
              <w:rPr>
                <w:color w:val="auto"/>
                <w:highlight w:val="none"/>
              </w:rPr>
            </w:pPr>
          </w:p>
        </w:tc>
      </w:tr>
      <w:tr w14:paraId="7E83D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F0C6297">
            <w:pPr>
              <w:jc w:val="center"/>
              <w:rPr>
                <w:color w:val="auto"/>
                <w:highlight w:val="none"/>
              </w:rPr>
            </w:pPr>
          </w:p>
        </w:tc>
        <w:tc>
          <w:tcPr>
            <w:tcW w:w="1693"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92F0C60">
            <w:pPr>
              <w:jc w:val="center"/>
              <w:rPr>
                <w:color w:val="auto"/>
                <w:highlight w:val="none"/>
              </w:rPr>
            </w:pPr>
          </w:p>
        </w:tc>
        <w:tc>
          <w:tcPr>
            <w:tcW w:w="75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CFAB0B0">
            <w:pPr>
              <w:jc w:val="center"/>
              <w:rPr>
                <w:color w:val="auto"/>
                <w:highlight w:val="none"/>
              </w:rPr>
            </w:pPr>
            <w:r>
              <w:rPr>
                <w:color w:val="auto"/>
                <w:highlight w:val="none"/>
              </w:rPr>
              <w:t>3</w:t>
            </w:r>
          </w:p>
        </w:tc>
        <w:tc>
          <w:tcPr>
            <w:tcW w:w="9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8594CC5">
            <w:pPr>
              <w:jc w:val="center"/>
              <w:rPr>
                <w:color w:val="auto"/>
                <w:highlight w:val="none"/>
              </w:rPr>
            </w:pPr>
          </w:p>
        </w:tc>
        <w:tc>
          <w:tcPr>
            <w:tcW w:w="112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4E2ECB8">
            <w:pPr>
              <w:jc w:val="center"/>
              <w:rPr>
                <w:color w:val="auto"/>
                <w:highlight w:val="none"/>
              </w:rPr>
            </w:pPr>
          </w:p>
        </w:tc>
        <w:tc>
          <w:tcPr>
            <w:tcW w:w="109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0A02FCE">
            <w:pPr>
              <w:jc w:val="center"/>
              <w:rPr>
                <w:color w:val="auto"/>
                <w:highlight w:val="none"/>
              </w:rPr>
            </w:pPr>
          </w:p>
        </w:tc>
        <w:tc>
          <w:tcPr>
            <w:tcW w:w="1197"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C56A6F6">
            <w:pPr>
              <w:jc w:val="center"/>
              <w:rPr>
                <w:color w:val="auto"/>
                <w:highlight w:val="none"/>
              </w:rPr>
            </w:pPr>
          </w:p>
        </w:tc>
        <w:tc>
          <w:tcPr>
            <w:tcW w:w="1268" w:type="dxa"/>
            <w:tcBorders>
              <w:top w:val="single" w:color="auto" w:sz="4" w:space="0"/>
              <w:left w:val="single" w:color="auto" w:sz="4" w:space="0"/>
              <w:bottom w:val="single" w:color="auto" w:sz="4" w:space="0"/>
              <w:right w:val="single" w:color="auto" w:sz="4" w:space="0"/>
            </w:tcBorders>
          </w:tcPr>
          <w:p w14:paraId="634FFCE3">
            <w:pPr>
              <w:jc w:val="center"/>
              <w:rPr>
                <w:color w:val="auto"/>
                <w:highlight w:val="none"/>
              </w:rPr>
            </w:pPr>
          </w:p>
        </w:tc>
        <w:tc>
          <w:tcPr>
            <w:tcW w:w="67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EA58249">
            <w:pPr>
              <w:jc w:val="center"/>
              <w:rPr>
                <w:color w:val="auto"/>
                <w:highlight w:val="none"/>
              </w:rPr>
            </w:pPr>
          </w:p>
        </w:tc>
      </w:tr>
    </w:tbl>
    <w:p w14:paraId="2366F721">
      <w:pPr>
        <w:spacing w:line="440" w:lineRule="exact"/>
        <w:ind w:right="420" w:firstLine="480"/>
        <w:rPr>
          <w:rFonts w:cs="宋体"/>
          <w:color w:val="auto"/>
          <w:sz w:val="24"/>
          <w:highlight w:val="none"/>
        </w:rPr>
      </w:pPr>
      <w:r>
        <w:rPr>
          <w:rFonts w:hint="eastAsia" w:cs="宋体"/>
          <w:color w:val="auto"/>
          <w:sz w:val="24"/>
          <w:highlight w:val="none"/>
        </w:rPr>
        <w:t>备注：1.若无分包计划，则供应商应在本表填写“无”。</w:t>
      </w:r>
    </w:p>
    <w:p w14:paraId="40238016">
      <w:pPr>
        <w:spacing w:line="440" w:lineRule="exact"/>
        <w:ind w:right="420" w:firstLine="1200"/>
        <w:rPr>
          <w:color w:val="auto"/>
          <w:sz w:val="24"/>
          <w:highlight w:val="none"/>
        </w:rPr>
      </w:pPr>
      <w:r>
        <w:rPr>
          <w:rFonts w:hint="eastAsia" w:cs="宋体"/>
          <w:color w:val="auto"/>
          <w:sz w:val="24"/>
          <w:highlight w:val="none"/>
        </w:rPr>
        <w:t>2.本表所列分包仅限于承包人自行施工范围内的非主体、非关键工程。</w:t>
      </w:r>
    </w:p>
    <w:p w14:paraId="2CF59054">
      <w:pPr>
        <w:spacing w:line="360" w:lineRule="auto"/>
        <w:contextualSpacing/>
        <w:rPr>
          <w:rFonts w:hint="eastAsia" w:ascii="宋体" w:hAnsi="宋体" w:cs="仿宋_GB2312"/>
          <w:color w:val="auto"/>
          <w:sz w:val="24"/>
          <w:highlight w:val="none"/>
        </w:rPr>
      </w:pPr>
    </w:p>
    <w:p w14:paraId="63AEB32A">
      <w:pPr>
        <w:spacing w:line="360" w:lineRule="auto"/>
        <w:ind w:right="-817"/>
        <w:contextualSpacing/>
        <w:rPr>
          <w:rFonts w:hint="eastAsia" w:ascii="宋体" w:hAnsi="宋体" w:cs="仿宋_GB2312"/>
          <w:color w:val="auto"/>
          <w:sz w:val="24"/>
          <w:highlight w:val="none"/>
        </w:rPr>
      </w:pPr>
    </w:p>
    <w:p w14:paraId="401C4B7E">
      <w:pPr>
        <w:spacing w:line="360" w:lineRule="auto"/>
        <w:ind w:right="-817"/>
        <w:contextualSpacing/>
        <w:rPr>
          <w:rFonts w:hint="eastAsia" w:ascii="宋体" w:hAnsi="宋体" w:cs="仿宋_GB2312"/>
          <w:color w:val="auto"/>
          <w:sz w:val="24"/>
          <w:highlight w:val="none"/>
        </w:rPr>
      </w:pPr>
    </w:p>
    <w:p w14:paraId="1888F692">
      <w:pPr>
        <w:spacing w:line="360" w:lineRule="auto"/>
        <w:ind w:right="-817"/>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5967F1B0">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03AFE50D">
      <w:pPr>
        <w:spacing w:line="360" w:lineRule="auto"/>
        <w:ind w:right="-817" w:firstLine="408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0DF2DDB8">
      <w:pPr>
        <w:spacing w:line="360" w:lineRule="auto"/>
        <w:jc w:val="center"/>
        <w:rPr>
          <w:rFonts w:hint="eastAsia" w:ascii="宋体" w:hAnsi="宋体"/>
          <w:b/>
          <w:color w:val="auto"/>
          <w:sz w:val="32"/>
          <w:szCs w:val="32"/>
          <w:highlight w:val="none"/>
        </w:rPr>
      </w:pPr>
      <w:r>
        <w:rPr>
          <w:rFonts w:ascii="宋体" w:hAnsi="宋体" w:cs="仿宋_GB2312"/>
          <w:color w:val="auto"/>
          <w:sz w:val="24"/>
          <w:highlight w:val="none"/>
        </w:rPr>
        <w:br w:type="page" w:clear="all"/>
      </w:r>
      <w:r>
        <w:rPr>
          <w:rFonts w:hint="eastAsia" w:ascii="宋体" w:hAnsi="宋体" w:cs="方正小标宋简体"/>
          <w:b/>
          <w:bCs/>
          <w:color w:val="auto"/>
          <w:sz w:val="32"/>
          <w:szCs w:val="32"/>
          <w:highlight w:val="none"/>
        </w:rPr>
        <w:t>项目管理机构配备情况表及主要人员简历表</w:t>
      </w:r>
    </w:p>
    <w:p w14:paraId="3930A5F3">
      <w:pPr>
        <w:spacing w:before="156" w:after="50" w:line="360" w:lineRule="auto"/>
        <w:jc w:val="center"/>
        <w:rPr>
          <w:rFonts w:hint="eastAsia" w:ascii="宋体" w:hAnsi="宋体"/>
          <w:b/>
          <w:color w:val="auto"/>
          <w:sz w:val="28"/>
          <w:szCs w:val="28"/>
          <w:highlight w:val="none"/>
        </w:rPr>
      </w:pPr>
      <w:r>
        <w:rPr>
          <w:rFonts w:hint="eastAsia" w:ascii="宋体" w:hAnsi="宋体"/>
          <w:b/>
          <w:color w:val="auto"/>
          <w:sz w:val="28"/>
          <w:szCs w:val="28"/>
          <w:highlight w:val="none"/>
        </w:rPr>
        <w:t>（一）项目管理机构配备情况表</w:t>
      </w:r>
    </w:p>
    <w:p w14:paraId="1A5B2768">
      <w:pPr>
        <w:pStyle w:val="238"/>
        <w:spacing w:line="360" w:lineRule="auto"/>
        <w:contextualSpacing/>
        <w:rPr>
          <w:color w:val="auto"/>
          <w:sz w:val="24"/>
          <w:szCs w:val="24"/>
          <w:highlight w:val="none"/>
        </w:rPr>
      </w:pPr>
      <w:r>
        <w:rPr>
          <w:rFonts w:hint="eastAsia" w:hAnsi="宋体" w:cs="仿宋_GB2312"/>
          <w:color w:val="auto"/>
          <w:sz w:val="24"/>
          <w:highlight w:val="none"/>
        </w:rPr>
        <w:t>分标（如有）</w:t>
      </w:r>
      <w:r>
        <w:rPr>
          <w:rFonts w:hint="eastAsia"/>
          <w:color w:val="auto"/>
          <w:sz w:val="24"/>
          <w:szCs w:val="24"/>
          <w:highlight w:val="none"/>
        </w:rPr>
        <w:t>：</w:t>
      </w:r>
      <w:r>
        <w:rPr>
          <w:rFonts w:hint="eastAsia"/>
          <w:color w:val="auto"/>
          <w:sz w:val="24"/>
          <w:szCs w:val="24"/>
          <w:highlight w:val="none"/>
          <w:u w:val="single"/>
        </w:rPr>
        <w:t xml:space="preserve">         </w:t>
      </w:r>
    </w:p>
    <w:tbl>
      <w:tblPr>
        <w:tblStyle w:val="44"/>
        <w:tblW w:w="9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5D9B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tcBorders>
              <w:top w:val="single" w:color="auto" w:sz="4" w:space="0"/>
              <w:left w:val="single" w:color="auto" w:sz="4" w:space="0"/>
              <w:bottom w:val="single" w:color="auto" w:sz="4" w:space="0"/>
              <w:right w:val="single" w:color="auto" w:sz="4" w:space="0"/>
            </w:tcBorders>
            <w:vAlign w:val="center"/>
          </w:tcPr>
          <w:p w14:paraId="3603893D">
            <w:pPr>
              <w:ind w:left="223" w:hanging="222"/>
              <w:jc w:val="center"/>
              <w:rPr>
                <w:color w:val="auto"/>
                <w:highlight w:val="none"/>
              </w:rPr>
            </w:pPr>
            <w:r>
              <w:rPr>
                <w:color w:val="auto"/>
                <w:highlight w:val="none"/>
              </w:rPr>
              <w:t>岗位</w:t>
            </w:r>
          </w:p>
        </w:tc>
        <w:tc>
          <w:tcPr>
            <w:tcW w:w="670" w:type="dxa"/>
            <w:vMerge w:val="restart"/>
            <w:tcBorders>
              <w:top w:val="single" w:color="auto" w:sz="4" w:space="0"/>
              <w:left w:val="single" w:color="auto" w:sz="4" w:space="0"/>
              <w:bottom w:val="single" w:color="auto" w:sz="4" w:space="0"/>
              <w:right w:val="single" w:color="auto" w:sz="4" w:space="0"/>
            </w:tcBorders>
            <w:vAlign w:val="center"/>
          </w:tcPr>
          <w:p w14:paraId="40B4B570">
            <w:pPr>
              <w:ind w:left="223" w:hanging="222"/>
              <w:jc w:val="center"/>
              <w:rPr>
                <w:color w:val="auto"/>
                <w:highlight w:val="none"/>
              </w:rPr>
            </w:pPr>
            <w:r>
              <w:rPr>
                <w:color w:val="auto"/>
                <w:highlight w:val="none"/>
              </w:rPr>
              <w:t>姓名</w:t>
            </w:r>
          </w:p>
        </w:tc>
        <w:tc>
          <w:tcPr>
            <w:tcW w:w="829" w:type="dxa"/>
            <w:vMerge w:val="restart"/>
            <w:tcBorders>
              <w:top w:val="single" w:color="auto" w:sz="4" w:space="0"/>
              <w:left w:val="single" w:color="auto" w:sz="4" w:space="0"/>
              <w:bottom w:val="single" w:color="auto" w:sz="4" w:space="0"/>
              <w:right w:val="single" w:color="auto" w:sz="4" w:space="0"/>
            </w:tcBorders>
            <w:vAlign w:val="center"/>
          </w:tcPr>
          <w:p w14:paraId="6FA16014">
            <w:pPr>
              <w:jc w:val="center"/>
              <w:rPr>
                <w:color w:val="auto"/>
                <w:highlight w:val="none"/>
              </w:rPr>
            </w:pPr>
            <w:r>
              <w:rPr>
                <w:color w:val="auto"/>
                <w:highlight w:val="none"/>
              </w:rPr>
              <w:t>身份证号</w:t>
            </w:r>
          </w:p>
        </w:tc>
        <w:tc>
          <w:tcPr>
            <w:tcW w:w="816" w:type="dxa"/>
            <w:vMerge w:val="restart"/>
            <w:tcBorders>
              <w:top w:val="single" w:color="auto" w:sz="4" w:space="0"/>
              <w:left w:val="single" w:color="auto" w:sz="4" w:space="0"/>
              <w:bottom w:val="single" w:color="auto" w:sz="4" w:space="0"/>
              <w:right w:val="single" w:color="auto" w:sz="4" w:space="0"/>
            </w:tcBorders>
            <w:vAlign w:val="center"/>
          </w:tcPr>
          <w:p w14:paraId="1CEFC9AB">
            <w:pPr>
              <w:ind w:left="223" w:hanging="222"/>
              <w:jc w:val="center"/>
              <w:rPr>
                <w:color w:val="auto"/>
                <w:highlight w:val="none"/>
              </w:rPr>
            </w:pPr>
            <w:r>
              <w:rPr>
                <w:color w:val="auto"/>
                <w:highlight w:val="none"/>
              </w:rPr>
              <w:t>职称</w:t>
            </w:r>
          </w:p>
        </w:tc>
        <w:tc>
          <w:tcPr>
            <w:tcW w:w="4188" w:type="dxa"/>
            <w:gridSpan w:val="4"/>
            <w:tcBorders>
              <w:top w:val="single" w:color="auto" w:sz="4" w:space="0"/>
              <w:left w:val="single" w:color="auto" w:sz="4" w:space="0"/>
              <w:bottom w:val="single" w:color="auto" w:sz="4" w:space="0"/>
              <w:right w:val="single" w:color="auto" w:sz="4" w:space="0"/>
            </w:tcBorders>
            <w:vAlign w:val="center"/>
          </w:tcPr>
          <w:p w14:paraId="361855E6">
            <w:pPr>
              <w:ind w:left="223" w:hanging="222"/>
              <w:jc w:val="center"/>
              <w:rPr>
                <w:color w:val="auto"/>
                <w:highlight w:val="none"/>
              </w:rPr>
            </w:pPr>
            <w:r>
              <w:rPr>
                <w:color w:val="auto"/>
                <w:highlight w:val="none"/>
              </w:rPr>
              <w:t>执业或职业资格</w:t>
            </w:r>
          </w:p>
        </w:tc>
        <w:tc>
          <w:tcPr>
            <w:tcW w:w="2443" w:type="dxa"/>
            <w:gridSpan w:val="2"/>
            <w:tcBorders>
              <w:top w:val="single" w:color="auto" w:sz="4" w:space="0"/>
              <w:left w:val="single" w:color="auto" w:sz="4" w:space="0"/>
              <w:bottom w:val="single" w:color="auto" w:sz="4" w:space="0"/>
              <w:right w:val="single" w:color="auto" w:sz="4" w:space="0"/>
            </w:tcBorders>
            <w:vAlign w:val="center"/>
          </w:tcPr>
          <w:p w14:paraId="5EA43BE8">
            <w:pPr>
              <w:jc w:val="left"/>
              <w:rPr>
                <w:color w:val="auto"/>
                <w:highlight w:val="none"/>
              </w:rPr>
            </w:pPr>
            <w:r>
              <w:rPr>
                <w:color w:val="auto"/>
                <w:highlight w:val="none"/>
              </w:rPr>
              <w:t>承担完工</w:t>
            </w:r>
            <w:r>
              <w:rPr>
                <w:rFonts w:hint="eastAsia"/>
                <w:color w:val="auto"/>
                <w:highlight w:val="none"/>
              </w:rPr>
              <w:t>、</w:t>
            </w:r>
            <w:r>
              <w:rPr>
                <w:color w:val="auto"/>
                <w:highlight w:val="none"/>
              </w:rPr>
              <w:t>在建工程情况</w:t>
            </w:r>
          </w:p>
        </w:tc>
      </w:tr>
      <w:tr w14:paraId="5404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tcBorders>
              <w:top w:val="single" w:color="auto" w:sz="4" w:space="0"/>
              <w:left w:val="single" w:color="auto" w:sz="4" w:space="0"/>
              <w:bottom w:val="single" w:color="auto" w:sz="4" w:space="0"/>
              <w:right w:val="single" w:color="auto" w:sz="4" w:space="0"/>
            </w:tcBorders>
            <w:vAlign w:val="center"/>
          </w:tcPr>
          <w:p w14:paraId="253E374A">
            <w:pPr>
              <w:ind w:left="223" w:hanging="222"/>
              <w:jc w:val="center"/>
              <w:rPr>
                <w:color w:val="auto"/>
                <w:highlight w:val="none"/>
              </w:rPr>
            </w:pPr>
          </w:p>
        </w:tc>
        <w:tc>
          <w:tcPr>
            <w:tcW w:w="670" w:type="dxa"/>
            <w:vMerge w:val="continue"/>
            <w:tcBorders>
              <w:top w:val="single" w:color="auto" w:sz="4" w:space="0"/>
              <w:left w:val="single" w:color="auto" w:sz="4" w:space="0"/>
              <w:bottom w:val="single" w:color="auto" w:sz="4" w:space="0"/>
              <w:right w:val="single" w:color="auto" w:sz="4" w:space="0"/>
            </w:tcBorders>
            <w:vAlign w:val="center"/>
          </w:tcPr>
          <w:p w14:paraId="5EDBE953">
            <w:pPr>
              <w:ind w:left="223" w:hanging="222"/>
              <w:jc w:val="center"/>
              <w:rPr>
                <w:color w:val="auto"/>
                <w:highlight w:val="none"/>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14:paraId="3592EE05">
            <w:pPr>
              <w:ind w:left="223" w:hanging="222"/>
              <w:jc w:val="center"/>
              <w:rPr>
                <w:color w:val="auto"/>
                <w:highlight w:val="none"/>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14:paraId="60C1F9A0">
            <w:pPr>
              <w:ind w:left="223" w:hanging="222"/>
              <w:jc w:val="center"/>
              <w:rPr>
                <w:color w:val="auto"/>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0C9257BA">
            <w:pPr>
              <w:ind w:left="223" w:hanging="222"/>
              <w:jc w:val="center"/>
              <w:rPr>
                <w:color w:val="auto"/>
                <w:highlight w:val="none"/>
              </w:rPr>
            </w:pPr>
            <w:r>
              <w:rPr>
                <w:color w:val="auto"/>
                <w:highlight w:val="none"/>
              </w:rPr>
              <w:t>证书名称</w:t>
            </w:r>
          </w:p>
        </w:tc>
        <w:tc>
          <w:tcPr>
            <w:tcW w:w="1148" w:type="dxa"/>
            <w:tcBorders>
              <w:top w:val="single" w:color="auto" w:sz="4" w:space="0"/>
              <w:left w:val="single" w:color="auto" w:sz="4" w:space="0"/>
              <w:bottom w:val="single" w:color="auto" w:sz="4" w:space="0"/>
              <w:right w:val="single" w:color="auto" w:sz="4" w:space="0"/>
            </w:tcBorders>
            <w:vAlign w:val="center"/>
          </w:tcPr>
          <w:p w14:paraId="653C43EC">
            <w:pPr>
              <w:ind w:left="223" w:hanging="222"/>
              <w:jc w:val="center"/>
              <w:rPr>
                <w:color w:val="auto"/>
                <w:highlight w:val="none"/>
              </w:rPr>
            </w:pPr>
            <w:r>
              <w:rPr>
                <w:color w:val="auto"/>
                <w:highlight w:val="none"/>
              </w:rPr>
              <w:t>级别</w:t>
            </w:r>
          </w:p>
        </w:tc>
        <w:tc>
          <w:tcPr>
            <w:tcW w:w="1148" w:type="dxa"/>
            <w:tcBorders>
              <w:top w:val="single" w:color="auto" w:sz="4" w:space="0"/>
              <w:left w:val="single" w:color="auto" w:sz="4" w:space="0"/>
              <w:bottom w:val="single" w:color="auto" w:sz="4" w:space="0"/>
              <w:right w:val="single" w:color="auto" w:sz="4" w:space="0"/>
            </w:tcBorders>
            <w:vAlign w:val="center"/>
          </w:tcPr>
          <w:p w14:paraId="5406AE44">
            <w:pPr>
              <w:ind w:left="223" w:hanging="222"/>
              <w:jc w:val="center"/>
              <w:rPr>
                <w:color w:val="auto"/>
                <w:highlight w:val="none"/>
              </w:rPr>
            </w:pPr>
            <w:r>
              <w:rPr>
                <w:color w:val="auto"/>
                <w:highlight w:val="none"/>
              </w:rPr>
              <w:t>证号</w:t>
            </w:r>
          </w:p>
        </w:tc>
        <w:tc>
          <w:tcPr>
            <w:tcW w:w="744" w:type="dxa"/>
            <w:tcBorders>
              <w:top w:val="single" w:color="auto" w:sz="4" w:space="0"/>
              <w:left w:val="single" w:color="auto" w:sz="4" w:space="0"/>
              <w:bottom w:val="single" w:color="auto" w:sz="4" w:space="0"/>
              <w:right w:val="single" w:color="auto" w:sz="4" w:space="0"/>
            </w:tcBorders>
            <w:vAlign w:val="center"/>
          </w:tcPr>
          <w:p w14:paraId="1F58585F">
            <w:pPr>
              <w:ind w:left="223" w:hanging="222"/>
              <w:jc w:val="center"/>
              <w:rPr>
                <w:color w:val="auto"/>
                <w:highlight w:val="none"/>
              </w:rPr>
            </w:pPr>
            <w:r>
              <w:rPr>
                <w:color w:val="auto"/>
                <w:highlight w:val="none"/>
              </w:rPr>
              <w:t>专业</w:t>
            </w:r>
          </w:p>
        </w:tc>
        <w:tc>
          <w:tcPr>
            <w:tcW w:w="1167" w:type="dxa"/>
            <w:tcBorders>
              <w:top w:val="single" w:color="auto" w:sz="4" w:space="0"/>
              <w:left w:val="single" w:color="auto" w:sz="4" w:space="0"/>
              <w:bottom w:val="single" w:color="auto" w:sz="4" w:space="0"/>
              <w:right w:val="single" w:color="auto" w:sz="4" w:space="0"/>
            </w:tcBorders>
            <w:vAlign w:val="center"/>
          </w:tcPr>
          <w:p w14:paraId="1B42FD0B">
            <w:pPr>
              <w:jc w:val="center"/>
              <w:rPr>
                <w:color w:val="auto"/>
                <w:highlight w:val="none"/>
              </w:rPr>
            </w:pPr>
            <w:r>
              <w:rPr>
                <w:rFonts w:hint="eastAsia"/>
                <w:color w:val="auto"/>
                <w:highlight w:val="none"/>
              </w:rPr>
              <w:t>完工/在建</w:t>
            </w:r>
          </w:p>
        </w:tc>
        <w:tc>
          <w:tcPr>
            <w:tcW w:w="1276" w:type="dxa"/>
            <w:tcBorders>
              <w:top w:val="single" w:color="auto" w:sz="4" w:space="0"/>
              <w:left w:val="single" w:color="auto" w:sz="4" w:space="0"/>
              <w:bottom w:val="single" w:color="auto" w:sz="4" w:space="0"/>
              <w:right w:val="single" w:color="auto" w:sz="4" w:space="0"/>
            </w:tcBorders>
            <w:vAlign w:val="center"/>
          </w:tcPr>
          <w:p w14:paraId="73F2623D">
            <w:pPr>
              <w:jc w:val="center"/>
              <w:rPr>
                <w:color w:val="auto"/>
                <w:highlight w:val="none"/>
              </w:rPr>
            </w:pPr>
            <w:r>
              <w:rPr>
                <w:color w:val="auto"/>
                <w:highlight w:val="none"/>
              </w:rPr>
              <w:t>主要项目</w:t>
            </w:r>
          </w:p>
          <w:p w14:paraId="34AFB6CC">
            <w:pPr>
              <w:jc w:val="center"/>
              <w:rPr>
                <w:color w:val="auto"/>
                <w:highlight w:val="none"/>
              </w:rPr>
            </w:pPr>
            <w:r>
              <w:rPr>
                <w:color w:val="auto"/>
                <w:highlight w:val="none"/>
              </w:rPr>
              <w:t>名称</w:t>
            </w:r>
          </w:p>
        </w:tc>
      </w:tr>
      <w:tr w14:paraId="64010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vAlign w:val="center"/>
          </w:tcPr>
          <w:p w14:paraId="49FCA5AD">
            <w:pPr>
              <w:pStyle w:val="379"/>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1.</w:t>
            </w:r>
            <w:r>
              <w:rPr>
                <w:color w:val="auto"/>
                <w:sz w:val="21"/>
                <w:szCs w:val="21"/>
                <w:highlight w:val="none"/>
              </w:rPr>
              <w:t>项目经理</w:t>
            </w:r>
          </w:p>
        </w:tc>
        <w:tc>
          <w:tcPr>
            <w:tcW w:w="670" w:type="dxa"/>
            <w:tcBorders>
              <w:top w:val="single" w:color="auto" w:sz="4" w:space="0"/>
              <w:left w:val="single" w:color="auto" w:sz="4" w:space="0"/>
              <w:bottom w:val="single" w:color="auto" w:sz="4" w:space="0"/>
              <w:right w:val="single" w:color="auto" w:sz="4" w:space="0"/>
            </w:tcBorders>
            <w:vAlign w:val="center"/>
          </w:tcPr>
          <w:p w14:paraId="7C6CCAB7">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vAlign w:val="center"/>
          </w:tcPr>
          <w:p w14:paraId="74A9CBC2">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30FAC64B">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1F95E59E">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5496A4FB">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32440F12">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vAlign w:val="center"/>
          </w:tcPr>
          <w:p w14:paraId="7802EFDD">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vAlign w:val="center"/>
          </w:tcPr>
          <w:p w14:paraId="23B8F8AF">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0A290DBF">
            <w:pPr>
              <w:ind w:left="223" w:hanging="222"/>
              <w:jc w:val="center"/>
              <w:rPr>
                <w:color w:val="auto"/>
                <w:szCs w:val="21"/>
                <w:highlight w:val="none"/>
              </w:rPr>
            </w:pPr>
          </w:p>
        </w:tc>
      </w:tr>
      <w:tr w14:paraId="11A6F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vAlign w:val="center"/>
          </w:tcPr>
          <w:p w14:paraId="165F1867">
            <w:pPr>
              <w:pStyle w:val="379"/>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bidi="en-US"/>
              </w:rPr>
              <w:t>2.</w:t>
            </w:r>
            <w:r>
              <w:rPr>
                <w:color w:val="auto"/>
                <w:sz w:val="21"/>
                <w:szCs w:val="21"/>
                <w:highlight w:val="none"/>
              </w:rPr>
              <w:t>技术负责人</w:t>
            </w:r>
            <w:r>
              <w:rPr>
                <w:rFonts w:hint="eastAsia"/>
                <w:color w:val="auto"/>
                <w:sz w:val="21"/>
                <w:szCs w:val="21"/>
                <w:highlight w:val="none"/>
              </w:rPr>
              <w:t>（项目总工）</w:t>
            </w:r>
          </w:p>
        </w:tc>
        <w:tc>
          <w:tcPr>
            <w:tcW w:w="670" w:type="dxa"/>
            <w:tcBorders>
              <w:top w:val="single" w:color="auto" w:sz="4" w:space="0"/>
              <w:left w:val="single" w:color="auto" w:sz="4" w:space="0"/>
              <w:bottom w:val="single" w:color="auto" w:sz="4" w:space="0"/>
              <w:right w:val="single" w:color="auto" w:sz="4" w:space="0"/>
            </w:tcBorders>
            <w:vAlign w:val="center"/>
          </w:tcPr>
          <w:p w14:paraId="5937D460">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vAlign w:val="center"/>
          </w:tcPr>
          <w:p w14:paraId="4DDB401D">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6F377F2F">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3F17286F">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7676F5A0">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4CB9EA05">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vAlign w:val="center"/>
          </w:tcPr>
          <w:p w14:paraId="13539511">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vAlign w:val="center"/>
          </w:tcPr>
          <w:p w14:paraId="088A5916">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3E886567">
            <w:pPr>
              <w:ind w:left="223" w:hanging="222"/>
              <w:jc w:val="center"/>
              <w:rPr>
                <w:color w:val="auto"/>
                <w:szCs w:val="21"/>
                <w:highlight w:val="none"/>
              </w:rPr>
            </w:pPr>
          </w:p>
        </w:tc>
      </w:tr>
      <w:tr w14:paraId="3399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vAlign w:val="center"/>
          </w:tcPr>
          <w:p w14:paraId="4CECF262">
            <w:pPr>
              <w:pStyle w:val="379"/>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3.</w:t>
            </w:r>
            <w:r>
              <w:rPr>
                <w:rFonts w:hint="eastAsia"/>
                <w:color w:val="auto"/>
                <w:sz w:val="21"/>
                <w:szCs w:val="21"/>
                <w:highlight w:val="none"/>
              </w:rPr>
              <w:t xml:space="preserve"> 施工员</w:t>
            </w:r>
          </w:p>
        </w:tc>
        <w:tc>
          <w:tcPr>
            <w:tcW w:w="670" w:type="dxa"/>
            <w:tcBorders>
              <w:top w:val="single" w:color="auto" w:sz="4" w:space="0"/>
              <w:left w:val="single" w:color="auto" w:sz="4" w:space="0"/>
              <w:bottom w:val="single" w:color="auto" w:sz="4" w:space="0"/>
              <w:right w:val="single" w:color="auto" w:sz="4" w:space="0"/>
            </w:tcBorders>
            <w:vAlign w:val="center"/>
          </w:tcPr>
          <w:p w14:paraId="391B6FC5">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vAlign w:val="center"/>
          </w:tcPr>
          <w:p w14:paraId="6C9BAE0F">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2B7158F5">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366E6ADF">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4506CBDF">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30C80234">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vAlign w:val="center"/>
          </w:tcPr>
          <w:p w14:paraId="040956B7">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vAlign w:val="center"/>
          </w:tcPr>
          <w:p w14:paraId="75506B71">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2936BA66">
            <w:pPr>
              <w:ind w:left="223" w:hanging="222"/>
              <w:jc w:val="center"/>
              <w:rPr>
                <w:color w:val="auto"/>
                <w:szCs w:val="21"/>
                <w:highlight w:val="none"/>
              </w:rPr>
            </w:pPr>
          </w:p>
        </w:tc>
      </w:tr>
      <w:tr w14:paraId="5B611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vAlign w:val="center"/>
          </w:tcPr>
          <w:p w14:paraId="28C39DA0">
            <w:pPr>
              <w:pStyle w:val="379"/>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4.</w:t>
            </w:r>
            <w:r>
              <w:rPr>
                <w:color w:val="auto"/>
                <w:sz w:val="21"/>
                <w:szCs w:val="21"/>
                <w:highlight w:val="none"/>
              </w:rPr>
              <w:t>安全员</w:t>
            </w:r>
          </w:p>
        </w:tc>
        <w:tc>
          <w:tcPr>
            <w:tcW w:w="670" w:type="dxa"/>
            <w:tcBorders>
              <w:top w:val="single" w:color="auto" w:sz="4" w:space="0"/>
              <w:left w:val="single" w:color="auto" w:sz="4" w:space="0"/>
              <w:bottom w:val="single" w:color="auto" w:sz="4" w:space="0"/>
              <w:right w:val="single" w:color="auto" w:sz="4" w:space="0"/>
            </w:tcBorders>
            <w:vAlign w:val="center"/>
          </w:tcPr>
          <w:p w14:paraId="7382D8EA">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vAlign w:val="center"/>
          </w:tcPr>
          <w:p w14:paraId="7DC88862">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11250FB7">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55D8998D">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7187874B">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775E369D">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vAlign w:val="center"/>
          </w:tcPr>
          <w:p w14:paraId="7462144D">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vAlign w:val="center"/>
          </w:tcPr>
          <w:p w14:paraId="71B1C422">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4BBE376C">
            <w:pPr>
              <w:ind w:left="223" w:hanging="222"/>
              <w:jc w:val="center"/>
              <w:rPr>
                <w:color w:val="auto"/>
                <w:szCs w:val="21"/>
                <w:highlight w:val="none"/>
              </w:rPr>
            </w:pPr>
          </w:p>
        </w:tc>
      </w:tr>
      <w:tr w14:paraId="71C14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vAlign w:val="center"/>
          </w:tcPr>
          <w:p w14:paraId="3727B912">
            <w:pPr>
              <w:jc w:val="left"/>
              <w:rPr>
                <w:color w:val="auto"/>
                <w:szCs w:val="21"/>
                <w:highlight w:val="none"/>
              </w:rPr>
            </w:pPr>
            <w:r>
              <w:rPr>
                <w:rFonts w:hint="eastAsia"/>
                <w:color w:val="auto"/>
                <w:szCs w:val="21"/>
                <w:highlight w:val="none"/>
              </w:rPr>
              <w:t>5.</w:t>
            </w:r>
            <w:r>
              <w:rPr>
                <w:color w:val="auto"/>
                <w:szCs w:val="21"/>
                <w:highlight w:val="none"/>
              </w:rPr>
              <w:t xml:space="preserve"> 质量员</w:t>
            </w:r>
          </w:p>
        </w:tc>
        <w:tc>
          <w:tcPr>
            <w:tcW w:w="670" w:type="dxa"/>
            <w:tcBorders>
              <w:top w:val="single" w:color="auto" w:sz="4" w:space="0"/>
              <w:left w:val="single" w:color="auto" w:sz="4" w:space="0"/>
              <w:bottom w:val="single" w:color="auto" w:sz="4" w:space="0"/>
              <w:right w:val="single" w:color="auto" w:sz="4" w:space="0"/>
            </w:tcBorders>
            <w:vAlign w:val="center"/>
          </w:tcPr>
          <w:p w14:paraId="09F3BB16">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vAlign w:val="center"/>
          </w:tcPr>
          <w:p w14:paraId="665D02C5">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19404039">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50EC7976">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1AFC8AE5">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656943AA">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vAlign w:val="center"/>
          </w:tcPr>
          <w:p w14:paraId="1255ADBF">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vAlign w:val="center"/>
          </w:tcPr>
          <w:p w14:paraId="7BF73BD2">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56BED369">
            <w:pPr>
              <w:ind w:left="223" w:hanging="222"/>
              <w:jc w:val="center"/>
              <w:rPr>
                <w:color w:val="auto"/>
                <w:szCs w:val="21"/>
                <w:highlight w:val="none"/>
              </w:rPr>
            </w:pPr>
          </w:p>
        </w:tc>
      </w:tr>
      <w:tr w14:paraId="1B86F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vAlign w:val="center"/>
          </w:tcPr>
          <w:p w14:paraId="1DEE59FB">
            <w:pPr>
              <w:jc w:val="left"/>
              <w:rPr>
                <w:color w:val="auto"/>
                <w:szCs w:val="21"/>
                <w:highlight w:val="none"/>
              </w:rPr>
            </w:pPr>
            <w:r>
              <w:rPr>
                <w:rFonts w:hint="eastAsia"/>
                <w:color w:val="auto"/>
                <w:szCs w:val="21"/>
                <w:highlight w:val="none"/>
              </w:rPr>
              <w:t>6.材料员</w:t>
            </w:r>
          </w:p>
        </w:tc>
        <w:tc>
          <w:tcPr>
            <w:tcW w:w="670" w:type="dxa"/>
            <w:tcBorders>
              <w:top w:val="single" w:color="auto" w:sz="4" w:space="0"/>
              <w:left w:val="single" w:color="auto" w:sz="4" w:space="0"/>
              <w:bottom w:val="single" w:color="auto" w:sz="4" w:space="0"/>
              <w:right w:val="single" w:color="auto" w:sz="4" w:space="0"/>
            </w:tcBorders>
            <w:vAlign w:val="center"/>
          </w:tcPr>
          <w:p w14:paraId="5BFEA4C2">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vAlign w:val="center"/>
          </w:tcPr>
          <w:p w14:paraId="5303979E">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4BDC6CE0">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6249BD77">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41F6743E">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26D64B96">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vAlign w:val="center"/>
          </w:tcPr>
          <w:p w14:paraId="061E83E6">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vAlign w:val="center"/>
          </w:tcPr>
          <w:p w14:paraId="5BB6D031">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0F5DC624">
            <w:pPr>
              <w:ind w:left="223" w:hanging="222"/>
              <w:jc w:val="center"/>
              <w:rPr>
                <w:color w:val="auto"/>
                <w:szCs w:val="21"/>
                <w:highlight w:val="none"/>
              </w:rPr>
            </w:pPr>
          </w:p>
        </w:tc>
      </w:tr>
      <w:tr w14:paraId="1C269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vAlign w:val="center"/>
          </w:tcPr>
          <w:p w14:paraId="24447C15">
            <w:pPr>
              <w:ind w:left="223" w:hanging="222"/>
              <w:jc w:val="center"/>
              <w:rPr>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vAlign w:val="center"/>
          </w:tcPr>
          <w:p w14:paraId="7258EFF7">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vAlign w:val="center"/>
          </w:tcPr>
          <w:p w14:paraId="58FADBBA">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2ACC584C">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7C641A65">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27559D23">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1A7A18B7">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vAlign w:val="center"/>
          </w:tcPr>
          <w:p w14:paraId="5912E584">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vAlign w:val="center"/>
          </w:tcPr>
          <w:p w14:paraId="44FBEC45">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0FA3DB73">
            <w:pPr>
              <w:ind w:left="223" w:hanging="222"/>
              <w:jc w:val="center"/>
              <w:rPr>
                <w:color w:val="auto"/>
                <w:szCs w:val="21"/>
                <w:highlight w:val="none"/>
              </w:rPr>
            </w:pPr>
          </w:p>
        </w:tc>
      </w:tr>
      <w:tr w14:paraId="58391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tcBorders>
              <w:top w:val="single" w:color="auto" w:sz="4" w:space="0"/>
              <w:left w:val="single" w:color="auto" w:sz="4" w:space="0"/>
              <w:bottom w:val="single" w:color="auto" w:sz="4" w:space="0"/>
              <w:right w:val="single" w:color="auto" w:sz="4" w:space="0"/>
            </w:tcBorders>
            <w:vAlign w:val="center"/>
          </w:tcPr>
          <w:p w14:paraId="0E727682">
            <w:pPr>
              <w:spacing w:line="360" w:lineRule="auto"/>
              <w:ind w:left="223" w:hanging="222"/>
              <w:jc w:val="center"/>
              <w:rPr>
                <w:color w:val="auto"/>
                <w:highlight w:val="none"/>
              </w:rPr>
            </w:pPr>
            <w:r>
              <w:rPr>
                <w:rFonts w:hint="eastAsia"/>
                <w:color w:val="auto"/>
                <w:highlight w:val="none"/>
              </w:rPr>
              <w:t>一旦我单位成交，将实行项目经理负责制，我方保证并配备上述项目管理机构。上述填报内容真实，若不真实，愿按有关规定接受处理。项目管理班子机构设置、职责分工等情况另附资料说明。</w:t>
            </w:r>
          </w:p>
        </w:tc>
      </w:tr>
    </w:tbl>
    <w:p w14:paraId="22160B21">
      <w:pPr>
        <w:spacing w:line="360" w:lineRule="auto"/>
        <w:contextualSpacing/>
        <w:jc w:val="left"/>
        <w:rPr>
          <w:rFonts w:hint="eastAsia" w:ascii="宋体" w:hAnsi="宋体"/>
          <w:color w:val="auto"/>
          <w:sz w:val="24"/>
          <w:szCs w:val="20"/>
          <w:highlight w:val="none"/>
        </w:rPr>
      </w:pPr>
      <w:r>
        <w:rPr>
          <w:rFonts w:hint="eastAsia" w:ascii="宋体" w:hAnsi="宋体"/>
          <w:color w:val="auto"/>
          <w:sz w:val="24"/>
          <w:szCs w:val="20"/>
          <w:highlight w:val="none"/>
        </w:rPr>
        <w:t>备注：</w:t>
      </w:r>
    </w:p>
    <w:p w14:paraId="42B5C296">
      <w:pPr>
        <w:spacing w:line="360" w:lineRule="auto"/>
        <w:ind w:firstLine="48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本表所列岗位的所有管理人员的情况均应如实填写。可按以上格式扩展为多页填写。</w:t>
      </w:r>
    </w:p>
    <w:p w14:paraId="51F6C6EA">
      <w:pPr>
        <w:spacing w:line="360" w:lineRule="auto"/>
        <w:ind w:firstLine="48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2</w:t>
      </w:r>
      <w:r>
        <w:rPr>
          <w:rFonts w:ascii="宋体" w:hAnsi="宋体"/>
          <w:color w:val="auto"/>
          <w:sz w:val="24"/>
          <w:szCs w:val="20"/>
          <w:highlight w:val="none"/>
        </w:rPr>
        <w:t>.</w:t>
      </w:r>
      <w:r>
        <w:rPr>
          <w:rFonts w:hint="eastAsia" w:ascii="宋体" w:hAnsi="宋体"/>
          <w:color w:val="auto"/>
          <w:sz w:val="24"/>
          <w:szCs w:val="20"/>
          <w:highlight w:val="none"/>
        </w:rPr>
        <w:t>供应商应当在本表后附所有管理人员的身份证、职称证或执业或职业资格证书、近1个月在现任职单位依法缴纳社会保险的证明材料的复印件并加盖供应商电子签章。</w:t>
      </w:r>
    </w:p>
    <w:p w14:paraId="0339D15C">
      <w:pPr>
        <w:spacing w:line="360" w:lineRule="auto"/>
        <w:ind w:firstLine="480"/>
        <w:contextualSpacing/>
        <w:rPr>
          <w:rFonts w:hint="eastAsia"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w:t>
      </w:r>
      <w:r>
        <w:rPr>
          <w:rFonts w:hint="eastAsia" w:ascii="宋体" w:hAnsi="宋体"/>
          <w:color w:val="auto"/>
          <w:spacing w:val="20"/>
          <w:sz w:val="24"/>
          <w:highlight w:val="none"/>
          <w:u w:val="single"/>
        </w:rPr>
        <w:t xml:space="preserve">        </w:t>
      </w:r>
    </w:p>
    <w:p w14:paraId="5C215B6F">
      <w:pPr>
        <w:spacing w:line="360" w:lineRule="auto"/>
        <w:ind w:firstLine="560"/>
        <w:contextualSpacing/>
        <w:jc w:val="left"/>
        <w:rPr>
          <w:rFonts w:hint="eastAsia" w:ascii="宋体" w:hAnsi="宋体"/>
          <w:color w:val="auto"/>
          <w:sz w:val="24"/>
          <w:szCs w:val="20"/>
          <w:highlight w:val="none"/>
        </w:rPr>
      </w:pPr>
      <w:r>
        <w:rPr>
          <w:rFonts w:hint="eastAsia" w:ascii="宋体" w:hAnsi="宋体"/>
          <w:color w:val="auto"/>
          <w:spacing w:val="20"/>
          <w:sz w:val="24"/>
          <w:highlight w:val="none"/>
        </w:rPr>
        <w:t>供应商（电子签章）：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日 期：</w:t>
      </w:r>
      <w:r>
        <w:rPr>
          <w:rFonts w:hint="eastAsia" w:ascii="宋体" w:hAnsi="宋体"/>
          <w:color w:val="auto"/>
          <w:spacing w:val="20"/>
          <w:sz w:val="24"/>
          <w:highlight w:val="none"/>
          <w:u w:val="single"/>
        </w:rPr>
        <w:t xml:space="preserve">         </w:t>
      </w:r>
    </w:p>
    <w:p w14:paraId="06BDA731">
      <w:pPr>
        <w:spacing w:line="360" w:lineRule="auto"/>
        <w:jc w:val="center"/>
        <w:rPr>
          <w:rFonts w:hint="eastAsia" w:ascii="宋体" w:hAnsi="宋体"/>
          <w:b/>
          <w:color w:val="auto"/>
          <w:sz w:val="28"/>
          <w:szCs w:val="28"/>
          <w:highlight w:val="none"/>
        </w:rPr>
      </w:pPr>
      <w:r>
        <w:rPr>
          <w:rFonts w:ascii="宋体" w:hAnsi="宋体"/>
          <w:b/>
          <w:color w:val="auto"/>
          <w:sz w:val="32"/>
          <w:szCs w:val="32"/>
          <w:highlight w:val="none"/>
        </w:rPr>
        <w:br w:type="page" w:clear="all"/>
      </w:r>
      <w:r>
        <w:rPr>
          <w:rFonts w:hint="eastAsia" w:ascii="宋体" w:hAnsi="宋体"/>
          <w:b/>
          <w:color w:val="auto"/>
          <w:sz w:val="28"/>
          <w:szCs w:val="28"/>
          <w:highlight w:val="none"/>
        </w:rPr>
        <w:t>（二）拟投入的主要人员简历表</w:t>
      </w:r>
    </w:p>
    <w:p w14:paraId="34C3C291">
      <w:pPr>
        <w:spacing w:line="360" w:lineRule="auto"/>
        <w:ind w:firstLine="562"/>
        <w:jc w:val="center"/>
        <w:rPr>
          <w:color w:val="auto"/>
          <w:sz w:val="28"/>
          <w:szCs w:val="28"/>
          <w:highlight w:val="none"/>
          <w:u w:val="single"/>
        </w:rPr>
      </w:pPr>
      <w:r>
        <w:rPr>
          <w:rFonts w:hint="eastAsia" w:cs="宋体"/>
          <w:b/>
          <w:color w:val="auto"/>
          <w:sz w:val="28"/>
          <w:szCs w:val="28"/>
          <w:highlight w:val="none"/>
        </w:rPr>
        <w:t>项目经理简历表</w:t>
      </w:r>
    </w:p>
    <w:tbl>
      <w:tblPr>
        <w:tblStyle w:val="44"/>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55"/>
        <w:gridCol w:w="395"/>
        <w:gridCol w:w="880"/>
        <w:gridCol w:w="668"/>
        <w:gridCol w:w="320"/>
        <w:gridCol w:w="234"/>
        <w:gridCol w:w="66"/>
        <w:gridCol w:w="1217"/>
        <w:gridCol w:w="134"/>
        <w:gridCol w:w="242"/>
        <w:gridCol w:w="1096"/>
        <w:gridCol w:w="80"/>
        <w:gridCol w:w="409"/>
        <w:gridCol w:w="1108"/>
        <w:gridCol w:w="44"/>
        <w:gridCol w:w="71"/>
        <w:gridCol w:w="1413"/>
        <w:gridCol w:w="11"/>
      </w:tblGrid>
      <w:tr w14:paraId="1A0F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tcBorders>
              <w:top w:val="single" w:color="auto" w:sz="4" w:space="0"/>
              <w:left w:val="single" w:color="auto" w:sz="4" w:space="0"/>
              <w:bottom w:val="single" w:color="auto" w:sz="4" w:space="0"/>
              <w:right w:val="single" w:color="auto" w:sz="4" w:space="0"/>
            </w:tcBorders>
            <w:vAlign w:val="center"/>
          </w:tcPr>
          <w:p w14:paraId="550BFE41">
            <w:pPr>
              <w:jc w:val="center"/>
              <w:rPr>
                <w:color w:val="auto"/>
                <w:highlight w:val="none"/>
              </w:rPr>
            </w:pPr>
            <w:r>
              <w:rPr>
                <w:rFonts w:hint="eastAsia" w:cs="宋体"/>
                <w:color w:val="auto"/>
                <w:highlight w:val="none"/>
              </w:rPr>
              <w:t>姓名</w:t>
            </w:r>
          </w:p>
        </w:tc>
        <w:tc>
          <w:tcPr>
            <w:tcW w:w="2318" w:type="dxa"/>
            <w:gridSpan w:val="5"/>
            <w:tcBorders>
              <w:top w:val="single" w:color="auto" w:sz="4" w:space="0"/>
              <w:left w:val="single" w:color="auto" w:sz="4" w:space="0"/>
              <w:bottom w:val="single" w:color="auto" w:sz="4" w:space="0"/>
              <w:right w:val="single" w:color="auto" w:sz="4" w:space="0"/>
            </w:tcBorders>
            <w:vAlign w:val="center"/>
          </w:tcPr>
          <w:p w14:paraId="4825EBB0">
            <w:pPr>
              <w:jc w:val="center"/>
              <w:rPr>
                <w:color w:val="auto"/>
                <w:highlight w:val="none"/>
              </w:rPr>
            </w:pPr>
          </w:p>
        </w:tc>
        <w:tc>
          <w:tcPr>
            <w:tcW w:w="1893" w:type="dxa"/>
            <w:gridSpan w:val="5"/>
            <w:tcBorders>
              <w:top w:val="single" w:color="auto" w:sz="4" w:space="0"/>
              <w:left w:val="single" w:color="auto" w:sz="4" w:space="0"/>
              <w:bottom w:val="single" w:color="auto" w:sz="4" w:space="0"/>
              <w:right w:val="single" w:color="auto" w:sz="4" w:space="0"/>
            </w:tcBorders>
            <w:vAlign w:val="center"/>
          </w:tcPr>
          <w:p w14:paraId="71CFA43D">
            <w:pPr>
              <w:jc w:val="center"/>
              <w:rPr>
                <w:color w:val="auto"/>
                <w:highlight w:val="none"/>
              </w:rPr>
            </w:pPr>
            <w:r>
              <w:rPr>
                <w:rFonts w:hint="eastAsia" w:cs="宋体"/>
                <w:color w:val="auto"/>
                <w:highlight w:val="none"/>
              </w:rPr>
              <w:t>性别</w:t>
            </w:r>
          </w:p>
        </w:tc>
        <w:tc>
          <w:tcPr>
            <w:tcW w:w="1585" w:type="dxa"/>
            <w:gridSpan w:val="3"/>
            <w:tcBorders>
              <w:top w:val="single" w:color="auto" w:sz="4" w:space="0"/>
              <w:left w:val="single" w:color="auto" w:sz="4" w:space="0"/>
              <w:bottom w:val="single" w:color="auto" w:sz="4" w:space="0"/>
              <w:right w:val="single" w:color="auto" w:sz="4" w:space="0"/>
            </w:tcBorders>
            <w:vAlign w:val="center"/>
          </w:tcPr>
          <w:p w14:paraId="45DCA82E">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vAlign w:val="center"/>
          </w:tcPr>
          <w:p w14:paraId="3D2CB578">
            <w:pPr>
              <w:jc w:val="center"/>
              <w:rPr>
                <w:color w:val="auto"/>
                <w:highlight w:val="none"/>
              </w:rPr>
            </w:pPr>
            <w:r>
              <w:rPr>
                <w:rFonts w:hint="eastAsia" w:cs="宋体"/>
                <w:color w:val="auto"/>
                <w:highlight w:val="none"/>
              </w:rPr>
              <w:t>年龄</w:t>
            </w:r>
          </w:p>
        </w:tc>
        <w:tc>
          <w:tcPr>
            <w:tcW w:w="1531" w:type="dxa"/>
            <w:gridSpan w:val="4"/>
            <w:tcBorders>
              <w:top w:val="single" w:color="auto" w:sz="4" w:space="0"/>
              <w:left w:val="single" w:color="auto" w:sz="4" w:space="0"/>
              <w:bottom w:val="single" w:color="auto" w:sz="4" w:space="0"/>
              <w:right w:val="single" w:color="auto" w:sz="4" w:space="0"/>
            </w:tcBorders>
            <w:vAlign w:val="center"/>
          </w:tcPr>
          <w:p w14:paraId="773A7E61">
            <w:pPr>
              <w:jc w:val="center"/>
              <w:rPr>
                <w:color w:val="auto"/>
                <w:highlight w:val="none"/>
              </w:rPr>
            </w:pPr>
          </w:p>
        </w:tc>
      </w:tr>
      <w:tr w14:paraId="0852B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tcBorders>
              <w:top w:val="single" w:color="auto" w:sz="4" w:space="0"/>
              <w:left w:val="single" w:color="auto" w:sz="4" w:space="0"/>
              <w:bottom w:val="single" w:color="auto" w:sz="4" w:space="0"/>
              <w:right w:val="single" w:color="auto" w:sz="4" w:space="0"/>
            </w:tcBorders>
            <w:vAlign w:val="center"/>
          </w:tcPr>
          <w:p w14:paraId="556AD632">
            <w:pPr>
              <w:jc w:val="center"/>
              <w:rPr>
                <w:color w:val="auto"/>
                <w:highlight w:val="none"/>
              </w:rPr>
            </w:pPr>
            <w:r>
              <w:rPr>
                <w:rFonts w:hint="eastAsia" w:cs="宋体"/>
                <w:color w:val="auto"/>
                <w:highlight w:val="none"/>
              </w:rPr>
              <w:t>岗位</w:t>
            </w:r>
          </w:p>
        </w:tc>
        <w:tc>
          <w:tcPr>
            <w:tcW w:w="2318" w:type="dxa"/>
            <w:gridSpan w:val="5"/>
            <w:tcBorders>
              <w:top w:val="single" w:color="auto" w:sz="4" w:space="0"/>
              <w:left w:val="single" w:color="auto" w:sz="4" w:space="0"/>
              <w:bottom w:val="single" w:color="auto" w:sz="4" w:space="0"/>
              <w:right w:val="single" w:color="auto" w:sz="4" w:space="0"/>
            </w:tcBorders>
            <w:vAlign w:val="center"/>
          </w:tcPr>
          <w:p w14:paraId="7EA8328C">
            <w:pPr>
              <w:jc w:val="center"/>
              <w:rPr>
                <w:color w:val="auto"/>
                <w:highlight w:val="none"/>
              </w:rPr>
            </w:pPr>
            <w:r>
              <w:rPr>
                <w:rFonts w:hint="eastAsia"/>
                <w:color w:val="auto"/>
                <w:highlight w:val="none"/>
              </w:rPr>
              <w:t>项目经理</w:t>
            </w:r>
          </w:p>
        </w:tc>
        <w:tc>
          <w:tcPr>
            <w:tcW w:w="1893" w:type="dxa"/>
            <w:gridSpan w:val="5"/>
            <w:tcBorders>
              <w:top w:val="single" w:color="auto" w:sz="4" w:space="0"/>
              <w:left w:val="single" w:color="auto" w:sz="4" w:space="0"/>
              <w:bottom w:val="single" w:color="auto" w:sz="4" w:space="0"/>
              <w:right w:val="single" w:color="auto" w:sz="4" w:space="0"/>
            </w:tcBorders>
            <w:vAlign w:val="center"/>
          </w:tcPr>
          <w:p w14:paraId="15A824C4">
            <w:pPr>
              <w:jc w:val="center"/>
              <w:rPr>
                <w:color w:val="auto"/>
                <w:highlight w:val="none"/>
              </w:rPr>
            </w:pPr>
            <w:r>
              <w:rPr>
                <w:rFonts w:hint="eastAsia" w:cs="宋体"/>
                <w:color w:val="auto"/>
                <w:highlight w:val="none"/>
              </w:rPr>
              <w:t>职称</w:t>
            </w:r>
          </w:p>
        </w:tc>
        <w:tc>
          <w:tcPr>
            <w:tcW w:w="1585" w:type="dxa"/>
            <w:gridSpan w:val="3"/>
            <w:tcBorders>
              <w:top w:val="single" w:color="auto" w:sz="4" w:space="0"/>
              <w:left w:val="single" w:color="auto" w:sz="4" w:space="0"/>
              <w:bottom w:val="single" w:color="auto" w:sz="4" w:space="0"/>
              <w:right w:val="single" w:color="auto" w:sz="4" w:space="0"/>
            </w:tcBorders>
            <w:vAlign w:val="center"/>
          </w:tcPr>
          <w:p w14:paraId="6E972913">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vAlign w:val="center"/>
          </w:tcPr>
          <w:p w14:paraId="380FAEBF">
            <w:pPr>
              <w:jc w:val="center"/>
              <w:rPr>
                <w:color w:val="auto"/>
                <w:highlight w:val="none"/>
              </w:rPr>
            </w:pPr>
            <w:r>
              <w:rPr>
                <w:rFonts w:hint="eastAsia" w:cs="宋体"/>
                <w:color w:val="auto"/>
                <w:highlight w:val="none"/>
              </w:rPr>
              <w:t>学历</w:t>
            </w:r>
          </w:p>
        </w:tc>
        <w:tc>
          <w:tcPr>
            <w:tcW w:w="1531" w:type="dxa"/>
            <w:gridSpan w:val="4"/>
            <w:tcBorders>
              <w:top w:val="single" w:color="auto" w:sz="4" w:space="0"/>
              <w:left w:val="single" w:color="auto" w:sz="4" w:space="0"/>
              <w:bottom w:val="single" w:color="auto" w:sz="4" w:space="0"/>
              <w:right w:val="single" w:color="auto" w:sz="4" w:space="0"/>
            </w:tcBorders>
            <w:vAlign w:val="center"/>
          </w:tcPr>
          <w:p w14:paraId="4CAF9E24">
            <w:pPr>
              <w:jc w:val="center"/>
              <w:rPr>
                <w:color w:val="auto"/>
                <w:highlight w:val="none"/>
              </w:rPr>
            </w:pPr>
          </w:p>
        </w:tc>
      </w:tr>
      <w:tr w14:paraId="7F5B1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tcBorders>
              <w:top w:val="single" w:color="auto" w:sz="4" w:space="0"/>
              <w:left w:val="single" w:color="auto" w:sz="4" w:space="0"/>
              <w:bottom w:val="single" w:color="auto" w:sz="4" w:space="0"/>
              <w:right w:val="single" w:color="auto" w:sz="4" w:space="0"/>
            </w:tcBorders>
            <w:vAlign w:val="center"/>
          </w:tcPr>
          <w:p w14:paraId="67B2A457">
            <w:pPr>
              <w:jc w:val="center"/>
              <w:rPr>
                <w:rFonts w:cs="宋体"/>
                <w:color w:val="auto"/>
                <w:highlight w:val="none"/>
              </w:rPr>
            </w:pPr>
            <w:r>
              <w:rPr>
                <w:rFonts w:hint="eastAsia" w:cs="宋体"/>
                <w:color w:val="auto"/>
                <w:highlight w:val="none"/>
              </w:rPr>
              <w:t>从业开始时间</w:t>
            </w:r>
          </w:p>
        </w:tc>
        <w:tc>
          <w:tcPr>
            <w:tcW w:w="2318" w:type="dxa"/>
            <w:gridSpan w:val="5"/>
            <w:tcBorders>
              <w:top w:val="single" w:color="auto" w:sz="4" w:space="0"/>
              <w:left w:val="single" w:color="auto" w:sz="4" w:space="0"/>
              <w:bottom w:val="single" w:color="auto" w:sz="4" w:space="0"/>
              <w:right w:val="single" w:color="auto" w:sz="4" w:space="0"/>
            </w:tcBorders>
            <w:vAlign w:val="center"/>
          </w:tcPr>
          <w:p w14:paraId="4B578980">
            <w:pPr>
              <w:jc w:val="center"/>
              <w:rPr>
                <w:color w:val="auto"/>
                <w:highlight w:val="none"/>
              </w:rPr>
            </w:pPr>
          </w:p>
        </w:tc>
        <w:tc>
          <w:tcPr>
            <w:tcW w:w="1893" w:type="dxa"/>
            <w:gridSpan w:val="5"/>
            <w:tcBorders>
              <w:top w:val="single" w:color="auto" w:sz="4" w:space="0"/>
              <w:left w:val="single" w:color="auto" w:sz="4" w:space="0"/>
              <w:bottom w:val="single" w:color="auto" w:sz="4" w:space="0"/>
              <w:right w:val="single" w:color="auto" w:sz="4" w:space="0"/>
            </w:tcBorders>
            <w:vAlign w:val="center"/>
          </w:tcPr>
          <w:p w14:paraId="7842E2EA">
            <w:pPr>
              <w:jc w:val="center"/>
              <w:rPr>
                <w:rFonts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tcBorders>
              <w:top w:val="single" w:color="auto" w:sz="4" w:space="0"/>
              <w:left w:val="single" w:color="auto" w:sz="4" w:space="0"/>
              <w:bottom w:val="single" w:color="auto" w:sz="4" w:space="0"/>
              <w:right w:val="single" w:color="auto" w:sz="4" w:space="0"/>
            </w:tcBorders>
            <w:vAlign w:val="center"/>
          </w:tcPr>
          <w:p w14:paraId="39082F08">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vAlign w:val="center"/>
          </w:tcPr>
          <w:p w14:paraId="0A0121D9">
            <w:pPr>
              <w:jc w:val="center"/>
              <w:rPr>
                <w:rFonts w:cs="宋体"/>
                <w:color w:val="auto"/>
                <w:highlight w:val="none"/>
              </w:rPr>
            </w:pPr>
            <w:r>
              <w:rPr>
                <w:rFonts w:hint="eastAsia" w:cs="宋体"/>
                <w:color w:val="auto"/>
                <w:highlight w:val="none"/>
              </w:rPr>
              <w:t>毕业时间</w:t>
            </w:r>
          </w:p>
        </w:tc>
        <w:tc>
          <w:tcPr>
            <w:tcW w:w="1531" w:type="dxa"/>
            <w:gridSpan w:val="4"/>
            <w:tcBorders>
              <w:top w:val="single" w:color="auto" w:sz="4" w:space="0"/>
              <w:left w:val="single" w:color="auto" w:sz="4" w:space="0"/>
              <w:bottom w:val="single" w:color="auto" w:sz="4" w:space="0"/>
              <w:right w:val="single" w:color="auto" w:sz="4" w:space="0"/>
            </w:tcBorders>
            <w:vAlign w:val="center"/>
          </w:tcPr>
          <w:p w14:paraId="687C306F">
            <w:pPr>
              <w:jc w:val="center"/>
              <w:rPr>
                <w:color w:val="auto"/>
                <w:highlight w:val="none"/>
              </w:rPr>
            </w:pPr>
          </w:p>
        </w:tc>
      </w:tr>
      <w:tr w14:paraId="310AA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vAlign w:val="center"/>
          </w:tcPr>
          <w:p w14:paraId="63C5D802">
            <w:pPr>
              <w:jc w:val="center"/>
              <w:rPr>
                <w:color w:val="auto"/>
                <w:highlight w:val="none"/>
              </w:rPr>
            </w:pPr>
            <w:r>
              <w:rPr>
                <w:rFonts w:hint="eastAsia" w:cs="宋体"/>
                <w:color w:val="auto"/>
                <w:highlight w:val="none"/>
              </w:rPr>
              <w:t>担任项目经理年限</w:t>
            </w:r>
          </w:p>
        </w:tc>
        <w:tc>
          <w:tcPr>
            <w:tcW w:w="2563" w:type="dxa"/>
            <w:gridSpan w:val="6"/>
            <w:tcBorders>
              <w:top w:val="single" w:color="auto" w:sz="4" w:space="0"/>
              <w:left w:val="single" w:color="auto" w:sz="4" w:space="0"/>
              <w:bottom w:val="single" w:color="auto" w:sz="4" w:space="0"/>
              <w:right w:val="single" w:color="auto" w:sz="4" w:space="0"/>
            </w:tcBorders>
            <w:vAlign w:val="center"/>
          </w:tcPr>
          <w:p w14:paraId="37FCA0F7">
            <w:pPr>
              <w:jc w:val="center"/>
              <w:rPr>
                <w:color w:val="auto"/>
                <w:highlight w:val="none"/>
              </w:rPr>
            </w:pPr>
          </w:p>
        </w:tc>
        <w:tc>
          <w:tcPr>
            <w:tcW w:w="1209" w:type="dxa"/>
            <w:tcBorders>
              <w:top w:val="single" w:color="auto" w:sz="4" w:space="0"/>
              <w:left w:val="single" w:color="auto" w:sz="4" w:space="0"/>
              <w:bottom w:val="single" w:color="auto" w:sz="4" w:space="0"/>
              <w:right w:val="single" w:color="auto" w:sz="4" w:space="0"/>
            </w:tcBorders>
            <w:vAlign w:val="center"/>
          </w:tcPr>
          <w:p w14:paraId="71B7EE35">
            <w:pPr>
              <w:jc w:val="center"/>
              <w:rPr>
                <w:color w:val="auto"/>
                <w:highlight w:val="none"/>
              </w:rPr>
            </w:pPr>
            <w:r>
              <w:rPr>
                <w:rFonts w:hint="eastAsia"/>
                <w:color w:val="auto"/>
                <w:highlight w:val="none"/>
              </w:rPr>
              <w:t>身份</w:t>
            </w:r>
            <w:r>
              <w:rPr>
                <w:color w:val="auto"/>
                <w:highlight w:val="none"/>
              </w:rPr>
              <w:t>证号码</w:t>
            </w:r>
          </w:p>
        </w:tc>
        <w:tc>
          <w:tcPr>
            <w:tcW w:w="4608" w:type="dxa"/>
            <w:gridSpan w:val="10"/>
            <w:tcBorders>
              <w:top w:val="single" w:color="auto" w:sz="4" w:space="0"/>
              <w:left w:val="single" w:color="auto" w:sz="4" w:space="0"/>
              <w:bottom w:val="single" w:color="auto" w:sz="4" w:space="0"/>
              <w:right w:val="single" w:color="auto" w:sz="4" w:space="0"/>
            </w:tcBorders>
            <w:vAlign w:val="center"/>
          </w:tcPr>
          <w:p w14:paraId="383A5639">
            <w:pPr>
              <w:jc w:val="center"/>
              <w:rPr>
                <w:color w:val="auto"/>
                <w:highlight w:val="none"/>
              </w:rPr>
            </w:pPr>
          </w:p>
        </w:tc>
      </w:tr>
      <w:tr w14:paraId="405C0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vAlign w:val="center"/>
          </w:tcPr>
          <w:p w14:paraId="001BE5C2">
            <w:pPr>
              <w:jc w:val="center"/>
              <w:rPr>
                <w:color w:val="auto"/>
                <w:highlight w:val="none"/>
              </w:rPr>
            </w:pPr>
            <w:r>
              <w:rPr>
                <w:rFonts w:hint="eastAsia"/>
                <w:color w:val="auto"/>
                <w:highlight w:val="none"/>
              </w:rPr>
              <w:t>证书名称</w:t>
            </w: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494A0424">
            <w:pPr>
              <w:jc w:val="center"/>
              <w:rPr>
                <w:color w:val="auto"/>
                <w:highlight w:val="none"/>
              </w:rPr>
            </w:pPr>
            <w:r>
              <w:rPr>
                <w:rFonts w:hint="eastAsia"/>
                <w:color w:val="auto"/>
                <w:highlight w:val="none"/>
              </w:rPr>
              <w:t>注册专业</w:t>
            </w:r>
          </w:p>
        </w:tc>
        <w:tc>
          <w:tcPr>
            <w:tcW w:w="1222" w:type="dxa"/>
            <w:gridSpan w:val="3"/>
            <w:tcBorders>
              <w:top w:val="single" w:color="auto" w:sz="4" w:space="0"/>
              <w:left w:val="single" w:color="auto" w:sz="4" w:space="0"/>
              <w:bottom w:val="single" w:color="auto" w:sz="4" w:space="0"/>
              <w:right w:val="single" w:color="auto" w:sz="4" w:space="0"/>
            </w:tcBorders>
            <w:vAlign w:val="center"/>
          </w:tcPr>
          <w:p w14:paraId="378DA98E">
            <w:pPr>
              <w:jc w:val="center"/>
              <w:rPr>
                <w:color w:val="auto"/>
                <w:highlight w:val="none"/>
              </w:rPr>
            </w:pPr>
            <w:r>
              <w:rPr>
                <w:color w:val="auto"/>
                <w:highlight w:val="none"/>
              </w:rPr>
              <w:t>级别</w:t>
            </w:r>
          </w:p>
        </w:tc>
        <w:tc>
          <w:tcPr>
            <w:tcW w:w="1417" w:type="dxa"/>
            <w:gridSpan w:val="3"/>
            <w:tcBorders>
              <w:top w:val="single" w:color="auto" w:sz="4" w:space="0"/>
              <w:left w:val="single" w:color="auto" w:sz="4" w:space="0"/>
              <w:bottom w:val="single" w:color="auto" w:sz="4" w:space="0"/>
              <w:right w:val="single" w:color="auto" w:sz="4" w:space="0"/>
            </w:tcBorders>
            <w:vAlign w:val="center"/>
          </w:tcPr>
          <w:p w14:paraId="50AE7198">
            <w:pPr>
              <w:jc w:val="center"/>
              <w:rPr>
                <w:color w:val="auto"/>
                <w:highlight w:val="none"/>
              </w:rPr>
            </w:pPr>
            <w:r>
              <w:rPr>
                <w:rFonts w:hint="eastAsia" w:cs="宋体"/>
                <w:color w:val="auto"/>
                <w:highlight w:val="none"/>
              </w:rPr>
              <w:t>证书编号</w:t>
            </w:r>
          </w:p>
        </w:tc>
        <w:tc>
          <w:tcPr>
            <w:tcW w:w="1418" w:type="dxa"/>
            <w:gridSpan w:val="3"/>
            <w:tcBorders>
              <w:top w:val="single" w:color="auto" w:sz="4" w:space="0"/>
              <w:left w:val="single" w:color="auto" w:sz="4" w:space="0"/>
              <w:bottom w:val="single" w:color="auto" w:sz="4" w:space="0"/>
              <w:right w:val="single" w:color="auto" w:sz="4" w:space="0"/>
            </w:tcBorders>
            <w:vAlign w:val="center"/>
          </w:tcPr>
          <w:p w14:paraId="4F48B939">
            <w:pPr>
              <w:jc w:val="center"/>
              <w:rPr>
                <w:color w:val="auto"/>
                <w:highlight w:val="none"/>
              </w:rPr>
            </w:pPr>
            <w:r>
              <w:rPr>
                <w:rFonts w:hint="eastAsia"/>
                <w:color w:val="auto"/>
                <w:highlight w:val="none"/>
              </w:rPr>
              <w:t>注册时间</w:t>
            </w:r>
          </w:p>
        </w:tc>
        <w:tc>
          <w:tcPr>
            <w:tcW w:w="1632" w:type="dxa"/>
            <w:gridSpan w:val="4"/>
            <w:tcBorders>
              <w:top w:val="single" w:color="auto" w:sz="4" w:space="0"/>
              <w:left w:val="single" w:color="auto" w:sz="4" w:space="0"/>
              <w:bottom w:val="single" w:color="auto" w:sz="4" w:space="0"/>
              <w:right w:val="single" w:color="auto" w:sz="4" w:space="0"/>
            </w:tcBorders>
            <w:vAlign w:val="center"/>
          </w:tcPr>
          <w:p w14:paraId="33F693DA">
            <w:pPr>
              <w:jc w:val="center"/>
              <w:rPr>
                <w:color w:val="auto"/>
                <w:highlight w:val="none"/>
              </w:rPr>
            </w:pPr>
            <w:r>
              <w:rPr>
                <w:rFonts w:hint="eastAsia"/>
                <w:color w:val="auto"/>
                <w:highlight w:val="none"/>
              </w:rPr>
              <w:t>注册单位</w:t>
            </w:r>
          </w:p>
        </w:tc>
        <w:tc>
          <w:tcPr>
            <w:tcW w:w="1416" w:type="dxa"/>
            <w:gridSpan w:val="2"/>
            <w:tcBorders>
              <w:top w:val="single" w:color="auto" w:sz="4" w:space="0"/>
              <w:left w:val="single" w:color="auto" w:sz="4" w:space="0"/>
              <w:bottom w:val="single" w:color="auto" w:sz="4" w:space="0"/>
              <w:right w:val="single" w:color="auto" w:sz="4" w:space="0"/>
            </w:tcBorders>
            <w:vAlign w:val="center"/>
          </w:tcPr>
          <w:p w14:paraId="1592EB5D">
            <w:pPr>
              <w:jc w:val="center"/>
              <w:rPr>
                <w:color w:val="auto"/>
                <w:highlight w:val="none"/>
              </w:rPr>
            </w:pPr>
            <w:r>
              <w:rPr>
                <w:rFonts w:hint="eastAsia"/>
                <w:color w:val="auto"/>
                <w:highlight w:val="none"/>
              </w:rPr>
              <w:t>注册有效期</w:t>
            </w:r>
          </w:p>
        </w:tc>
      </w:tr>
      <w:tr w14:paraId="5FB6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vAlign w:val="center"/>
          </w:tcPr>
          <w:p w14:paraId="25AFCBED">
            <w:pPr>
              <w:jc w:val="center"/>
              <w:rPr>
                <w:color w:val="auto"/>
                <w:highlight w:val="none"/>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642F0DF3">
            <w:pPr>
              <w:jc w:val="center"/>
              <w:rPr>
                <w:color w:val="auto"/>
                <w:highlight w:val="none"/>
              </w:rPr>
            </w:pPr>
          </w:p>
        </w:tc>
        <w:tc>
          <w:tcPr>
            <w:tcW w:w="1222" w:type="dxa"/>
            <w:gridSpan w:val="3"/>
            <w:tcBorders>
              <w:top w:val="single" w:color="auto" w:sz="4" w:space="0"/>
              <w:left w:val="single" w:color="auto" w:sz="4" w:space="0"/>
              <w:bottom w:val="single" w:color="auto" w:sz="4" w:space="0"/>
              <w:right w:val="single" w:color="auto" w:sz="4" w:space="0"/>
            </w:tcBorders>
            <w:vAlign w:val="center"/>
          </w:tcPr>
          <w:p w14:paraId="7C370EB9">
            <w:pPr>
              <w:jc w:val="center"/>
              <w:rPr>
                <w:rFonts w:cs="宋体"/>
                <w:color w:val="auto"/>
                <w:highlight w:val="none"/>
              </w:rPr>
            </w:pPr>
          </w:p>
        </w:tc>
        <w:tc>
          <w:tcPr>
            <w:tcW w:w="1417" w:type="dxa"/>
            <w:gridSpan w:val="3"/>
            <w:tcBorders>
              <w:top w:val="single" w:color="auto" w:sz="4" w:space="0"/>
              <w:left w:val="single" w:color="auto" w:sz="4" w:space="0"/>
              <w:bottom w:val="single" w:color="auto" w:sz="4" w:space="0"/>
              <w:right w:val="single" w:color="auto" w:sz="4" w:space="0"/>
            </w:tcBorders>
            <w:vAlign w:val="center"/>
          </w:tcPr>
          <w:p w14:paraId="673CBB2D">
            <w:pPr>
              <w:jc w:val="center"/>
              <w:rPr>
                <w:color w:val="auto"/>
                <w:highlight w:val="none"/>
              </w:rPr>
            </w:pPr>
          </w:p>
        </w:tc>
        <w:tc>
          <w:tcPr>
            <w:tcW w:w="1418" w:type="dxa"/>
            <w:gridSpan w:val="3"/>
            <w:tcBorders>
              <w:top w:val="single" w:color="auto" w:sz="4" w:space="0"/>
              <w:left w:val="single" w:color="auto" w:sz="4" w:space="0"/>
              <w:bottom w:val="single" w:color="auto" w:sz="4" w:space="0"/>
              <w:right w:val="single" w:color="auto" w:sz="4" w:space="0"/>
            </w:tcBorders>
            <w:vAlign w:val="center"/>
          </w:tcPr>
          <w:p w14:paraId="1FE5A3D0">
            <w:pPr>
              <w:jc w:val="center"/>
              <w:rPr>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vAlign w:val="center"/>
          </w:tcPr>
          <w:p w14:paraId="47CA1CB5">
            <w:pPr>
              <w:jc w:val="center"/>
              <w:rPr>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vAlign w:val="center"/>
          </w:tcPr>
          <w:p w14:paraId="2FBC23CC">
            <w:pPr>
              <w:jc w:val="center"/>
              <w:rPr>
                <w:color w:val="auto"/>
                <w:highlight w:val="none"/>
              </w:rPr>
            </w:pPr>
          </w:p>
        </w:tc>
      </w:tr>
      <w:tr w14:paraId="04D46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vAlign w:val="center"/>
          </w:tcPr>
          <w:p w14:paraId="661D5BD7">
            <w:pPr>
              <w:jc w:val="center"/>
              <w:rPr>
                <w:color w:val="auto"/>
                <w:highlight w:val="none"/>
              </w:rPr>
            </w:pPr>
            <w:r>
              <w:rPr>
                <w:rFonts w:hint="eastAsia"/>
                <w:color w:val="auto"/>
                <w:highlight w:val="none"/>
              </w:rPr>
              <w:t>安全生产考核合格证书</w:t>
            </w: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0F5932B5">
            <w:pPr>
              <w:jc w:val="center"/>
              <w:rPr>
                <w:color w:val="auto"/>
                <w:highlight w:val="none"/>
              </w:rPr>
            </w:pPr>
          </w:p>
        </w:tc>
        <w:tc>
          <w:tcPr>
            <w:tcW w:w="1222" w:type="dxa"/>
            <w:gridSpan w:val="3"/>
            <w:tcBorders>
              <w:top w:val="single" w:color="auto" w:sz="4" w:space="0"/>
              <w:left w:val="single" w:color="auto" w:sz="4" w:space="0"/>
              <w:bottom w:val="single" w:color="auto" w:sz="4" w:space="0"/>
              <w:right w:val="single" w:color="auto" w:sz="4" w:space="0"/>
            </w:tcBorders>
            <w:vAlign w:val="center"/>
          </w:tcPr>
          <w:p w14:paraId="6BFAF6EF">
            <w:pPr>
              <w:jc w:val="center"/>
              <w:rPr>
                <w:rFonts w:cs="宋体"/>
                <w:color w:val="auto"/>
                <w:highlight w:val="none"/>
              </w:rPr>
            </w:pPr>
            <w:r>
              <w:rPr>
                <w:rFonts w:hint="eastAsia"/>
                <w:color w:val="auto"/>
                <w:highlight w:val="none"/>
              </w:rPr>
              <w:t>B类</w:t>
            </w:r>
          </w:p>
        </w:tc>
        <w:tc>
          <w:tcPr>
            <w:tcW w:w="1417" w:type="dxa"/>
            <w:gridSpan w:val="3"/>
            <w:tcBorders>
              <w:top w:val="single" w:color="auto" w:sz="4" w:space="0"/>
              <w:left w:val="single" w:color="auto" w:sz="4" w:space="0"/>
              <w:bottom w:val="single" w:color="auto" w:sz="4" w:space="0"/>
              <w:right w:val="single" w:color="auto" w:sz="4" w:space="0"/>
            </w:tcBorders>
            <w:vAlign w:val="center"/>
          </w:tcPr>
          <w:p w14:paraId="15E01CF9">
            <w:pPr>
              <w:jc w:val="center"/>
              <w:rPr>
                <w:color w:val="auto"/>
                <w:highlight w:val="none"/>
              </w:rPr>
            </w:pPr>
          </w:p>
        </w:tc>
        <w:tc>
          <w:tcPr>
            <w:tcW w:w="1418" w:type="dxa"/>
            <w:gridSpan w:val="3"/>
            <w:tcBorders>
              <w:top w:val="single" w:color="auto" w:sz="4" w:space="0"/>
              <w:left w:val="single" w:color="auto" w:sz="4" w:space="0"/>
              <w:bottom w:val="single" w:color="auto" w:sz="4" w:space="0"/>
              <w:right w:val="single" w:color="auto" w:sz="4" w:space="0"/>
            </w:tcBorders>
            <w:vAlign w:val="center"/>
          </w:tcPr>
          <w:p w14:paraId="51C43088">
            <w:pPr>
              <w:jc w:val="center"/>
              <w:rPr>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vAlign w:val="center"/>
          </w:tcPr>
          <w:p w14:paraId="6E86B475">
            <w:pPr>
              <w:jc w:val="center"/>
              <w:rPr>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vAlign w:val="center"/>
          </w:tcPr>
          <w:p w14:paraId="40C5F1A7">
            <w:pPr>
              <w:jc w:val="center"/>
              <w:rPr>
                <w:color w:val="auto"/>
                <w:highlight w:val="none"/>
              </w:rPr>
            </w:pPr>
          </w:p>
        </w:tc>
      </w:tr>
      <w:tr w14:paraId="181A5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tcBorders>
              <w:top w:val="single" w:color="auto" w:sz="4" w:space="0"/>
              <w:left w:val="single" w:color="auto" w:sz="4" w:space="0"/>
              <w:bottom w:val="single" w:color="auto" w:sz="4" w:space="0"/>
              <w:right w:val="single" w:color="auto" w:sz="4" w:space="0"/>
            </w:tcBorders>
            <w:vAlign w:val="center"/>
          </w:tcPr>
          <w:p w14:paraId="633234A4">
            <w:pPr>
              <w:jc w:val="center"/>
              <w:rPr>
                <w:color w:val="auto"/>
                <w:highlight w:val="none"/>
              </w:rPr>
            </w:pPr>
            <w:r>
              <w:rPr>
                <w:rFonts w:hint="eastAsia" w:cs="宋体"/>
                <w:color w:val="auto"/>
                <w:highlight w:val="none"/>
              </w:rPr>
              <w:t>在建和已完工程项目情况</w:t>
            </w:r>
          </w:p>
        </w:tc>
      </w:tr>
      <w:tr w14:paraId="7B17A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460B3806">
            <w:pPr>
              <w:jc w:val="center"/>
              <w:rPr>
                <w:color w:val="auto"/>
                <w:highlight w:val="none"/>
              </w:rPr>
            </w:pP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37711BC4">
            <w:pPr>
              <w:jc w:val="center"/>
              <w:rPr>
                <w:color w:val="auto"/>
                <w:highlight w:val="none"/>
              </w:rPr>
            </w:pPr>
            <w:r>
              <w:rPr>
                <w:rFonts w:hint="eastAsia"/>
                <w:color w:val="auto"/>
                <w:highlight w:val="none"/>
              </w:rPr>
              <w:t>项目1</w:t>
            </w: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09430307">
            <w:pPr>
              <w:jc w:val="center"/>
              <w:rPr>
                <w:color w:val="auto"/>
                <w:highlight w:val="none"/>
              </w:rPr>
            </w:pPr>
            <w:r>
              <w:rPr>
                <w:rFonts w:hint="eastAsia"/>
                <w:color w:val="auto"/>
                <w:highlight w:val="none"/>
              </w:rPr>
              <w:t>项目2</w:t>
            </w: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6AD7C855">
            <w:pPr>
              <w:jc w:val="center"/>
              <w:rPr>
                <w:color w:val="auto"/>
                <w:highlight w:val="none"/>
              </w:rPr>
            </w:pPr>
            <w:r>
              <w:rPr>
                <w:rFonts w:hint="eastAsia"/>
                <w:color w:val="auto"/>
                <w:highlight w:val="none"/>
              </w:rPr>
              <w:t>项目3</w:t>
            </w: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732D45D5">
            <w:pPr>
              <w:jc w:val="center"/>
              <w:rPr>
                <w:color w:val="auto"/>
                <w:highlight w:val="none"/>
              </w:rPr>
            </w:pPr>
            <w:r>
              <w:rPr>
                <w:rFonts w:hint="eastAsia"/>
                <w:color w:val="auto"/>
                <w:highlight w:val="none"/>
              </w:rPr>
              <w:t>项目4</w:t>
            </w: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2ADCFE62">
            <w:pPr>
              <w:jc w:val="center"/>
              <w:rPr>
                <w:color w:val="auto"/>
                <w:highlight w:val="none"/>
              </w:rPr>
            </w:pPr>
            <w:r>
              <w:rPr>
                <w:rFonts w:hint="eastAsia"/>
                <w:color w:val="auto"/>
                <w:highlight w:val="none"/>
              </w:rPr>
              <w:t>……</w:t>
            </w:r>
          </w:p>
        </w:tc>
      </w:tr>
      <w:tr w14:paraId="45C87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5698AC1C">
            <w:pPr>
              <w:jc w:val="center"/>
              <w:rPr>
                <w:color w:val="auto"/>
                <w:highlight w:val="none"/>
              </w:rPr>
            </w:pPr>
            <w:r>
              <w:rPr>
                <w:rFonts w:hint="eastAsia"/>
                <w:color w:val="auto"/>
                <w:highlight w:val="none"/>
              </w:rPr>
              <w:t>项目名称</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3A0F816B">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7FE4B824">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047927DB">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36FAA9E4">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4954658C">
            <w:pPr>
              <w:jc w:val="center"/>
              <w:rPr>
                <w:color w:val="auto"/>
                <w:highlight w:val="none"/>
              </w:rPr>
            </w:pPr>
          </w:p>
        </w:tc>
      </w:tr>
      <w:tr w14:paraId="7ACCE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37930326">
            <w:pPr>
              <w:jc w:val="center"/>
              <w:rPr>
                <w:color w:val="auto"/>
                <w:highlight w:val="none"/>
              </w:rPr>
            </w:pPr>
            <w:r>
              <w:rPr>
                <w:rFonts w:hint="eastAsia" w:cs="宋体"/>
                <w:color w:val="auto"/>
                <w:highlight w:val="none"/>
              </w:rPr>
              <w:t>建设单位</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1DECA8CA">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1B141B03">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6D5CFC75">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234E0174">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029A76D1">
            <w:pPr>
              <w:jc w:val="center"/>
              <w:rPr>
                <w:color w:val="auto"/>
                <w:highlight w:val="none"/>
              </w:rPr>
            </w:pPr>
          </w:p>
        </w:tc>
      </w:tr>
      <w:tr w14:paraId="03C4A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21005ACF">
            <w:pPr>
              <w:jc w:val="center"/>
              <w:rPr>
                <w:color w:val="auto"/>
                <w:highlight w:val="none"/>
              </w:rPr>
            </w:pPr>
            <w:r>
              <w:rPr>
                <w:rFonts w:hint="eastAsia" w:cs="宋体"/>
                <w:color w:val="auto"/>
                <w:highlight w:val="none"/>
              </w:rPr>
              <w:t>建设规模</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25A88B0C">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4DEB08A6">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4CB7B879">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3F2CD093">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354A7058">
            <w:pPr>
              <w:jc w:val="center"/>
              <w:rPr>
                <w:color w:val="auto"/>
                <w:highlight w:val="none"/>
              </w:rPr>
            </w:pPr>
          </w:p>
        </w:tc>
      </w:tr>
      <w:tr w14:paraId="7D9B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2AD745DE">
            <w:pPr>
              <w:jc w:val="center"/>
              <w:rPr>
                <w:rFonts w:hint="eastAsia" w:ascii="宋体" w:hAnsi="宋体" w:cs="宋体"/>
                <w:color w:val="auto"/>
                <w:sz w:val="27"/>
                <w:szCs w:val="27"/>
                <w:highlight w:val="none"/>
                <w:lang w:bidi="ar"/>
              </w:rPr>
            </w:pPr>
            <w:r>
              <w:rPr>
                <w:rFonts w:hint="eastAsia" w:cs="宋体"/>
                <w:color w:val="auto"/>
                <w:highlight w:val="none"/>
              </w:rPr>
              <w:t>开工日期</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1FA01F61">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5CE09BE3">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2FC93087">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54577572">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3A417E6A">
            <w:pPr>
              <w:jc w:val="center"/>
              <w:rPr>
                <w:color w:val="auto"/>
                <w:highlight w:val="none"/>
              </w:rPr>
            </w:pPr>
          </w:p>
        </w:tc>
      </w:tr>
      <w:tr w14:paraId="3AE46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5290DA3E">
            <w:pPr>
              <w:jc w:val="center"/>
              <w:rPr>
                <w:color w:val="auto"/>
                <w:highlight w:val="none"/>
              </w:rPr>
            </w:pPr>
            <w:r>
              <w:rPr>
                <w:rFonts w:hint="eastAsia" w:cs="宋体"/>
                <w:color w:val="auto"/>
                <w:highlight w:val="none"/>
              </w:rPr>
              <w:t>竣工日期</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1A116B58">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294FDB3F">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779AD647">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0A1B4C32">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5446CAF1">
            <w:pPr>
              <w:jc w:val="center"/>
              <w:rPr>
                <w:color w:val="auto"/>
                <w:highlight w:val="none"/>
              </w:rPr>
            </w:pPr>
          </w:p>
        </w:tc>
      </w:tr>
      <w:tr w14:paraId="19082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66B33293">
            <w:pPr>
              <w:jc w:val="center"/>
              <w:rPr>
                <w:rFonts w:cs="宋体"/>
                <w:color w:val="auto"/>
                <w:highlight w:val="none"/>
              </w:rPr>
            </w:pPr>
            <w:r>
              <w:rPr>
                <w:rFonts w:hint="eastAsia" w:cs="宋体"/>
                <w:color w:val="auto"/>
                <w:highlight w:val="none"/>
              </w:rPr>
              <w:t>人员角色</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03A81882">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62C0E44E">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1D035D34">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251B57B4">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250056A1">
            <w:pPr>
              <w:jc w:val="center"/>
              <w:rPr>
                <w:color w:val="auto"/>
                <w:highlight w:val="none"/>
              </w:rPr>
            </w:pPr>
          </w:p>
        </w:tc>
      </w:tr>
      <w:tr w14:paraId="0D861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68ED5CA3">
            <w:pPr>
              <w:jc w:val="center"/>
              <w:rPr>
                <w:rFonts w:cs="宋体"/>
                <w:color w:val="auto"/>
                <w:highlight w:val="none"/>
              </w:rPr>
            </w:pPr>
            <w:r>
              <w:rPr>
                <w:rFonts w:hint="eastAsia" w:cs="宋体"/>
                <w:color w:val="auto"/>
                <w:highlight w:val="none"/>
              </w:rPr>
              <w:t>在建或已完</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7507CAE1">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46FF08A2">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40FB0219">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788C4B5A">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3933A678">
            <w:pPr>
              <w:jc w:val="center"/>
              <w:rPr>
                <w:color w:val="auto"/>
                <w:highlight w:val="none"/>
              </w:rPr>
            </w:pPr>
          </w:p>
        </w:tc>
      </w:tr>
      <w:tr w14:paraId="54FBC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6D1E7599">
            <w:pPr>
              <w:jc w:val="center"/>
              <w:rPr>
                <w:rFonts w:cs="宋体"/>
                <w:color w:val="auto"/>
                <w:highlight w:val="none"/>
              </w:rPr>
            </w:pPr>
            <w:r>
              <w:rPr>
                <w:rFonts w:hint="eastAsia" w:cs="宋体"/>
                <w:color w:val="auto"/>
                <w:highlight w:val="none"/>
              </w:rPr>
              <w:t>工程质量</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449266FE">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3F85F437">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10F6C8EF">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66874254">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6E08719F">
            <w:pPr>
              <w:jc w:val="center"/>
              <w:rPr>
                <w:color w:val="auto"/>
                <w:highlight w:val="none"/>
              </w:rPr>
            </w:pPr>
          </w:p>
        </w:tc>
      </w:tr>
      <w:tr w14:paraId="6FFD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5A885CCA">
            <w:pPr>
              <w:jc w:val="center"/>
              <w:rPr>
                <w:rFonts w:cs="宋体"/>
                <w:color w:val="auto"/>
                <w:highlight w:val="none"/>
              </w:rPr>
            </w:pPr>
            <w:r>
              <w:rPr>
                <w:rFonts w:hint="eastAsia" w:cs="宋体"/>
                <w:color w:val="auto"/>
                <w:highlight w:val="none"/>
              </w:rPr>
              <w:t>受奖情况</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3C5CAAEB">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4A15C4AC">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4026E961">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2FD4017C">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7349C451">
            <w:pPr>
              <w:jc w:val="center"/>
              <w:rPr>
                <w:color w:val="auto"/>
                <w:highlight w:val="none"/>
              </w:rPr>
            </w:pPr>
          </w:p>
        </w:tc>
      </w:tr>
    </w:tbl>
    <w:p w14:paraId="61E17238">
      <w:pPr>
        <w:rPr>
          <w:rFonts w:hint="eastAsia" w:ascii="宋体" w:hAnsi="宋体"/>
          <w:color w:val="auto"/>
          <w:szCs w:val="21"/>
          <w:highlight w:val="none"/>
        </w:rPr>
      </w:pPr>
      <w:r>
        <w:rPr>
          <w:rFonts w:hint="eastAsia" w:ascii="宋体" w:hAnsi="宋体" w:cs="楷体_GB2312"/>
          <w:color w:val="auto"/>
          <w:szCs w:val="21"/>
          <w:highlight w:val="none"/>
        </w:rPr>
        <w:t>备注：</w:t>
      </w:r>
    </w:p>
    <w:p w14:paraId="20E7CA81">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1.项目</w:t>
      </w:r>
      <w:r>
        <w:rPr>
          <w:rFonts w:ascii="宋体" w:hAnsi="宋体"/>
          <w:color w:val="auto"/>
          <w:szCs w:val="21"/>
          <w:highlight w:val="none"/>
        </w:rPr>
        <w:t>数</w:t>
      </w:r>
      <w:r>
        <w:rPr>
          <w:rFonts w:hint="eastAsia" w:ascii="宋体" w:hAnsi="宋体"/>
          <w:color w:val="auto"/>
          <w:szCs w:val="21"/>
          <w:highlight w:val="none"/>
        </w:rPr>
        <w:t>可</w:t>
      </w:r>
      <w:r>
        <w:rPr>
          <w:rFonts w:ascii="宋体" w:hAnsi="宋体"/>
          <w:color w:val="auto"/>
          <w:szCs w:val="21"/>
          <w:highlight w:val="none"/>
        </w:rPr>
        <w:t>以根据需要增加</w:t>
      </w:r>
      <w:r>
        <w:rPr>
          <w:rFonts w:hint="eastAsia" w:ascii="宋体" w:hAnsi="宋体"/>
          <w:color w:val="auto"/>
          <w:szCs w:val="21"/>
          <w:highlight w:val="none"/>
        </w:rPr>
        <w:t>。</w:t>
      </w:r>
    </w:p>
    <w:p w14:paraId="7750698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2.本表后附项目经理的学历证、安全生产考核合格证（B类）、本表所列证书复印件并加盖供应商电子签章。</w:t>
      </w:r>
    </w:p>
    <w:p w14:paraId="62ECBEB3">
      <w:pPr>
        <w:spacing w:before="156"/>
        <w:ind w:firstLine="643"/>
        <w:jc w:val="center"/>
        <w:rPr>
          <w:color w:val="auto"/>
          <w:sz w:val="28"/>
          <w:szCs w:val="28"/>
          <w:highlight w:val="none"/>
          <w:u w:val="single"/>
        </w:rPr>
      </w:pPr>
      <w:r>
        <w:rPr>
          <w:rFonts w:cs="宋体"/>
          <w:b/>
          <w:color w:val="auto"/>
          <w:sz w:val="32"/>
          <w:szCs w:val="32"/>
          <w:highlight w:val="none"/>
        </w:rPr>
        <w:br w:type="page" w:clear="all"/>
      </w:r>
      <w:r>
        <w:rPr>
          <w:rFonts w:hint="eastAsia" w:cs="宋体"/>
          <w:b/>
          <w:color w:val="auto"/>
          <w:sz w:val="28"/>
          <w:szCs w:val="28"/>
          <w:highlight w:val="none"/>
        </w:rPr>
        <w:t>项目技术负责人（项目总工）简历表</w:t>
      </w:r>
    </w:p>
    <w:tbl>
      <w:tblPr>
        <w:tblStyle w:val="44"/>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164"/>
        <w:gridCol w:w="308"/>
        <w:gridCol w:w="880"/>
        <w:gridCol w:w="668"/>
        <w:gridCol w:w="320"/>
        <w:gridCol w:w="234"/>
        <w:gridCol w:w="66"/>
        <w:gridCol w:w="1217"/>
        <w:gridCol w:w="134"/>
        <w:gridCol w:w="242"/>
        <w:gridCol w:w="1096"/>
        <w:gridCol w:w="80"/>
        <w:gridCol w:w="409"/>
        <w:gridCol w:w="1108"/>
        <w:gridCol w:w="44"/>
        <w:gridCol w:w="71"/>
        <w:gridCol w:w="1413"/>
        <w:gridCol w:w="11"/>
      </w:tblGrid>
      <w:tr w14:paraId="41AC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tcBorders>
              <w:top w:val="single" w:color="auto" w:sz="4" w:space="0"/>
              <w:left w:val="single" w:color="auto" w:sz="4" w:space="0"/>
              <w:bottom w:val="single" w:color="auto" w:sz="4" w:space="0"/>
              <w:right w:val="single" w:color="auto" w:sz="4" w:space="0"/>
            </w:tcBorders>
            <w:vAlign w:val="center"/>
          </w:tcPr>
          <w:p w14:paraId="2F5CB976">
            <w:pPr>
              <w:jc w:val="center"/>
              <w:rPr>
                <w:color w:val="auto"/>
                <w:highlight w:val="none"/>
              </w:rPr>
            </w:pPr>
            <w:r>
              <w:rPr>
                <w:rFonts w:hint="eastAsia" w:cs="宋体"/>
                <w:color w:val="auto"/>
                <w:highlight w:val="none"/>
              </w:rPr>
              <w:t>姓名</w:t>
            </w:r>
          </w:p>
        </w:tc>
        <w:tc>
          <w:tcPr>
            <w:tcW w:w="2340" w:type="dxa"/>
            <w:gridSpan w:val="5"/>
            <w:tcBorders>
              <w:top w:val="single" w:color="auto" w:sz="4" w:space="0"/>
              <w:left w:val="single" w:color="auto" w:sz="4" w:space="0"/>
              <w:bottom w:val="single" w:color="auto" w:sz="4" w:space="0"/>
              <w:right w:val="single" w:color="auto" w:sz="4" w:space="0"/>
            </w:tcBorders>
            <w:vAlign w:val="center"/>
          </w:tcPr>
          <w:p w14:paraId="1343B4F1">
            <w:pPr>
              <w:jc w:val="center"/>
              <w:rPr>
                <w:color w:val="auto"/>
                <w:highlight w:val="none"/>
              </w:rPr>
            </w:pPr>
          </w:p>
        </w:tc>
        <w:tc>
          <w:tcPr>
            <w:tcW w:w="1893" w:type="dxa"/>
            <w:gridSpan w:val="5"/>
            <w:tcBorders>
              <w:top w:val="single" w:color="auto" w:sz="4" w:space="0"/>
              <w:left w:val="single" w:color="auto" w:sz="4" w:space="0"/>
              <w:bottom w:val="single" w:color="auto" w:sz="4" w:space="0"/>
              <w:right w:val="single" w:color="auto" w:sz="4" w:space="0"/>
            </w:tcBorders>
            <w:vAlign w:val="center"/>
          </w:tcPr>
          <w:p w14:paraId="2781498F">
            <w:pPr>
              <w:jc w:val="center"/>
              <w:rPr>
                <w:color w:val="auto"/>
                <w:highlight w:val="none"/>
              </w:rPr>
            </w:pPr>
            <w:r>
              <w:rPr>
                <w:rFonts w:hint="eastAsia" w:cs="宋体"/>
                <w:color w:val="auto"/>
                <w:highlight w:val="none"/>
              </w:rPr>
              <w:t>性别</w:t>
            </w:r>
          </w:p>
        </w:tc>
        <w:tc>
          <w:tcPr>
            <w:tcW w:w="1585" w:type="dxa"/>
            <w:gridSpan w:val="3"/>
            <w:tcBorders>
              <w:top w:val="single" w:color="auto" w:sz="4" w:space="0"/>
              <w:left w:val="single" w:color="auto" w:sz="4" w:space="0"/>
              <w:bottom w:val="single" w:color="auto" w:sz="4" w:space="0"/>
              <w:right w:val="single" w:color="auto" w:sz="4" w:space="0"/>
            </w:tcBorders>
            <w:vAlign w:val="center"/>
          </w:tcPr>
          <w:p w14:paraId="25EFBBC8">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vAlign w:val="center"/>
          </w:tcPr>
          <w:p w14:paraId="7903B069">
            <w:pPr>
              <w:jc w:val="center"/>
              <w:rPr>
                <w:color w:val="auto"/>
                <w:highlight w:val="none"/>
              </w:rPr>
            </w:pPr>
            <w:r>
              <w:rPr>
                <w:rFonts w:hint="eastAsia" w:cs="宋体"/>
                <w:color w:val="auto"/>
                <w:highlight w:val="none"/>
              </w:rPr>
              <w:t>年龄</w:t>
            </w:r>
          </w:p>
        </w:tc>
        <w:tc>
          <w:tcPr>
            <w:tcW w:w="1531" w:type="dxa"/>
            <w:gridSpan w:val="4"/>
            <w:tcBorders>
              <w:top w:val="single" w:color="auto" w:sz="4" w:space="0"/>
              <w:left w:val="single" w:color="auto" w:sz="4" w:space="0"/>
              <w:bottom w:val="single" w:color="auto" w:sz="4" w:space="0"/>
              <w:right w:val="single" w:color="auto" w:sz="4" w:space="0"/>
            </w:tcBorders>
            <w:vAlign w:val="center"/>
          </w:tcPr>
          <w:p w14:paraId="1D93944C">
            <w:pPr>
              <w:jc w:val="center"/>
              <w:rPr>
                <w:color w:val="auto"/>
                <w:highlight w:val="none"/>
              </w:rPr>
            </w:pPr>
          </w:p>
        </w:tc>
      </w:tr>
      <w:tr w14:paraId="4B2F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tcBorders>
              <w:top w:val="single" w:color="auto" w:sz="4" w:space="0"/>
              <w:left w:val="single" w:color="auto" w:sz="4" w:space="0"/>
              <w:bottom w:val="single" w:color="auto" w:sz="4" w:space="0"/>
              <w:right w:val="single" w:color="auto" w:sz="4" w:space="0"/>
            </w:tcBorders>
            <w:vAlign w:val="center"/>
          </w:tcPr>
          <w:p w14:paraId="22268C98">
            <w:pPr>
              <w:jc w:val="center"/>
              <w:rPr>
                <w:color w:val="auto"/>
                <w:highlight w:val="none"/>
              </w:rPr>
            </w:pPr>
            <w:r>
              <w:rPr>
                <w:rFonts w:hint="eastAsia" w:cs="宋体"/>
                <w:color w:val="auto"/>
                <w:highlight w:val="none"/>
              </w:rPr>
              <w:t>岗位</w:t>
            </w:r>
          </w:p>
        </w:tc>
        <w:tc>
          <w:tcPr>
            <w:tcW w:w="2340" w:type="dxa"/>
            <w:gridSpan w:val="5"/>
            <w:tcBorders>
              <w:top w:val="single" w:color="auto" w:sz="4" w:space="0"/>
              <w:left w:val="single" w:color="auto" w:sz="4" w:space="0"/>
              <w:bottom w:val="single" w:color="auto" w:sz="4" w:space="0"/>
              <w:right w:val="single" w:color="auto" w:sz="4" w:space="0"/>
            </w:tcBorders>
            <w:vAlign w:val="center"/>
          </w:tcPr>
          <w:p w14:paraId="3BEC6408">
            <w:pPr>
              <w:jc w:val="center"/>
              <w:rPr>
                <w:color w:val="auto"/>
                <w:highlight w:val="none"/>
              </w:rPr>
            </w:pPr>
            <w:r>
              <w:rPr>
                <w:rFonts w:hint="eastAsia"/>
                <w:color w:val="auto"/>
                <w:highlight w:val="none"/>
              </w:rPr>
              <w:t>项目技术负责人（项目总工）</w:t>
            </w:r>
          </w:p>
        </w:tc>
        <w:tc>
          <w:tcPr>
            <w:tcW w:w="1893" w:type="dxa"/>
            <w:gridSpan w:val="5"/>
            <w:tcBorders>
              <w:top w:val="single" w:color="auto" w:sz="4" w:space="0"/>
              <w:left w:val="single" w:color="auto" w:sz="4" w:space="0"/>
              <w:bottom w:val="single" w:color="auto" w:sz="4" w:space="0"/>
              <w:right w:val="single" w:color="auto" w:sz="4" w:space="0"/>
            </w:tcBorders>
            <w:vAlign w:val="center"/>
          </w:tcPr>
          <w:p w14:paraId="76C66550">
            <w:pPr>
              <w:jc w:val="center"/>
              <w:rPr>
                <w:color w:val="auto"/>
                <w:highlight w:val="none"/>
              </w:rPr>
            </w:pPr>
            <w:r>
              <w:rPr>
                <w:rFonts w:hint="eastAsia" w:cs="宋体"/>
                <w:color w:val="auto"/>
                <w:highlight w:val="none"/>
              </w:rPr>
              <w:t>职称</w:t>
            </w:r>
          </w:p>
        </w:tc>
        <w:tc>
          <w:tcPr>
            <w:tcW w:w="1585" w:type="dxa"/>
            <w:gridSpan w:val="3"/>
            <w:tcBorders>
              <w:top w:val="single" w:color="auto" w:sz="4" w:space="0"/>
              <w:left w:val="single" w:color="auto" w:sz="4" w:space="0"/>
              <w:bottom w:val="single" w:color="auto" w:sz="4" w:space="0"/>
              <w:right w:val="single" w:color="auto" w:sz="4" w:space="0"/>
            </w:tcBorders>
            <w:vAlign w:val="center"/>
          </w:tcPr>
          <w:p w14:paraId="3429A92C">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vAlign w:val="center"/>
          </w:tcPr>
          <w:p w14:paraId="3D4BC13F">
            <w:pPr>
              <w:jc w:val="center"/>
              <w:rPr>
                <w:color w:val="auto"/>
                <w:highlight w:val="none"/>
              </w:rPr>
            </w:pPr>
            <w:r>
              <w:rPr>
                <w:rFonts w:hint="eastAsia" w:cs="宋体"/>
                <w:color w:val="auto"/>
                <w:highlight w:val="none"/>
              </w:rPr>
              <w:t>学历</w:t>
            </w:r>
          </w:p>
        </w:tc>
        <w:tc>
          <w:tcPr>
            <w:tcW w:w="1531" w:type="dxa"/>
            <w:gridSpan w:val="4"/>
            <w:tcBorders>
              <w:top w:val="single" w:color="auto" w:sz="4" w:space="0"/>
              <w:left w:val="single" w:color="auto" w:sz="4" w:space="0"/>
              <w:bottom w:val="single" w:color="auto" w:sz="4" w:space="0"/>
              <w:right w:val="single" w:color="auto" w:sz="4" w:space="0"/>
            </w:tcBorders>
            <w:vAlign w:val="center"/>
          </w:tcPr>
          <w:p w14:paraId="1E415393">
            <w:pPr>
              <w:jc w:val="center"/>
              <w:rPr>
                <w:color w:val="auto"/>
                <w:highlight w:val="none"/>
              </w:rPr>
            </w:pPr>
          </w:p>
        </w:tc>
      </w:tr>
      <w:tr w14:paraId="0F04E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tcBorders>
              <w:top w:val="single" w:color="auto" w:sz="4" w:space="0"/>
              <w:left w:val="single" w:color="auto" w:sz="4" w:space="0"/>
              <w:bottom w:val="single" w:color="auto" w:sz="4" w:space="0"/>
              <w:right w:val="single" w:color="auto" w:sz="4" w:space="0"/>
            </w:tcBorders>
            <w:vAlign w:val="center"/>
          </w:tcPr>
          <w:p w14:paraId="068C0B54">
            <w:pPr>
              <w:jc w:val="center"/>
              <w:rPr>
                <w:rFonts w:cs="宋体"/>
                <w:color w:val="auto"/>
                <w:highlight w:val="none"/>
              </w:rPr>
            </w:pPr>
            <w:r>
              <w:rPr>
                <w:rFonts w:hint="eastAsia" w:cs="宋体"/>
                <w:color w:val="auto"/>
                <w:highlight w:val="none"/>
              </w:rPr>
              <w:t>从业开始时间</w:t>
            </w:r>
          </w:p>
        </w:tc>
        <w:tc>
          <w:tcPr>
            <w:tcW w:w="2340" w:type="dxa"/>
            <w:gridSpan w:val="5"/>
            <w:tcBorders>
              <w:top w:val="single" w:color="auto" w:sz="4" w:space="0"/>
              <w:left w:val="single" w:color="auto" w:sz="4" w:space="0"/>
              <w:bottom w:val="single" w:color="auto" w:sz="4" w:space="0"/>
              <w:right w:val="single" w:color="auto" w:sz="4" w:space="0"/>
            </w:tcBorders>
            <w:vAlign w:val="center"/>
          </w:tcPr>
          <w:p w14:paraId="459B4BB0">
            <w:pPr>
              <w:jc w:val="center"/>
              <w:rPr>
                <w:color w:val="auto"/>
                <w:highlight w:val="none"/>
              </w:rPr>
            </w:pPr>
          </w:p>
        </w:tc>
        <w:tc>
          <w:tcPr>
            <w:tcW w:w="1893" w:type="dxa"/>
            <w:gridSpan w:val="5"/>
            <w:tcBorders>
              <w:top w:val="single" w:color="auto" w:sz="4" w:space="0"/>
              <w:left w:val="single" w:color="auto" w:sz="4" w:space="0"/>
              <w:bottom w:val="single" w:color="auto" w:sz="4" w:space="0"/>
              <w:right w:val="single" w:color="auto" w:sz="4" w:space="0"/>
            </w:tcBorders>
            <w:vAlign w:val="center"/>
          </w:tcPr>
          <w:p w14:paraId="71B38549">
            <w:pPr>
              <w:jc w:val="center"/>
              <w:rPr>
                <w:rFonts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tcBorders>
              <w:top w:val="single" w:color="auto" w:sz="4" w:space="0"/>
              <w:left w:val="single" w:color="auto" w:sz="4" w:space="0"/>
              <w:bottom w:val="single" w:color="auto" w:sz="4" w:space="0"/>
              <w:right w:val="single" w:color="auto" w:sz="4" w:space="0"/>
            </w:tcBorders>
            <w:vAlign w:val="center"/>
          </w:tcPr>
          <w:p w14:paraId="0F0D465F">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vAlign w:val="center"/>
          </w:tcPr>
          <w:p w14:paraId="0B515FF0">
            <w:pPr>
              <w:jc w:val="center"/>
              <w:rPr>
                <w:rFonts w:cs="宋体"/>
                <w:color w:val="auto"/>
                <w:highlight w:val="none"/>
              </w:rPr>
            </w:pPr>
            <w:r>
              <w:rPr>
                <w:rFonts w:hint="eastAsia" w:cs="宋体"/>
                <w:color w:val="auto"/>
                <w:highlight w:val="none"/>
              </w:rPr>
              <w:t>毕业时间</w:t>
            </w:r>
          </w:p>
        </w:tc>
        <w:tc>
          <w:tcPr>
            <w:tcW w:w="1531" w:type="dxa"/>
            <w:gridSpan w:val="4"/>
            <w:tcBorders>
              <w:top w:val="single" w:color="auto" w:sz="4" w:space="0"/>
              <w:left w:val="single" w:color="auto" w:sz="4" w:space="0"/>
              <w:bottom w:val="single" w:color="auto" w:sz="4" w:space="0"/>
              <w:right w:val="single" w:color="auto" w:sz="4" w:space="0"/>
            </w:tcBorders>
            <w:vAlign w:val="center"/>
          </w:tcPr>
          <w:p w14:paraId="4BDA4138">
            <w:pPr>
              <w:jc w:val="center"/>
              <w:rPr>
                <w:color w:val="auto"/>
                <w:highlight w:val="none"/>
              </w:rPr>
            </w:pPr>
          </w:p>
        </w:tc>
      </w:tr>
      <w:tr w14:paraId="06B58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tcBorders>
              <w:top w:val="single" w:color="auto" w:sz="4" w:space="0"/>
              <w:left w:val="single" w:color="auto" w:sz="4" w:space="0"/>
              <w:bottom w:val="single" w:color="auto" w:sz="4" w:space="0"/>
              <w:right w:val="single" w:color="auto" w:sz="4" w:space="0"/>
            </w:tcBorders>
            <w:vAlign w:val="center"/>
          </w:tcPr>
          <w:p w14:paraId="4978DED0">
            <w:pPr>
              <w:jc w:val="center"/>
              <w:rPr>
                <w:color w:val="auto"/>
                <w:highlight w:val="none"/>
              </w:rPr>
            </w:pPr>
            <w:r>
              <w:rPr>
                <w:rFonts w:hint="eastAsia" w:cs="宋体"/>
                <w:color w:val="auto"/>
                <w:highlight w:val="none"/>
              </w:rPr>
              <w:t>担任</w:t>
            </w:r>
            <w:r>
              <w:rPr>
                <w:rFonts w:hint="eastAsia"/>
                <w:color w:val="auto"/>
                <w:highlight w:val="none"/>
              </w:rPr>
              <w:t>……</w:t>
            </w:r>
            <w:r>
              <w:rPr>
                <w:rFonts w:hint="eastAsia" w:cs="宋体"/>
                <w:color w:val="auto"/>
                <w:highlight w:val="none"/>
              </w:rPr>
              <w:t>年限</w:t>
            </w:r>
          </w:p>
        </w:tc>
        <w:tc>
          <w:tcPr>
            <w:tcW w:w="2476" w:type="dxa"/>
            <w:gridSpan w:val="6"/>
            <w:tcBorders>
              <w:top w:val="single" w:color="auto" w:sz="4" w:space="0"/>
              <w:left w:val="single" w:color="auto" w:sz="4" w:space="0"/>
              <w:bottom w:val="single" w:color="auto" w:sz="4" w:space="0"/>
              <w:right w:val="single" w:color="auto" w:sz="4" w:space="0"/>
            </w:tcBorders>
            <w:vAlign w:val="center"/>
          </w:tcPr>
          <w:p w14:paraId="3D08B4D8">
            <w:pPr>
              <w:jc w:val="center"/>
              <w:rPr>
                <w:color w:val="auto"/>
                <w:highlight w:val="none"/>
              </w:rPr>
            </w:pPr>
          </w:p>
        </w:tc>
        <w:tc>
          <w:tcPr>
            <w:tcW w:w="1209" w:type="dxa"/>
            <w:tcBorders>
              <w:top w:val="single" w:color="auto" w:sz="4" w:space="0"/>
              <w:left w:val="single" w:color="auto" w:sz="4" w:space="0"/>
              <w:bottom w:val="single" w:color="auto" w:sz="4" w:space="0"/>
              <w:right w:val="single" w:color="auto" w:sz="4" w:space="0"/>
            </w:tcBorders>
            <w:vAlign w:val="center"/>
          </w:tcPr>
          <w:p w14:paraId="120E8FCC">
            <w:pPr>
              <w:jc w:val="center"/>
              <w:rPr>
                <w:color w:val="auto"/>
                <w:highlight w:val="none"/>
              </w:rPr>
            </w:pPr>
            <w:r>
              <w:rPr>
                <w:rFonts w:hint="eastAsia"/>
                <w:color w:val="auto"/>
                <w:highlight w:val="none"/>
              </w:rPr>
              <w:t>身份</w:t>
            </w:r>
            <w:r>
              <w:rPr>
                <w:color w:val="auto"/>
                <w:highlight w:val="none"/>
              </w:rPr>
              <w:t>证号码</w:t>
            </w:r>
          </w:p>
        </w:tc>
        <w:tc>
          <w:tcPr>
            <w:tcW w:w="4608" w:type="dxa"/>
            <w:gridSpan w:val="10"/>
            <w:tcBorders>
              <w:top w:val="single" w:color="auto" w:sz="4" w:space="0"/>
              <w:left w:val="single" w:color="auto" w:sz="4" w:space="0"/>
              <w:bottom w:val="single" w:color="auto" w:sz="4" w:space="0"/>
              <w:right w:val="single" w:color="auto" w:sz="4" w:space="0"/>
            </w:tcBorders>
            <w:vAlign w:val="center"/>
          </w:tcPr>
          <w:p w14:paraId="53AF49F8">
            <w:pPr>
              <w:jc w:val="center"/>
              <w:rPr>
                <w:color w:val="auto"/>
                <w:highlight w:val="none"/>
              </w:rPr>
            </w:pPr>
          </w:p>
        </w:tc>
      </w:tr>
      <w:tr w14:paraId="5869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tcBorders>
              <w:top w:val="single" w:color="auto" w:sz="4" w:space="0"/>
              <w:left w:val="single" w:color="auto" w:sz="4" w:space="0"/>
              <w:bottom w:val="single" w:color="auto" w:sz="4" w:space="0"/>
              <w:right w:val="single" w:color="auto" w:sz="4" w:space="0"/>
            </w:tcBorders>
            <w:vAlign w:val="center"/>
          </w:tcPr>
          <w:p w14:paraId="7CE8AF47">
            <w:pPr>
              <w:jc w:val="center"/>
              <w:rPr>
                <w:color w:val="auto"/>
                <w:highlight w:val="none"/>
              </w:rPr>
            </w:pPr>
            <w:r>
              <w:rPr>
                <w:rFonts w:hint="eastAsia"/>
                <w:color w:val="auto"/>
                <w:highlight w:val="none"/>
              </w:rPr>
              <w:t>证书名称</w:t>
            </w:r>
          </w:p>
        </w:tc>
        <w:tc>
          <w:tcPr>
            <w:tcW w:w="1188" w:type="dxa"/>
            <w:gridSpan w:val="2"/>
            <w:tcBorders>
              <w:top w:val="single" w:color="auto" w:sz="4" w:space="0"/>
              <w:left w:val="single" w:color="auto" w:sz="4" w:space="0"/>
              <w:bottom w:val="single" w:color="auto" w:sz="4" w:space="0"/>
              <w:right w:val="single" w:color="auto" w:sz="4" w:space="0"/>
            </w:tcBorders>
            <w:vAlign w:val="center"/>
          </w:tcPr>
          <w:p w14:paraId="05993593">
            <w:pPr>
              <w:jc w:val="center"/>
              <w:rPr>
                <w:color w:val="auto"/>
                <w:highlight w:val="none"/>
              </w:rPr>
            </w:pPr>
            <w:r>
              <w:rPr>
                <w:rFonts w:hint="eastAsia"/>
                <w:color w:val="auto"/>
                <w:highlight w:val="none"/>
              </w:rPr>
              <w:t>注册专业</w:t>
            </w:r>
          </w:p>
        </w:tc>
        <w:tc>
          <w:tcPr>
            <w:tcW w:w="1222" w:type="dxa"/>
            <w:gridSpan w:val="3"/>
            <w:tcBorders>
              <w:top w:val="single" w:color="auto" w:sz="4" w:space="0"/>
              <w:left w:val="single" w:color="auto" w:sz="4" w:space="0"/>
              <w:bottom w:val="single" w:color="auto" w:sz="4" w:space="0"/>
              <w:right w:val="single" w:color="auto" w:sz="4" w:space="0"/>
            </w:tcBorders>
            <w:vAlign w:val="center"/>
          </w:tcPr>
          <w:p w14:paraId="61A908C4">
            <w:pPr>
              <w:jc w:val="center"/>
              <w:rPr>
                <w:color w:val="auto"/>
                <w:highlight w:val="none"/>
              </w:rPr>
            </w:pPr>
            <w:r>
              <w:rPr>
                <w:color w:val="auto"/>
                <w:highlight w:val="none"/>
              </w:rPr>
              <w:t>级别</w:t>
            </w:r>
          </w:p>
        </w:tc>
        <w:tc>
          <w:tcPr>
            <w:tcW w:w="1417" w:type="dxa"/>
            <w:gridSpan w:val="3"/>
            <w:tcBorders>
              <w:top w:val="single" w:color="auto" w:sz="4" w:space="0"/>
              <w:left w:val="single" w:color="auto" w:sz="4" w:space="0"/>
              <w:bottom w:val="single" w:color="auto" w:sz="4" w:space="0"/>
              <w:right w:val="single" w:color="auto" w:sz="4" w:space="0"/>
            </w:tcBorders>
            <w:vAlign w:val="center"/>
          </w:tcPr>
          <w:p w14:paraId="2CC2222B">
            <w:pPr>
              <w:jc w:val="center"/>
              <w:rPr>
                <w:color w:val="auto"/>
                <w:highlight w:val="none"/>
              </w:rPr>
            </w:pPr>
            <w:r>
              <w:rPr>
                <w:rFonts w:hint="eastAsia" w:cs="宋体"/>
                <w:color w:val="auto"/>
                <w:highlight w:val="none"/>
              </w:rPr>
              <w:t>证书编号</w:t>
            </w:r>
          </w:p>
        </w:tc>
        <w:tc>
          <w:tcPr>
            <w:tcW w:w="1418" w:type="dxa"/>
            <w:gridSpan w:val="3"/>
            <w:tcBorders>
              <w:top w:val="single" w:color="auto" w:sz="4" w:space="0"/>
              <w:left w:val="single" w:color="auto" w:sz="4" w:space="0"/>
              <w:bottom w:val="single" w:color="auto" w:sz="4" w:space="0"/>
              <w:right w:val="single" w:color="auto" w:sz="4" w:space="0"/>
            </w:tcBorders>
            <w:vAlign w:val="center"/>
          </w:tcPr>
          <w:p w14:paraId="2EA592BB">
            <w:pPr>
              <w:jc w:val="center"/>
              <w:rPr>
                <w:color w:val="auto"/>
                <w:highlight w:val="none"/>
              </w:rPr>
            </w:pPr>
            <w:r>
              <w:rPr>
                <w:rFonts w:hint="eastAsia"/>
                <w:color w:val="auto"/>
                <w:highlight w:val="none"/>
              </w:rPr>
              <w:t>注册时间</w:t>
            </w:r>
          </w:p>
        </w:tc>
        <w:tc>
          <w:tcPr>
            <w:tcW w:w="1632" w:type="dxa"/>
            <w:gridSpan w:val="4"/>
            <w:tcBorders>
              <w:top w:val="single" w:color="auto" w:sz="4" w:space="0"/>
              <w:left w:val="single" w:color="auto" w:sz="4" w:space="0"/>
              <w:bottom w:val="single" w:color="auto" w:sz="4" w:space="0"/>
              <w:right w:val="single" w:color="auto" w:sz="4" w:space="0"/>
            </w:tcBorders>
            <w:vAlign w:val="center"/>
          </w:tcPr>
          <w:p w14:paraId="20FAD1DF">
            <w:pPr>
              <w:jc w:val="center"/>
              <w:rPr>
                <w:color w:val="auto"/>
                <w:highlight w:val="none"/>
              </w:rPr>
            </w:pPr>
            <w:r>
              <w:rPr>
                <w:rFonts w:hint="eastAsia"/>
                <w:color w:val="auto"/>
                <w:highlight w:val="none"/>
              </w:rPr>
              <w:t>注册单位</w:t>
            </w:r>
          </w:p>
        </w:tc>
        <w:tc>
          <w:tcPr>
            <w:tcW w:w="1416" w:type="dxa"/>
            <w:gridSpan w:val="2"/>
            <w:tcBorders>
              <w:top w:val="single" w:color="auto" w:sz="4" w:space="0"/>
              <w:left w:val="single" w:color="auto" w:sz="4" w:space="0"/>
              <w:bottom w:val="single" w:color="auto" w:sz="4" w:space="0"/>
              <w:right w:val="single" w:color="auto" w:sz="4" w:space="0"/>
            </w:tcBorders>
            <w:vAlign w:val="center"/>
          </w:tcPr>
          <w:p w14:paraId="51522BDB">
            <w:pPr>
              <w:jc w:val="center"/>
              <w:rPr>
                <w:color w:val="auto"/>
                <w:highlight w:val="none"/>
              </w:rPr>
            </w:pPr>
            <w:r>
              <w:rPr>
                <w:rFonts w:hint="eastAsia"/>
                <w:color w:val="auto"/>
                <w:highlight w:val="none"/>
              </w:rPr>
              <w:t>注册有效期</w:t>
            </w:r>
          </w:p>
        </w:tc>
      </w:tr>
      <w:tr w14:paraId="0E083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tcBorders>
              <w:top w:val="single" w:color="auto" w:sz="4" w:space="0"/>
              <w:left w:val="single" w:color="auto" w:sz="4" w:space="0"/>
              <w:bottom w:val="single" w:color="auto" w:sz="4" w:space="0"/>
              <w:right w:val="single" w:color="auto" w:sz="4" w:space="0"/>
            </w:tcBorders>
            <w:vAlign w:val="center"/>
          </w:tcPr>
          <w:p w14:paraId="5BD08BC9">
            <w:pPr>
              <w:jc w:val="center"/>
              <w:rPr>
                <w:color w:val="auto"/>
                <w:highlight w:val="none"/>
              </w:rPr>
            </w:pPr>
          </w:p>
        </w:tc>
        <w:tc>
          <w:tcPr>
            <w:tcW w:w="1188" w:type="dxa"/>
            <w:gridSpan w:val="2"/>
            <w:tcBorders>
              <w:top w:val="single" w:color="auto" w:sz="4" w:space="0"/>
              <w:left w:val="single" w:color="auto" w:sz="4" w:space="0"/>
              <w:bottom w:val="single" w:color="auto" w:sz="4" w:space="0"/>
              <w:right w:val="single" w:color="auto" w:sz="4" w:space="0"/>
            </w:tcBorders>
            <w:vAlign w:val="center"/>
          </w:tcPr>
          <w:p w14:paraId="6A8F74A2">
            <w:pPr>
              <w:jc w:val="center"/>
              <w:rPr>
                <w:color w:val="auto"/>
                <w:highlight w:val="none"/>
              </w:rPr>
            </w:pPr>
          </w:p>
        </w:tc>
        <w:tc>
          <w:tcPr>
            <w:tcW w:w="1222" w:type="dxa"/>
            <w:gridSpan w:val="3"/>
            <w:tcBorders>
              <w:top w:val="single" w:color="auto" w:sz="4" w:space="0"/>
              <w:left w:val="single" w:color="auto" w:sz="4" w:space="0"/>
              <w:bottom w:val="single" w:color="auto" w:sz="4" w:space="0"/>
              <w:right w:val="single" w:color="auto" w:sz="4" w:space="0"/>
            </w:tcBorders>
            <w:vAlign w:val="center"/>
          </w:tcPr>
          <w:p w14:paraId="1C7A6A28">
            <w:pPr>
              <w:jc w:val="center"/>
              <w:rPr>
                <w:rFonts w:cs="宋体"/>
                <w:color w:val="auto"/>
                <w:highlight w:val="none"/>
              </w:rPr>
            </w:pPr>
          </w:p>
        </w:tc>
        <w:tc>
          <w:tcPr>
            <w:tcW w:w="1417" w:type="dxa"/>
            <w:gridSpan w:val="3"/>
            <w:tcBorders>
              <w:top w:val="single" w:color="auto" w:sz="4" w:space="0"/>
              <w:left w:val="single" w:color="auto" w:sz="4" w:space="0"/>
              <w:bottom w:val="single" w:color="auto" w:sz="4" w:space="0"/>
              <w:right w:val="single" w:color="auto" w:sz="4" w:space="0"/>
            </w:tcBorders>
            <w:vAlign w:val="center"/>
          </w:tcPr>
          <w:p w14:paraId="1F474B50">
            <w:pPr>
              <w:jc w:val="center"/>
              <w:rPr>
                <w:color w:val="auto"/>
                <w:highlight w:val="none"/>
              </w:rPr>
            </w:pPr>
          </w:p>
        </w:tc>
        <w:tc>
          <w:tcPr>
            <w:tcW w:w="1418" w:type="dxa"/>
            <w:gridSpan w:val="3"/>
            <w:tcBorders>
              <w:top w:val="single" w:color="auto" w:sz="4" w:space="0"/>
              <w:left w:val="single" w:color="auto" w:sz="4" w:space="0"/>
              <w:bottom w:val="single" w:color="auto" w:sz="4" w:space="0"/>
              <w:right w:val="single" w:color="auto" w:sz="4" w:space="0"/>
            </w:tcBorders>
            <w:vAlign w:val="center"/>
          </w:tcPr>
          <w:p w14:paraId="0D20FA2E">
            <w:pPr>
              <w:jc w:val="center"/>
              <w:rPr>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vAlign w:val="center"/>
          </w:tcPr>
          <w:p w14:paraId="452A8071">
            <w:pPr>
              <w:jc w:val="center"/>
              <w:rPr>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vAlign w:val="center"/>
          </w:tcPr>
          <w:p w14:paraId="0A8E3EB4">
            <w:pPr>
              <w:jc w:val="center"/>
              <w:rPr>
                <w:color w:val="auto"/>
                <w:highlight w:val="none"/>
              </w:rPr>
            </w:pPr>
          </w:p>
        </w:tc>
      </w:tr>
      <w:tr w14:paraId="54E6A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tcBorders>
              <w:top w:val="single" w:color="auto" w:sz="4" w:space="0"/>
              <w:left w:val="single" w:color="auto" w:sz="4" w:space="0"/>
              <w:bottom w:val="single" w:color="auto" w:sz="4" w:space="0"/>
              <w:right w:val="single" w:color="auto" w:sz="4" w:space="0"/>
            </w:tcBorders>
            <w:vAlign w:val="center"/>
          </w:tcPr>
          <w:p w14:paraId="6C0FDAC2">
            <w:pPr>
              <w:jc w:val="center"/>
              <w:rPr>
                <w:color w:val="auto"/>
                <w:highlight w:val="none"/>
              </w:rPr>
            </w:pPr>
          </w:p>
        </w:tc>
        <w:tc>
          <w:tcPr>
            <w:tcW w:w="1188" w:type="dxa"/>
            <w:gridSpan w:val="2"/>
            <w:tcBorders>
              <w:top w:val="single" w:color="auto" w:sz="4" w:space="0"/>
              <w:left w:val="single" w:color="auto" w:sz="4" w:space="0"/>
              <w:bottom w:val="single" w:color="auto" w:sz="4" w:space="0"/>
              <w:right w:val="single" w:color="auto" w:sz="4" w:space="0"/>
            </w:tcBorders>
            <w:vAlign w:val="center"/>
          </w:tcPr>
          <w:p w14:paraId="37482C7A">
            <w:pPr>
              <w:jc w:val="center"/>
              <w:rPr>
                <w:color w:val="auto"/>
                <w:highlight w:val="none"/>
              </w:rPr>
            </w:pPr>
          </w:p>
        </w:tc>
        <w:tc>
          <w:tcPr>
            <w:tcW w:w="1222" w:type="dxa"/>
            <w:gridSpan w:val="3"/>
            <w:tcBorders>
              <w:top w:val="single" w:color="auto" w:sz="4" w:space="0"/>
              <w:left w:val="single" w:color="auto" w:sz="4" w:space="0"/>
              <w:bottom w:val="single" w:color="auto" w:sz="4" w:space="0"/>
              <w:right w:val="single" w:color="auto" w:sz="4" w:space="0"/>
            </w:tcBorders>
            <w:vAlign w:val="center"/>
          </w:tcPr>
          <w:p w14:paraId="66DF22A7">
            <w:pPr>
              <w:jc w:val="center"/>
              <w:rPr>
                <w:rFonts w:cs="宋体"/>
                <w:color w:val="auto"/>
                <w:highlight w:val="none"/>
              </w:rPr>
            </w:pPr>
          </w:p>
        </w:tc>
        <w:tc>
          <w:tcPr>
            <w:tcW w:w="1417" w:type="dxa"/>
            <w:gridSpan w:val="3"/>
            <w:tcBorders>
              <w:top w:val="single" w:color="auto" w:sz="4" w:space="0"/>
              <w:left w:val="single" w:color="auto" w:sz="4" w:space="0"/>
              <w:bottom w:val="single" w:color="auto" w:sz="4" w:space="0"/>
              <w:right w:val="single" w:color="auto" w:sz="4" w:space="0"/>
            </w:tcBorders>
            <w:vAlign w:val="center"/>
          </w:tcPr>
          <w:p w14:paraId="194154CF">
            <w:pPr>
              <w:jc w:val="center"/>
              <w:rPr>
                <w:color w:val="auto"/>
                <w:highlight w:val="none"/>
              </w:rPr>
            </w:pPr>
          </w:p>
        </w:tc>
        <w:tc>
          <w:tcPr>
            <w:tcW w:w="1418" w:type="dxa"/>
            <w:gridSpan w:val="3"/>
            <w:tcBorders>
              <w:top w:val="single" w:color="auto" w:sz="4" w:space="0"/>
              <w:left w:val="single" w:color="auto" w:sz="4" w:space="0"/>
              <w:bottom w:val="single" w:color="auto" w:sz="4" w:space="0"/>
              <w:right w:val="single" w:color="auto" w:sz="4" w:space="0"/>
            </w:tcBorders>
            <w:vAlign w:val="center"/>
          </w:tcPr>
          <w:p w14:paraId="7A5F5180">
            <w:pPr>
              <w:jc w:val="center"/>
              <w:rPr>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vAlign w:val="center"/>
          </w:tcPr>
          <w:p w14:paraId="35C6A691">
            <w:pPr>
              <w:jc w:val="center"/>
              <w:rPr>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vAlign w:val="center"/>
          </w:tcPr>
          <w:p w14:paraId="20F0E750">
            <w:pPr>
              <w:jc w:val="center"/>
              <w:rPr>
                <w:color w:val="auto"/>
                <w:highlight w:val="none"/>
              </w:rPr>
            </w:pPr>
          </w:p>
        </w:tc>
      </w:tr>
      <w:tr w14:paraId="61B8D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tcBorders>
              <w:top w:val="single" w:color="auto" w:sz="4" w:space="0"/>
              <w:left w:val="single" w:color="auto" w:sz="4" w:space="0"/>
              <w:bottom w:val="single" w:color="auto" w:sz="4" w:space="0"/>
              <w:right w:val="single" w:color="auto" w:sz="4" w:space="0"/>
            </w:tcBorders>
            <w:vAlign w:val="center"/>
          </w:tcPr>
          <w:p w14:paraId="30485385">
            <w:pPr>
              <w:jc w:val="center"/>
              <w:rPr>
                <w:color w:val="auto"/>
                <w:highlight w:val="none"/>
              </w:rPr>
            </w:pPr>
            <w:r>
              <w:rPr>
                <w:rFonts w:hint="eastAsia" w:cs="宋体"/>
                <w:color w:val="auto"/>
                <w:highlight w:val="none"/>
              </w:rPr>
              <w:t>在建和已完工程项目情况</w:t>
            </w:r>
          </w:p>
        </w:tc>
      </w:tr>
      <w:tr w14:paraId="2DA9B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0AD63015">
            <w:pPr>
              <w:jc w:val="center"/>
              <w:rPr>
                <w:color w:val="auto"/>
                <w:highlight w:val="none"/>
              </w:rPr>
            </w:pP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55FF5338">
            <w:pPr>
              <w:jc w:val="center"/>
              <w:rPr>
                <w:color w:val="auto"/>
                <w:highlight w:val="none"/>
              </w:rPr>
            </w:pPr>
            <w:r>
              <w:rPr>
                <w:rFonts w:hint="eastAsia"/>
                <w:color w:val="auto"/>
                <w:highlight w:val="none"/>
              </w:rPr>
              <w:t>项目1</w:t>
            </w: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3F287106">
            <w:pPr>
              <w:jc w:val="center"/>
              <w:rPr>
                <w:color w:val="auto"/>
                <w:highlight w:val="none"/>
              </w:rPr>
            </w:pPr>
            <w:r>
              <w:rPr>
                <w:rFonts w:hint="eastAsia"/>
                <w:color w:val="auto"/>
                <w:highlight w:val="none"/>
              </w:rPr>
              <w:t>项目2</w:t>
            </w: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0D84B951">
            <w:pPr>
              <w:jc w:val="center"/>
              <w:rPr>
                <w:color w:val="auto"/>
                <w:highlight w:val="none"/>
              </w:rPr>
            </w:pPr>
            <w:r>
              <w:rPr>
                <w:rFonts w:hint="eastAsia"/>
                <w:color w:val="auto"/>
                <w:highlight w:val="none"/>
              </w:rPr>
              <w:t>项目3</w:t>
            </w: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37C60C80">
            <w:pPr>
              <w:jc w:val="center"/>
              <w:rPr>
                <w:color w:val="auto"/>
                <w:highlight w:val="none"/>
              </w:rPr>
            </w:pPr>
            <w:r>
              <w:rPr>
                <w:rFonts w:hint="eastAsia"/>
                <w:color w:val="auto"/>
                <w:highlight w:val="none"/>
              </w:rPr>
              <w:t>项目4</w:t>
            </w: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43DA6D8E">
            <w:pPr>
              <w:jc w:val="center"/>
              <w:rPr>
                <w:color w:val="auto"/>
                <w:highlight w:val="none"/>
              </w:rPr>
            </w:pPr>
            <w:r>
              <w:rPr>
                <w:rFonts w:hint="eastAsia"/>
                <w:color w:val="auto"/>
                <w:highlight w:val="none"/>
              </w:rPr>
              <w:t>……</w:t>
            </w:r>
          </w:p>
        </w:tc>
      </w:tr>
      <w:tr w14:paraId="6D35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641F70BB">
            <w:pPr>
              <w:jc w:val="center"/>
              <w:rPr>
                <w:color w:val="auto"/>
                <w:highlight w:val="none"/>
              </w:rPr>
            </w:pPr>
            <w:r>
              <w:rPr>
                <w:rFonts w:hint="eastAsia"/>
                <w:color w:val="auto"/>
                <w:highlight w:val="none"/>
              </w:rPr>
              <w:t>项目名称</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2534B23E">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71A6B51C">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237EE30B">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55D8D7D0">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7ADC36F4">
            <w:pPr>
              <w:jc w:val="center"/>
              <w:rPr>
                <w:color w:val="auto"/>
                <w:highlight w:val="none"/>
              </w:rPr>
            </w:pPr>
          </w:p>
        </w:tc>
      </w:tr>
      <w:tr w14:paraId="13565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293989E9">
            <w:pPr>
              <w:jc w:val="center"/>
              <w:rPr>
                <w:color w:val="auto"/>
                <w:highlight w:val="none"/>
              </w:rPr>
            </w:pPr>
            <w:r>
              <w:rPr>
                <w:rFonts w:hint="eastAsia" w:cs="宋体"/>
                <w:color w:val="auto"/>
                <w:highlight w:val="none"/>
              </w:rPr>
              <w:t>建设单位</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1F6C8298">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20DAB79E">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01C2FD4C">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307BF85E">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1EF40AFD">
            <w:pPr>
              <w:jc w:val="center"/>
              <w:rPr>
                <w:color w:val="auto"/>
                <w:highlight w:val="none"/>
              </w:rPr>
            </w:pPr>
          </w:p>
        </w:tc>
      </w:tr>
      <w:tr w14:paraId="0F276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728A9F70">
            <w:pPr>
              <w:jc w:val="center"/>
              <w:rPr>
                <w:color w:val="auto"/>
                <w:highlight w:val="none"/>
              </w:rPr>
            </w:pPr>
            <w:r>
              <w:rPr>
                <w:rFonts w:hint="eastAsia" w:cs="宋体"/>
                <w:color w:val="auto"/>
                <w:highlight w:val="none"/>
              </w:rPr>
              <w:t>建设规模</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4B139016">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488B7455">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28FAC0A4">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36BD0C4D">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0D8DACB5">
            <w:pPr>
              <w:jc w:val="center"/>
              <w:rPr>
                <w:color w:val="auto"/>
                <w:highlight w:val="none"/>
              </w:rPr>
            </w:pPr>
          </w:p>
        </w:tc>
      </w:tr>
      <w:tr w14:paraId="3129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74C93D10">
            <w:pPr>
              <w:jc w:val="center"/>
              <w:rPr>
                <w:rFonts w:hint="eastAsia" w:ascii="宋体" w:hAnsi="宋体" w:cs="宋体"/>
                <w:color w:val="auto"/>
                <w:sz w:val="27"/>
                <w:szCs w:val="27"/>
                <w:highlight w:val="none"/>
                <w:lang w:bidi="ar"/>
              </w:rPr>
            </w:pPr>
            <w:r>
              <w:rPr>
                <w:rFonts w:hint="eastAsia" w:cs="宋体"/>
                <w:color w:val="auto"/>
                <w:highlight w:val="none"/>
              </w:rPr>
              <w:t>开工日期</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673896F5">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0104107F">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13F9834C">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662EC610">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2B7135C8">
            <w:pPr>
              <w:jc w:val="center"/>
              <w:rPr>
                <w:color w:val="auto"/>
                <w:highlight w:val="none"/>
              </w:rPr>
            </w:pPr>
          </w:p>
        </w:tc>
      </w:tr>
      <w:tr w14:paraId="47F04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0FD52133">
            <w:pPr>
              <w:jc w:val="center"/>
              <w:rPr>
                <w:color w:val="auto"/>
                <w:highlight w:val="none"/>
              </w:rPr>
            </w:pPr>
            <w:r>
              <w:rPr>
                <w:rFonts w:hint="eastAsia" w:cs="宋体"/>
                <w:color w:val="auto"/>
                <w:highlight w:val="none"/>
              </w:rPr>
              <w:t>竣工日期</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7E6760EA">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5EFDE479">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4D32CC59">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30D65CBB">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2AB04914">
            <w:pPr>
              <w:jc w:val="center"/>
              <w:rPr>
                <w:color w:val="auto"/>
                <w:highlight w:val="none"/>
              </w:rPr>
            </w:pPr>
          </w:p>
        </w:tc>
      </w:tr>
      <w:tr w14:paraId="6BA20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67045545">
            <w:pPr>
              <w:jc w:val="center"/>
              <w:rPr>
                <w:rFonts w:cs="宋体"/>
                <w:color w:val="auto"/>
                <w:highlight w:val="none"/>
              </w:rPr>
            </w:pPr>
            <w:r>
              <w:rPr>
                <w:rFonts w:hint="eastAsia" w:cs="宋体"/>
                <w:color w:val="auto"/>
                <w:highlight w:val="none"/>
              </w:rPr>
              <w:t>人员角色</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2C481F2B">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65E08C0F">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726A1AAD">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6B8E4905">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4C942D7E">
            <w:pPr>
              <w:jc w:val="center"/>
              <w:rPr>
                <w:color w:val="auto"/>
                <w:highlight w:val="none"/>
              </w:rPr>
            </w:pPr>
          </w:p>
        </w:tc>
      </w:tr>
      <w:tr w14:paraId="34613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42936D01">
            <w:pPr>
              <w:jc w:val="center"/>
              <w:rPr>
                <w:rFonts w:cs="宋体"/>
                <w:color w:val="auto"/>
                <w:highlight w:val="none"/>
              </w:rPr>
            </w:pPr>
            <w:r>
              <w:rPr>
                <w:rFonts w:hint="eastAsia" w:cs="宋体"/>
                <w:color w:val="auto"/>
                <w:highlight w:val="none"/>
              </w:rPr>
              <w:t>在建或已完</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2CC986EC">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4A49D11E">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0CE84D62">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46ED6824">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1CC1081E">
            <w:pPr>
              <w:jc w:val="center"/>
              <w:rPr>
                <w:color w:val="auto"/>
                <w:highlight w:val="none"/>
              </w:rPr>
            </w:pPr>
          </w:p>
        </w:tc>
      </w:tr>
      <w:tr w14:paraId="43C7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103A18A4">
            <w:pPr>
              <w:jc w:val="center"/>
              <w:rPr>
                <w:rFonts w:cs="宋体"/>
                <w:color w:val="auto"/>
                <w:highlight w:val="none"/>
              </w:rPr>
            </w:pPr>
            <w:r>
              <w:rPr>
                <w:rFonts w:hint="eastAsia" w:cs="宋体"/>
                <w:color w:val="auto"/>
                <w:highlight w:val="none"/>
              </w:rPr>
              <w:t>工程质量</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1FCFF970">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08A0F776">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22421F12">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5DAEA7AA">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10631275">
            <w:pPr>
              <w:jc w:val="center"/>
              <w:rPr>
                <w:color w:val="auto"/>
                <w:highlight w:val="none"/>
              </w:rPr>
            </w:pPr>
          </w:p>
        </w:tc>
      </w:tr>
      <w:tr w14:paraId="0578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61900507">
            <w:pPr>
              <w:jc w:val="center"/>
              <w:rPr>
                <w:rFonts w:cs="宋体"/>
                <w:color w:val="auto"/>
                <w:highlight w:val="none"/>
              </w:rPr>
            </w:pPr>
            <w:r>
              <w:rPr>
                <w:rFonts w:hint="eastAsia" w:cs="宋体"/>
                <w:color w:val="auto"/>
                <w:highlight w:val="none"/>
              </w:rPr>
              <w:t>受奖情况</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6D1DC252">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29B4A965">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12D346DC">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4E521E1E">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3F5A4794">
            <w:pPr>
              <w:jc w:val="center"/>
              <w:rPr>
                <w:color w:val="auto"/>
                <w:highlight w:val="none"/>
              </w:rPr>
            </w:pPr>
          </w:p>
        </w:tc>
      </w:tr>
    </w:tbl>
    <w:p w14:paraId="0879275F">
      <w:pPr>
        <w:spacing w:line="360" w:lineRule="auto"/>
        <w:rPr>
          <w:rFonts w:hint="eastAsia" w:ascii="宋体" w:hAnsi="宋体"/>
          <w:color w:val="auto"/>
          <w:szCs w:val="21"/>
          <w:highlight w:val="none"/>
        </w:rPr>
      </w:pPr>
      <w:r>
        <w:rPr>
          <w:rFonts w:hint="eastAsia" w:ascii="宋体" w:hAnsi="宋体" w:cs="楷体_GB2312"/>
          <w:color w:val="auto"/>
          <w:szCs w:val="21"/>
          <w:highlight w:val="none"/>
        </w:rPr>
        <w:t>备注：</w:t>
      </w:r>
    </w:p>
    <w:p w14:paraId="2AE81538">
      <w:pPr>
        <w:spacing w:line="360" w:lineRule="auto"/>
        <w:ind w:firstLine="42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.项目</w:t>
      </w:r>
      <w:r>
        <w:rPr>
          <w:rFonts w:ascii="宋体" w:hAnsi="宋体"/>
          <w:color w:val="auto"/>
          <w:szCs w:val="21"/>
          <w:highlight w:val="none"/>
        </w:rPr>
        <w:t>数</w:t>
      </w:r>
      <w:r>
        <w:rPr>
          <w:rFonts w:hint="eastAsia" w:ascii="宋体" w:hAnsi="宋体"/>
          <w:color w:val="auto"/>
          <w:szCs w:val="21"/>
          <w:highlight w:val="none"/>
        </w:rPr>
        <w:t>可</w:t>
      </w:r>
      <w:r>
        <w:rPr>
          <w:rFonts w:ascii="宋体" w:hAnsi="宋体"/>
          <w:color w:val="auto"/>
          <w:szCs w:val="21"/>
          <w:highlight w:val="none"/>
        </w:rPr>
        <w:t>以根据需要增加。</w:t>
      </w:r>
    </w:p>
    <w:p w14:paraId="2482D78B">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2.本表后附项目技术负责人（项目总工）的学历证、本表所列证书复印件并加盖供应商电子签章。</w:t>
      </w:r>
    </w:p>
    <w:p w14:paraId="4A93ACF0">
      <w:pPr>
        <w:spacing w:line="360" w:lineRule="auto"/>
        <w:rPr>
          <w:rFonts w:eastAsia="楷体_GB2312"/>
          <w:color w:val="auto"/>
          <w:highlight w:val="none"/>
        </w:rPr>
      </w:pPr>
    </w:p>
    <w:p w14:paraId="1E5E4AEE">
      <w:pPr>
        <w:pStyle w:val="353"/>
        <w:spacing w:line="360" w:lineRule="auto"/>
        <w:jc w:val="center"/>
        <w:outlineLvl w:val="0"/>
        <w:rPr>
          <w:color w:val="auto"/>
          <w:sz w:val="28"/>
          <w:szCs w:val="28"/>
          <w:highlight w:val="none"/>
          <w:u w:val="single"/>
        </w:rPr>
      </w:pPr>
      <w:r>
        <w:rPr>
          <w:rFonts w:cs="宋体"/>
          <w:b/>
          <w:bCs/>
          <w:color w:val="auto"/>
          <w:sz w:val="28"/>
          <w:szCs w:val="28"/>
          <w:highlight w:val="none"/>
        </w:rPr>
        <w:br w:type="page" w:clear="all"/>
      </w:r>
      <w:bookmarkStart w:id="116" w:name="_Toc233964172"/>
      <w:r>
        <w:rPr>
          <w:rFonts w:hint="eastAsia" w:cs="宋体"/>
          <w:b/>
          <w:color w:val="auto"/>
          <w:sz w:val="28"/>
          <w:szCs w:val="28"/>
          <w:highlight w:val="none"/>
        </w:rPr>
        <w:t>专职安全生产管理人员</w:t>
      </w:r>
      <w:bookmarkEnd w:id="116"/>
    </w:p>
    <w:tbl>
      <w:tblPr>
        <w:tblStyle w:val="44"/>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77"/>
        <w:gridCol w:w="395"/>
        <w:gridCol w:w="880"/>
        <w:gridCol w:w="668"/>
        <w:gridCol w:w="320"/>
        <w:gridCol w:w="234"/>
        <w:gridCol w:w="66"/>
        <w:gridCol w:w="1217"/>
        <w:gridCol w:w="134"/>
        <w:gridCol w:w="242"/>
        <w:gridCol w:w="1096"/>
        <w:gridCol w:w="80"/>
        <w:gridCol w:w="409"/>
        <w:gridCol w:w="1108"/>
        <w:gridCol w:w="44"/>
        <w:gridCol w:w="71"/>
        <w:gridCol w:w="1413"/>
        <w:gridCol w:w="11"/>
      </w:tblGrid>
      <w:tr w14:paraId="5E407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tcBorders>
              <w:top w:val="single" w:color="auto" w:sz="4" w:space="0"/>
              <w:left w:val="single" w:color="auto" w:sz="4" w:space="0"/>
              <w:bottom w:val="single" w:color="auto" w:sz="4" w:space="0"/>
              <w:right w:val="single" w:color="auto" w:sz="4" w:space="0"/>
            </w:tcBorders>
            <w:vAlign w:val="center"/>
          </w:tcPr>
          <w:p w14:paraId="226D5AD7">
            <w:pPr>
              <w:jc w:val="center"/>
              <w:rPr>
                <w:color w:val="auto"/>
                <w:highlight w:val="none"/>
              </w:rPr>
            </w:pPr>
            <w:r>
              <w:rPr>
                <w:rFonts w:hint="eastAsia" w:cs="宋体"/>
                <w:color w:val="auto"/>
                <w:highlight w:val="none"/>
              </w:rPr>
              <w:t>姓名</w:t>
            </w:r>
          </w:p>
        </w:tc>
        <w:tc>
          <w:tcPr>
            <w:tcW w:w="2340" w:type="dxa"/>
            <w:gridSpan w:val="5"/>
            <w:tcBorders>
              <w:top w:val="single" w:color="auto" w:sz="4" w:space="0"/>
              <w:left w:val="single" w:color="auto" w:sz="4" w:space="0"/>
              <w:bottom w:val="single" w:color="auto" w:sz="4" w:space="0"/>
              <w:right w:val="single" w:color="auto" w:sz="4" w:space="0"/>
            </w:tcBorders>
            <w:vAlign w:val="center"/>
          </w:tcPr>
          <w:p w14:paraId="58429D6E">
            <w:pPr>
              <w:jc w:val="center"/>
              <w:rPr>
                <w:color w:val="auto"/>
                <w:highlight w:val="none"/>
              </w:rPr>
            </w:pPr>
          </w:p>
        </w:tc>
        <w:tc>
          <w:tcPr>
            <w:tcW w:w="1893" w:type="dxa"/>
            <w:gridSpan w:val="5"/>
            <w:tcBorders>
              <w:top w:val="single" w:color="auto" w:sz="4" w:space="0"/>
              <w:left w:val="single" w:color="auto" w:sz="4" w:space="0"/>
              <w:bottom w:val="single" w:color="auto" w:sz="4" w:space="0"/>
              <w:right w:val="single" w:color="auto" w:sz="4" w:space="0"/>
            </w:tcBorders>
            <w:vAlign w:val="center"/>
          </w:tcPr>
          <w:p w14:paraId="0E9E6F10">
            <w:pPr>
              <w:jc w:val="center"/>
              <w:rPr>
                <w:color w:val="auto"/>
                <w:highlight w:val="none"/>
              </w:rPr>
            </w:pPr>
            <w:r>
              <w:rPr>
                <w:rFonts w:hint="eastAsia" w:cs="宋体"/>
                <w:color w:val="auto"/>
                <w:highlight w:val="none"/>
              </w:rPr>
              <w:t>性别</w:t>
            </w:r>
          </w:p>
        </w:tc>
        <w:tc>
          <w:tcPr>
            <w:tcW w:w="1585" w:type="dxa"/>
            <w:gridSpan w:val="3"/>
            <w:tcBorders>
              <w:top w:val="single" w:color="auto" w:sz="4" w:space="0"/>
              <w:left w:val="single" w:color="auto" w:sz="4" w:space="0"/>
              <w:bottom w:val="single" w:color="auto" w:sz="4" w:space="0"/>
              <w:right w:val="single" w:color="auto" w:sz="4" w:space="0"/>
            </w:tcBorders>
            <w:vAlign w:val="center"/>
          </w:tcPr>
          <w:p w14:paraId="6F177414">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vAlign w:val="center"/>
          </w:tcPr>
          <w:p w14:paraId="71CD171A">
            <w:pPr>
              <w:jc w:val="center"/>
              <w:rPr>
                <w:color w:val="auto"/>
                <w:highlight w:val="none"/>
              </w:rPr>
            </w:pPr>
            <w:r>
              <w:rPr>
                <w:rFonts w:hint="eastAsia" w:cs="宋体"/>
                <w:color w:val="auto"/>
                <w:highlight w:val="none"/>
              </w:rPr>
              <w:t>年龄</w:t>
            </w:r>
          </w:p>
        </w:tc>
        <w:tc>
          <w:tcPr>
            <w:tcW w:w="1531" w:type="dxa"/>
            <w:gridSpan w:val="4"/>
            <w:tcBorders>
              <w:top w:val="single" w:color="auto" w:sz="4" w:space="0"/>
              <w:left w:val="single" w:color="auto" w:sz="4" w:space="0"/>
              <w:bottom w:val="single" w:color="auto" w:sz="4" w:space="0"/>
              <w:right w:val="single" w:color="auto" w:sz="4" w:space="0"/>
            </w:tcBorders>
            <w:vAlign w:val="center"/>
          </w:tcPr>
          <w:p w14:paraId="63FC39C1">
            <w:pPr>
              <w:jc w:val="center"/>
              <w:rPr>
                <w:color w:val="auto"/>
                <w:highlight w:val="none"/>
              </w:rPr>
            </w:pPr>
          </w:p>
        </w:tc>
      </w:tr>
      <w:tr w14:paraId="4A3F6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tcBorders>
              <w:top w:val="single" w:color="auto" w:sz="4" w:space="0"/>
              <w:left w:val="single" w:color="auto" w:sz="4" w:space="0"/>
              <w:bottom w:val="single" w:color="auto" w:sz="4" w:space="0"/>
              <w:right w:val="single" w:color="auto" w:sz="4" w:space="0"/>
            </w:tcBorders>
            <w:vAlign w:val="center"/>
          </w:tcPr>
          <w:p w14:paraId="6B2CAF23">
            <w:pPr>
              <w:jc w:val="center"/>
              <w:rPr>
                <w:color w:val="auto"/>
                <w:highlight w:val="none"/>
              </w:rPr>
            </w:pPr>
            <w:r>
              <w:rPr>
                <w:rFonts w:hint="eastAsia" w:cs="宋体"/>
                <w:color w:val="auto"/>
                <w:highlight w:val="none"/>
              </w:rPr>
              <w:t>岗位</w:t>
            </w:r>
          </w:p>
        </w:tc>
        <w:tc>
          <w:tcPr>
            <w:tcW w:w="2340" w:type="dxa"/>
            <w:gridSpan w:val="5"/>
            <w:tcBorders>
              <w:top w:val="single" w:color="auto" w:sz="4" w:space="0"/>
              <w:left w:val="single" w:color="auto" w:sz="4" w:space="0"/>
              <w:bottom w:val="single" w:color="auto" w:sz="4" w:space="0"/>
              <w:right w:val="single" w:color="auto" w:sz="4" w:space="0"/>
            </w:tcBorders>
            <w:vAlign w:val="center"/>
          </w:tcPr>
          <w:p w14:paraId="2C47C614">
            <w:pPr>
              <w:jc w:val="center"/>
              <w:rPr>
                <w:color w:val="auto"/>
                <w:highlight w:val="none"/>
              </w:rPr>
            </w:pPr>
            <w:r>
              <w:rPr>
                <w:rFonts w:hint="eastAsia"/>
                <w:color w:val="auto"/>
                <w:highlight w:val="none"/>
              </w:rPr>
              <w:t>专职安全生产管理人员</w:t>
            </w:r>
          </w:p>
        </w:tc>
        <w:tc>
          <w:tcPr>
            <w:tcW w:w="1893" w:type="dxa"/>
            <w:gridSpan w:val="5"/>
            <w:tcBorders>
              <w:top w:val="single" w:color="auto" w:sz="4" w:space="0"/>
              <w:left w:val="single" w:color="auto" w:sz="4" w:space="0"/>
              <w:bottom w:val="single" w:color="auto" w:sz="4" w:space="0"/>
              <w:right w:val="single" w:color="auto" w:sz="4" w:space="0"/>
            </w:tcBorders>
            <w:vAlign w:val="center"/>
          </w:tcPr>
          <w:p w14:paraId="5886CA8D">
            <w:pPr>
              <w:jc w:val="center"/>
              <w:rPr>
                <w:color w:val="auto"/>
                <w:highlight w:val="none"/>
              </w:rPr>
            </w:pPr>
            <w:r>
              <w:rPr>
                <w:rFonts w:hint="eastAsia" w:cs="宋体"/>
                <w:color w:val="auto"/>
                <w:highlight w:val="none"/>
              </w:rPr>
              <w:t>职称</w:t>
            </w:r>
          </w:p>
        </w:tc>
        <w:tc>
          <w:tcPr>
            <w:tcW w:w="1585" w:type="dxa"/>
            <w:gridSpan w:val="3"/>
            <w:tcBorders>
              <w:top w:val="single" w:color="auto" w:sz="4" w:space="0"/>
              <w:left w:val="single" w:color="auto" w:sz="4" w:space="0"/>
              <w:bottom w:val="single" w:color="auto" w:sz="4" w:space="0"/>
              <w:right w:val="single" w:color="auto" w:sz="4" w:space="0"/>
            </w:tcBorders>
            <w:vAlign w:val="center"/>
          </w:tcPr>
          <w:p w14:paraId="46156288">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vAlign w:val="center"/>
          </w:tcPr>
          <w:p w14:paraId="3D71D70B">
            <w:pPr>
              <w:jc w:val="center"/>
              <w:rPr>
                <w:color w:val="auto"/>
                <w:highlight w:val="none"/>
              </w:rPr>
            </w:pPr>
            <w:r>
              <w:rPr>
                <w:rFonts w:hint="eastAsia" w:cs="宋体"/>
                <w:color w:val="auto"/>
                <w:highlight w:val="none"/>
              </w:rPr>
              <w:t>学历</w:t>
            </w:r>
          </w:p>
        </w:tc>
        <w:tc>
          <w:tcPr>
            <w:tcW w:w="1531" w:type="dxa"/>
            <w:gridSpan w:val="4"/>
            <w:tcBorders>
              <w:top w:val="single" w:color="auto" w:sz="4" w:space="0"/>
              <w:left w:val="single" w:color="auto" w:sz="4" w:space="0"/>
              <w:bottom w:val="single" w:color="auto" w:sz="4" w:space="0"/>
              <w:right w:val="single" w:color="auto" w:sz="4" w:space="0"/>
            </w:tcBorders>
            <w:vAlign w:val="center"/>
          </w:tcPr>
          <w:p w14:paraId="5353A074">
            <w:pPr>
              <w:jc w:val="center"/>
              <w:rPr>
                <w:color w:val="auto"/>
                <w:highlight w:val="none"/>
              </w:rPr>
            </w:pPr>
          </w:p>
        </w:tc>
      </w:tr>
      <w:tr w14:paraId="4881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tcBorders>
              <w:top w:val="single" w:color="auto" w:sz="4" w:space="0"/>
              <w:left w:val="single" w:color="auto" w:sz="4" w:space="0"/>
              <w:bottom w:val="single" w:color="auto" w:sz="4" w:space="0"/>
              <w:right w:val="single" w:color="auto" w:sz="4" w:space="0"/>
            </w:tcBorders>
            <w:vAlign w:val="center"/>
          </w:tcPr>
          <w:p w14:paraId="7E1422B2">
            <w:pPr>
              <w:jc w:val="center"/>
              <w:rPr>
                <w:rFonts w:cs="宋体"/>
                <w:color w:val="auto"/>
                <w:highlight w:val="none"/>
              </w:rPr>
            </w:pPr>
            <w:r>
              <w:rPr>
                <w:rFonts w:hint="eastAsia" w:cs="宋体"/>
                <w:color w:val="auto"/>
                <w:highlight w:val="none"/>
              </w:rPr>
              <w:t>从业开始时间</w:t>
            </w:r>
          </w:p>
        </w:tc>
        <w:tc>
          <w:tcPr>
            <w:tcW w:w="2340" w:type="dxa"/>
            <w:gridSpan w:val="5"/>
            <w:tcBorders>
              <w:top w:val="single" w:color="auto" w:sz="4" w:space="0"/>
              <w:left w:val="single" w:color="auto" w:sz="4" w:space="0"/>
              <w:bottom w:val="single" w:color="auto" w:sz="4" w:space="0"/>
              <w:right w:val="single" w:color="auto" w:sz="4" w:space="0"/>
            </w:tcBorders>
            <w:vAlign w:val="center"/>
          </w:tcPr>
          <w:p w14:paraId="6583F0FC">
            <w:pPr>
              <w:jc w:val="center"/>
              <w:rPr>
                <w:color w:val="auto"/>
                <w:highlight w:val="none"/>
              </w:rPr>
            </w:pPr>
          </w:p>
        </w:tc>
        <w:tc>
          <w:tcPr>
            <w:tcW w:w="1893" w:type="dxa"/>
            <w:gridSpan w:val="5"/>
            <w:tcBorders>
              <w:top w:val="single" w:color="auto" w:sz="4" w:space="0"/>
              <w:left w:val="single" w:color="auto" w:sz="4" w:space="0"/>
              <w:bottom w:val="single" w:color="auto" w:sz="4" w:space="0"/>
              <w:right w:val="single" w:color="auto" w:sz="4" w:space="0"/>
            </w:tcBorders>
            <w:vAlign w:val="center"/>
          </w:tcPr>
          <w:p w14:paraId="11C0EA29">
            <w:pPr>
              <w:jc w:val="center"/>
              <w:rPr>
                <w:rFonts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tcBorders>
              <w:top w:val="single" w:color="auto" w:sz="4" w:space="0"/>
              <w:left w:val="single" w:color="auto" w:sz="4" w:space="0"/>
              <w:bottom w:val="single" w:color="auto" w:sz="4" w:space="0"/>
              <w:right w:val="single" w:color="auto" w:sz="4" w:space="0"/>
            </w:tcBorders>
            <w:vAlign w:val="center"/>
          </w:tcPr>
          <w:p w14:paraId="30E3EEFA">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vAlign w:val="center"/>
          </w:tcPr>
          <w:p w14:paraId="3353BC9F">
            <w:pPr>
              <w:jc w:val="center"/>
              <w:rPr>
                <w:rFonts w:cs="宋体"/>
                <w:color w:val="auto"/>
                <w:highlight w:val="none"/>
              </w:rPr>
            </w:pPr>
            <w:r>
              <w:rPr>
                <w:rFonts w:hint="eastAsia" w:cs="宋体"/>
                <w:color w:val="auto"/>
                <w:highlight w:val="none"/>
              </w:rPr>
              <w:t>毕业时间</w:t>
            </w:r>
          </w:p>
        </w:tc>
        <w:tc>
          <w:tcPr>
            <w:tcW w:w="1531" w:type="dxa"/>
            <w:gridSpan w:val="4"/>
            <w:tcBorders>
              <w:top w:val="single" w:color="auto" w:sz="4" w:space="0"/>
              <w:left w:val="single" w:color="auto" w:sz="4" w:space="0"/>
              <w:bottom w:val="single" w:color="auto" w:sz="4" w:space="0"/>
              <w:right w:val="single" w:color="auto" w:sz="4" w:space="0"/>
            </w:tcBorders>
            <w:vAlign w:val="center"/>
          </w:tcPr>
          <w:p w14:paraId="2E77E466">
            <w:pPr>
              <w:jc w:val="center"/>
              <w:rPr>
                <w:color w:val="auto"/>
                <w:highlight w:val="none"/>
              </w:rPr>
            </w:pPr>
          </w:p>
        </w:tc>
      </w:tr>
      <w:tr w14:paraId="0569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vAlign w:val="center"/>
          </w:tcPr>
          <w:p w14:paraId="395D29BB">
            <w:pPr>
              <w:jc w:val="center"/>
              <w:rPr>
                <w:color w:val="auto"/>
                <w:highlight w:val="none"/>
              </w:rPr>
            </w:pPr>
            <w:r>
              <w:rPr>
                <w:rFonts w:hint="eastAsia" w:cs="宋体"/>
                <w:color w:val="auto"/>
                <w:highlight w:val="none"/>
              </w:rPr>
              <w:t>担任……年限</w:t>
            </w:r>
          </w:p>
        </w:tc>
        <w:tc>
          <w:tcPr>
            <w:tcW w:w="2563" w:type="dxa"/>
            <w:gridSpan w:val="6"/>
            <w:tcBorders>
              <w:top w:val="single" w:color="auto" w:sz="4" w:space="0"/>
              <w:left w:val="single" w:color="auto" w:sz="4" w:space="0"/>
              <w:bottom w:val="single" w:color="auto" w:sz="4" w:space="0"/>
              <w:right w:val="single" w:color="auto" w:sz="4" w:space="0"/>
            </w:tcBorders>
            <w:vAlign w:val="center"/>
          </w:tcPr>
          <w:p w14:paraId="4616C23A">
            <w:pPr>
              <w:jc w:val="center"/>
              <w:rPr>
                <w:color w:val="auto"/>
                <w:highlight w:val="none"/>
              </w:rPr>
            </w:pPr>
          </w:p>
        </w:tc>
        <w:tc>
          <w:tcPr>
            <w:tcW w:w="1209" w:type="dxa"/>
            <w:tcBorders>
              <w:top w:val="single" w:color="auto" w:sz="4" w:space="0"/>
              <w:left w:val="single" w:color="auto" w:sz="4" w:space="0"/>
              <w:bottom w:val="single" w:color="auto" w:sz="4" w:space="0"/>
              <w:right w:val="single" w:color="auto" w:sz="4" w:space="0"/>
            </w:tcBorders>
            <w:vAlign w:val="center"/>
          </w:tcPr>
          <w:p w14:paraId="7225F5FF">
            <w:pPr>
              <w:jc w:val="center"/>
              <w:rPr>
                <w:color w:val="auto"/>
                <w:highlight w:val="none"/>
              </w:rPr>
            </w:pPr>
            <w:r>
              <w:rPr>
                <w:rFonts w:hint="eastAsia"/>
                <w:color w:val="auto"/>
                <w:highlight w:val="none"/>
              </w:rPr>
              <w:t>身份</w:t>
            </w:r>
            <w:r>
              <w:rPr>
                <w:color w:val="auto"/>
                <w:highlight w:val="none"/>
              </w:rPr>
              <w:t>证号码</w:t>
            </w:r>
          </w:p>
        </w:tc>
        <w:tc>
          <w:tcPr>
            <w:tcW w:w="4608" w:type="dxa"/>
            <w:gridSpan w:val="10"/>
            <w:tcBorders>
              <w:top w:val="single" w:color="auto" w:sz="4" w:space="0"/>
              <w:left w:val="single" w:color="auto" w:sz="4" w:space="0"/>
              <w:bottom w:val="single" w:color="auto" w:sz="4" w:space="0"/>
              <w:right w:val="single" w:color="auto" w:sz="4" w:space="0"/>
            </w:tcBorders>
            <w:vAlign w:val="center"/>
          </w:tcPr>
          <w:p w14:paraId="355B2A0E">
            <w:pPr>
              <w:jc w:val="center"/>
              <w:rPr>
                <w:color w:val="auto"/>
                <w:highlight w:val="none"/>
              </w:rPr>
            </w:pPr>
          </w:p>
        </w:tc>
      </w:tr>
      <w:tr w14:paraId="5DAF2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vAlign w:val="center"/>
          </w:tcPr>
          <w:p w14:paraId="2C7CE3AC">
            <w:pPr>
              <w:jc w:val="center"/>
              <w:rPr>
                <w:color w:val="auto"/>
                <w:highlight w:val="none"/>
              </w:rPr>
            </w:pPr>
            <w:r>
              <w:rPr>
                <w:rFonts w:hint="eastAsia"/>
                <w:color w:val="auto"/>
                <w:highlight w:val="none"/>
              </w:rPr>
              <w:t>证书名称</w:t>
            </w: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4E370F61">
            <w:pPr>
              <w:jc w:val="center"/>
              <w:rPr>
                <w:color w:val="auto"/>
                <w:highlight w:val="none"/>
              </w:rPr>
            </w:pPr>
            <w:r>
              <w:rPr>
                <w:rFonts w:hint="eastAsia"/>
                <w:color w:val="auto"/>
                <w:highlight w:val="none"/>
              </w:rPr>
              <w:t>注册专业</w:t>
            </w:r>
          </w:p>
        </w:tc>
        <w:tc>
          <w:tcPr>
            <w:tcW w:w="1222" w:type="dxa"/>
            <w:gridSpan w:val="3"/>
            <w:tcBorders>
              <w:top w:val="single" w:color="auto" w:sz="4" w:space="0"/>
              <w:left w:val="single" w:color="auto" w:sz="4" w:space="0"/>
              <w:bottom w:val="single" w:color="auto" w:sz="4" w:space="0"/>
              <w:right w:val="single" w:color="auto" w:sz="4" w:space="0"/>
            </w:tcBorders>
            <w:vAlign w:val="center"/>
          </w:tcPr>
          <w:p w14:paraId="3155EA89">
            <w:pPr>
              <w:jc w:val="center"/>
              <w:rPr>
                <w:color w:val="auto"/>
                <w:highlight w:val="none"/>
              </w:rPr>
            </w:pPr>
            <w:r>
              <w:rPr>
                <w:color w:val="auto"/>
                <w:highlight w:val="none"/>
              </w:rPr>
              <w:t>级别</w:t>
            </w:r>
          </w:p>
        </w:tc>
        <w:tc>
          <w:tcPr>
            <w:tcW w:w="1417" w:type="dxa"/>
            <w:gridSpan w:val="3"/>
            <w:tcBorders>
              <w:top w:val="single" w:color="auto" w:sz="4" w:space="0"/>
              <w:left w:val="single" w:color="auto" w:sz="4" w:space="0"/>
              <w:bottom w:val="single" w:color="auto" w:sz="4" w:space="0"/>
              <w:right w:val="single" w:color="auto" w:sz="4" w:space="0"/>
            </w:tcBorders>
            <w:vAlign w:val="center"/>
          </w:tcPr>
          <w:p w14:paraId="48134BA2">
            <w:pPr>
              <w:jc w:val="center"/>
              <w:rPr>
                <w:color w:val="auto"/>
                <w:highlight w:val="none"/>
              </w:rPr>
            </w:pPr>
            <w:r>
              <w:rPr>
                <w:rFonts w:hint="eastAsia" w:cs="宋体"/>
                <w:color w:val="auto"/>
                <w:highlight w:val="none"/>
              </w:rPr>
              <w:t>证书编号</w:t>
            </w:r>
          </w:p>
        </w:tc>
        <w:tc>
          <w:tcPr>
            <w:tcW w:w="1418" w:type="dxa"/>
            <w:gridSpan w:val="3"/>
            <w:tcBorders>
              <w:top w:val="single" w:color="auto" w:sz="4" w:space="0"/>
              <w:left w:val="single" w:color="auto" w:sz="4" w:space="0"/>
              <w:bottom w:val="single" w:color="auto" w:sz="4" w:space="0"/>
              <w:right w:val="single" w:color="auto" w:sz="4" w:space="0"/>
            </w:tcBorders>
            <w:vAlign w:val="center"/>
          </w:tcPr>
          <w:p w14:paraId="274952BB">
            <w:pPr>
              <w:jc w:val="center"/>
              <w:rPr>
                <w:color w:val="auto"/>
                <w:highlight w:val="none"/>
              </w:rPr>
            </w:pPr>
            <w:r>
              <w:rPr>
                <w:rFonts w:hint="eastAsia"/>
                <w:color w:val="auto"/>
                <w:highlight w:val="none"/>
              </w:rPr>
              <w:t>注册时间</w:t>
            </w:r>
          </w:p>
        </w:tc>
        <w:tc>
          <w:tcPr>
            <w:tcW w:w="1632" w:type="dxa"/>
            <w:gridSpan w:val="4"/>
            <w:tcBorders>
              <w:top w:val="single" w:color="auto" w:sz="4" w:space="0"/>
              <w:left w:val="single" w:color="auto" w:sz="4" w:space="0"/>
              <w:bottom w:val="single" w:color="auto" w:sz="4" w:space="0"/>
              <w:right w:val="single" w:color="auto" w:sz="4" w:space="0"/>
            </w:tcBorders>
            <w:vAlign w:val="center"/>
          </w:tcPr>
          <w:p w14:paraId="42F79159">
            <w:pPr>
              <w:jc w:val="center"/>
              <w:rPr>
                <w:color w:val="auto"/>
                <w:highlight w:val="none"/>
              </w:rPr>
            </w:pPr>
            <w:r>
              <w:rPr>
                <w:rFonts w:hint="eastAsia"/>
                <w:color w:val="auto"/>
                <w:highlight w:val="none"/>
              </w:rPr>
              <w:t>注册单位</w:t>
            </w:r>
          </w:p>
        </w:tc>
        <w:tc>
          <w:tcPr>
            <w:tcW w:w="1416" w:type="dxa"/>
            <w:gridSpan w:val="2"/>
            <w:tcBorders>
              <w:top w:val="single" w:color="auto" w:sz="4" w:space="0"/>
              <w:left w:val="single" w:color="auto" w:sz="4" w:space="0"/>
              <w:bottom w:val="single" w:color="auto" w:sz="4" w:space="0"/>
              <w:right w:val="single" w:color="auto" w:sz="4" w:space="0"/>
            </w:tcBorders>
            <w:vAlign w:val="center"/>
          </w:tcPr>
          <w:p w14:paraId="2E8FCCC3">
            <w:pPr>
              <w:jc w:val="center"/>
              <w:rPr>
                <w:color w:val="auto"/>
                <w:highlight w:val="none"/>
              </w:rPr>
            </w:pPr>
            <w:r>
              <w:rPr>
                <w:rFonts w:hint="eastAsia"/>
                <w:color w:val="auto"/>
                <w:highlight w:val="none"/>
              </w:rPr>
              <w:t>注册有效期</w:t>
            </w:r>
          </w:p>
        </w:tc>
      </w:tr>
      <w:tr w14:paraId="568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vAlign w:val="center"/>
          </w:tcPr>
          <w:p w14:paraId="24AA1A5E">
            <w:pPr>
              <w:jc w:val="center"/>
              <w:rPr>
                <w:color w:val="auto"/>
                <w:highlight w:val="none"/>
              </w:rPr>
            </w:pPr>
            <w:r>
              <w:rPr>
                <w:rFonts w:hint="eastAsia"/>
                <w:color w:val="auto"/>
                <w:highlight w:val="none"/>
              </w:rPr>
              <w:t>安全生产考核合格证书</w:t>
            </w: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2CC2510E">
            <w:pPr>
              <w:jc w:val="center"/>
              <w:rPr>
                <w:color w:val="auto"/>
                <w:highlight w:val="none"/>
              </w:rPr>
            </w:pPr>
          </w:p>
        </w:tc>
        <w:tc>
          <w:tcPr>
            <w:tcW w:w="1222" w:type="dxa"/>
            <w:gridSpan w:val="3"/>
            <w:tcBorders>
              <w:top w:val="single" w:color="auto" w:sz="4" w:space="0"/>
              <w:left w:val="single" w:color="auto" w:sz="4" w:space="0"/>
              <w:bottom w:val="single" w:color="auto" w:sz="4" w:space="0"/>
              <w:right w:val="single" w:color="auto" w:sz="4" w:space="0"/>
            </w:tcBorders>
            <w:vAlign w:val="center"/>
          </w:tcPr>
          <w:p w14:paraId="35AC55D0">
            <w:pPr>
              <w:jc w:val="center"/>
              <w:rPr>
                <w:rFonts w:cs="宋体"/>
                <w:color w:val="auto"/>
                <w:highlight w:val="none"/>
              </w:rPr>
            </w:pPr>
            <w:r>
              <w:rPr>
                <w:rFonts w:hint="eastAsia" w:cs="宋体"/>
                <w:color w:val="auto"/>
                <w:highlight w:val="none"/>
              </w:rPr>
              <w:t>C类</w:t>
            </w:r>
          </w:p>
        </w:tc>
        <w:tc>
          <w:tcPr>
            <w:tcW w:w="1417" w:type="dxa"/>
            <w:gridSpan w:val="3"/>
            <w:tcBorders>
              <w:top w:val="single" w:color="auto" w:sz="4" w:space="0"/>
              <w:left w:val="single" w:color="auto" w:sz="4" w:space="0"/>
              <w:bottom w:val="single" w:color="auto" w:sz="4" w:space="0"/>
              <w:right w:val="single" w:color="auto" w:sz="4" w:space="0"/>
            </w:tcBorders>
            <w:vAlign w:val="center"/>
          </w:tcPr>
          <w:p w14:paraId="2F64CA3B">
            <w:pPr>
              <w:jc w:val="center"/>
              <w:rPr>
                <w:color w:val="auto"/>
                <w:highlight w:val="none"/>
              </w:rPr>
            </w:pPr>
          </w:p>
        </w:tc>
        <w:tc>
          <w:tcPr>
            <w:tcW w:w="1418" w:type="dxa"/>
            <w:gridSpan w:val="3"/>
            <w:tcBorders>
              <w:top w:val="single" w:color="auto" w:sz="4" w:space="0"/>
              <w:left w:val="single" w:color="auto" w:sz="4" w:space="0"/>
              <w:bottom w:val="single" w:color="auto" w:sz="4" w:space="0"/>
              <w:right w:val="single" w:color="auto" w:sz="4" w:space="0"/>
            </w:tcBorders>
            <w:vAlign w:val="center"/>
          </w:tcPr>
          <w:p w14:paraId="48AEFFB7">
            <w:pPr>
              <w:jc w:val="center"/>
              <w:rPr>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vAlign w:val="center"/>
          </w:tcPr>
          <w:p w14:paraId="7C94F7DA">
            <w:pPr>
              <w:jc w:val="center"/>
              <w:rPr>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vAlign w:val="center"/>
          </w:tcPr>
          <w:p w14:paraId="79F5675E">
            <w:pPr>
              <w:jc w:val="center"/>
              <w:rPr>
                <w:color w:val="auto"/>
                <w:highlight w:val="none"/>
              </w:rPr>
            </w:pPr>
          </w:p>
        </w:tc>
      </w:tr>
      <w:tr w14:paraId="75D8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vAlign w:val="center"/>
          </w:tcPr>
          <w:p w14:paraId="41C8A19D">
            <w:pPr>
              <w:jc w:val="center"/>
              <w:rPr>
                <w:color w:val="auto"/>
                <w:highlight w:val="none"/>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48ECDE19">
            <w:pPr>
              <w:jc w:val="center"/>
              <w:rPr>
                <w:color w:val="auto"/>
                <w:highlight w:val="none"/>
              </w:rPr>
            </w:pPr>
          </w:p>
        </w:tc>
        <w:tc>
          <w:tcPr>
            <w:tcW w:w="1222" w:type="dxa"/>
            <w:gridSpan w:val="3"/>
            <w:tcBorders>
              <w:top w:val="single" w:color="auto" w:sz="4" w:space="0"/>
              <w:left w:val="single" w:color="auto" w:sz="4" w:space="0"/>
              <w:bottom w:val="single" w:color="auto" w:sz="4" w:space="0"/>
              <w:right w:val="single" w:color="auto" w:sz="4" w:space="0"/>
            </w:tcBorders>
            <w:vAlign w:val="center"/>
          </w:tcPr>
          <w:p w14:paraId="42114BA9">
            <w:pPr>
              <w:jc w:val="center"/>
              <w:rPr>
                <w:rFonts w:cs="宋体"/>
                <w:color w:val="auto"/>
                <w:highlight w:val="none"/>
              </w:rPr>
            </w:pPr>
          </w:p>
        </w:tc>
        <w:tc>
          <w:tcPr>
            <w:tcW w:w="1417" w:type="dxa"/>
            <w:gridSpan w:val="3"/>
            <w:tcBorders>
              <w:top w:val="single" w:color="auto" w:sz="4" w:space="0"/>
              <w:left w:val="single" w:color="auto" w:sz="4" w:space="0"/>
              <w:bottom w:val="single" w:color="auto" w:sz="4" w:space="0"/>
              <w:right w:val="single" w:color="auto" w:sz="4" w:space="0"/>
            </w:tcBorders>
            <w:vAlign w:val="center"/>
          </w:tcPr>
          <w:p w14:paraId="2C905F6C">
            <w:pPr>
              <w:jc w:val="center"/>
              <w:rPr>
                <w:color w:val="auto"/>
                <w:highlight w:val="none"/>
              </w:rPr>
            </w:pPr>
          </w:p>
        </w:tc>
        <w:tc>
          <w:tcPr>
            <w:tcW w:w="1418" w:type="dxa"/>
            <w:gridSpan w:val="3"/>
            <w:tcBorders>
              <w:top w:val="single" w:color="auto" w:sz="4" w:space="0"/>
              <w:left w:val="single" w:color="auto" w:sz="4" w:space="0"/>
              <w:bottom w:val="single" w:color="auto" w:sz="4" w:space="0"/>
              <w:right w:val="single" w:color="auto" w:sz="4" w:space="0"/>
            </w:tcBorders>
            <w:vAlign w:val="center"/>
          </w:tcPr>
          <w:p w14:paraId="39A98196">
            <w:pPr>
              <w:jc w:val="center"/>
              <w:rPr>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vAlign w:val="center"/>
          </w:tcPr>
          <w:p w14:paraId="36DD18AE">
            <w:pPr>
              <w:jc w:val="center"/>
              <w:rPr>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vAlign w:val="center"/>
          </w:tcPr>
          <w:p w14:paraId="5B08A619">
            <w:pPr>
              <w:jc w:val="center"/>
              <w:rPr>
                <w:color w:val="auto"/>
                <w:highlight w:val="none"/>
              </w:rPr>
            </w:pPr>
          </w:p>
        </w:tc>
      </w:tr>
      <w:tr w14:paraId="322D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tcBorders>
              <w:top w:val="single" w:color="auto" w:sz="4" w:space="0"/>
              <w:left w:val="single" w:color="auto" w:sz="4" w:space="0"/>
              <w:bottom w:val="single" w:color="auto" w:sz="4" w:space="0"/>
              <w:right w:val="single" w:color="auto" w:sz="4" w:space="0"/>
            </w:tcBorders>
            <w:vAlign w:val="center"/>
          </w:tcPr>
          <w:p w14:paraId="1F05878D">
            <w:pPr>
              <w:jc w:val="center"/>
              <w:rPr>
                <w:color w:val="auto"/>
                <w:highlight w:val="none"/>
              </w:rPr>
            </w:pPr>
            <w:r>
              <w:rPr>
                <w:rFonts w:hint="eastAsia" w:cs="宋体"/>
                <w:color w:val="auto"/>
                <w:highlight w:val="none"/>
              </w:rPr>
              <w:t>在建和已完工程项目情况</w:t>
            </w:r>
          </w:p>
        </w:tc>
      </w:tr>
      <w:tr w14:paraId="10B7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29B9F059">
            <w:pPr>
              <w:jc w:val="center"/>
              <w:rPr>
                <w:color w:val="auto"/>
                <w:highlight w:val="none"/>
              </w:rPr>
            </w:pP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5D46609F">
            <w:pPr>
              <w:jc w:val="center"/>
              <w:rPr>
                <w:color w:val="auto"/>
                <w:highlight w:val="none"/>
              </w:rPr>
            </w:pPr>
            <w:r>
              <w:rPr>
                <w:rFonts w:hint="eastAsia"/>
                <w:color w:val="auto"/>
                <w:highlight w:val="none"/>
              </w:rPr>
              <w:t>项目1</w:t>
            </w: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6FF588E1">
            <w:pPr>
              <w:jc w:val="center"/>
              <w:rPr>
                <w:color w:val="auto"/>
                <w:highlight w:val="none"/>
              </w:rPr>
            </w:pPr>
            <w:r>
              <w:rPr>
                <w:rFonts w:hint="eastAsia"/>
                <w:color w:val="auto"/>
                <w:highlight w:val="none"/>
              </w:rPr>
              <w:t>项目2</w:t>
            </w: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399106C4">
            <w:pPr>
              <w:jc w:val="center"/>
              <w:rPr>
                <w:color w:val="auto"/>
                <w:highlight w:val="none"/>
              </w:rPr>
            </w:pPr>
            <w:r>
              <w:rPr>
                <w:rFonts w:hint="eastAsia"/>
                <w:color w:val="auto"/>
                <w:highlight w:val="none"/>
              </w:rPr>
              <w:t>项目3</w:t>
            </w: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0BBD5DC1">
            <w:pPr>
              <w:jc w:val="center"/>
              <w:rPr>
                <w:color w:val="auto"/>
                <w:highlight w:val="none"/>
              </w:rPr>
            </w:pPr>
            <w:r>
              <w:rPr>
                <w:rFonts w:hint="eastAsia"/>
                <w:color w:val="auto"/>
                <w:highlight w:val="none"/>
              </w:rPr>
              <w:t>项目4</w:t>
            </w: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7AC272B3">
            <w:pPr>
              <w:jc w:val="center"/>
              <w:rPr>
                <w:color w:val="auto"/>
                <w:highlight w:val="none"/>
              </w:rPr>
            </w:pPr>
            <w:r>
              <w:rPr>
                <w:rFonts w:hint="eastAsia"/>
                <w:color w:val="auto"/>
                <w:highlight w:val="none"/>
              </w:rPr>
              <w:t>……</w:t>
            </w:r>
          </w:p>
        </w:tc>
      </w:tr>
      <w:tr w14:paraId="241EE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627AFDBF">
            <w:pPr>
              <w:jc w:val="center"/>
              <w:rPr>
                <w:color w:val="auto"/>
                <w:highlight w:val="none"/>
              </w:rPr>
            </w:pPr>
            <w:r>
              <w:rPr>
                <w:rFonts w:hint="eastAsia"/>
                <w:color w:val="auto"/>
                <w:highlight w:val="none"/>
              </w:rPr>
              <w:t>项目名称</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236569CC">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04986FAF">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6701455E">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36CF1B37">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4253CE51">
            <w:pPr>
              <w:jc w:val="center"/>
              <w:rPr>
                <w:color w:val="auto"/>
                <w:highlight w:val="none"/>
              </w:rPr>
            </w:pPr>
          </w:p>
        </w:tc>
      </w:tr>
      <w:tr w14:paraId="7DE89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4FDA8F82">
            <w:pPr>
              <w:jc w:val="center"/>
              <w:rPr>
                <w:color w:val="auto"/>
                <w:highlight w:val="none"/>
              </w:rPr>
            </w:pPr>
            <w:r>
              <w:rPr>
                <w:rFonts w:hint="eastAsia" w:cs="宋体"/>
                <w:color w:val="auto"/>
                <w:highlight w:val="none"/>
              </w:rPr>
              <w:t>建设单位</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0EC05B67">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047F247C">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1CA76704">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5D27C03F">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590708C7">
            <w:pPr>
              <w:jc w:val="center"/>
              <w:rPr>
                <w:color w:val="auto"/>
                <w:highlight w:val="none"/>
              </w:rPr>
            </w:pPr>
          </w:p>
        </w:tc>
      </w:tr>
      <w:tr w14:paraId="6C26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5EE689C1">
            <w:pPr>
              <w:jc w:val="center"/>
              <w:rPr>
                <w:color w:val="auto"/>
                <w:highlight w:val="none"/>
              </w:rPr>
            </w:pPr>
            <w:r>
              <w:rPr>
                <w:rFonts w:hint="eastAsia" w:cs="宋体"/>
                <w:color w:val="auto"/>
                <w:highlight w:val="none"/>
              </w:rPr>
              <w:t>建设规模</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4D3F9C09">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1C51E6D4">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0D111987">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640D0098">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61DCBC08">
            <w:pPr>
              <w:jc w:val="center"/>
              <w:rPr>
                <w:color w:val="auto"/>
                <w:highlight w:val="none"/>
              </w:rPr>
            </w:pPr>
          </w:p>
        </w:tc>
      </w:tr>
      <w:tr w14:paraId="7BF13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172CFD4B">
            <w:pPr>
              <w:jc w:val="center"/>
              <w:rPr>
                <w:rFonts w:hint="eastAsia" w:ascii="宋体" w:hAnsi="宋体" w:cs="宋体"/>
                <w:color w:val="auto"/>
                <w:sz w:val="27"/>
                <w:szCs w:val="27"/>
                <w:highlight w:val="none"/>
                <w:lang w:bidi="ar"/>
              </w:rPr>
            </w:pPr>
            <w:r>
              <w:rPr>
                <w:rFonts w:hint="eastAsia" w:cs="宋体"/>
                <w:color w:val="auto"/>
                <w:highlight w:val="none"/>
              </w:rPr>
              <w:t>开工日期</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33FDE1F7">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2DD291A8">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022A941B">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36807A85">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79E90852">
            <w:pPr>
              <w:jc w:val="center"/>
              <w:rPr>
                <w:color w:val="auto"/>
                <w:highlight w:val="none"/>
              </w:rPr>
            </w:pPr>
          </w:p>
        </w:tc>
      </w:tr>
      <w:tr w14:paraId="627A9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6FFDA4AC">
            <w:pPr>
              <w:jc w:val="center"/>
              <w:rPr>
                <w:color w:val="auto"/>
                <w:highlight w:val="none"/>
              </w:rPr>
            </w:pPr>
            <w:r>
              <w:rPr>
                <w:rFonts w:hint="eastAsia" w:cs="宋体"/>
                <w:color w:val="auto"/>
                <w:highlight w:val="none"/>
              </w:rPr>
              <w:t>竣工日期</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70A34A80">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436DFF9E">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6DF4389F">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4D2D1F00">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570B2AED">
            <w:pPr>
              <w:jc w:val="center"/>
              <w:rPr>
                <w:color w:val="auto"/>
                <w:highlight w:val="none"/>
              </w:rPr>
            </w:pPr>
          </w:p>
        </w:tc>
      </w:tr>
      <w:tr w14:paraId="03A72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14F7B021">
            <w:pPr>
              <w:jc w:val="center"/>
              <w:rPr>
                <w:rFonts w:cs="宋体"/>
                <w:color w:val="auto"/>
                <w:highlight w:val="none"/>
              </w:rPr>
            </w:pPr>
            <w:r>
              <w:rPr>
                <w:rFonts w:hint="eastAsia" w:cs="宋体"/>
                <w:color w:val="auto"/>
                <w:highlight w:val="none"/>
              </w:rPr>
              <w:t>人员角色</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7D2CA9EB">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357F8499">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780EAE88">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664A8626">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54094BA0">
            <w:pPr>
              <w:jc w:val="center"/>
              <w:rPr>
                <w:color w:val="auto"/>
                <w:highlight w:val="none"/>
              </w:rPr>
            </w:pPr>
          </w:p>
        </w:tc>
      </w:tr>
      <w:tr w14:paraId="6CEFA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3DBFE62F">
            <w:pPr>
              <w:jc w:val="center"/>
              <w:rPr>
                <w:rFonts w:cs="宋体"/>
                <w:color w:val="auto"/>
                <w:highlight w:val="none"/>
              </w:rPr>
            </w:pPr>
            <w:r>
              <w:rPr>
                <w:rFonts w:hint="eastAsia" w:cs="宋体"/>
                <w:color w:val="auto"/>
                <w:highlight w:val="none"/>
              </w:rPr>
              <w:t>在建或已完</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05EE747E">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27F7A9F7">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6340384D">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31BCDE6E">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35ADF07D">
            <w:pPr>
              <w:jc w:val="center"/>
              <w:rPr>
                <w:color w:val="auto"/>
                <w:highlight w:val="none"/>
              </w:rPr>
            </w:pPr>
          </w:p>
        </w:tc>
      </w:tr>
      <w:tr w14:paraId="4AA2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41C02457">
            <w:pPr>
              <w:jc w:val="center"/>
              <w:rPr>
                <w:rFonts w:cs="宋体"/>
                <w:color w:val="auto"/>
                <w:highlight w:val="none"/>
              </w:rPr>
            </w:pPr>
            <w:r>
              <w:rPr>
                <w:rFonts w:hint="eastAsia" w:cs="宋体"/>
                <w:color w:val="auto"/>
                <w:highlight w:val="none"/>
              </w:rPr>
              <w:t>工程质量</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033F0024">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22F51316">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2EE9FAB4">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61438F59">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77DF3FDE">
            <w:pPr>
              <w:jc w:val="center"/>
              <w:rPr>
                <w:color w:val="auto"/>
                <w:highlight w:val="none"/>
              </w:rPr>
            </w:pPr>
          </w:p>
        </w:tc>
      </w:tr>
      <w:tr w14:paraId="16B5E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vAlign w:val="center"/>
          </w:tcPr>
          <w:p w14:paraId="462B129F">
            <w:pPr>
              <w:jc w:val="center"/>
              <w:rPr>
                <w:rFonts w:cs="宋体"/>
                <w:color w:val="auto"/>
                <w:highlight w:val="none"/>
              </w:rPr>
            </w:pPr>
            <w:r>
              <w:rPr>
                <w:rFonts w:hint="eastAsia" w:cs="宋体"/>
                <w:color w:val="auto"/>
                <w:highlight w:val="none"/>
              </w:rPr>
              <w:t>受奖情况</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7D7628FC">
            <w:pPr>
              <w:jc w:val="center"/>
              <w:rPr>
                <w:color w:val="auto"/>
                <w:highlight w:val="none"/>
              </w:rPr>
            </w:pPr>
          </w:p>
        </w:tc>
        <w:tc>
          <w:tcPr>
            <w:tcW w:w="1837" w:type="dxa"/>
            <w:gridSpan w:val="4"/>
            <w:tcBorders>
              <w:top w:val="single" w:color="auto" w:sz="4" w:space="0"/>
              <w:left w:val="single" w:color="auto" w:sz="4" w:space="0"/>
              <w:bottom w:val="single" w:color="auto" w:sz="4" w:space="0"/>
              <w:right w:val="single" w:color="auto" w:sz="4" w:space="0"/>
            </w:tcBorders>
            <w:vAlign w:val="center"/>
          </w:tcPr>
          <w:p w14:paraId="390F59D6">
            <w:pPr>
              <w:jc w:val="center"/>
              <w:rPr>
                <w:color w:val="auto"/>
                <w:highlight w:val="none"/>
              </w:rPr>
            </w:pPr>
          </w:p>
        </w:tc>
        <w:tc>
          <w:tcPr>
            <w:tcW w:w="1472" w:type="dxa"/>
            <w:gridSpan w:val="3"/>
            <w:tcBorders>
              <w:top w:val="single" w:color="auto" w:sz="4" w:space="0"/>
              <w:left w:val="single" w:color="auto" w:sz="4" w:space="0"/>
              <w:bottom w:val="single" w:color="auto" w:sz="4" w:space="0"/>
              <w:right w:val="single" w:color="auto" w:sz="4" w:space="0"/>
            </w:tcBorders>
            <w:vAlign w:val="center"/>
          </w:tcPr>
          <w:p w14:paraId="1CF63E30">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vAlign w:val="center"/>
          </w:tcPr>
          <w:p w14:paraId="2DBC69F1">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vAlign w:val="center"/>
          </w:tcPr>
          <w:p w14:paraId="3039065D">
            <w:pPr>
              <w:jc w:val="center"/>
              <w:rPr>
                <w:color w:val="auto"/>
                <w:highlight w:val="none"/>
              </w:rPr>
            </w:pPr>
          </w:p>
        </w:tc>
      </w:tr>
    </w:tbl>
    <w:p w14:paraId="5A600F88">
      <w:pPr>
        <w:spacing w:line="360" w:lineRule="auto"/>
        <w:rPr>
          <w:rFonts w:hint="eastAsia" w:ascii="宋体" w:hAnsi="宋体"/>
          <w:color w:val="auto"/>
          <w:highlight w:val="none"/>
        </w:rPr>
      </w:pPr>
      <w:r>
        <w:rPr>
          <w:rFonts w:hint="eastAsia" w:ascii="宋体" w:hAnsi="宋体" w:cs="楷体_GB2312"/>
          <w:color w:val="auto"/>
          <w:highlight w:val="none"/>
        </w:rPr>
        <w:t>备注：</w:t>
      </w:r>
    </w:p>
    <w:p w14:paraId="3240CDF1">
      <w:pPr>
        <w:spacing w:line="360" w:lineRule="auto"/>
        <w:ind w:firstLine="420"/>
        <w:rPr>
          <w:rFonts w:hint="eastAsia" w:ascii="宋体" w:hAnsi="宋体"/>
          <w:color w:val="auto"/>
          <w:highlight w:val="none"/>
        </w:rPr>
      </w:pPr>
      <w:r>
        <w:rPr>
          <w:rFonts w:hint="eastAsia" w:ascii="宋体" w:hAnsi="宋体"/>
          <w:color w:val="auto"/>
          <w:highlight w:val="none"/>
        </w:rPr>
        <w:t>1.供应商可以根据项目情况增减表格内容，项目数可以根据需要增加。</w:t>
      </w:r>
    </w:p>
    <w:p w14:paraId="7B2961DA">
      <w:pPr>
        <w:spacing w:line="360" w:lineRule="auto"/>
        <w:ind w:firstLine="420"/>
        <w:rPr>
          <w:rFonts w:hint="eastAsia" w:ascii="宋体" w:hAnsi="宋体"/>
          <w:color w:val="auto"/>
          <w:szCs w:val="21"/>
          <w:highlight w:val="none"/>
        </w:rPr>
      </w:pPr>
      <w:r>
        <w:rPr>
          <w:rFonts w:hint="eastAsia" w:ascii="宋体" w:hAnsi="宋体"/>
          <w:color w:val="auto"/>
          <w:highlight w:val="none"/>
        </w:rPr>
        <w:t>2.</w:t>
      </w:r>
      <w:r>
        <w:rPr>
          <w:rFonts w:hint="eastAsia" w:ascii="宋体" w:hAnsi="宋体"/>
          <w:color w:val="auto"/>
          <w:szCs w:val="21"/>
          <w:highlight w:val="none"/>
        </w:rPr>
        <w:t>本表后附专职安全生产管理人员的学历证、安全生产考核合格证（C类）、本表所列证书复印件并加盖供应商电子签章。</w:t>
      </w:r>
    </w:p>
    <w:p w14:paraId="7D9BD716">
      <w:pPr>
        <w:spacing w:line="360" w:lineRule="auto"/>
        <w:rPr>
          <w:rFonts w:hint="eastAsia" w:ascii="宋体" w:hAnsi="宋体"/>
          <w:b/>
          <w:bCs/>
          <w:color w:val="auto"/>
          <w:sz w:val="24"/>
          <w:highlight w:val="none"/>
        </w:rPr>
      </w:pPr>
      <w:r>
        <w:rPr>
          <w:rFonts w:ascii="宋体" w:hAnsi="宋体"/>
          <w:b/>
          <w:bCs/>
          <w:color w:val="auto"/>
          <w:sz w:val="24"/>
          <w:highlight w:val="none"/>
        </w:rPr>
        <w:br w:type="page" w:clear="all"/>
      </w:r>
      <w:r>
        <w:rPr>
          <w:rFonts w:hint="eastAsia" w:ascii="宋体" w:hAnsi="宋体"/>
          <w:b/>
          <w:bCs/>
          <w:color w:val="auto"/>
          <w:sz w:val="24"/>
          <w:highlight w:val="none"/>
        </w:rPr>
        <w:t>其他文书、文件格式</w:t>
      </w:r>
    </w:p>
    <w:p w14:paraId="5E976099">
      <w:pPr>
        <w:spacing w:line="360" w:lineRule="auto"/>
        <w:rPr>
          <w:rFonts w:hint="eastAsia" w:ascii="宋体" w:hAnsi="宋体"/>
          <w:color w:val="auto"/>
          <w:szCs w:val="21"/>
          <w:highlight w:val="none"/>
        </w:rPr>
      </w:pPr>
    </w:p>
    <w:p w14:paraId="7061C64A">
      <w:pPr>
        <w:jc w:val="center"/>
        <w:rPr>
          <w:rFonts w:hint="eastAsia" w:ascii="宋体" w:hAnsi="宋体" w:cs="方正小标宋简体"/>
          <w:b/>
          <w:color w:val="auto"/>
          <w:sz w:val="32"/>
          <w:szCs w:val="32"/>
          <w:highlight w:val="none"/>
        </w:rPr>
      </w:pPr>
      <w:r>
        <w:rPr>
          <w:rFonts w:hint="eastAsia" w:ascii="宋体" w:hAnsi="宋体" w:cs="方正小标宋简体"/>
          <w:b/>
          <w:color w:val="auto"/>
          <w:sz w:val="32"/>
          <w:szCs w:val="32"/>
          <w:highlight w:val="none"/>
        </w:rPr>
        <w:t>中小企业声明函（工程）</w:t>
      </w:r>
    </w:p>
    <w:p w14:paraId="7200F69F">
      <w:pPr>
        <w:pStyle w:val="230"/>
        <w:spacing w:line="500" w:lineRule="exact"/>
        <w:ind w:right="142" w:firstLine="705"/>
        <w:rPr>
          <w:rFonts w:hint="eastAsia" w:ascii="宋体" w:hAnsi="宋体"/>
          <w:color w:val="auto"/>
          <w:sz w:val="24"/>
          <w:highlight w:val="none"/>
        </w:rPr>
      </w:pPr>
      <w:r>
        <w:rPr>
          <w:rFonts w:ascii="宋体" w:hAnsi="宋体"/>
          <w:color w:val="auto"/>
          <w:sz w:val="24"/>
          <w:highlight w:val="none"/>
        </w:rPr>
        <w:t>本公司（联合体）郑重声明，根据《政府采购促进中小企业发展管理办法》（</w:t>
      </w:r>
      <w:r>
        <w:rPr>
          <w:rFonts w:hint="eastAsia" w:ascii="宋体" w:hAnsi="宋体"/>
          <w:color w:val="auto"/>
          <w:sz w:val="24"/>
          <w:highlight w:val="none"/>
        </w:rPr>
        <w:t>财库〔2020〕46号</w:t>
      </w:r>
      <w:r>
        <w:rPr>
          <w:rFonts w:ascii="宋体" w:hAnsi="宋体"/>
          <w:color w:val="auto"/>
          <w:sz w:val="24"/>
          <w:highlight w:val="none"/>
        </w:rPr>
        <w:t>）的规定，本公司（联合体）参加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w:t>
      </w:r>
      <w:r>
        <w:rPr>
          <w:rFonts w:hint="eastAsia" w:ascii="宋体" w:hAnsi="宋体"/>
          <w:color w:val="auto"/>
          <w:sz w:val="24"/>
          <w:highlight w:val="none"/>
        </w:rPr>
        <w:t>工程的施工单位全部为符合政策要求的中小企业。相关企业（含联合体中的中小企业、签订分包意向协议的中小企业）的具体情况如下：</w:t>
      </w:r>
    </w:p>
    <w:p w14:paraId="2A0227C7">
      <w:pPr>
        <w:tabs>
          <w:tab w:val="left" w:pos="1384"/>
          <w:tab w:val="left" w:pos="4562"/>
          <w:tab w:val="left" w:pos="6803"/>
        </w:tabs>
        <w:spacing w:before="13" w:line="500" w:lineRule="exact"/>
        <w:ind w:right="142" w:firstLine="772"/>
        <w:rPr>
          <w:rFonts w:hint="eastAsia"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2FBCB411">
      <w:pPr>
        <w:tabs>
          <w:tab w:val="left" w:pos="1065"/>
          <w:tab w:val="left" w:pos="4262"/>
          <w:tab w:val="left" w:pos="6477"/>
        </w:tabs>
        <w:spacing w:before="20" w:line="500" w:lineRule="exact"/>
        <w:ind w:right="84" w:firstLine="772"/>
        <w:rPr>
          <w:rFonts w:hint="eastAsia"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7554C18C">
      <w:pPr>
        <w:pStyle w:val="230"/>
        <w:spacing w:before="34" w:line="500" w:lineRule="exact"/>
        <w:ind w:right="142" w:firstLine="705"/>
        <w:rPr>
          <w:rFonts w:hint="eastAsia" w:ascii="宋体" w:hAnsi="宋体"/>
          <w:color w:val="auto"/>
          <w:sz w:val="24"/>
          <w:highlight w:val="none"/>
        </w:rPr>
      </w:pPr>
      <w:r>
        <w:rPr>
          <w:rFonts w:ascii="宋体" w:hAnsi="宋体"/>
          <w:color w:val="auto"/>
          <w:sz w:val="24"/>
          <w:highlight w:val="none"/>
        </w:rPr>
        <w:t xml:space="preserve">…… </w:t>
      </w:r>
    </w:p>
    <w:p w14:paraId="4F91FBBD">
      <w:pPr>
        <w:pStyle w:val="230"/>
        <w:spacing w:before="34" w:line="500" w:lineRule="exact"/>
        <w:ind w:right="142" w:firstLine="705"/>
        <w:rPr>
          <w:rFonts w:hint="eastAsia"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2E736072">
      <w:pPr>
        <w:pStyle w:val="230"/>
        <w:spacing w:before="25" w:line="500" w:lineRule="exact"/>
        <w:ind w:right="142" w:firstLine="705"/>
        <w:rPr>
          <w:rFonts w:hint="eastAsia"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1B47C6A4">
      <w:pPr>
        <w:pStyle w:val="230"/>
        <w:spacing w:before="56" w:line="500" w:lineRule="exact"/>
        <w:ind w:right="650" w:firstLine="5625"/>
        <w:rPr>
          <w:rFonts w:hint="eastAsia" w:ascii="宋体" w:hAnsi="宋体"/>
          <w:color w:val="auto"/>
          <w:sz w:val="24"/>
          <w:highlight w:val="none"/>
        </w:rPr>
      </w:pPr>
      <w:r>
        <w:rPr>
          <w:rFonts w:ascii="宋体" w:hAnsi="宋体"/>
          <w:color w:val="auto"/>
          <w:sz w:val="24"/>
          <w:highlight w:val="none"/>
        </w:rPr>
        <w:t xml:space="preserve">企业名称（章）： </w:t>
      </w:r>
    </w:p>
    <w:p w14:paraId="2B9C3129">
      <w:pPr>
        <w:pStyle w:val="230"/>
        <w:spacing w:before="56" w:line="500" w:lineRule="exact"/>
        <w:ind w:right="1808" w:firstLine="5625"/>
        <w:rPr>
          <w:rFonts w:hint="eastAsia" w:ascii="宋体" w:hAnsi="宋体"/>
          <w:color w:val="auto"/>
          <w:sz w:val="24"/>
          <w:highlight w:val="none"/>
        </w:rPr>
      </w:pPr>
      <w:r>
        <w:rPr>
          <w:rFonts w:ascii="宋体" w:hAnsi="宋体"/>
          <w:color w:val="auto"/>
          <w:sz w:val="24"/>
          <w:highlight w:val="none"/>
        </w:rPr>
        <w:t>日 期：</w:t>
      </w:r>
    </w:p>
    <w:p w14:paraId="2216B27C">
      <w:pPr>
        <w:spacing w:line="520" w:lineRule="exact"/>
        <w:ind w:firstLine="420"/>
        <w:jc w:val="left"/>
        <w:rPr>
          <w:rFonts w:hint="eastAsia" w:ascii="宋体" w:hAnsi="宋体" w:cs="仿宋_GB2312"/>
          <w:color w:val="auto"/>
          <w:szCs w:val="21"/>
          <w:highlight w:val="none"/>
        </w:rPr>
      </w:pPr>
      <w:r>
        <w:rPr>
          <w:rFonts w:hint="eastAsia" w:ascii="宋体" w:hAnsi="宋体" w:cs="仿宋_GB2312"/>
          <w:color w:val="auto"/>
          <w:szCs w:val="21"/>
          <w:highlight w:val="none"/>
        </w:rPr>
        <w:t>注：1.对于联合体中由中小企业承担的部分，或者分包给中小企业的部分，供应商应当在声明函“项目名称”部分标明联合体中中小企业承担的具体内容或者中小企业的具体分包内容。</w:t>
      </w:r>
    </w:p>
    <w:p w14:paraId="5BCA088D">
      <w:pPr>
        <w:spacing w:line="520" w:lineRule="exact"/>
        <w:ind w:firstLine="420"/>
        <w:jc w:val="left"/>
        <w:rPr>
          <w:rFonts w:hint="eastAsia" w:ascii="宋体" w:hAnsi="宋体" w:cs="仿宋_GB2312"/>
          <w:color w:val="auto"/>
          <w:szCs w:val="21"/>
          <w:highlight w:val="none"/>
        </w:rPr>
      </w:pPr>
      <w:r>
        <w:rPr>
          <w:rFonts w:hint="eastAsia" w:ascii="宋体" w:hAnsi="宋体" w:cs="仿宋_GB2312"/>
          <w:color w:val="auto"/>
          <w:szCs w:val="21"/>
          <w:highlight w:val="none"/>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70B6EA54">
      <w:pPr>
        <w:spacing w:line="520" w:lineRule="exact"/>
        <w:jc w:val="center"/>
        <w:rPr>
          <w:rFonts w:hint="eastAsia" w:ascii="宋体" w:hAnsi="宋体" w:cs="仿宋_GB2312"/>
          <w:b/>
          <w:color w:val="auto"/>
          <w:sz w:val="32"/>
          <w:szCs w:val="32"/>
          <w:highlight w:val="none"/>
        </w:rPr>
      </w:pPr>
      <w:r>
        <w:rPr>
          <w:rFonts w:ascii="宋体" w:hAnsi="宋体"/>
          <w:color w:val="auto"/>
          <w:sz w:val="24"/>
          <w:highlight w:val="none"/>
        </w:rPr>
        <w:br w:type="page" w:clear="all"/>
      </w:r>
      <w:r>
        <w:rPr>
          <w:rFonts w:hint="eastAsia" w:ascii="宋体" w:hAnsi="宋体" w:cs="方正小标宋简体"/>
          <w:b/>
          <w:color w:val="auto"/>
          <w:sz w:val="32"/>
          <w:szCs w:val="32"/>
          <w:highlight w:val="none"/>
        </w:rPr>
        <w:t>残疾人福利性单位声明函</w:t>
      </w:r>
    </w:p>
    <w:p w14:paraId="344881F1">
      <w:pPr>
        <w:spacing w:line="360" w:lineRule="auto"/>
        <w:contextualSpacing/>
        <w:rPr>
          <w:rFonts w:hint="eastAsia" w:ascii="仿宋_GB2312" w:hAnsi="仿宋_GB2312" w:eastAsia="仿宋_GB2312" w:cs="仿宋_GB2312"/>
          <w:color w:val="auto"/>
          <w:sz w:val="32"/>
          <w:szCs w:val="32"/>
          <w:highlight w:val="none"/>
        </w:rPr>
      </w:pPr>
    </w:p>
    <w:p w14:paraId="5CADC3E7">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11416E74">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16372372">
      <w:pPr>
        <w:spacing w:line="360" w:lineRule="auto"/>
        <w:contextualSpacing/>
        <w:rPr>
          <w:rFonts w:hint="eastAsia" w:ascii="宋体" w:hAnsi="宋体" w:cs="仿宋_GB2312"/>
          <w:color w:val="auto"/>
          <w:sz w:val="24"/>
          <w:highlight w:val="none"/>
        </w:rPr>
      </w:pPr>
    </w:p>
    <w:p w14:paraId="5C5794F1">
      <w:pPr>
        <w:spacing w:line="360" w:lineRule="auto"/>
        <w:contextualSpacing/>
        <w:rPr>
          <w:rFonts w:hint="eastAsia" w:ascii="宋体" w:hAnsi="宋体" w:cs="仿宋_GB2312"/>
          <w:color w:val="auto"/>
          <w:sz w:val="24"/>
          <w:highlight w:val="none"/>
        </w:rPr>
      </w:pPr>
    </w:p>
    <w:p w14:paraId="26F9DB29">
      <w:pPr>
        <w:spacing w:line="360" w:lineRule="auto"/>
        <w:contextualSpacing/>
        <w:rPr>
          <w:rFonts w:hint="eastAsia" w:ascii="宋体" w:hAnsi="宋体" w:cs="仿宋_GB2312"/>
          <w:color w:val="auto"/>
          <w:sz w:val="24"/>
          <w:highlight w:val="none"/>
        </w:rPr>
      </w:pPr>
    </w:p>
    <w:p w14:paraId="5A59862A">
      <w:pPr>
        <w:spacing w:line="360" w:lineRule="auto"/>
        <w:ind w:firstLine="2400"/>
        <w:contextualSpacing/>
        <w:rPr>
          <w:rFonts w:hint="eastAsia" w:ascii="宋体" w:hAnsi="宋体" w:cs="仿宋_GB2312"/>
          <w:color w:val="auto"/>
          <w:sz w:val="24"/>
          <w:highlight w:val="none"/>
        </w:rPr>
      </w:pPr>
      <w:r>
        <w:rPr>
          <w:rFonts w:hint="eastAsia" w:ascii="宋体" w:hAnsi="宋体" w:cs="仿宋_GB2312"/>
          <w:color w:val="auto"/>
          <w:sz w:val="24"/>
          <w:highlight w:val="none"/>
        </w:rPr>
        <w:t>单位名称（盖章）：</w:t>
      </w:r>
    </w:p>
    <w:p w14:paraId="377CE408">
      <w:pPr>
        <w:spacing w:line="360" w:lineRule="auto"/>
        <w:ind w:firstLine="3600"/>
        <w:contextualSpacing/>
        <w:rPr>
          <w:rFonts w:hint="eastAsia" w:ascii="宋体" w:hAnsi="宋体" w:cs="仿宋_GB2312"/>
          <w:color w:val="auto"/>
          <w:sz w:val="24"/>
          <w:highlight w:val="none"/>
        </w:rPr>
      </w:pPr>
      <w:r>
        <w:rPr>
          <w:rFonts w:hint="eastAsia" w:ascii="宋体" w:hAnsi="宋体" w:cs="仿宋_GB2312"/>
          <w:color w:val="auto"/>
          <w:sz w:val="24"/>
          <w:highlight w:val="none"/>
        </w:rPr>
        <w:t>日  期：</w:t>
      </w:r>
    </w:p>
    <w:p w14:paraId="4D44DA87">
      <w:pPr>
        <w:spacing w:line="360" w:lineRule="auto"/>
        <w:contextualSpacing/>
        <w:rPr>
          <w:rFonts w:hint="eastAsia" w:ascii="宋体" w:hAnsi="宋体" w:cs="仿宋_GB2312"/>
          <w:color w:val="auto"/>
          <w:sz w:val="24"/>
          <w:highlight w:val="none"/>
        </w:rPr>
      </w:pPr>
    </w:p>
    <w:p w14:paraId="65803BCA">
      <w:pPr>
        <w:spacing w:line="360" w:lineRule="auto"/>
        <w:contextualSpacing/>
        <w:rPr>
          <w:rFonts w:hint="eastAsia" w:ascii="宋体" w:hAnsi="宋体" w:cs="仿宋_GB2312"/>
          <w:color w:val="auto"/>
          <w:sz w:val="24"/>
          <w:highlight w:val="none"/>
        </w:rPr>
      </w:pPr>
    </w:p>
    <w:p w14:paraId="0382B0EB">
      <w:pPr>
        <w:spacing w:line="360" w:lineRule="auto"/>
        <w:contextualSpacing/>
        <w:rPr>
          <w:rFonts w:hint="eastAsia" w:ascii="宋体" w:hAnsi="宋体" w:cs="仿宋_GB2312"/>
          <w:color w:val="auto"/>
          <w:sz w:val="24"/>
          <w:highlight w:val="none"/>
        </w:rPr>
      </w:pPr>
    </w:p>
    <w:p w14:paraId="47C9D680">
      <w:pPr>
        <w:spacing w:line="360" w:lineRule="auto"/>
        <w:ind w:firstLine="420"/>
        <w:contextualSpacing/>
        <w:rPr>
          <w:rFonts w:hint="eastAsia" w:ascii="宋体" w:hAnsi="宋体" w:cs="仿宋_GB2312"/>
          <w:color w:val="auto"/>
          <w:szCs w:val="21"/>
          <w:highlight w:val="none"/>
        </w:rPr>
      </w:pPr>
      <w:r>
        <w:rPr>
          <w:rFonts w:hint="eastAsia" w:ascii="宋体" w:hAnsi="宋体" w:cs="仿宋_GB2312"/>
          <w:color w:val="auto"/>
          <w:szCs w:val="21"/>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2536D002">
      <w:pPr>
        <w:spacing w:line="360" w:lineRule="auto"/>
        <w:jc w:val="center"/>
        <w:rPr>
          <w:rFonts w:hint="eastAsia" w:ascii="宋体" w:hAnsi="宋体" w:cs="仿宋_GB2312"/>
          <w:color w:val="auto"/>
          <w:sz w:val="24"/>
          <w:highlight w:val="none"/>
        </w:rPr>
      </w:pPr>
    </w:p>
    <w:p w14:paraId="42D69898">
      <w:pPr>
        <w:spacing w:line="360" w:lineRule="auto"/>
        <w:jc w:val="center"/>
        <w:rPr>
          <w:rFonts w:hint="eastAsia" w:ascii="宋体" w:hAnsi="宋体" w:cs="仿宋_GB2312"/>
          <w:color w:val="auto"/>
          <w:sz w:val="24"/>
          <w:highlight w:val="none"/>
        </w:rPr>
      </w:pPr>
    </w:p>
    <w:p w14:paraId="3DA8DE14">
      <w:pPr>
        <w:spacing w:line="360" w:lineRule="auto"/>
        <w:jc w:val="center"/>
        <w:rPr>
          <w:rFonts w:hint="eastAsia" w:ascii="宋体" w:hAnsi="宋体" w:cs="仿宋_GB2312"/>
          <w:color w:val="auto"/>
          <w:sz w:val="24"/>
          <w:highlight w:val="none"/>
        </w:rPr>
      </w:pPr>
    </w:p>
    <w:p w14:paraId="125C7D76">
      <w:pPr>
        <w:spacing w:line="360" w:lineRule="auto"/>
        <w:jc w:val="center"/>
        <w:rPr>
          <w:rFonts w:hint="eastAsia" w:ascii="宋体" w:hAnsi="宋体" w:cs="仿宋_GB2312"/>
          <w:color w:val="auto"/>
          <w:sz w:val="24"/>
          <w:highlight w:val="none"/>
        </w:rPr>
      </w:pPr>
    </w:p>
    <w:p w14:paraId="0145C354">
      <w:pPr>
        <w:spacing w:line="360" w:lineRule="auto"/>
        <w:jc w:val="center"/>
        <w:rPr>
          <w:rFonts w:hint="eastAsia" w:ascii="宋体" w:hAnsi="宋体" w:cs="仿宋_GB2312"/>
          <w:color w:val="auto"/>
          <w:sz w:val="24"/>
          <w:highlight w:val="none"/>
        </w:rPr>
      </w:pPr>
    </w:p>
    <w:p w14:paraId="6C632E7A">
      <w:pPr>
        <w:spacing w:line="360" w:lineRule="auto"/>
        <w:jc w:val="center"/>
        <w:rPr>
          <w:rFonts w:hint="eastAsia" w:ascii="宋体" w:hAnsi="宋体" w:cs="仿宋_GB2312"/>
          <w:color w:val="auto"/>
          <w:sz w:val="24"/>
          <w:highlight w:val="none"/>
        </w:rPr>
      </w:pPr>
    </w:p>
    <w:p w14:paraId="33FAEAAB">
      <w:pPr>
        <w:spacing w:line="360" w:lineRule="auto"/>
        <w:jc w:val="center"/>
        <w:rPr>
          <w:rFonts w:hint="eastAsia" w:ascii="宋体" w:hAnsi="宋体" w:cs="仿宋_GB2312"/>
          <w:color w:val="auto"/>
          <w:sz w:val="24"/>
          <w:highlight w:val="none"/>
        </w:rPr>
      </w:pPr>
    </w:p>
    <w:p w14:paraId="3C097A2A">
      <w:pPr>
        <w:spacing w:line="360" w:lineRule="auto"/>
        <w:jc w:val="center"/>
        <w:rPr>
          <w:rFonts w:hint="eastAsia" w:ascii="宋体" w:hAnsi="宋体" w:cs="仿宋_GB2312"/>
          <w:color w:val="auto"/>
          <w:sz w:val="24"/>
          <w:highlight w:val="none"/>
        </w:rPr>
      </w:pPr>
    </w:p>
    <w:p w14:paraId="52A06124">
      <w:pPr>
        <w:spacing w:line="360" w:lineRule="auto"/>
        <w:jc w:val="center"/>
        <w:rPr>
          <w:rFonts w:hint="eastAsia" w:ascii="宋体" w:hAnsi="宋体" w:cs="仿宋_GB2312"/>
          <w:color w:val="auto"/>
          <w:sz w:val="24"/>
          <w:highlight w:val="none"/>
        </w:rPr>
      </w:pPr>
    </w:p>
    <w:p w14:paraId="6DBB91A5">
      <w:pPr>
        <w:spacing w:line="360" w:lineRule="auto"/>
        <w:jc w:val="center"/>
        <w:rPr>
          <w:rFonts w:hint="eastAsia" w:ascii="宋体" w:hAnsi="宋体" w:cs="仿宋_GB2312"/>
          <w:color w:val="auto"/>
          <w:sz w:val="24"/>
          <w:highlight w:val="none"/>
        </w:rPr>
      </w:pPr>
    </w:p>
    <w:p w14:paraId="4FCF528A">
      <w:pPr>
        <w:spacing w:line="360" w:lineRule="auto"/>
        <w:jc w:val="center"/>
        <w:rPr>
          <w:rFonts w:hint="eastAsia" w:ascii="宋体" w:hAnsi="宋体" w:cs="仿宋_GB2312"/>
          <w:color w:val="auto"/>
          <w:sz w:val="24"/>
          <w:highlight w:val="none"/>
        </w:rPr>
      </w:pPr>
    </w:p>
    <w:p w14:paraId="5F9E4BAD">
      <w:pPr>
        <w:spacing w:line="360" w:lineRule="auto"/>
        <w:ind w:right="420"/>
        <w:contextualSpacing/>
        <w:jc w:val="left"/>
        <w:rPr>
          <w:rFonts w:hint="eastAsia" w:ascii="宋体" w:hAnsi="宋体"/>
          <w:b/>
          <w:color w:val="auto"/>
          <w:sz w:val="28"/>
          <w:szCs w:val="21"/>
          <w:highlight w:val="none"/>
        </w:rPr>
      </w:pPr>
      <w:r>
        <w:rPr>
          <w:rFonts w:hint="eastAsia" w:ascii="宋体" w:hAnsi="宋体"/>
          <w:b/>
          <w:color w:val="auto"/>
          <w:sz w:val="28"/>
          <w:szCs w:val="21"/>
          <w:highlight w:val="none"/>
        </w:rPr>
        <w:t>最后报价表格式</w:t>
      </w:r>
    </w:p>
    <w:p w14:paraId="56CA19FE">
      <w:pPr>
        <w:spacing w:line="560" w:lineRule="exact"/>
        <w:jc w:val="center"/>
        <w:rPr>
          <w:rFonts w:hint="eastAsia" w:ascii="宋体" w:hAnsi="宋体"/>
          <w:color w:val="auto"/>
          <w:spacing w:val="48"/>
          <w:sz w:val="32"/>
          <w:szCs w:val="32"/>
          <w:highlight w:val="none"/>
        </w:rPr>
      </w:pPr>
      <w:r>
        <w:rPr>
          <w:rFonts w:hint="eastAsia" w:ascii="宋体" w:hAnsi="宋体"/>
          <w:color w:val="auto"/>
          <w:spacing w:val="48"/>
          <w:sz w:val="32"/>
          <w:szCs w:val="32"/>
          <w:highlight w:val="none"/>
        </w:rPr>
        <w:t>云之龙咨询集团有限公司</w:t>
      </w:r>
    </w:p>
    <w:p w14:paraId="2253FF90">
      <w:pPr>
        <w:spacing w:line="500" w:lineRule="exact"/>
        <w:jc w:val="center"/>
        <w:rPr>
          <w:rFonts w:hint="eastAsia" w:ascii="宋体" w:hAnsi="宋体"/>
          <w:color w:val="auto"/>
          <w:spacing w:val="-4"/>
          <w:sz w:val="32"/>
          <w:highlight w:val="none"/>
        </w:rPr>
      </w:pPr>
      <w:r>
        <w:rPr>
          <w:rFonts w:hint="eastAsia" w:ascii="宋体" w:hAnsi="宋体"/>
          <w:color w:val="auto"/>
          <w:spacing w:val="-4"/>
          <w:sz w:val="32"/>
          <w:highlight w:val="none"/>
        </w:rPr>
        <w:t>陆川县横山镇陆洪村委至横山街段道路修复工程</w:t>
      </w:r>
    </w:p>
    <w:p w14:paraId="0B800C6F">
      <w:pPr>
        <w:spacing w:line="500" w:lineRule="exact"/>
        <w:jc w:val="center"/>
        <w:rPr>
          <w:rFonts w:hint="eastAsia" w:ascii="宋体" w:hAnsi="宋体"/>
          <w:color w:val="auto"/>
          <w:spacing w:val="-4"/>
          <w:sz w:val="32"/>
          <w:highlight w:val="none"/>
        </w:rPr>
      </w:pPr>
      <w:r>
        <w:rPr>
          <w:rFonts w:hint="eastAsia" w:ascii="宋体" w:hAnsi="宋体"/>
          <w:color w:val="auto"/>
          <w:spacing w:val="-4"/>
          <w:sz w:val="32"/>
          <w:highlight w:val="none"/>
        </w:rPr>
        <w:t>YLZC2026-C2-220141-YZLZ</w:t>
      </w:r>
    </w:p>
    <w:p w14:paraId="4A69BEFD">
      <w:pPr>
        <w:spacing w:line="500" w:lineRule="exact"/>
        <w:jc w:val="center"/>
        <w:rPr>
          <w:rFonts w:hint="eastAsia" w:ascii="宋体" w:hAnsi="宋体"/>
          <w:color w:val="auto"/>
          <w:spacing w:val="-4"/>
          <w:sz w:val="32"/>
          <w:highlight w:val="none"/>
        </w:rPr>
      </w:pPr>
      <w:r>
        <w:rPr>
          <w:rFonts w:hint="eastAsia" w:ascii="宋体" w:hAnsi="宋体"/>
          <w:color w:val="auto"/>
          <w:spacing w:val="-4"/>
          <w:sz w:val="32"/>
          <w:highlight w:val="none"/>
        </w:rPr>
        <w:t>最后报价</w:t>
      </w:r>
    </w:p>
    <w:p w14:paraId="55D0C062">
      <w:pPr>
        <w:spacing w:line="500" w:lineRule="exact"/>
        <w:rPr>
          <w:rFonts w:hint="eastAsia" w:ascii="宋体" w:hAnsi="宋体"/>
          <w:color w:val="auto"/>
          <w:sz w:val="24"/>
          <w:highlight w:val="none"/>
          <w:u w:val="single"/>
        </w:rPr>
      </w:pPr>
      <w:r>
        <w:rPr>
          <w:rFonts w:hint="eastAsia"/>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-113665</wp:posOffset>
                </wp:positionH>
                <wp:positionV relativeFrom="paragraph">
                  <wp:posOffset>50165</wp:posOffset>
                </wp:positionV>
                <wp:extent cx="5600700" cy="635"/>
                <wp:effectExtent l="0" t="0" r="0" b="18415"/>
                <wp:wrapNone/>
                <wp:docPr id="575348696" name="直接连接符 9"/>
                <wp:cNvGraphicFramePr/>
                <a:graphic xmlns:a="http://schemas.openxmlformats.org/drawingml/2006/main">
                  <a:graphicData uri="http://schemas.microsoft.com/office/word/2010/wordprocessingShape">
                    <wps:wsp>
                      <wps:cNvCnPr/>
                      <wps:spPr bwMode="auto">
                        <a:xfrm>
                          <a:off x="0" y="0"/>
                          <a:ext cx="5600700" cy="635"/>
                        </a:xfrm>
                        <a:prstGeom prst="line">
                          <a:avLst/>
                        </a:prstGeom>
                        <a:noFill/>
                        <a:ln w="19050">
                          <a:solidFill>
                            <a:srgbClr val="000000"/>
                          </a:solidFill>
                        </a:ln>
                      </wps:spPr>
                      <wps:bodyPr/>
                    </wps:wsp>
                  </a:graphicData>
                </a:graphic>
              </wp:anchor>
            </w:drawing>
          </mc:Choice>
          <mc:Fallback>
            <w:pict>
              <v:line id="直接连接符 9" o:spid="_x0000_s1026" o:spt="20" style="position:absolute;left:0pt;margin-left:-8.95pt;margin-top:3.95pt;height:0.05pt;width:441pt;z-index:251661312;mso-width-relative:page;mso-height-relative:page;" filled="f" stroked="t" coordsize="21600,21600" o:gfxdata="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&#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mE0NrUAAAABwEAAA8AAAAAAAAAAQAgAAAAIgAAAGRy&#10;cy9kb3ducmV2LnhtbFBLAQIUABQAAAAIAIdO4kD48wKK0AEAAHkDAAAOAAAAAAAAAAEAIAAAACMB&#10;AABkcnMvZTJvRG9jLnhtbFBLBQYAAAAABgAGAFkBAABlBQAAAAA=&#10;">
                <v:fill on="f" focussize="0,0"/>
                <v:stroke weight="1.5pt" color="#000000" joinstyle="round"/>
                <v:imagedata o:title=""/>
                <o:lock v:ext="edit" aspectratio="f"/>
              </v:line>
            </w:pict>
          </mc:Fallback>
        </mc:AlternateContent>
      </w:r>
    </w:p>
    <w:tbl>
      <w:tblPr>
        <w:tblStyle w:val="44"/>
        <w:tblpPr w:leftFromText="180" w:rightFromText="180" w:vertAnchor="text" w:horzAnchor="page" w:tblpX="1495" w:tblpY="233"/>
        <w:tblOverlap w:val="never"/>
        <w:tblW w:w="9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4454"/>
        <w:gridCol w:w="1117"/>
        <w:gridCol w:w="1568"/>
        <w:gridCol w:w="1289"/>
      </w:tblGrid>
      <w:tr w14:paraId="68C0E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trPr>
        <w:tc>
          <w:tcPr>
            <w:tcW w:w="760" w:type="dxa"/>
            <w:tcBorders>
              <w:top w:val="single" w:color="auto" w:sz="4" w:space="0"/>
              <w:left w:val="single" w:color="auto" w:sz="4" w:space="0"/>
              <w:bottom w:val="single" w:color="auto" w:sz="4" w:space="0"/>
              <w:right w:val="single" w:color="auto" w:sz="4" w:space="0"/>
            </w:tcBorders>
            <w:vAlign w:val="center"/>
          </w:tcPr>
          <w:p w14:paraId="44714C96">
            <w:pPr>
              <w:spacing w:line="500" w:lineRule="exact"/>
              <w:jc w:val="center"/>
              <w:rPr>
                <w:rFonts w:hint="eastAsia" w:ascii="宋体" w:hAnsi="宋体"/>
                <w:color w:val="auto"/>
                <w:sz w:val="24"/>
                <w:highlight w:val="none"/>
              </w:rPr>
            </w:pPr>
            <w:r>
              <w:rPr>
                <w:rFonts w:hint="eastAsia" w:ascii="宋体" w:hAnsi="宋体"/>
                <w:color w:val="auto"/>
                <w:sz w:val="24"/>
                <w:highlight w:val="none"/>
              </w:rPr>
              <w:t>序号</w:t>
            </w:r>
          </w:p>
        </w:tc>
        <w:tc>
          <w:tcPr>
            <w:tcW w:w="4454" w:type="dxa"/>
            <w:tcBorders>
              <w:top w:val="single" w:color="auto" w:sz="4" w:space="0"/>
              <w:left w:val="single" w:color="auto" w:sz="4" w:space="0"/>
              <w:bottom w:val="single" w:color="auto" w:sz="4" w:space="0"/>
              <w:right w:val="single" w:color="auto" w:sz="4" w:space="0"/>
            </w:tcBorders>
            <w:vAlign w:val="center"/>
          </w:tcPr>
          <w:p w14:paraId="4994004A">
            <w:pPr>
              <w:spacing w:line="500" w:lineRule="exact"/>
              <w:jc w:val="center"/>
              <w:rPr>
                <w:rFonts w:hint="eastAsia" w:ascii="宋体" w:hAnsi="宋体"/>
                <w:color w:val="auto"/>
                <w:sz w:val="24"/>
                <w:highlight w:val="none"/>
              </w:rPr>
            </w:pPr>
            <w:r>
              <w:rPr>
                <w:rFonts w:hint="eastAsia" w:ascii="宋体" w:hAnsi="宋体"/>
                <w:color w:val="auto"/>
                <w:sz w:val="24"/>
                <w:highlight w:val="none"/>
              </w:rPr>
              <w:t>标的名称</w:t>
            </w:r>
          </w:p>
        </w:tc>
        <w:tc>
          <w:tcPr>
            <w:tcW w:w="1117" w:type="dxa"/>
            <w:tcBorders>
              <w:top w:val="single" w:color="auto" w:sz="4" w:space="0"/>
              <w:left w:val="single" w:color="auto" w:sz="4" w:space="0"/>
              <w:bottom w:val="single" w:color="auto" w:sz="4" w:space="0"/>
              <w:right w:val="single" w:color="auto" w:sz="4" w:space="0"/>
            </w:tcBorders>
            <w:vAlign w:val="center"/>
          </w:tcPr>
          <w:p w14:paraId="4DDC0301">
            <w:pPr>
              <w:spacing w:line="500" w:lineRule="exact"/>
              <w:jc w:val="center"/>
              <w:rPr>
                <w:rFonts w:hint="eastAsia" w:ascii="宋体" w:hAnsi="宋体"/>
                <w:color w:val="auto"/>
                <w:sz w:val="24"/>
                <w:highlight w:val="none"/>
              </w:rPr>
            </w:pPr>
            <w:r>
              <w:rPr>
                <w:rFonts w:hint="eastAsia" w:ascii="宋体" w:hAnsi="宋体"/>
                <w:color w:val="auto"/>
                <w:sz w:val="24"/>
                <w:highlight w:val="none"/>
              </w:rPr>
              <w:t>数量及单位</w:t>
            </w:r>
          </w:p>
        </w:tc>
        <w:tc>
          <w:tcPr>
            <w:tcW w:w="1568" w:type="dxa"/>
            <w:tcBorders>
              <w:top w:val="single" w:color="auto" w:sz="4" w:space="0"/>
              <w:left w:val="single" w:color="auto" w:sz="4" w:space="0"/>
              <w:bottom w:val="single" w:color="auto" w:sz="4" w:space="0"/>
              <w:right w:val="single" w:color="auto" w:sz="4" w:space="0"/>
            </w:tcBorders>
            <w:vAlign w:val="center"/>
          </w:tcPr>
          <w:p w14:paraId="0C6C1B54">
            <w:pPr>
              <w:spacing w:line="500" w:lineRule="exact"/>
              <w:jc w:val="center"/>
              <w:rPr>
                <w:rFonts w:hint="eastAsia" w:ascii="宋体" w:hAnsi="宋体"/>
                <w:color w:val="auto"/>
                <w:sz w:val="24"/>
                <w:highlight w:val="none"/>
              </w:rPr>
            </w:pPr>
            <w:r>
              <w:rPr>
                <w:rFonts w:hint="eastAsia" w:ascii="宋体" w:hAnsi="宋体"/>
                <w:color w:val="auto"/>
                <w:sz w:val="24"/>
                <w:highlight w:val="none"/>
              </w:rPr>
              <w:t>最后报价（元）</w:t>
            </w:r>
          </w:p>
        </w:tc>
        <w:tc>
          <w:tcPr>
            <w:tcW w:w="1289" w:type="dxa"/>
            <w:tcBorders>
              <w:top w:val="single" w:color="auto" w:sz="4" w:space="0"/>
              <w:left w:val="single" w:color="auto" w:sz="4" w:space="0"/>
              <w:bottom w:val="single" w:color="auto" w:sz="4" w:space="0"/>
              <w:right w:val="single" w:color="auto" w:sz="4" w:space="0"/>
            </w:tcBorders>
            <w:vAlign w:val="center"/>
          </w:tcPr>
          <w:p w14:paraId="2A611074">
            <w:pPr>
              <w:spacing w:line="500" w:lineRule="exact"/>
              <w:jc w:val="center"/>
              <w:rPr>
                <w:rFonts w:hint="eastAsia" w:ascii="宋体" w:hAnsi="宋体"/>
                <w:color w:val="auto"/>
                <w:sz w:val="24"/>
                <w:highlight w:val="none"/>
              </w:rPr>
            </w:pPr>
            <w:r>
              <w:rPr>
                <w:rFonts w:hint="eastAsia" w:ascii="宋体" w:hAnsi="宋体"/>
                <w:color w:val="auto"/>
                <w:sz w:val="24"/>
                <w:highlight w:val="none"/>
              </w:rPr>
              <w:t>备注</w:t>
            </w:r>
          </w:p>
        </w:tc>
      </w:tr>
      <w:tr w14:paraId="0AA29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6" w:hRule="atLeast"/>
        </w:trPr>
        <w:tc>
          <w:tcPr>
            <w:tcW w:w="760" w:type="dxa"/>
            <w:tcBorders>
              <w:top w:val="single" w:color="auto" w:sz="4" w:space="0"/>
              <w:left w:val="single" w:color="auto" w:sz="4" w:space="0"/>
              <w:bottom w:val="single" w:color="auto" w:sz="4" w:space="0"/>
              <w:right w:val="single" w:color="auto" w:sz="4" w:space="0"/>
            </w:tcBorders>
            <w:vAlign w:val="center"/>
          </w:tcPr>
          <w:p w14:paraId="4BAB8AC4">
            <w:pPr>
              <w:spacing w:line="500" w:lineRule="exact"/>
              <w:jc w:val="center"/>
              <w:rPr>
                <w:rFonts w:hint="eastAsia" w:ascii="宋体" w:hAnsi="宋体"/>
                <w:color w:val="auto"/>
                <w:sz w:val="24"/>
                <w:highlight w:val="none"/>
              </w:rPr>
            </w:pPr>
            <w:r>
              <w:rPr>
                <w:rFonts w:hint="eastAsia" w:ascii="宋体" w:hAnsi="宋体"/>
                <w:color w:val="auto"/>
                <w:sz w:val="24"/>
                <w:highlight w:val="none"/>
              </w:rPr>
              <w:t>1</w:t>
            </w:r>
          </w:p>
        </w:tc>
        <w:tc>
          <w:tcPr>
            <w:tcW w:w="4454" w:type="dxa"/>
            <w:tcBorders>
              <w:top w:val="single" w:color="auto" w:sz="4" w:space="0"/>
              <w:left w:val="single" w:color="auto" w:sz="4" w:space="0"/>
              <w:bottom w:val="single" w:color="auto" w:sz="4" w:space="0"/>
              <w:right w:val="single" w:color="auto" w:sz="4" w:space="0"/>
            </w:tcBorders>
            <w:vAlign w:val="center"/>
          </w:tcPr>
          <w:p w14:paraId="0EF77173">
            <w:pPr>
              <w:tabs>
                <w:tab w:val="left" w:pos="180"/>
                <w:tab w:val="left" w:pos="1620"/>
              </w:tabs>
              <w:spacing w:line="380" w:lineRule="exact"/>
              <w:jc w:val="center"/>
              <w:rPr>
                <w:rFonts w:hint="eastAsia" w:ascii="宋体" w:hAnsi="宋体"/>
                <w:color w:val="auto"/>
                <w:sz w:val="24"/>
                <w:highlight w:val="none"/>
              </w:rPr>
            </w:pPr>
          </w:p>
        </w:tc>
        <w:tc>
          <w:tcPr>
            <w:tcW w:w="1117" w:type="dxa"/>
            <w:tcBorders>
              <w:top w:val="single" w:color="auto" w:sz="4" w:space="0"/>
              <w:left w:val="single" w:color="auto" w:sz="4" w:space="0"/>
              <w:bottom w:val="single" w:color="auto" w:sz="4" w:space="0"/>
              <w:right w:val="single" w:color="auto" w:sz="4" w:space="0"/>
            </w:tcBorders>
            <w:vAlign w:val="center"/>
          </w:tcPr>
          <w:p w14:paraId="45C80000">
            <w:pPr>
              <w:spacing w:line="360" w:lineRule="auto"/>
              <w:jc w:val="center"/>
              <w:rPr>
                <w:rFonts w:hint="eastAsia" w:ascii="宋体" w:hAnsi="宋体"/>
                <w:color w:val="auto"/>
                <w:sz w:val="24"/>
                <w:highlight w:val="none"/>
              </w:rPr>
            </w:pPr>
          </w:p>
        </w:tc>
        <w:tc>
          <w:tcPr>
            <w:tcW w:w="1568" w:type="dxa"/>
            <w:tcBorders>
              <w:top w:val="single" w:color="auto" w:sz="4" w:space="0"/>
              <w:left w:val="single" w:color="auto" w:sz="4" w:space="0"/>
              <w:bottom w:val="single" w:color="auto" w:sz="4" w:space="0"/>
              <w:right w:val="single" w:color="auto" w:sz="4" w:space="0"/>
            </w:tcBorders>
          </w:tcPr>
          <w:p w14:paraId="24B4D4D2">
            <w:pPr>
              <w:spacing w:line="500" w:lineRule="exact"/>
              <w:jc w:val="center"/>
              <w:rPr>
                <w:rFonts w:hint="eastAsia" w:ascii="宋体" w:hAnsi="宋体"/>
                <w:color w:val="auto"/>
                <w:sz w:val="24"/>
                <w:highlight w:val="none"/>
              </w:rPr>
            </w:pPr>
          </w:p>
        </w:tc>
        <w:tc>
          <w:tcPr>
            <w:tcW w:w="1289" w:type="dxa"/>
            <w:tcBorders>
              <w:top w:val="single" w:color="auto" w:sz="4" w:space="0"/>
              <w:left w:val="single" w:color="auto" w:sz="4" w:space="0"/>
              <w:bottom w:val="single" w:color="auto" w:sz="4" w:space="0"/>
              <w:right w:val="single" w:color="auto" w:sz="4" w:space="0"/>
            </w:tcBorders>
            <w:vAlign w:val="center"/>
          </w:tcPr>
          <w:p w14:paraId="48554771">
            <w:pPr>
              <w:spacing w:line="500" w:lineRule="exact"/>
              <w:jc w:val="center"/>
              <w:rPr>
                <w:rFonts w:hint="eastAsia" w:ascii="宋体" w:hAnsi="宋体"/>
                <w:color w:val="auto"/>
                <w:sz w:val="24"/>
                <w:highlight w:val="none"/>
              </w:rPr>
            </w:pPr>
          </w:p>
        </w:tc>
      </w:tr>
      <w:tr w14:paraId="6E4A7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6" w:hRule="atLeast"/>
        </w:trPr>
        <w:tc>
          <w:tcPr>
            <w:tcW w:w="760" w:type="dxa"/>
            <w:tcBorders>
              <w:top w:val="single" w:color="auto" w:sz="4" w:space="0"/>
              <w:left w:val="single" w:color="auto" w:sz="4" w:space="0"/>
              <w:bottom w:val="single" w:color="auto" w:sz="4" w:space="0"/>
              <w:right w:val="single" w:color="auto" w:sz="4" w:space="0"/>
            </w:tcBorders>
            <w:vAlign w:val="center"/>
          </w:tcPr>
          <w:p w14:paraId="1B217737">
            <w:pPr>
              <w:spacing w:line="500" w:lineRule="exact"/>
              <w:jc w:val="center"/>
              <w:rPr>
                <w:rFonts w:hint="eastAsia" w:ascii="宋体" w:hAnsi="宋体"/>
                <w:color w:val="auto"/>
                <w:sz w:val="24"/>
                <w:highlight w:val="none"/>
              </w:rPr>
            </w:pPr>
            <w:r>
              <w:rPr>
                <w:rFonts w:hint="eastAsia" w:ascii="宋体" w:hAnsi="宋体"/>
                <w:color w:val="auto"/>
                <w:sz w:val="24"/>
                <w:highlight w:val="none"/>
              </w:rPr>
              <w:t>…</w:t>
            </w:r>
          </w:p>
        </w:tc>
        <w:tc>
          <w:tcPr>
            <w:tcW w:w="4454" w:type="dxa"/>
            <w:tcBorders>
              <w:top w:val="single" w:color="auto" w:sz="4" w:space="0"/>
              <w:left w:val="single" w:color="auto" w:sz="4" w:space="0"/>
              <w:bottom w:val="single" w:color="auto" w:sz="4" w:space="0"/>
              <w:right w:val="single" w:color="auto" w:sz="4" w:space="0"/>
            </w:tcBorders>
            <w:vAlign w:val="center"/>
          </w:tcPr>
          <w:p w14:paraId="6DE74A80">
            <w:pPr>
              <w:tabs>
                <w:tab w:val="left" w:pos="180"/>
                <w:tab w:val="left" w:pos="1620"/>
              </w:tabs>
              <w:spacing w:line="380" w:lineRule="exact"/>
              <w:jc w:val="center"/>
              <w:rPr>
                <w:rFonts w:hint="eastAsia" w:ascii="宋体" w:hAnsi="宋体"/>
                <w:color w:val="auto"/>
                <w:sz w:val="24"/>
                <w:highlight w:val="none"/>
              </w:rPr>
            </w:pPr>
          </w:p>
        </w:tc>
        <w:tc>
          <w:tcPr>
            <w:tcW w:w="1117" w:type="dxa"/>
            <w:tcBorders>
              <w:top w:val="single" w:color="auto" w:sz="4" w:space="0"/>
              <w:left w:val="single" w:color="auto" w:sz="4" w:space="0"/>
              <w:bottom w:val="single" w:color="auto" w:sz="4" w:space="0"/>
              <w:right w:val="single" w:color="auto" w:sz="4" w:space="0"/>
            </w:tcBorders>
            <w:vAlign w:val="center"/>
          </w:tcPr>
          <w:p w14:paraId="5D220251">
            <w:pPr>
              <w:spacing w:line="360" w:lineRule="auto"/>
              <w:jc w:val="center"/>
              <w:rPr>
                <w:rFonts w:hint="eastAsia" w:ascii="宋体" w:hAnsi="宋体"/>
                <w:color w:val="auto"/>
                <w:sz w:val="24"/>
                <w:highlight w:val="none"/>
              </w:rPr>
            </w:pPr>
          </w:p>
        </w:tc>
        <w:tc>
          <w:tcPr>
            <w:tcW w:w="1568" w:type="dxa"/>
            <w:tcBorders>
              <w:top w:val="single" w:color="auto" w:sz="4" w:space="0"/>
              <w:left w:val="single" w:color="auto" w:sz="4" w:space="0"/>
              <w:bottom w:val="single" w:color="auto" w:sz="4" w:space="0"/>
              <w:right w:val="single" w:color="auto" w:sz="4" w:space="0"/>
            </w:tcBorders>
          </w:tcPr>
          <w:p w14:paraId="7CBFB3F7">
            <w:pPr>
              <w:spacing w:line="500" w:lineRule="exact"/>
              <w:jc w:val="center"/>
              <w:rPr>
                <w:rFonts w:hint="eastAsia" w:ascii="宋体" w:hAnsi="宋体"/>
                <w:color w:val="auto"/>
                <w:sz w:val="24"/>
                <w:highlight w:val="none"/>
              </w:rPr>
            </w:pPr>
          </w:p>
        </w:tc>
        <w:tc>
          <w:tcPr>
            <w:tcW w:w="1289" w:type="dxa"/>
            <w:tcBorders>
              <w:top w:val="single" w:color="auto" w:sz="4" w:space="0"/>
              <w:left w:val="single" w:color="auto" w:sz="4" w:space="0"/>
              <w:bottom w:val="single" w:color="auto" w:sz="4" w:space="0"/>
              <w:right w:val="single" w:color="auto" w:sz="4" w:space="0"/>
            </w:tcBorders>
            <w:vAlign w:val="center"/>
          </w:tcPr>
          <w:p w14:paraId="61680310">
            <w:pPr>
              <w:spacing w:line="500" w:lineRule="exact"/>
              <w:jc w:val="center"/>
              <w:rPr>
                <w:rFonts w:hint="eastAsia" w:ascii="宋体" w:hAnsi="宋体"/>
                <w:color w:val="auto"/>
                <w:sz w:val="24"/>
                <w:highlight w:val="none"/>
              </w:rPr>
            </w:pPr>
          </w:p>
        </w:tc>
      </w:tr>
      <w:tr w14:paraId="3EFD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9188" w:type="dxa"/>
            <w:gridSpan w:val="5"/>
            <w:tcBorders>
              <w:top w:val="single" w:color="auto" w:sz="4" w:space="0"/>
              <w:left w:val="single" w:color="auto" w:sz="4" w:space="0"/>
              <w:bottom w:val="single" w:color="auto" w:sz="4" w:space="0"/>
              <w:right w:val="single" w:color="auto" w:sz="4" w:space="0"/>
            </w:tcBorders>
          </w:tcPr>
          <w:p w14:paraId="390CE6C0">
            <w:pPr>
              <w:spacing w:line="500" w:lineRule="exact"/>
              <w:rPr>
                <w:rFonts w:hint="eastAsia" w:ascii="宋体" w:hAnsi="宋体"/>
                <w:color w:val="auto"/>
                <w:spacing w:val="-6"/>
                <w:sz w:val="24"/>
                <w:highlight w:val="none"/>
              </w:rPr>
            </w:pPr>
            <w:r>
              <w:rPr>
                <w:rFonts w:hint="eastAsia" w:ascii="宋体" w:hAnsi="宋体" w:cs="仿宋_GB2312"/>
                <w:color w:val="auto"/>
                <w:sz w:val="24"/>
                <w:highlight w:val="none"/>
              </w:rPr>
              <w:t>合计金额大写：人民币</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r>
              <w:rPr>
                <w:rFonts w:ascii="宋体" w:hAnsi="宋体" w:cs="仿宋_GB2312"/>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tc>
      </w:tr>
    </w:tbl>
    <w:p w14:paraId="0EB16F39">
      <w:pPr>
        <w:spacing w:line="500" w:lineRule="exact"/>
        <w:rPr>
          <w:rFonts w:hint="eastAsia" w:ascii="宋体" w:hAnsi="宋体"/>
          <w:color w:val="auto"/>
          <w:szCs w:val="21"/>
          <w:highlight w:val="none"/>
        </w:rPr>
      </w:pPr>
    </w:p>
    <w:p w14:paraId="4804A99C">
      <w:pPr>
        <w:spacing w:line="500" w:lineRule="exact"/>
        <w:rPr>
          <w:rFonts w:hint="eastAsia" w:ascii="宋体" w:hAnsi="宋体"/>
          <w:color w:val="auto"/>
          <w:szCs w:val="21"/>
          <w:highlight w:val="none"/>
        </w:rPr>
      </w:pPr>
    </w:p>
    <w:p w14:paraId="75EB9F95">
      <w:pPr>
        <w:spacing w:line="500" w:lineRule="exact"/>
        <w:rPr>
          <w:rFonts w:hint="eastAsia" w:ascii="宋体" w:hAnsi="宋体"/>
          <w:color w:val="auto"/>
          <w:sz w:val="24"/>
          <w:highlight w:val="none"/>
        </w:rPr>
      </w:pPr>
      <w:r>
        <w:rPr>
          <w:rFonts w:hint="eastAsia" w:ascii="宋体" w:hAnsi="宋体"/>
          <w:color w:val="auto"/>
          <w:sz w:val="24"/>
          <w:highlight w:val="none"/>
        </w:rPr>
        <w:t>供应商</w:t>
      </w:r>
      <w:r>
        <w:rPr>
          <w:rFonts w:hint="eastAsia" w:ascii="宋体" w:hAnsi="宋体" w:cs="仿宋_GB2312"/>
          <w:color w:val="auto"/>
          <w:sz w:val="24"/>
          <w:highlight w:val="none"/>
        </w:rPr>
        <w:t>（电子签章）</w:t>
      </w:r>
      <w:r>
        <w:rPr>
          <w:rFonts w:hint="eastAsia" w:ascii="宋体" w:hAnsi="宋体"/>
          <w:color w:val="auto"/>
          <w:sz w:val="24"/>
          <w:highlight w:val="none"/>
        </w:rPr>
        <w:t>：</w:t>
      </w:r>
    </w:p>
    <w:p w14:paraId="6B561621">
      <w:pPr>
        <w:spacing w:line="500" w:lineRule="exact"/>
        <w:rPr>
          <w:rFonts w:hint="eastAsia" w:ascii="宋体" w:hAnsi="宋体"/>
          <w:color w:val="auto"/>
          <w:sz w:val="24"/>
          <w:highlight w:val="none"/>
        </w:rPr>
      </w:pPr>
    </w:p>
    <w:p w14:paraId="609BEBB1">
      <w:pPr>
        <w:spacing w:line="500" w:lineRule="exact"/>
        <w:rPr>
          <w:rFonts w:hint="eastAsia" w:ascii="宋体" w:hAnsi="宋体"/>
          <w:color w:val="auto"/>
          <w:sz w:val="24"/>
          <w:highlight w:val="none"/>
        </w:rPr>
      </w:pPr>
      <w:r>
        <w:rPr>
          <w:rFonts w:hint="eastAsia" w:ascii="宋体" w:hAnsi="宋体"/>
          <w:color w:val="auto"/>
          <w:sz w:val="24"/>
          <w:highlight w:val="none"/>
        </w:rPr>
        <w:t>日期：</w:t>
      </w:r>
    </w:p>
    <w:p w14:paraId="58ADE14E">
      <w:pPr>
        <w:spacing w:line="500" w:lineRule="exact"/>
        <w:rPr>
          <w:rFonts w:hint="eastAsia" w:ascii="宋体" w:hAnsi="宋体"/>
          <w:color w:val="auto"/>
          <w:sz w:val="24"/>
          <w:highlight w:val="none"/>
        </w:rPr>
      </w:pPr>
    </w:p>
    <w:p w14:paraId="21A95EC8">
      <w:pPr>
        <w:spacing w:line="360" w:lineRule="auto"/>
        <w:ind w:right="420"/>
        <w:contextualSpacing/>
        <w:jc w:val="left"/>
        <w:rPr>
          <w:rFonts w:hint="eastAsia" w:ascii="宋体" w:hAnsi="宋体"/>
          <w:b/>
          <w:bCs/>
          <w:color w:val="auto"/>
          <w:sz w:val="32"/>
          <w:szCs w:val="32"/>
          <w:highlight w:val="none"/>
        </w:rPr>
      </w:pPr>
    </w:p>
    <w:p w14:paraId="79A5D247">
      <w:pPr>
        <w:spacing w:line="360" w:lineRule="auto"/>
        <w:ind w:right="420"/>
        <w:contextualSpacing/>
        <w:jc w:val="left"/>
        <w:rPr>
          <w:rFonts w:hint="eastAsia" w:ascii="宋体" w:hAnsi="宋体" w:cs="仿宋_GB2312"/>
          <w:color w:val="auto"/>
          <w:sz w:val="24"/>
          <w:highlight w:val="none"/>
        </w:rPr>
      </w:pPr>
      <w:r>
        <w:rPr>
          <w:rFonts w:hint="eastAsia" w:ascii="宋体" w:hAnsi="宋体"/>
          <w:b/>
          <w:bCs/>
          <w:color w:val="auto"/>
          <w:sz w:val="28"/>
          <w:szCs w:val="32"/>
          <w:highlight w:val="none"/>
        </w:rPr>
        <w:t>注：磋商小组发起新一轮报价的时候需作为附件上传，供应商最后报价的时候需填写好此表并按要求上传。供应商最后报价如果与首次报价不一致的，还需上传已标价工程量清单（含所有子表）作</w:t>
      </w:r>
      <w:r>
        <w:rPr>
          <w:rFonts w:hint="eastAsia" w:ascii="宋体" w:hAnsi="宋体" w:cs="宋体"/>
          <w:b/>
          <w:color w:val="auto"/>
          <w:sz w:val="28"/>
          <w:szCs w:val="32"/>
          <w:highlight w:val="none"/>
        </w:rPr>
        <w:t>为附件</w:t>
      </w:r>
      <w:r>
        <w:rPr>
          <w:rFonts w:hint="eastAsia" w:ascii="宋体" w:hAnsi="宋体"/>
          <w:b/>
          <w:bCs/>
          <w:color w:val="auto"/>
          <w:sz w:val="28"/>
          <w:szCs w:val="32"/>
          <w:highlight w:val="none"/>
        </w:rPr>
        <w:t>。</w:t>
      </w:r>
    </w:p>
    <w:p w14:paraId="6980F3C3">
      <w:pPr>
        <w:spacing w:line="360" w:lineRule="auto"/>
        <w:jc w:val="center"/>
        <w:rPr>
          <w:rFonts w:hint="eastAsia" w:ascii="宋体" w:hAnsi="宋体" w:cs="仿宋_GB2312"/>
          <w:color w:val="auto"/>
          <w:sz w:val="24"/>
          <w:highlight w:val="none"/>
        </w:rPr>
      </w:pPr>
    </w:p>
    <w:p w14:paraId="1314775B">
      <w:pPr>
        <w:spacing w:line="360" w:lineRule="auto"/>
        <w:jc w:val="center"/>
        <w:rPr>
          <w:rFonts w:hint="eastAsia" w:ascii="宋体" w:hAnsi="宋体"/>
          <w:b/>
          <w:bCs/>
          <w:color w:val="auto"/>
          <w:sz w:val="32"/>
          <w:szCs w:val="32"/>
          <w:highlight w:val="none"/>
        </w:rPr>
      </w:pPr>
      <w:r>
        <w:rPr>
          <w:rFonts w:ascii="宋体" w:hAnsi="宋体" w:cs="仿宋_GB2312"/>
          <w:color w:val="auto"/>
          <w:sz w:val="24"/>
          <w:highlight w:val="none"/>
        </w:rPr>
        <w:br w:type="page" w:clear="all"/>
      </w:r>
      <w:r>
        <w:rPr>
          <w:rFonts w:hint="eastAsia" w:ascii="方正小标宋简体" w:hAnsi="方正小标宋简体" w:eastAsia="方正小标宋简体" w:cs="方正小标宋简体"/>
          <w:color w:val="auto"/>
          <w:sz w:val="44"/>
          <w:szCs w:val="44"/>
          <w:highlight w:val="none"/>
        </w:rPr>
        <w:t>质疑函（格式）</w:t>
      </w:r>
    </w:p>
    <w:p w14:paraId="133386AC">
      <w:pPr>
        <w:pStyle w:val="238"/>
        <w:spacing w:line="360" w:lineRule="auto"/>
        <w:ind w:firstLine="482"/>
        <w:contextualSpacing/>
        <w:rPr>
          <w:rFonts w:hint="eastAsia" w:hAnsi="宋体"/>
          <w:b/>
          <w:bCs/>
          <w:color w:val="auto"/>
          <w:sz w:val="24"/>
          <w:szCs w:val="24"/>
          <w:highlight w:val="none"/>
        </w:rPr>
      </w:pPr>
      <w:r>
        <w:rPr>
          <w:rFonts w:hint="eastAsia" w:hAnsi="宋体"/>
          <w:b/>
          <w:bCs/>
          <w:color w:val="auto"/>
          <w:sz w:val="24"/>
          <w:szCs w:val="24"/>
          <w:highlight w:val="none"/>
        </w:rPr>
        <w:t>一、质疑供应商基本信息：</w:t>
      </w:r>
    </w:p>
    <w:p w14:paraId="3AC23932">
      <w:pPr>
        <w:pStyle w:val="238"/>
        <w:spacing w:line="360" w:lineRule="auto"/>
        <w:ind w:firstLine="48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818FC4B">
      <w:pPr>
        <w:pStyle w:val="238"/>
        <w:spacing w:line="360" w:lineRule="auto"/>
        <w:ind w:firstLine="48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193ADE1">
      <w:pPr>
        <w:pStyle w:val="238"/>
        <w:spacing w:line="360" w:lineRule="auto"/>
        <w:ind w:firstLine="48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1982420B">
      <w:pPr>
        <w:pStyle w:val="238"/>
        <w:spacing w:line="360" w:lineRule="auto"/>
        <w:ind w:firstLine="480"/>
        <w:contextualSpacing/>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352C6768">
      <w:pPr>
        <w:pStyle w:val="238"/>
        <w:spacing w:line="360" w:lineRule="auto"/>
        <w:ind w:firstLine="48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0387C3BC">
      <w:pPr>
        <w:pStyle w:val="238"/>
        <w:spacing w:line="360" w:lineRule="auto"/>
        <w:ind w:firstLine="48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A6CAEF2">
      <w:pPr>
        <w:pStyle w:val="238"/>
        <w:spacing w:line="360" w:lineRule="auto"/>
        <w:ind w:firstLine="482"/>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0680391F">
      <w:pPr>
        <w:pStyle w:val="238"/>
        <w:spacing w:line="360" w:lineRule="auto"/>
        <w:ind w:left="25" w:firstLine="472"/>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001C02C4">
      <w:pPr>
        <w:pStyle w:val="238"/>
        <w:spacing w:line="360" w:lineRule="auto"/>
        <w:ind w:left="25" w:firstLine="472"/>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4DA2C047">
      <w:pPr>
        <w:pStyle w:val="238"/>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77B74649">
      <w:pPr>
        <w:pStyle w:val="238"/>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质疑事项：</w:t>
      </w:r>
    </w:p>
    <w:p w14:paraId="4D1050EF">
      <w:pPr>
        <w:pStyle w:val="238"/>
        <w:spacing w:line="360" w:lineRule="auto"/>
        <w:ind w:left="25" w:firstLine="352"/>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05FDC8C1">
      <w:pPr>
        <w:pStyle w:val="238"/>
        <w:spacing w:line="360" w:lineRule="auto"/>
        <w:ind w:left="25" w:firstLine="352"/>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740B451D">
      <w:pPr>
        <w:pStyle w:val="238"/>
        <w:spacing w:line="360" w:lineRule="auto"/>
        <w:ind w:left="25" w:firstLine="352"/>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6F6761CB">
      <w:pPr>
        <w:pStyle w:val="238"/>
        <w:spacing w:line="360" w:lineRule="auto"/>
        <w:ind w:left="25" w:firstLine="472"/>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6C1F971D">
      <w:pPr>
        <w:pStyle w:val="238"/>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12F522CF">
      <w:pPr>
        <w:pStyle w:val="238"/>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614508A2">
      <w:pPr>
        <w:pStyle w:val="238"/>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306919DA">
      <w:pPr>
        <w:pStyle w:val="238"/>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质疑事项2</w:t>
      </w:r>
    </w:p>
    <w:p w14:paraId="4B11825B">
      <w:pPr>
        <w:pStyle w:val="238"/>
        <w:spacing w:line="360" w:lineRule="auto"/>
        <w:ind w:left="25" w:firstLine="472"/>
        <w:contextualSpacing/>
        <w:rPr>
          <w:rFonts w:hint="eastAsia" w:hAnsi="宋体"/>
          <w:color w:val="auto"/>
          <w:sz w:val="24"/>
          <w:szCs w:val="24"/>
          <w:highlight w:val="none"/>
        </w:rPr>
      </w:pPr>
      <w:r>
        <w:rPr>
          <w:rFonts w:hAnsi="宋体"/>
          <w:color w:val="auto"/>
          <w:sz w:val="24"/>
          <w:szCs w:val="24"/>
          <w:highlight w:val="none"/>
        </w:rPr>
        <w:t>……</w:t>
      </w:r>
    </w:p>
    <w:p w14:paraId="79C2C5CE">
      <w:pPr>
        <w:pStyle w:val="238"/>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402B6D7E">
      <w:pPr>
        <w:pStyle w:val="238"/>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5D1445C6">
      <w:pPr>
        <w:pStyle w:val="238"/>
        <w:spacing w:line="360" w:lineRule="auto"/>
        <w:ind w:left="25" w:firstLine="352"/>
        <w:contextualSpacing/>
        <w:rPr>
          <w:rFonts w:hint="eastAsia" w:hAnsi="宋体"/>
          <w:color w:val="auto"/>
          <w:sz w:val="24"/>
          <w:szCs w:val="24"/>
          <w:highlight w:val="none"/>
        </w:rPr>
      </w:pPr>
    </w:p>
    <w:p w14:paraId="6DC5B650">
      <w:pPr>
        <w:pStyle w:val="238"/>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54EFFECB">
      <w:pPr>
        <w:pStyle w:val="238"/>
        <w:spacing w:line="360" w:lineRule="auto"/>
        <w:ind w:firstLine="480"/>
        <w:contextualSpacing/>
        <w:rPr>
          <w:rFonts w:hint="eastAsia" w:hAnsi="宋体"/>
          <w:color w:val="auto"/>
          <w:sz w:val="24"/>
          <w:szCs w:val="24"/>
          <w:highlight w:val="none"/>
        </w:rPr>
      </w:pPr>
      <w:r>
        <w:rPr>
          <w:rFonts w:hint="eastAsia" w:hAnsi="宋体"/>
          <w:color w:val="auto"/>
          <w:sz w:val="24"/>
          <w:szCs w:val="24"/>
          <w:highlight w:val="none"/>
        </w:rPr>
        <w:t>日期：</w:t>
      </w:r>
    </w:p>
    <w:p w14:paraId="160E8299">
      <w:pPr>
        <w:pStyle w:val="238"/>
        <w:spacing w:line="360" w:lineRule="auto"/>
        <w:ind w:firstLine="480"/>
        <w:contextualSpacing/>
        <w:rPr>
          <w:rFonts w:hint="eastAsia" w:hAnsi="宋体"/>
          <w:color w:val="auto"/>
          <w:sz w:val="24"/>
          <w:szCs w:val="24"/>
          <w:highlight w:val="none"/>
        </w:rPr>
      </w:pPr>
    </w:p>
    <w:p w14:paraId="45B4DAAF">
      <w:pPr>
        <w:pStyle w:val="238"/>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463640C5">
      <w:pPr>
        <w:pStyle w:val="238"/>
        <w:spacing w:line="360" w:lineRule="auto"/>
        <w:ind w:left="25" w:firstLine="354"/>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2A5F8D33">
      <w:pPr>
        <w:pStyle w:val="238"/>
        <w:spacing w:line="360" w:lineRule="auto"/>
        <w:ind w:left="25" w:firstLine="354"/>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EB8A9E1">
      <w:pPr>
        <w:pStyle w:val="238"/>
        <w:spacing w:line="360" w:lineRule="auto"/>
        <w:ind w:left="25" w:firstLine="354"/>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7D59FA18">
      <w:pPr>
        <w:pStyle w:val="238"/>
        <w:spacing w:line="360" w:lineRule="auto"/>
        <w:ind w:left="25" w:firstLine="354"/>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7FDC775B">
      <w:pPr>
        <w:pStyle w:val="238"/>
        <w:spacing w:line="360" w:lineRule="auto"/>
        <w:ind w:left="25" w:firstLine="354"/>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47DBDC03">
      <w:pPr>
        <w:pStyle w:val="238"/>
        <w:rPr>
          <w:b/>
          <w:color w:val="auto"/>
          <w:sz w:val="24"/>
          <w:szCs w:val="24"/>
          <w:highlight w:val="none"/>
        </w:rPr>
      </w:pPr>
    </w:p>
    <w:p w14:paraId="589445F7">
      <w:pPr>
        <w:rPr>
          <w:color w:val="auto"/>
          <w:sz w:val="32"/>
          <w:szCs w:val="40"/>
          <w:highlight w:val="none"/>
        </w:rPr>
      </w:pPr>
    </w:p>
    <w:p w14:paraId="4B4CFDA1">
      <w:pPr>
        <w:rPr>
          <w:color w:val="auto"/>
          <w:sz w:val="32"/>
          <w:szCs w:val="40"/>
          <w:highlight w:val="none"/>
        </w:rPr>
      </w:pPr>
    </w:p>
    <w:p w14:paraId="63AAEEB7">
      <w:pPr>
        <w:rPr>
          <w:color w:val="auto"/>
          <w:sz w:val="32"/>
          <w:szCs w:val="40"/>
          <w:highlight w:val="none"/>
        </w:rPr>
      </w:pPr>
    </w:p>
    <w:p w14:paraId="2F94CB88">
      <w:pPr>
        <w:rPr>
          <w:color w:val="auto"/>
          <w:sz w:val="32"/>
          <w:szCs w:val="40"/>
          <w:highlight w:val="none"/>
        </w:rPr>
      </w:pPr>
    </w:p>
    <w:p w14:paraId="7A50ED34">
      <w:pPr>
        <w:rPr>
          <w:color w:val="auto"/>
          <w:sz w:val="32"/>
          <w:szCs w:val="40"/>
          <w:highlight w:val="none"/>
        </w:rPr>
      </w:pPr>
    </w:p>
    <w:p w14:paraId="0DA8EB11">
      <w:pPr>
        <w:rPr>
          <w:color w:val="auto"/>
          <w:sz w:val="32"/>
          <w:szCs w:val="40"/>
          <w:highlight w:val="none"/>
        </w:rPr>
      </w:pPr>
    </w:p>
    <w:p w14:paraId="244E925E">
      <w:pPr>
        <w:rPr>
          <w:color w:val="auto"/>
          <w:sz w:val="32"/>
          <w:szCs w:val="40"/>
          <w:highlight w:val="none"/>
        </w:rPr>
      </w:pPr>
    </w:p>
    <w:p w14:paraId="7551D38C">
      <w:pPr>
        <w:rPr>
          <w:color w:val="auto"/>
          <w:sz w:val="32"/>
          <w:szCs w:val="40"/>
          <w:highlight w:val="none"/>
        </w:rPr>
      </w:pPr>
    </w:p>
    <w:p w14:paraId="5F2D92ED">
      <w:pPr>
        <w:rPr>
          <w:color w:val="auto"/>
          <w:sz w:val="32"/>
          <w:szCs w:val="40"/>
          <w:highlight w:val="none"/>
        </w:rPr>
      </w:pPr>
    </w:p>
    <w:p w14:paraId="726A6BAE">
      <w:pPr>
        <w:rPr>
          <w:color w:val="auto"/>
          <w:sz w:val="32"/>
          <w:szCs w:val="40"/>
          <w:highlight w:val="none"/>
        </w:rPr>
      </w:pPr>
    </w:p>
    <w:p w14:paraId="77B1ED64">
      <w:pPr>
        <w:rPr>
          <w:color w:val="auto"/>
          <w:sz w:val="32"/>
          <w:szCs w:val="40"/>
          <w:highlight w:val="none"/>
        </w:rPr>
      </w:pPr>
    </w:p>
    <w:p w14:paraId="7FED06D7">
      <w:pPr>
        <w:rPr>
          <w:color w:val="auto"/>
          <w:sz w:val="32"/>
          <w:szCs w:val="40"/>
          <w:highlight w:val="none"/>
        </w:rPr>
      </w:pPr>
    </w:p>
    <w:p w14:paraId="432C6D80">
      <w:pPr>
        <w:rPr>
          <w:color w:val="auto"/>
          <w:sz w:val="32"/>
          <w:szCs w:val="40"/>
          <w:highlight w:val="none"/>
        </w:rPr>
      </w:pPr>
    </w:p>
    <w:p w14:paraId="1A71AA09">
      <w:pPr>
        <w:rPr>
          <w:color w:val="auto"/>
          <w:sz w:val="32"/>
          <w:szCs w:val="40"/>
          <w:highlight w:val="none"/>
        </w:rPr>
      </w:pPr>
    </w:p>
    <w:p w14:paraId="1594C947">
      <w:pPr>
        <w:spacing w:line="360" w:lineRule="auto"/>
        <w:jc w:val="center"/>
        <w:rPr>
          <w:rFonts w:hint="eastAsia" w:ascii="方正小标宋简体" w:hAnsi="方正小标宋简体" w:eastAsia="方正小标宋简体" w:cs="方正小标宋简体"/>
          <w:color w:val="auto"/>
          <w:sz w:val="44"/>
          <w:szCs w:val="44"/>
          <w:highlight w:val="none"/>
        </w:rPr>
      </w:pPr>
      <w:r>
        <w:rPr>
          <w:rFonts w:ascii="方正小标宋简体" w:hAnsi="方正小标宋简体" w:eastAsia="方正小标宋简体" w:cs="方正小标宋简体"/>
          <w:color w:val="auto"/>
          <w:sz w:val="44"/>
          <w:szCs w:val="44"/>
          <w:highlight w:val="none"/>
        </w:rPr>
        <w:br w:type="page" w:clear="all"/>
      </w:r>
      <w:r>
        <w:rPr>
          <w:rFonts w:hint="eastAsia" w:ascii="方正小标宋简体" w:hAnsi="方正小标宋简体" w:eastAsia="方正小标宋简体" w:cs="方正小标宋简体"/>
          <w:color w:val="auto"/>
          <w:sz w:val="44"/>
          <w:szCs w:val="44"/>
          <w:highlight w:val="none"/>
        </w:rPr>
        <w:t>投诉书（格式）</w:t>
      </w:r>
    </w:p>
    <w:p w14:paraId="07FA7081">
      <w:pPr>
        <w:pStyle w:val="238"/>
        <w:spacing w:line="360" w:lineRule="auto"/>
        <w:ind w:firstLine="482"/>
        <w:rPr>
          <w:rFonts w:hint="eastAsia" w:hAnsi="宋体"/>
          <w:b/>
          <w:bCs/>
          <w:color w:val="auto"/>
          <w:sz w:val="24"/>
          <w:szCs w:val="24"/>
          <w:highlight w:val="none"/>
        </w:rPr>
      </w:pPr>
      <w:r>
        <w:rPr>
          <w:rFonts w:hint="eastAsia" w:hAnsi="宋体"/>
          <w:b/>
          <w:bCs/>
          <w:color w:val="auto"/>
          <w:sz w:val="24"/>
          <w:szCs w:val="24"/>
          <w:highlight w:val="none"/>
        </w:rPr>
        <w:t>一、投诉相关主体基本情况：</w:t>
      </w:r>
    </w:p>
    <w:p w14:paraId="2DBAB1D2">
      <w:pPr>
        <w:pStyle w:val="238"/>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E449E87">
      <w:pPr>
        <w:pStyle w:val="238"/>
        <w:spacing w:line="360" w:lineRule="auto"/>
        <w:ind w:firstLine="48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98287B2">
      <w:pPr>
        <w:pStyle w:val="238"/>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7F9C8BCE">
      <w:pPr>
        <w:pStyle w:val="238"/>
        <w:spacing w:line="360" w:lineRule="auto"/>
        <w:ind w:firstLine="48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33AC5D5D">
      <w:pPr>
        <w:pStyle w:val="238"/>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7686989E">
      <w:pPr>
        <w:pStyle w:val="238"/>
        <w:spacing w:line="360" w:lineRule="auto"/>
        <w:ind w:firstLine="48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499CB74">
      <w:pPr>
        <w:pStyle w:val="238"/>
        <w:spacing w:line="360" w:lineRule="auto"/>
        <w:ind w:firstLine="48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B1EE3E7">
      <w:pPr>
        <w:pStyle w:val="238"/>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被投诉人1：</w:t>
      </w:r>
    </w:p>
    <w:p w14:paraId="2B19E8B0">
      <w:pPr>
        <w:pStyle w:val="238"/>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1C0084A0">
      <w:pPr>
        <w:pStyle w:val="238"/>
        <w:spacing w:line="360" w:lineRule="auto"/>
        <w:ind w:firstLine="48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AECBC0D">
      <w:pPr>
        <w:pStyle w:val="238"/>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46F714F7">
      <w:pPr>
        <w:pStyle w:val="238"/>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被投诉人2：</w:t>
      </w:r>
    </w:p>
    <w:p w14:paraId="0FEC2432">
      <w:pPr>
        <w:pStyle w:val="238"/>
        <w:spacing w:line="360" w:lineRule="auto"/>
        <w:ind w:firstLine="480"/>
        <w:rPr>
          <w:rFonts w:hint="eastAsia" w:hAnsi="宋体"/>
          <w:bCs/>
          <w:color w:val="auto"/>
          <w:sz w:val="24"/>
          <w:szCs w:val="24"/>
          <w:highlight w:val="none"/>
        </w:rPr>
      </w:pPr>
      <w:r>
        <w:rPr>
          <w:rFonts w:hAnsi="宋体"/>
          <w:bCs/>
          <w:color w:val="auto"/>
          <w:sz w:val="24"/>
          <w:szCs w:val="24"/>
          <w:highlight w:val="none"/>
        </w:rPr>
        <w:t>……</w:t>
      </w:r>
    </w:p>
    <w:p w14:paraId="71354B2F">
      <w:pPr>
        <w:pStyle w:val="238"/>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24922CAF">
      <w:pPr>
        <w:pStyle w:val="238"/>
        <w:spacing w:line="360" w:lineRule="auto"/>
        <w:ind w:firstLine="48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16C8EA8D">
      <w:pPr>
        <w:pStyle w:val="238"/>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4DAE6CF">
      <w:pPr>
        <w:pStyle w:val="238"/>
        <w:spacing w:line="360" w:lineRule="auto"/>
        <w:ind w:firstLine="482"/>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4CD566E5">
      <w:pPr>
        <w:pStyle w:val="238"/>
        <w:spacing w:line="360" w:lineRule="auto"/>
        <w:ind w:left="25" w:firstLine="472"/>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31D934E9">
      <w:pPr>
        <w:pStyle w:val="238"/>
        <w:spacing w:line="360" w:lineRule="auto"/>
        <w:ind w:left="25" w:firstLine="472"/>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74CFA0B0">
      <w:pPr>
        <w:pStyle w:val="238"/>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5C547C2B">
      <w:pPr>
        <w:pStyle w:val="238"/>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302C5DC1">
      <w:pPr>
        <w:pStyle w:val="238"/>
        <w:spacing w:line="360" w:lineRule="auto"/>
        <w:ind w:left="25" w:firstLine="472"/>
        <w:rPr>
          <w:rFonts w:hint="eastAsia" w:hAnsi="宋体"/>
          <w:bCs/>
          <w:color w:val="auto"/>
          <w:sz w:val="24"/>
          <w:szCs w:val="24"/>
          <w:highlight w:val="none"/>
          <w:u w:val="single"/>
        </w:rPr>
      </w:pPr>
      <w:r>
        <w:rPr>
          <w:rFonts w:hint="eastAsia" w:hAnsi="宋体"/>
          <w:bCs/>
          <w:color w:val="auto"/>
          <w:sz w:val="24"/>
          <w:szCs w:val="24"/>
          <w:highlight w:val="none"/>
        </w:rPr>
        <w:t>采购文件公告：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311590AD">
      <w:pPr>
        <w:pStyle w:val="238"/>
        <w:spacing w:line="360" w:lineRule="auto"/>
        <w:ind w:left="25" w:firstLine="472"/>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235C1557">
      <w:pPr>
        <w:pStyle w:val="238"/>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三、质疑基本情况</w:t>
      </w:r>
    </w:p>
    <w:p w14:paraId="1EAB71F1">
      <w:pPr>
        <w:pStyle w:val="238"/>
        <w:spacing w:line="360" w:lineRule="auto"/>
        <w:ind w:firstLine="48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323EDB08">
      <w:pPr>
        <w:pStyle w:val="238"/>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0658964">
      <w:pPr>
        <w:pStyle w:val="238"/>
        <w:spacing w:line="360" w:lineRule="auto"/>
        <w:ind w:firstLine="241"/>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42547FBE">
      <w:pPr>
        <w:pStyle w:val="238"/>
        <w:spacing w:line="360" w:lineRule="auto"/>
        <w:ind w:firstLine="48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3EB581A0">
      <w:pPr>
        <w:pStyle w:val="238"/>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四、投诉事项具体内容</w:t>
      </w:r>
    </w:p>
    <w:p w14:paraId="543ABCA7">
      <w:pPr>
        <w:pStyle w:val="238"/>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6C64313A">
      <w:pPr>
        <w:pStyle w:val="238"/>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AC160C0">
      <w:pPr>
        <w:pStyle w:val="238"/>
        <w:spacing w:line="360" w:lineRule="auto"/>
        <w:ind w:left="25" w:firstLine="472"/>
        <w:rPr>
          <w:rFonts w:hint="eastAsia" w:hAnsi="宋体"/>
          <w:color w:val="auto"/>
          <w:sz w:val="24"/>
          <w:szCs w:val="24"/>
          <w:highlight w:val="none"/>
        </w:rPr>
      </w:pPr>
      <w:r>
        <w:rPr>
          <w:rFonts w:hint="eastAsia" w:hAnsi="宋体"/>
          <w:bCs/>
          <w:color w:val="auto"/>
          <w:sz w:val="24"/>
          <w:szCs w:val="24"/>
          <w:highlight w:val="none"/>
          <w:u w:val="single"/>
        </w:rPr>
        <w:t xml:space="preserve">                                                                                        </w:t>
      </w:r>
    </w:p>
    <w:p w14:paraId="47A98821">
      <w:pPr>
        <w:pStyle w:val="238"/>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4DD846C9">
      <w:pPr>
        <w:pStyle w:val="238"/>
        <w:spacing w:line="360" w:lineRule="auto"/>
        <w:ind w:left="25" w:firstLine="352"/>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7D205CF7">
      <w:pPr>
        <w:pStyle w:val="238"/>
        <w:spacing w:line="360" w:lineRule="auto"/>
        <w:ind w:left="25" w:firstLine="472"/>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5D9B68AA">
      <w:pPr>
        <w:pStyle w:val="238"/>
        <w:spacing w:line="360" w:lineRule="auto"/>
        <w:ind w:left="25" w:firstLine="472"/>
        <w:rPr>
          <w:rFonts w:hint="eastAsia" w:hAnsi="宋体"/>
          <w:bCs/>
          <w:color w:val="auto"/>
          <w:sz w:val="24"/>
          <w:szCs w:val="24"/>
          <w:highlight w:val="none"/>
        </w:rPr>
      </w:pPr>
      <w:r>
        <w:rPr>
          <w:rFonts w:hAnsi="宋体"/>
          <w:bCs/>
          <w:color w:val="auto"/>
          <w:sz w:val="24"/>
          <w:szCs w:val="24"/>
          <w:highlight w:val="none"/>
        </w:rPr>
        <w:t>……</w:t>
      </w:r>
    </w:p>
    <w:p w14:paraId="2E0B2231">
      <w:pPr>
        <w:pStyle w:val="238"/>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7C2B82DF">
      <w:pPr>
        <w:pStyle w:val="238"/>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C489362">
      <w:pPr>
        <w:pStyle w:val="238"/>
        <w:spacing w:line="360" w:lineRule="auto"/>
        <w:ind w:left="25" w:firstLine="352"/>
        <w:rPr>
          <w:rFonts w:hint="eastAsia" w:hAnsi="宋体"/>
          <w:color w:val="auto"/>
          <w:sz w:val="24"/>
          <w:szCs w:val="24"/>
          <w:highlight w:val="none"/>
        </w:rPr>
      </w:pPr>
    </w:p>
    <w:p w14:paraId="774ADF81">
      <w:pPr>
        <w:pStyle w:val="238"/>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签字（签章）：                                       公章：</w:t>
      </w:r>
    </w:p>
    <w:p w14:paraId="0E6D4DF4">
      <w:pPr>
        <w:pStyle w:val="238"/>
        <w:spacing w:line="360" w:lineRule="auto"/>
        <w:ind w:left="25" w:firstLine="352"/>
        <w:rPr>
          <w:rFonts w:hint="eastAsia" w:hAnsi="宋体"/>
          <w:color w:val="auto"/>
          <w:sz w:val="24"/>
          <w:szCs w:val="24"/>
          <w:highlight w:val="none"/>
        </w:rPr>
      </w:pPr>
    </w:p>
    <w:p w14:paraId="1254474F">
      <w:pPr>
        <w:pStyle w:val="238"/>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日期：</w:t>
      </w:r>
    </w:p>
    <w:p w14:paraId="464067FB">
      <w:pPr>
        <w:pStyle w:val="238"/>
        <w:spacing w:line="360" w:lineRule="auto"/>
        <w:ind w:left="25" w:firstLine="472"/>
        <w:rPr>
          <w:rFonts w:hint="eastAsia" w:hAnsi="宋体"/>
          <w:b/>
          <w:color w:val="auto"/>
          <w:sz w:val="24"/>
          <w:szCs w:val="24"/>
          <w:highlight w:val="none"/>
        </w:rPr>
      </w:pPr>
      <w:r>
        <w:rPr>
          <w:rFonts w:hint="eastAsia" w:hAnsi="宋体"/>
          <w:bCs/>
          <w:color w:val="auto"/>
          <w:sz w:val="24"/>
          <w:szCs w:val="24"/>
          <w:highlight w:val="none"/>
        </w:rPr>
        <w:t xml:space="preserve">                                                                                 </w:t>
      </w:r>
    </w:p>
    <w:p w14:paraId="2FE1F08F">
      <w:pPr>
        <w:pStyle w:val="238"/>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09D678C4">
      <w:pPr>
        <w:pStyle w:val="238"/>
        <w:spacing w:line="360" w:lineRule="auto"/>
        <w:ind w:left="25" w:firstLine="354"/>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03E3B061">
      <w:pPr>
        <w:pStyle w:val="238"/>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0F21D0E">
      <w:pPr>
        <w:pStyle w:val="238"/>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7351752E">
      <w:pPr>
        <w:pStyle w:val="238"/>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17095069">
      <w:pPr>
        <w:pStyle w:val="238"/>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5B5E98CB">
      <w:pPr>
        <w:pStyle w:val="238"/>
        <w:spacing w:line="360" w:lineRule="auto"/>
        <w:ind w:left="25" w:firstLine="354"/>
        <w:rPr>
          <w:rFonts w:hint="eastAsia"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57189CFB">
      <w:pPr>
        <w:pStyle w:val="199"/>
        <w:jc w:val="center"/>
        <w:rPr>
          <w:color w:val="auto"/>
          <w:highlight w:val="none"/>
        </w:rPr>
      </w:pPr>
    </w:p>
    <w:p w14:paraId="664B1EF9">
      <w:pPr>
        <w:pStyle w:val="199"/>
        <w:jc w:val="center"/>
        <w:rPr>
          <w:color w:val="auto"/>
          <w:highlight w:val="none"/>
        </w:rPr>
      </w:pPr>
    </w:p>
    <w:p w14:paraId="6AF035D5">
      <w:pPr>
        <w:pStyle w:val="199"/>
        <w:jc w:val="center"/>
        <w:rPr>
          <w:color w:val="auto"/>
          <w:highlight w:val="none"/>
        </w:rPr>
      </w:pPr>
    </w:p>
    <w:p w14:paraId="1C4E247E">
      <w:pPr>
        <w:pStyle w:val="199"/>
        <w:jc w:val="center"/>
        <w:rPr>
          <w:color w:val="auto"/>
          <w:highlight w:val="none"/>
        </w:rPr>
      </w:pPr>
    </w:p>
    <w:p w14:paraId="7CDAAFD7">
      <w:pPr>
        <w:pStyle w:val="199"/>
        <w:jc w:val="center"/>
        <w:rPr>
          <w:color w:val="auto"/>
          <w:highlight w:val="none"/>
        </w:rPr>
      </w:pPr>
    </w:p>
    <w:p w14:paraId="6C98C28A">
      <w:pPr>
        <w:pStyle w:val="199"/>
        <w:jc w:val="center"/>
        <w:rPr>
          <w:color w:val="auto"/>
          <w:highlight w:val="none"/>
        </w:rPr>
      </w:pPr>
      <w:bookmarkStart w:id="117" w:name="_Toc233964173"/>
      <w:r>
        <w:rPr>
          <w:rFonts w:hint="eastAsia"/>
          <w:color w:val="auto"/>
          <w:highlight w:val="none"/>
        </w:rPr>
        <w:t>第七章 合同文本</w:t>
      </w:r>
      <w:bookmarkEnd w:id="117"/>
    </w:p>
    <w:p w14:paraId="3B6C16A7">
      <w:pPr>
        <w:spacing w:line="520" w:lineRule="exact"/>
        <w:rPr>
          <w:rFonts w:hint="eastAsia" w:ascii="宋体" w:hAnsi="宋体" w:cs="Courier New"/>
          <w:b/>
          <w:color w:val="auto"/>
          <w:sz w:val="32"/>
          <w:szCs w:val="32"/>
          <w:highlight w:val="none"/>
        </w:rPr>
      </w:pPr>
    </w:p>
    <w:p w14:paraId="7CAB0D37">
      <w:pPr>
        <w:pStyle w:val="374"/>
        <w:tabs>
          <w:tab w:val="left" w:pos="801"/>
        </w:tabs>
        <w:ind w:firstLine="0"/>
        <w:jc w:val="center"/>
        <w:rPr>
          <w:rFonts w:hint="eastAsia"/>
          <w:b/>
          <w:color w:val="auto"/>
          <w:sz w:val="36"/>
          <w:szCs w:val="36"/>
          <w:highlight w:val="none"/>
        </w:rPr>
      </w:pPr>
      <w:r>
        <w:rPr>
          <w:color w:val="auto"/>
          <w:sz w:val="24"/>
          <w:highlight w:val="none"/>
        </w:rPr>
        <w:br w:type="page" w:clear="all"/>
      </w:r>
      <w:r>
        <w:rPr>
          <w:rFonts w:hint="eastAsia"/>
          <w:color w:val="auto"/>
          <w:highlight w:val="none"/>
        </w:rPr>
        <w:t xml:space="preserve"> </w:t>
      </w:r>
      <w:r>
        <w:rPr>
          <w:rFonts w:hint="eastAsia"/>
          <w:b/>
          <w:color w:val="auto"/>
          <w:sz w:val="36"/>
          <w:szCs w:val="36"/>
          <w:highlight w:val="none"/>
        </w:rPr>
        <w:t>陆川县横山镇陆洪村委至横山街段道路修复工程</w:t>
      </w:r>
    </w:p>
    <w:p w14:paraId="4926F4DC">
      <w:pPr>
        <w:tabs>
          <w:tab w:val="left" w:pos="801"/>
        </w:tabs>
        <w:spacing w:line="360" w:lineRule="auto"/>
        <w:rPr>
          <w:rFonts w:hint="eastAsia" w:ascii="宋体" w:hAnsi="宋体" w:cs="宋体"/>
          <w:b/>
          <w:color w:val="auto"/>
          <w:sz w:val="36"/>
          <w:szCs w:val="36"/>
          <w:highlight w:val="none"/>
          <w:lang w:val="zh-CN" w:bidi="zh-CN"/>
        </w:rPr>
      </w:pPr>
    </w:p>
    <w:p w14:paraId="0674812B">
      <w:pPr>
        <w:tabs>
          <w:tab w:val="left" w:pos="801"/>
        </w:tabs>
        <w:spacing w:line="360" w:lineRule="auto"/>
        <w:jc w:val="center"/>
        <w:rPr>
          <w:rFonts w:hint="eastAsia" w:ascii="宋体" w:hAnsi="宋体" w:cs="宋体"/>
          <w:b/>
          <w:color w:val="auto"/>
          <w:sz w:val="44"/>
          <w:szCs w:val="44"/>
          <w:highlight w:val="none"/>
          <w:lang w:val="zh-CN" w:bidi="zh-CN"/>
        </w:rPr>
      </w:pPr>
      <w:r>
        <w:rPr>
          <w:rFonts w:hint="eastAsia" w:ascii="宋体" w:hAnsi="宋体" w:cs="宋体"/>
          <w:b/>
          <w:color w:val="auto"/>
          <w:sz w:val="36"/>
          <w:szCs w:val="36"/>
          <w:highlight w:val="none"/>
          <w:lang w:val="zh-CN" w:bidi="zh-CN"/>
        </w:rPr>
        <w:t>项目编号:</w:t>
      </w:r>
      <w:r>
        <w:rPr>
          <w:color w:val="auto"/>
          <w:highlight w:val="none"/>
        </w:rPr>
        <w:t xml:space="preserve"> </w:t>
      </w:r>
      <w:r>
        <w:rPr>
          <w:rFonts w:ascii="宋体" w:hAnsi="宋体" w:cs="宋体"/>
          <w:b/>
          <w:color w:val="auto"/>
          <w:sz w:val="36"/>
          <w:szCs w:val="36"/>
          <w:highlight w:val="none"/>
          <w:lang w:val="zh-CN" w:bidi="zh-CN"/>
        </w:rPr>
        <w:t>YLZC2026-C2-220141-YZLZ</w:t>
      </w:r>
    </w:p>
    <w:p w14:paraId="3E8C1162">
      <w:pPr>
        <w:tabs>
          <w:tab w:val="left" w:pos="801"/>
        </w:tabs>
        <w:spacing w:line="360" w:lineRule="auto"/>
        <w:ind w:firstLine="400"/>
        <w:rPr>
          <w:rFonts w:ascii="宋体" w:hAnsi="宋体" w:cs="宋体"/>
          <w:b/>
          <w:color w:val="auto"/>
          <w:sz w:val="44"/>
          <w:szCs w:val="44"/>
          <w:highlight w:val="none"/>
          <w:lang w:val="zh-CN" w:bidi="zh-CN"/>
        </w:rPr>
      </w:pPr>
    </w:p>
    <w:p w14:paraId="09990D48">
      <w:pPr>
        <w:tabs>
          <w:tab w:val="left" w:pos="801"/>
        </w:tabs>
        <w:spacing w:line="360" w:lineRule="auto"/>
        <w:ind w:firstLine="400"/>
        <w:rPr>
          <w:rFonts w:ascii="宋体" w:hAnsi="宋体" w:cs="宋体"/>
          <w:b/>
          <w:color w:val="auto"/>
          <w:sz w:val="44"/>
          <w:szCs w:val="44"/>
          <w:highlight w:val="none"/>
          <w:lang w:val="zh-CN" w:bidi="zh-CN"/>
        </w:rPr>
      </w:pPr>
    </w:p>
    <w:p w14:paraId="2A13D59F">
      <w:pPr>
        <w:tabs>
          <w:tab w:val="left" w:pos="801"/>
        </w:tabs>
        <w:spacing w:line="360" w:lineRule="auto"/>
        <w:ind w:firstLine="400"/>
        <w:rPr>
          <w:rFonts w:hint="eastAsia" w:ascii="宋体" w:hAnsi="宋体" w:cs="宋体"/>
          <w:b/>
          <w:color w:val="auto"/>
          <w:sz w:val="44"/>
          <w:szCs w:val="44"/>
          <w:highlight w:val="none"/>
          <w:lang w:val="zh-CN" w:bidi="zh-CN"/>
        </w:rPr>
      </w:pPr>
    </w:p>
    <w:p w14:paraId="1E83B060">
      <w:pPr>
        <w:tabs>
          <w:tab w:val="left" w:pos="801"/>
        </w:tabs>
        <w:spacing w:line="360" w:lineRule="auto"/>
        <w:ind w:firstLine="400"/>
        <w:jc w:val="center"/>
        <w:rPr>
          <w:rFonts w:hint="eastAsia" w:ascii="宋体" w:hAnsi="宋体" w:cs="宋体"/>
          <w:b/>
          <w:color w:val="auto"/>
          <w:sz w:val="72"/>
          <w:szCs w:val="72"/>
          <w:highlight w:val="none"/>
          <w:lang w:val="zh-CN" w:bidi="zh-CN"/>
        </w:rPr>
      </w:pPr>
      <w:r>
        <w:rPr>
          <w:rFonts w:hint="eastAsia" w:ascii="宋体" w:hAnsi="宋体" w:cs="宋体"/>
          <w:b/>
          <w:color w:val="auto"/>
          <w:sz w:val="72"/>
          <w:szCs w:val="72"/>
          <w:highlight w:val="none"/>
          <w:lang w:val="zh-CN" w:bidi="zh-CN"/>
        </w:rPr>
        <w:t>合 同 文 件</w:t>
      </w:r>
    </w:p>
    <w:p w14:paraId="3D120933">
      <w:pPr>
        <w:tabs>
          <w:tab w:val="left" w:pos="801"/>
        </w:tabs>
        <w:spacing w:line="360" w:lineRule="auto"/>
        <w:rPr>
          <w:rFonts w:ascii="宋体" w:hAnsi="宋体" w:cs="宋体"/>
          <w:b/>
          <w:color w:val="auto"/>
          <w:sz w:val="44"/>
          <w:szCs w:val="44"/>
          <w:highlight w:val="none"/>
          <w:lang w:val="zh-CN" w:bidi="zh-CN"/>
        </w:rPr>
      </w:pPr>
    </w:p>
    <w:p w14:paraId="7D940E2E">
      <w:pPr>
        <w:tabs>
          <w:tab w:val="left" w:pos="801"/>
        </w:tabs>
        <w:spacing w:line="360" w:lineRule="auto"/>
        <w:rPr>
          <w:rFonts w:ascii="宋体" w:hAnsi="宋体" w:cs="宋体"/>
          <w:b/>
          <w:color w:val="auto"/>
          <w:sz w:val="44"/>
          <w:szCs w:val="44"/>
          <w:highlight w:val="none"/>
          <w:lang w:val="zh-CN" w:bidi="zh-CN"/>
        </w:rPr>
      </w:pPr>
    </w:p>
    <w:p w14:paraId="3EC8557A">
      <w:pPr>
        <w:tabs>
          <w:tab w:val="left" w:pos="801"/>
        </w:tabs>
        <w:spacing w:line="360" w:lineRule="auto"/>
        <w:rPr>
          <w:rFonts w:hint="eastAsia" w:ascii="宋体" w:hAnsi="宋体" w:cs="宋体"/>
          <w:b/>
          <w:color w:val="auto"/>
          <w:sz w:val="44"/>
          <w:szCs w:val="44"/>
          <w:highlight w:val="none"/>
          <w:lang w:val="zh-CN" w:bidi="zh-CN"/>
        </w:rPr>
      </w:pPr>
    </w:p>
    <w:p w14:paraId="77F7B773">
      <w:pPr>
        <w:tabs>
          <w:tab w:val="left" w:pos="801"/>
        </w:tabs>
        <w:spacing w:line="360" w:lineRule="auto"/>
        <w:ind w:firstLine="400"/>
        <w:jc w:val="center"/>
        <w:rPr>
          <w:rFonts w:hint="eastAsia" w:ascii="宋体" w:hAnsi="宋体" w:cs="宋体"/>
          <w:b/>
          <w:color w:val="auto"/>
          <w:sz w:val="32"/>
          <w:szCs w:val="32"/>
          <w:highlight w:val="none"/>
          <w:lang w:val="zh-CN" w:bidi="zh-CN"/>
        </w:rPr>
      </w:pPr>
      <w:r>
        <w:rPr>
          <w:rFonts w:hint="eastAsia" w:ascii="宋体" w:hAnsi="宋体" w:cs="宋体"/>
          <w:b/>
          <w:color w:val="auto"/>
          <w:sz w:val="32"/>
          <w:szCs w:val="32"/>
          <w:highlight w:val="none"/>
          <w:lang w:val="zh-CN" w:bidi="zh-CN"/>
        </w:rPr>
        <w:t>本合同为中小微企业预留合同：</w:t>
      </w:r>
      <w:r>
        <w:rPr>
          <w:rFonts w:ascii="宋体" w:hAnsi="宋体" w:cs="宋体"/>
          <w:b/>
          <w:color w:val="auto"/>
          <w:sz w:val="32"/>
          <w:szCs w:val="32"/>
          <w:highlight w:val="none"/>
          <w:lang w:val="zh-CN" w:bidi="zh-CN"/>
        </w:rPr>
        <w:t></w:t>
      </w:r>
      <w:r>
        <w:rPr>
          <w:rFonts w:ascii="Wingdings" w:hAnsi="Wingdings" w:eastAsia="Wingdings" w:cs="Wingdings"/>
          <w:b/>
          <w:color w:val="auto"/>
          <w:sz w:val="32"/>
          <w:szCs w:val="44"/>
          <w:highlight w:val="none"/>
          <w:lang w:val="zh-CN" w:bidi="zh-CN"/>
        </w:rPr>
        <w:t>þ</w:t>
      </w:r>
      <w:r>
        <w:rPr>
          <w:rFonts w:hint="eastAsia" w:ascii="宋体" w:hAnsi="宋体" w:cs="宋体"/>
          <w:b/>
          <w:color w:val="auto"/>
          <w:sz w:val="32"/>
          <w:szCs w:val="32"/>
          <w:highlight w:val="none"/>
          <w:lang w:val="zh-CN" w:bidi="zh-CN"/>
        </w:rPr>
        <w:t>是</w:t>
      </w:r>
      <w:r>
        <w:rPr>
          <w:rFonts w:ascii="Wingdings" w:hAnsi="Wingdings" w:eastAsia="Wingdings" w:cs="Wingdings"/>
          <w:b/>
          <w:color w:val="auto"/>
          <w:sz w:val="32"/>
          <w:szCs w:val="44"/>
          <w:highlight w:val="none"/>
          <w:lang w:val="zh-CN" w:bidi="zh-CN"/>
        </w:rPr>
        <w:t>¨</w:t>
      </w:r>
      <w:r>
        <w:rPr>
          <w:rFonts w:hint="eastAsia" w:ascii="宋体" w:hAnsi="宋体" w:cs="宋体"/>
          <w:b/>
          <w:color w:val="auto"/>
          <w:sz w:val="32"/>
          <w:szCs w:val="32"/>
          <w:highlight w:val="none"/>
          <w:lang w:val="zh-CN" w:bidi="zh-CN"/>
        </w:rPr>
        <w:t>否</w:t>
      </w:r>
    </w:p>
    <w:p w14:paraId="56EE7DF1">
      <w:pPr>
        <w:widowControl/>
        <w:tabs>
          <w:tab w:val="left" w:pos="8656"/>
        </w:tabs>
        <w:jc w:val="center"/>
        <w:rPr>
          <w:rFonts w:hint="eastAsia" w:ascii="宋体" w:hAnsi="宋体" w:cs="宋体"/>
          <w:b/>
          <w:bCs/>
          <w:color w:val="auto"/>
          <w:sz w:val="36"/>
          <w:szCs w:val="36"/>
          <w:highlight w:val="none"/>
        </w:rPr>
      </w:pPr>
    </w:p>
    <w:p w14:paraId="166260FE">
      <w:pPr>
        <w:widowControl/>
        <w:jc w:val="center"/>
        <w:rPr>
          <w:rFonts w:hint="eastAsia" w:ascii="宋体" w:hAnsi="宋体" w:cs="宋体"/>
          <w:color w:val="auto"/>
          <w:sz w:val="32"/>
          <w:szCs w:val="32"/>
          <w:highlight w:val="none"/>
        </w:rPr>
      </w:pPr>
    </w:p>
    <w:p w14:paraId="64E90015">
      <w:pPr>
        <w:widowControl/>
        <w:jc w:val="left"/>
        <w:rPr>
          <w:rFonts w:hint="eastAsia" w:ascii="宋体" w:hAnsi="宋体" w:cs="宋体"/>
          <w:color w:val="auto"/>
          <w:sz w:val="28"/>
          <w:szCs w:val="28"/>
          <w:highlight w:val="none"/>
        </w:rPr>
      </w:pPr>
    </w:p>
    <w:p w14:paraId="59B5107A">
      <w:pPr>
        <w:widowControl/>
        <w:jc w:val="left"/>
        <w:rPr>
          <w:rFonts w:hint="eastAsia" w:ascii="宋体" w:hAnsi="宋体" w:cs="宋体"/>
          <w:color w:val="auto"/>
          <w:sz w:val="28"/>
          <w:szCs w:val="28"/>
          <w:highlight w:val="none"/>
        </w:rPr>
      </w:pPr>
    </w:p>
    <w:p w14:paraId="1245F2E9">
      <w:pPr>
        <w:widowControl/>
        <w:jc w:val="left"/>
        <w:rPr>
          <w:rFonts w:hint="eastAsia" w:ascii="宋体" w:hAnsi="宋体" w:cs="宋体"/>
          <w:color w:val="auto"/>
          <w:sz w:val="36"/>
          <w:szCs w:val="36"/>
          <w:highlight w:val="none"/>
        </w:rPr>
      </w:pPr>
    </w:p>
    <w:p w14:paraId="20849F46">
      <w:pPr>
        <w:widowControl/>
        <w:spacing w:line="700" w:lineRule="exact"/>
        <w:jc w:val="left"/>
        <w:rPr>
          <w:rFonts w:hint="eastAsia" w:ascii="宋体" w:hAnsi="宋体" w:cs="宋体"/>
          <w:b/>
          <w:color w:val="auto"/>
          <w:sz w:val="36"/>
          <w:szCs w:val="36"/>
          <w:highlight w:val="none"/>
          <w:u w:val="single"/>
        </w:rPr>
      </w:pPr>
      <w:r>
        <w:rPr>
          <w:rFonts w:hint="eastAsia" w:ascii="宋体" w:hAnsi="宋体" w:cs="宋体"/>
          <w:color w:val="auto"/>
          <w:sz w:val="36"/>
          <w:szCs w:val="36"/>
          <w:highlight w:val="none"/>
        </w:rPr>
        <w:t xml:space="preserve">       </w:t>
      </w:r>
      <w:r>
        <w:rPr>
          <w:rFonts w:hint="eastAsia" w:ascii="宋体" w:hAnsi="宋体" w:cs="宋体"/>
          <w:b/>
          <w:color w:val="auto"/>
          <w:sz w:val="36"/>
          <w:szCs w:val="36"/>
          <w:highlight w:val="none"/>
        </w:rPr>
        <w:t xml:space="preserve"> 发 包 人：</w:t>
      </w:r>
      <w:r>
        <w:rPr>
          <w:rFonts w:hint="eastAsia" w:ascii="宋体" w:hAnsi="宋体" w:cs="宋体"/>
          <w:b/>
          <w:bCs/>
          <w:color w:val="auto"/>
          <w:spacing w:val="20"/>
          <w:sz w:val="36"/>
          <w:szCs w:val="36"/>
          <w:highlight w:val="none"/>
          <w:u w:val="single"/>
        </w:rPr>
        <w:t>陆川县横山镇人民政府</w:t>
      </w:r>
    </w:p>
    <w:p w14:paraId="1ADF16F9">
      <w:pPr>
        <w:widowControl/>
        <w:spacing w:line="700" w:lineRule="exact"/>
        <w:jc w:val="left"/>
        <w:rPr>
          <w:rFonts w:hint="eastAsia" w:ascii="宋体" w:hAnsi="宋体" w:cs="宋体"/>
          <w:b/>
          <w:color w:val="auto"/>
          <w:sz w:val="36"/>
          <w:szCs w:val="36"/>
          <w:highlight w:val="none"/>
          <w:u w:val="single"/>
        </w:rPr>
      </w:pPr>
      <w:r>
        <w:rPr>
          <w:rFonts w:hint="eastAsia" w:ascii="宋体" w:hAnsi="宋体" w:cs="宋体"/>
          <w:b/>
          <w:color w:val="auto"/>
          <w:sz w:val="36"/>
          <w:szCs w:val="36"/>
          <w:highlight w:val="none"/>
        </w:rPr>
        <w:t xml:space="preserve">        承 包 人：</w:t>
      </w:r>
      <w:r>
        <w:rPr>
          <w:rFonts w:hint="eastAsia" w:ascii="宋体" w:hAnsi="宋体" w:cs="宋体"/>
          <w:b/>
          <w:color w:val="auto"/>
          <w:sz w:val="36"/>
          <w:szCs w:val="36"/>
          <w:highlight w:val="none"/>
          <w:u w:val="single"/>
        </w:rPr>
        <w:t xml:space="preserve">                  </w:t>
      </w:r>
    </w:p>
    <w:p w14:paraId="7B81206D">
      <w:pPr>
        <w:widowControl/>
        <w:spacing w:line="700" w:lineRule="exact"/>
        <w:jc w:val="left"/>
        <w:rPr>
          <w:rFonts w:hint="eastAsia" w:ascii="宋体" w:hAnsi="宋体" w:cs="宋体"/>
          <w:b/>
          <w:color w:val="auto"/>
          <w:sz w:val="36"/>
          <w:szCs w:val="36"/>
          <w:highlight w:val="none"/>
          <w:u w:val="single"/>
        </w:rPr>
      </w:pPr>
      <w:r>
        <w:rPr>
          <w:rFonts w:hint="eastAsia" w:ascii="宋体" w:hAnsi="宋体" w:cs="宋体"/>
          <w:b/>
          <w:color w:val="auto"/>
          <w:sz w:val="36"/>
          <w:szCs w:val="36"/>
          <w:highlight w:val="none"/>
        </w:rPr>
        <w:t xml:space="preserve">        签订日期：</w:t>
      </w:r>
      <w:r>
        <w:rPr>
          <w:rFonts w:hint="eastAsia" w:ascii="宋体" w:hAnsi="宋体" w:cs="宋体"/>
          <w:b/>
          <w:color w:val="auto"/>
          <w:sz w:val="36"/>
          <w:szCs w:val="36"/>
          <w:highlight w:val="none"/>
          <w:u w:val="single"/>
        </w:rPr>
        <w:t xml:space="preserve">      年   月   日</w:t>
      </w:r>
      <w:r>
        <w:rPr>
          <w:rFonts w:hint="eastAsia" w:ascii="宋体" w:hAnsi="宋体" w:cs="宋体"/>
          <w:b/>
          <w:color w:val="auto"/>
          <w:sz w:val="36"/>
          <w:szCs w:val="36"/>
          <w:highlight w:val="none"/>
        </w:rPr>
        <w:t xml:space="preserve"> </w:t>
      </w:r>
    </w:p>
    <w:p w14:paraId="7F543A89">
      <w:pPr>
        <w:spacing w:line="360" w:lineRule="auto"/>
        <w:jc w:val="center"/>
        <w:rPr>
          <w:rFonts w:hint="eastAsia" w:ascii="宋体" w:hAnsi="宋体" w:cs="黑体"/>
          <w:b/>
          <w:bCs/>
          <w:color w:val="auto"/>
          <w:sz w:val="32"/>
          <w:szCs w:val="32"/>
          <w:highlight w:val="none"/>
        </w:rPr>
      </w:pPr>
      <w:r>
        <w:rPr>
          <w:rFonts w:hint="eastAsia" w:ascii="黑体" w:hAnsi="宋体" w:eastAsia="黑体" w:cs="宋体"/>
          <w:color w:val="auto"/>
          <w:spacing w:val="20"/>
          <w:sz w:val="44"/>
          <w:szCs w:val="44"/>
          <w:highlight w:val="none"/>
        </w:rPr>
        <w:br w:type="page" w:clear="all"/>
      </w:r>
      <w:r>
        <w:rPr>
          <w:rFonts w:hint="eastAsia" w:ascii="宋体" w:hAnsi="宋体" w:cs="黑体"/>
          <w:b/>
          <w:bCs/>
          <w:color w:val="auto"/>
          <w:sz w:val="32"/>
          <w:szCs w:val="32"/>
          <w:highlight w:val="none"/>
        </w:rPr>
        <w:t>第一部分 合同协议书、廉政合同、安全生产合同、项目经理委任书、合同担保格式</w:t>
      </w:r>
    </w:p>
    <w:p w14:paraId="5D56A536">
      <w:pPr>
        <w:spacing w:line="360" w:lineRule="auto"/>
        <w:jc w:val="center"/>
        <w:rPr>
          <w:rFonts w:hint="eastAsia" w:ascii="宋体" w:hAnsi="宋体" w:cs="黑体"/>
          <w:b/>
          <w:bCs/>
          <w:color w:val="auto"/>
          <w:sz w:val="32"/>
          <w:szCs w:val="32"/>
          <w:highlight w:val="none"/>
        </w:rPr>
      </w:pPr>
      <w:r>
        <w:rPr>
          <w:rFonts w:hint="eastAsia" w:ascii="宋体" w:hAnsi="宋体" w:cs="黑体"/>
          <w:b/>
          <w:bCs/>
          <w:color w:val="auto"/>
          <w:sz w:val="32"/>
          <w:szCs w:val="32"/>
          <w:highlight w:val="none"/>
        </w:rPr>
        <w:t>一、合同协议书</w:t>
      </w:r>
    </w:p>
    <w:p w14:paraId="600CE3CE">
      <w:pPr>
        <w:widowControl/>
        <w:spacing w:line="440" w:lineRule="exact"/>
        <w:jc w:val="left"/>
        <w:rPr>
          <w:rFonts w:hint="eastAsia" w:ascii="宋体" w:hAnsi="宋体" w:cs="宋体"/>
          <w:color w:val="auto"/>
          <w:szCs w:val="21"/>
          <w:highlight w:val="none"/>
        </w:rPr>
      </w:pPr>
      <w:r>
        <w:rPr>
          <w:rFonts w:hint="eastAsia"/>
          <w:color w:val="auto"/>
          <w:highlight w:val="none"/>
        </w:rPr>
        <w:tab/>
      </w:r>
      <w:r>
        <w:rPr>
          <w:rFonts w:hint="eastAsia" w:ascii="宋体" w:hAnsi="宋体"/>
          <w:color w:val="auto"/>
          <w:highlight w:val="none"/>
          <w:u w:val="single"/>
        </w:rPr>
        <w:t>陆川县横山镇人民政府</w:t>
      </w:r>
      <w:r>
        <w:rPr>
          <w:rFonts w:hint="eastAsia" w:ascii="宋体" w:hAnsi="宋体"/>
          <w:color w:val="auto"/>
          <w:szCs w:val="21"/>
          <w:highlight w:val="none"/>
        </w:rPr>
        <w:t>（发包人名称，以下简称“发包人”）为实施</w:t>
      </w:r>
      <w:r>
        <w:rPr>
          <w:rFonts w:hint="eastAsia" w:ascii="宋体" w:hAnsi="宋体"/>
          <w:b/>
          <w:bCs/>
          <w:color w:val="auto"/>
          <w:szCs w:val="21"/>
          <w:highlight w:val="none"/>
          <w:u w:val="single"/>
        </w:rPr>
        <w:t xml:space="preserve"> </w:t>
      </w:r>
      <w:r>
        <w:rPr>
          <w:rFonts w:ascii="宋体" w:hAnsi="宋体"/>
          <w:b/>
          <w:bCs/>
          <w:color w:val="auto"/>
          <w:szCs w:val="21"/>
          <w:highlight w:val="none"/>
          <w:u w:val="single"/>
        </w:rPr>
        <w:t xml:space="preserve">            </w:t>
      </w:r>
      <w:r>
        <w:rPr>
          <w:rFonts w:hint="eastAsia" w:ascii="宋体" w:hAnsi="宋体"/>
          <w:color w:val="auto"/>
          <w:szCs w:val="21"/>
          <w:highlight w:val="none"/>
        </w:rPr>
        <w:t>（项目名称），已接受</w:t>
      </w:r>
      <w:r>
        <w:rPr>
          <w:rFonts w:hint="eastAsia" w:ascii="宋体" w:hAnsi="宋体"/>
          <w:b/>
          <w:bCs/>
          <w:color w:val="auto"/>
          <w:szCs w:val="21"/>
          <w:highlight w:val="none"/>
          <w:u w:val="single"/>
        </w:rPr>
        <w:t xml:space="preserve"> </w:t>
      </w:r>
      <w:r>
        <w:rPr>
          <w:rFonts w:ascii="宋体" w:hAnsi="宋体"/>
          <w:b/>
          <w:bCs/>
          <w:color w:val="auto"/>
          <w:szCs w:val="21"/>
          <w:highlight w:val="none"/>
          <w:u w:val="single"/>
        </w:rPr>
        <w:t xml:space="preserve">                       </w:t>
      </w:r>
      <w:r>
        <w:rPr>
          <w:rFonts w:hint="eastAsia" w:ascii="宋体" w:hAnsi="宋体"/>
          <w:color w:val="auto"/>
          <w:szCs w:val="21"/>
          <w:highlight w:val="none"/>
          <w:u w:val="single"/>
        </w:rPr>
        <w:t>（</w:t>
      </w:r>
      <w:r>
        <w:rPr>
          <w:rFonts w:hint="eastAsia" w:ascii="宋体" w:hAnsi="宋体"/>
          <w:color w:val="auto"/>
          <w:szCs w:val="21"/>
          <w:highlight w:val="none"/>
        </w:rPr>
        <w:t>承包人名称，以下简称“承包人”）对该项目</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施工的响应。发包人和承包人共同达成如下协议。</w:t>
      </w:r>
    </w:p>
    <w:p w14:paraId="698C31D8">
      <w:pPr>
        <w:spacing w:line="44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1.项目概况：</w:t>
      </w:r>
      <w:r>
        <w:rPr>
          <w:rFonts w:hint="eastAsia" w:ascii="宋体" w:hAnsi="宋体" w:cs="宋体"/>
          <w:b/>
          <w:bCs/>
          <w:color w:val="auto"/>
          <w:szCs w:val="21"/>
          <w:highlight w:val="none"/>
          <w:u w:val="single"/>
        </w:rPr>
        <w:t xml:space="preserve"> </w:t>
      </w:r>
      <w:r>
        <w:rPr>
          <w:rFonts w:ascii="宋体" w:hAnsi="宋体" w:cs="宋体"/>
          <w:b/>
          <w:bCs/>
          <w:color w:val="auto"/>
          <w:szCs w:val="21"/>
          <w:highlight w:val="none"/>
          <w:u w:val="single"/>
        </w:rPr>
        <w:t xml:space="preserve">                    </w:t>
      </w:r>
      <w:r>
        <w:rPr>
          <w:rFonts w:hint="eastAsia" w:ascii="宋体" w:hAnsi="宋体"/>
          <w:b/>
          <w:bCs/>
          <w:color w:val="auto"/>
          <w:szCs w:val="21"/>
          <w:highlight w:val="none"/>
          <w:u w:val="single"/>
        </w:rPr>
        <w:t>。</w:t>
      </w:r>
    </w:p>
    <w:p w14:paraId="42612DC5">
      <w:pPr>
        <w:spacing w:line="4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2.施工范围：具体内容详细见施工图纸、工程量清单和工程建设相关资料。</w:t>
      </w:r>
    </w:p>
    <w:p w14:paraId="2525B389">
      <w:pPr>
        <w:spacing w:line="4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3.下列文件应视为构成合同文件的组成部分：</w:t>
      </w:r>
    </w:p>
    <w:p w14:paraId="326567DC">
      <w:pPr>
        <w:spacing w:line="4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（1）本协议书及各种合同附件（含评标期间和合同谈判过程中的澄清文件和补充资料）；</w:t>
      </w:r>
    </w:p>
    <w:p w14:paraId="774E3BA2">
      <w:pPr>
        <w:spacing w:line="4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（2）成交通知书；</w:t>
      </w:r>
    </w:p>
    <w:p w14:paraId="0F52B874">
      <w:pPr>
        <w:spacing w:line="4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（3）响应文件及响应文件附录；</w:t>
      </w:r>
    </w:p>
    <w:p w14:paraId="737B04B1">
      <w:pPr>
        <w:spacing w:line="4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（4）项目专用合同条款；</w:t>
      </w:r>
    </w:p>
    <w:p w14:paraId="516FF03D">
      <w:pPr>
        <w:spacing w:line="4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（5）公路工程专用合同条款；</w:t>
      </w:r>
    </w:p>
    <w:p w14:paraId="4E602A67">
      <w:pPr>
        <w:spacing w:line="4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（6）通用合同条款；</w:t>
      </w:r>
    </w:p>
    <w:p w14:paraId="5A478DE1">
      <w:pPr>
        <w:spacing w:line="4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（7）工程量清单计量规则；</w:t>
      </w:r>
    </w:p>
    <w:p w14:paraId="061AD020">
      <w:pPr>
        <w:spacing w:line="4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（8）技术规范；</w:t>
      </w:r>
    </w:p>
    <w:p w14:paraId="4DAF17DE">
      <w:pPr>
        <w:spacing w:line="4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（9）图纸；</w:t>
      </w:r>
    </w:p>
    <w:p w14:paraId="51337AFC">
      <w:pPr>
        <w:spacing w:line="4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（10）已标价工程量清单；</w:t>
      </w:r>
    </w:p>
    <w:p w14:paraId="3F01FF7F">
      <w:pPr>
        <w:spacing w:line="4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（11）承包人有关人员、设备投入的承诺及响应文件中的施工组织设计；</w:t>
      </w:r>
    </w:p>
    <w:p w14:paraId="4AB37ED5">
      <w:pPr>
        <w:spacing w:line="4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（12）其他合同文件。</w:t>
      </w:r>
    </w:p>
    <w:p w14:paraId="63158718">
      <w:pPr>
        <w:spacing w:line="4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上述文件互相补充和解释，如有不明确或不一致之处，以上述文件的排列顺序在先者为准。</w:t>
      </w:r>
    </w:p>
    <w:p w14:paraId="4BEC9C21">
      <w:pPr>
        <w:spacing w:line="4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4.签约合同价与合同价格形式</w:t>
      </w:r>
    </w:p>
    <w:p w14:paraId="4F2E73DB">
      <w:pPr>
        <w:widowControl/>
        <w:spacing w:line="440" w:lineRule="exact"/>
        <w:ind w:firstLine="594"/>
        <w:jc w:val="left"/>
        <w:rPr>
          <w:rFonts w:hint="eastAsia" w:ascii="宋体" w:hAnsi="宋体" w:cs="宋体"/>
          <w:color w:val="auto"/>
          <w:szCs w:val="21"/>
          <w:highlight w:val="none"/>
        </w:rPr>
      </w:pPr>
      <w:r>
        <w:rPr>
          <w:rFonts w:hint="eastAsia" w:ascii="宋体" w:hAnsi="宋体" w:cs="宋体"/>
          <w:color w:val="auto"/>
          <w:spacing w:val="-6"/>
          <w:szCs w:val="21"/>
          <w:highlight w:val="none"/>
        </w:rPr>
        <w:t>4.1 签约合同价为人民币（大写）：</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s="宋体"/>
          <w:color w:val="auto"/>
          <w:spacing w:val="-6"/>
          <w:szCs w:val="21"/>
          <w:highlight w:val="none"/>
        </w:rPr>
        <w:t>。</w:t>
      </w:r>
    </w:p>
    <w:p w14:paraId="441F788B">
      <w:pPr>
        <w:spacing w:line="440" w:lineRule="exact"/>
        <w:ind w:firstLine="630"/>
        <w:rPr>
          <w:rFonts w:hint="eastAsia" w:ascii="宋体" w:hAnsi="宋体" w:cs="宋体"/>
          <w:color w:val="auto"/>
          <w:szCs w:val="21"/>
          <w:highlight w:val="none"/>
          <w:u w:val="single"/>
        </w:rPr>
      </w:pPr>
      <w:r>
        <w:rPr>
          <w:rFonts w:hint="eastAsia" w:ascii="宋体" w:hAnsi="宋体" w:cs="宋体"/>
          <w:color w:val="auto"/>
          <w:szCs w:val="21"/>
          <w:highlight w:val="none"/>
        </w:rPr>
        <w:t>4.2 合同价格形式：</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06603A20">
      <w:pPr>
        <w:spacing w:line="440" w:lineRule="exact"/>
        <w:ind w:right="199" w:firstLine="420"/>
        <w:rPr>
          <w:rFonts w:hint="eastAsia" w:ascii="宋体" w:hAnsi="宋体" w:cs="宋体"/>
          <w:color w:val="auto"/>
          <w:szCs w:val="21"/>
          <w:highlight w:val="none"/>
        </w:rPr>
      </w:pPr>
      <w:r>
        <w:rPr>
          <w:rFonts w:hint="eastAsia" w:ascii="宋体" w:hAnsi="宋体" w:cs="宋体"/>
          <w:color w:val="auto"/>
          <w:szCs w:val="21"/>
          <w:highlight w:val="none"/>
        </w:rPr>
        <w:t>5.承包人项目经理：</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，注册编号：</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34A297FF">
      <w:pPr>
        <w:spacing w:line="440" w:lineRule="exact"/>
        <w:ind w:right="199" w:firstLine="420"/>
        <w:rPr>
          <w:rFonts w:hint="eastAsia" w:ascii="宋体" w:hAnsi="宋体" w:cs="宋体"/>
          <w:color w:val="auto"/>
          <w:szCs w:val="21"/>
          <w:highlight w:val="none"/>
        </w:rPr>
      </w:pPr>
      <w:r>
        <w:rPr>
          <w:rFonts w:hint="eastAsia" w:ascii="宋体" w:hAnsi="宋体" w:cs="宋体"/>
          <w:color w:val="auto"/>
          <w:szCs w:val="21"/>
          <w:highlight w:val="none"/>
        </w:rPr>
        <w:t xml:space="preserve">   承包人项目总工：</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，职称证编号：</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5CADD838">
      <w:pPr>
        <w:spacing w:line="440" w:lineRule="exact"/>
        <w:ind w:right="199" w:firstLine="630"/>
        <w:rPr>
          <w:color w:val="auto"/>
          <w:szCs w:val="21"/>
          <w:highlight w:val="none"/>
        </w:rPr>
      </w:pPr>
      <w:r>
        <w:rPr>
          <w:rFonts w:hint="eastAsia" w:ascii="宋体" w:hAnsi="宋体" w:cs="宋体"/>
          <w:color w:val="auto"/>
          <w:szCs w:val="21"/>
          <w:highlight w:val="none"/>
        </w:rPr>
        <w:t xml:space="preserve"> 承包人项目专职安全员：</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，安全证编号：</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144CBA3B">
      <w:pPr>
        <w:spacing w:line="440" w:lineRule="exact"/>
        <w:ind w:right="199" w:firstLine="42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val="zh-CN" w:bidi="zh-CN"/>
        </w:rPr>
        <w:t>工程质量符合标段工程交工验收的质量评定：</w:t>
      </w:r>
      <w:r>
        <w:rPr>
          <w:rFonts w:hint="eastAsia" w:ascii="宋体" w:hAnsi="宋体" w:cs="宋体"/>
          <w:color w:val="auto"/>
          <w:szCs w:val="21"/>
          <w:highlight w:val="none"/>
          <w:u w:val="single"/>
          <w:lang w:val="zh-CN" w:bidi="zh-CN"/>
        </w:rPr>
        <w:t>交工验收的质量评定：合格；竣工验收的质量评定：合格。工程安全目标：零伤害、零事故、零损失。不允许发生安全事故，即使发生，承包人须对事故负责</w:t>
      </w:r>
      <w:r>
        <w:rPr>
          <w:rFonts w:hint="eastAsia" w:ascii="宋体" w:hAnsi="宋体" w:cs="宋体"/>
          <w:color w:val="auto"/>
          <w:szCs w:val="21"/>
          <w:highlight w:val="none"/>
        </w:rPr>
        <w:t>。</w:t>
      </w:r>
    </w:p>
    <w:p w14:paraId="5E9133C3">
      <w:pPr>
        <w:spacing w:line="440" w:lineRule="exact"/>
        <w:ind w:right="199" w:firstLine="420"/>
        <w:rPr>
          <w:rFonts w:hint="eastAsia" w:ascii="宋体" w:hAnsi="宋体" w:cs="宋体"/>
          <w:color w:val="auto"/>
          <w:szCs w:val="21"/>
          <w:highlight w:val="none"/>
        </w:rPr>
      </w:pPr>
      <w:r>
        <w:rPr>
          <w:rFonts w:ascii="宋体" w:hAnsi="宋体" w:cs="宋体"/>
          <w:color w:val="auto"/>
          <w:szCs w:val="21"/>
          <w:highlight w:val="none"/>
        </w:rPr>
        <w:t>7</w:t>
      </w:r>
      <w:r>
        <w:rPr>
          <w:rFonts w:hint="eastAsia" w:ascii="宋体" w:hAnsi="宋体" w:cs="宋体"/>
          <w:color w:val="auto"/>
          <w:szCs w:val="21"/>
          <w:highlight w:val="none"/>
        </w:rPr>
        <w:t>.付款方式：</w:t>
      </w:r>
    </w:p>
    <w:p w14:paraId="037BA0E0">
      <w:pPr>
        <w:spacing w:line="440" w:lineRule="exact"/>
        <w:ind w:right="199" w:firstLine="420"/>
        <w:rPr>
          <w:rFonts w:hint="eastAsia" w:ascii="宋体" w:hAnsi="宋体" w:cs="宋体"/>
          <w:color w:val="auto"/>
          <w:szCs w:val="21"/>
          <w:highlight w:val="none"/>
        </w:rPr>
      </w:pPr>
      <w:r>
        <w:rPr>
          <w:rFonts w:hint="eastAsia" w:ascii="宋体" w:hAnsi="宋体" w:cs="宋体"/>
          <w:color w:val="auto"/>
          <w:szCs w:val="21"/>
          <w:highlight w:val="none"/>
        </w:rPr>
        <w:t>本项目有预付款：预付款为合同价款的 30%。</w:t>
      </w:r>
    </w:p>
    <w:p w14:paraId="38D76D78">
      <w:pPr>
        <w:spacing w:line="440" w:lineRule="exact"/>
        <w:ind w:right="199" w:firstLine="420"/>
        <w:rPr>
          <w:rFonts w:hint="eastAsia" w:ascii="宋体" w:hAnsi="宋体" w:cs="宋体"/>
          <w:color w:val="auto"/>
          <w:szCs w:val="21"/>
          <w:highlight w:val="none"/>
        </w:rPr>
      </w:pPr>
      <w:r>
        <w:rPr>
          <w:rFonts w:hint="eastAsia" w:ascii="宋体" w:hAnsi="宋体" w:cs="宋体"/>
          <w:color w:val="auto"/>
          <w:szCs w:val="21"/>
          <w:highlight w:val="none"/>
        </w:rPr>
        <w:t>施工过程中发包人按规定的审批程序支付工程进度款，原则上按工程进度支付，支付的项目进度款限额不超过项目总工程量的85%，合同外部分进度款支付限额为已完成工程量的80%；工程完工验收达到质量要求后，工程款支付至合同价款的85%；结算价经审定后，工程款支付至结算总价的97%；发包人按工程结算总价的3%预留工程质量保证金，待工程缺陷责任期满后返还(无息)；质量保证金的返还，并不能免除承包人按照合同约定应承担的质量保修责任和应履行的质量保修义务。</w:t>
      </w:r>
    </w:p>
    <w:p w14:paraId="3B8F61FF">
      <w:pPr>
        <w:spacing w:line="440" w:lineRule="exact"/>
        <w:ind w:right="199" w:firstLine="420"/>
        <w:rPr>
          <w:rFonts w:hint="eastAsia" w:ascii="宋体" w:hAnsi="宋体" w:cs="宋体"/>
          <w:color w:val="auto"/>
          <w:szCs w:val="21"/>
          <w:highlight w:val="none"/>
        </w:rPr>
      </w:pPr>
      <w:r>
        <w:rPr>
          <w:rFonts w:hint="eastAsia" w:ascii="宋体" w:hAnsi="宋体" w:cs="宋体"/>
          <w:color w:val="auto"/>
          <w:szCs w:val="21"/>
          <w:highlight w:val="none"/>
        </w:rPr>
        <w:t>每次付款前承包人要提供等额的增值税发票， 施工过程中产生的合同外工程量，经竣工结算审核后方可支付工程款。</w:t>
      </w:r>
    </w:p>
    <w:p w14:paraId="06AF3F78">
      <w:pPr>
        <w:spacing w:line="440" w:lineRule="exact"/>
        <w:ind w:right="199" w:firstLine="420"/>
        <w:rPr>
          <w:rFonts w:hint="eastAsia" w:ascii="宋体" w:hAnsi="宋体" w:cs="宋体"/>
          <w:color w:val="auto"/>
          <w:szCs w:val="21"/>
          <w:highlight w:val="none"/>
        </w:rPr>
      </w:pP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工程履约担保金额为</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%签约</w:t>
      </w:r>
      <w:r>
        <w:rPr>
          <w:rFonts w:hint="eastAsia" w:ascii="宋体" w:hAnsi="宋体" w:cs="宋体"/>
          <w:color w:val="auto"/>
          <w:szCs w:val="21"/>
          <w:highlight w:val="none"/>
        </w:rPr>
        <w:t>合同价；农民工工资保证金金额为合同价的</w:t>
      </w:r>
      <w:r>
        <w:rPr>
          <w:rFonts w:hint="eastAsia" w:ascii="宋体" w:hAnsi="宋体" w:cs="宋体"/>
          <w:color w:val="auto"/>
          <w:szCs w:val="21"/>
          <w:highlight w:val="none"/>
          <w:u w:val="single"/>
        </w:rPr>
        <w:t xml:space="preserve"> 1</w:t>
      </w:r>
      <w:r>
        <w:rPr>
          <w:rFonts w:hint="eastAsia" w:ascii="宋体" w:hAnsi="宋体" w:cs="宋体"/>
          <w:color w:val="auto"/>
          <w:szCs w:val="21"/>
          <w:highlight w:val="none"/>
        </w:rPr>
        <w:t>%，工程开工预付款为</w:t>
      </w:r>
      <w:r>
        <w:rPr>
          <w:rFonts w:hint="eastAsia" w:ascii="宋体" w:hAnsi="宋体" w:cs="宋体"/>
          <w:color w:val="auto"/>
          <w:szCs w:val="21"/>
          <w:highlight w:val="none"/>
          <w:u w:val="single"/>
        </w:rPr>
        <w:t xml:space="preserve"> 30 </w:t>
      </w:r>
      <w:r>
        <w:rPr>
          <w:rFonts w:hint="eastAsia" w:ascii="宋体" w:hAnsi="宋体" w:cs="宋体"/>
          <w:color w:val="auto"/>
          <w:szCs w:val="21"/>
          <w:highlight w:val="none"/>
        </w:rPr>
        <w:t>%签约合同价；工程材料、设备预付款为砂、碎石、水泥、钢筋等主要材料、设备单据所列费用的</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%；工程进度款按进度支付，但每次工程进度款申请付款证书的最低限额为</w:t>
      </w:r>
      <w:r>
        <w:rPr>
          <w:rFonts w:hint="eastAsia" w:ascii="宋体" w:hAnsi="宋体" w:cs="宋体"/>
          <w:color w:val="auto"/>
          <w:szCs w:val="21"/>
          <w:highlight w:val="none"/>
          <w:u w:val="single"/>
        </w:rPr>
        <w:t xml:space="preserve"> 30 </w:t>
      </w:r>
      <w:r>
        <w:rPr>
          <w:rFonts w:hint="eastAsia" w:ascii="宋体" w:hAnsi="宋体" w:cs="宋体"/>
          <w:color w:val="auto"/>
          <w:szCs w:val="21"/>
          <w:highlight w:val="none"/>
        </w:rPr>
        <w:t>%签约合同价；工程质量保证金在每期工程计量款额中按当期计量款额的 3 %扣留，工程质量保证金最高限额为</w:t>
      </w:r>
      <w:r>
        <w:rPr>
          <w:rFonts w:hint="eastAsia" w:ascii="宋体" w:hAnsi="宋体" w:cs="宋体"/>
          <w:color w:val="auto"/>
          <w:szCs w:val="21"/>
          <w:highlight w:val="none"/>
          <w:u w:val="single"/>
        </w:rPr>
        <w:t xml:space="preserve"> 3</w:t>
      </w:r>
      <w:r>
        <w:rPr>
          <w:rFonts w:hint="eastAsia" w:ascii="宋体" w:hAnsi="宋体" w:cs="宋体"/>
          <w:color w:val="auto"/>
          <w:szCs w:val="21"/>
          <w:highlight w:val="none"/>
        </w:rPr>
        <w:t>%签约合同价。</w:t>
      </w:r>
    </w:p>
    <w:p w14:paraId="0C228B2E">
      <w:pPr>
        <w:spacing w:line="440" w:lineRule="exact"/>
        <w:ind w:right="199" w:firstLine="420"/>
        <w:rPr>
          <w:rFonts w:hint="eastAsia" w:ascii="宋体" w:hAnsi="宋体" w:cs="宋体"/>
          <w:color w:val="auto"/>
          <w:szCs w:val="21"/>
          <w:highlight w:val="none"/>
        </w:rPr>
      </w:pPr>
      <w:r>
        <w:rPr>
          <w:rFonts w:hint="eastAsia" w:ascii="宋体" w:hAnsi="宋体" w:cs="宋体"/>
          <w:color w:val="auto"/>
          <w:szCs w:val="21"/>
          <w:highlight w:val="none"/>
        </w:rPr>
        <w:t>工程开工预付款、材料预付款的扣回与还清：</w:t>
      </w:r>
    </w:p>
    <w:p w14:paraId="24421A1C">
      <w:pPr>
        <w:spacing w:line="440" w:lineRule="exact"/>
        <w:ind w:right="199" w:firstLine="420"/>
        <w:rPr>
          <w:rFonts w:hint="eastAsia" w:ascii="宋体" w:hAnsi="宋体" w:cs="宋体"/>
          <w:color w:val="auto"/>
          <w:szCs w:val="21"/>
          <w:highlight w:val="none"/>
        </w:rPr>
      </w:pPr>
      <w:r>
        <w:rPr>
          <w:rFonts w:hint="eastAsia" w:ascii="宋体" w:hAnsi="宋体" w:cs="宋体"/>
          <w:color w:val="auto"/>
          <w:szCs w:val="21"/>
          <w:highlight w:val="none"/>
        </w:rPr>
        <w:t>开工预付款在进度付款证书的累计金额未达到签约合同价的 30%之前不予扣回，在达到签约合同价 30%之后，开始按工程进度以固定比例(即每完成签约合同价的 1%，扣回开工预付款的2%)分期从各月的进度付款证书中扣回，全部金额在进度付款证书的累计金额达到签约合同价的</w:t>
      </w:r>
      <w:r>
        <w:rPr>
          <w:rFonts w:ascii="宋体" w:hAnsi="宋体" w:cs="宋体"/>
          <w:color w:val="auto"/>
          <w:szCs w:val="21"/>
          <w:highlight w:val="none"/>
        </w:rPr>
        <w:t>8</w:t>
      </w:r>
      <w:r>
        <w:rPr>
          <w:rFonts w:hint="eastAsia" w:ascii="宋体" w:hAnsi="宋体" w:cs="宋体"/>
          <w:color w:val="auto"/>
          <w:szCs w:val="21"/>
          <w:highlight w:val="none"/>
        </w:rPr>
        <w:t>0%时扣完。</w:t>
      </w:r>
    </w:p>
    <w:p w14:paraId="16F07912">
      <w:pPr>
        <w:spacing w:line="440" w:lineRule="exact"/>
        <w:ind w:left="420" w:right="199"/>
        <w:rPr>
          <w:rFonts w:hint="eastAsia" w:ascii="宋体" w:hAnsi="宋体" w:cs="宋体"/>
          <w:color w:val="auto"/>
          <w:szCs w:val="21"/>
          <w:highlight w:val="none"/>
        </w:rPr>
      </w:pPr>
      <w:r>
        <w:rPr>
          <w:rFonts w:ascii="宋体" w:hAnsi="宋体" w:cs="宋体"/>
          <w:color w:val="auto"/>
          <w:szCs w:val="21"/>
          <w:highlight w:val="none"/>
        </w:rPr>
        <w:t>9</w:t>
      </w:r>
      <w:r>
        <w:rPr>
          <w:rFonts w:hint="eastAsia" w:ascii="宋体" w:hAnsi="宋体" w:cs="宋体"/>
          <w:color w:val="auto"/>
          <w:szCs w:val="21"/>
          <w:highlight w:val="none"/>
        </w:rPr>
        <w:t>.农民工工资保证金的退回：</w:t>
      </w:r>
    </w:p>
    <w:p w14:paraId="2261534D">
      <w:pPr>
        <w:spacing w:line="440" w:lineRule="exact"/>
        <w:ind w:right="199" w:firstLine="420"/>
        <w:rPr>
          <w:rFonts w:hint="eastAsia" w:ascii="宋体" w:hAnsi="宋体" w:cs="宋体"/>
          <w:color w:val="auto"/>
          <w:szCs w:val="21"/>
          <w:highlight w:val="none"/>
        </w:rPr>
      </w:pPr>
      <w:r>
        <w:rPr>
          <w:rFonts w:ascii="宋体" w:hAnsi="宋体" w:cs="宋体"/>
          <w:color w:val="auto"/>
          <w:szCs w:val="21"/>
          <w:highlight w:val="none"/>
        </w:rPr>
        <w:t>在工程竣工验收合格并对验收发现的问题完成整改后，成交施工企业向发包人完成（施工）竣工资料移交手续及工程缺陷责任期满后，成交施工企业向保证金开设</w:t>
      </w:r>
      <w:r>
        <w:rPr>
          <w:rFonts w:hint="eastAsia" w:ascii="宋体" w:hAnsi="宋体" w:cs="宋体"/>
          <w:color w:val="auto"/>
          <w:szCs w:val="21"/>
          <w:highlight w:val="none"/>
        </w:rPr>
        <w:t>账</w:t>
      </w:r>
      <w:r>
        <w:rPr>
          <w:rFonts w:ascii="宋体" w:hAnsi="宋体" w:cs="宋体"/>
          <w:color w:val="auto"/>
          <w:szCs w:val="21"/>
          <w:highlight w:val="none"/>
        </w:rPr>
        <w:t>户所在地的人力资源社会保障部门提出解除农民工工资保证金专用</w:t>
      </w:r>
      <w:r>
        <w:rPr>
          <w:rFonts w:hint="eastAsia" w:ascii="宋体" w:hAnsi="宋体" w:cs="宋体"/>
          <w:color w:val="auto"/>
          <w:szCs w:val="21"/>
          <w:highlight w:val="none"/>
        </w:rPr>
        <w:t>账</w:t>
      </w:r>
      <w:r>
        <w:rPr>
          <w:rFonts w:ascii="宋体" w:hAnsi="宋体" w:cs="宋体"/>
          <w:color w:val="auto"/>
          <w:szCs w:val="21"/>
          <w:highlight w:val="none"/>
        </w:rPr>
        <w:t>户资金监管申请，人力资源社会保障部门按规定程序核实无拖欠农民工工资后，向账户开设银行出具解除农民工工资保证金</w:t>
      </w:r>
      <w:r>
        <w:rPr>
          <w:rFonts w:hint="eastAsia" w:ascii="宋体" w:hAnsi="宋体" w:cs="宋体"/>
          <w:color w:val="auto"/>
          <w:szCs w:val="21"/>
          <w:highlight w:val="none"/>
        </w:rPr>
        <w:t>账</w:t>
      </w:r>
      <w:r>
        <w:rPr>
          <w:rFonts w:ascii="宋体" w:hAnsi="宋体" w:cs="宋体"/>
          <w:color w:val="auto"/>
          <w:szCs w:val="21"/>
          <w:highlight w:val="none"/>
        </w:rPr>
        <w:t>户资金监管通知银行据此对农民工工资保证金</w:t>
      </w:r>
      <w:r>
        <w:rPr>
          <w:rFonts w:hint="eastAsia" w:ascii="宋体" w:hAnsi="宋体" w:cs="宋体"/>
          <w:color w:val="auto"/>
          <w:szCs w:val="21"/>
          <w:highlight w:val="none"/>
        </w:rPr>
        <w:t>账</w:t>
      </w:r>
      <w:r>
        <w:rPr>
          <w:rFonts w:ascii="宋体" w:hAnsi="宋体" w:cs="宋体"/>
          <w:color w:val="auto"/>
          <w:szCs w:val="21"/>
          <w:highlight w:val="none"/>
        </w:rPr>
        <w:t>户中的资金解除监管。（注：在工程竣工验收合格并对验收发现的问题完成整改后，施工单位向发包人完成（施工）竣工和农民工工资相关资料移交手续及工程缺陷责任期满后，可向发包人申请退还农民工工资保证金，发包人应按规定程序核实无拖欠农民工工资后,在收到申请之日起28个日历天内扣减承包人赔偿金和其他应从施工单位扣回的款项后，将农民工工资保证金无息退还给施工单位）。</w:t>
      </w:r>
    </w:p>
    <w:p w14:paraId="0AC56773">
      <w:pPr>
        <w:spacing w:line="440" w:lineRule="exact"/>
        <w:ind w:right="199" w:firstLine="420"/>
        <w:rPr>
          <w:rFonts w:hint="eastAsia" w:ascii="宋体" w:hAnsi="宋体" w:cs="宋体"/>
          <w:color w:val="auto"/>
          <w:szCs w:val="21"/>
          <w:highlight w:val="none"/>
        </w:rPr>
      </w:pPr>
      <w:r>
        <w:rPr>
          <w:rFonts w:ascii="宋体" w:hAnsi="宋体" w:cs="宋体"/>
          <w:color w:val="auto"/>
          <w:szCs w:val="21"/>
          <w:highlight w:val="none"/>
        </w:rPr>
        <w:t>10.</w:t>
      </w:r>
      <w:r>
        <w:rPr>
          <w:rFonts w:hint="eastAsia" w:ascii="宋体" w:hAnsi="宋体" w:cs="宋体"/>
          <w:color w:val="auto"/>
          <w:szCs w:val="21"/>
          <w:highlight w:val="none"/>
        </w:rPr>
        <w:t>在到达农民工工资保证金退还日期前，若成交承包人的开户名称、开户银行、账号有变动的，请以书面形式通知相关单位，否则由此产生的后果由成交承包人自负。</w:t>
      </w:r>
    </w:p>
    <w:p w14:paraId="521E5C46">
      <w:pPr>
        <w:spacing w:line="440" w:lineRule="exact"/>
        <w:ind w:left="420" w:right="199"/>
        <w:rPr>
          <w:rFonts w:hint="eastAsia" w:ascii="宋体" w:hAnsi="宋体" w:cs="宋体"/>
          <w:color w:val="auto"/>
          <w:szCs w:val="21"/>
          <w:highlight w:val="none"/>
        </w:rPr>
      </w:pPr>
      <w:r>
        <w:rPr>
          <w:rFonts w:ascii="宋体" w:hAnsi="宋体" w:cs="宋体"/>
          <w:color w:val="auto"/>
          <w:szCs w:val="21"/>
          <w:highlight w:val="none"/>
        </w:rPr>
        <w:t>11</w:t>
      </w:r>
      <w:r>
        <w:rPr>
          <w:rFonts w:hint="eastAsia" w:ascii="宋体" w:hAnsi="宋体" w:cs="宋体"/>
          <w:color w:val="auto"/>
          <w:szCs w:val="21"/>
          <w:highlight w:val="none"/>
        </w:rPr>
        <w:t>.承包人承诺按合同约定承担工程的实施、完成及缺陷修复。</w:t>
      </w:r>
    </w:p>
    <w:p w14:paraId="71C6DDCA">
      <w:pPr>
        <w:spacing w:line="440" w:lineRule="exact"/>
        <w:ind w:left="420" w:right="199"/>
        <w:rPr>
          <w:rFonts w:hint="eastAsia" w:ascii="宋体" w:hAnsi="宋体" w:cs="宋体"/>
          <w:color w:val="auto"/>
          <w:szCs w:val="21"/>
          <w:highlight w:val="none"/>
        </w:rPr>
      </w:pPr>
      <w:r>
        <w:rPr>
          <w:rFonts w:ascii="宋体" w:hAnsi="宋体" w:cs="宋体"/>
          <w:color w:val="auto"/>
          <w:szCs w:val="21"/>
          <w:highlight w:val="none"/>
        </w:rPr>
        <w:t>12</w:t>
      </w:r>
      <w:r>
        <w:rPr>
          <w:rFonts w:hint="eastAsia" w:ascii="宋体" w:hAnsi="宋体" w:cs="宋体"/>
          <w:color w:val="auto"/>
          <w:szCs w:val="21"/>
          <w:highlight w:val="none"/>
        </w:rPr>
        <w:t>.发包人承诺按合同约定的条件、时间和方式向承包人支付合同价款。</w:t>
      </w:r>
    </w:p>
    <w:p w14:paraId="753791F4">
      <w:pPr>
        <w:spacing w:line="440" w:lineRule="exact"/>
        <w:ind w:left="420" w:right="199"/>
        <w:rPr>
          <w:rFonts w:hint="eastAsia" w:ascii="宋体" w:hAnsi="宋体" w:cs="宋体"/>
          <w:color w:val="auto"/>
          <w:szCs w:val="21"/>
          <w:highlight w:val="none"/>
        </w:rPr>
      </w:pPr>
      <w:r>
        <w:rPr>
          <w:rFonts w:ascii="宋体" w:hAnsi="宋体" w:cs="宋体"/>
          <w:color w:val="auto"/>
          <w:szCs w:val="21"/>
          <w:highlight w:val="none"/>
        </w:rPr>
        <w:t>13</w:t>
      </w:r>
      <w:r>
        <w:rPr>
          <w:rFonts w:hint="eastAsia" w:ascii="宋体" w:hAnsi="宋体" w:cs="宋体"/>
          <w:color w:val="auto"/>
          <w:szCs w:val="21"/>
          <w:highlight w:val="none"/>
        </w:rPr>
        <w:t>.承包人应按照监理人指示开工，工期为</w:t>
      </w:r>
      <w:r>
        <w:rPr>
          <w:rFonts w:hint="eastAsia" w:ascii="宋体" w:hAnsi="宋体" w:cs="宋体"/>
          <w:color w:val="auto"/>
          <w:szCs w:val="21"/>
          <w:highlight w:val="none"/>
          <w:u w:val="single"/>
        </w:rPr>
        <w:t xml:space="preserve">   365  </w:t>
      </w:r>
      <w:r>
        <w:rPr>
          <w:rFonts w:hint="eastAsia" w:ascii="宋体" w:hAnsi="宋体" w:cs="宋体"/>
          <w:color w:val="auto"/>
          <w:szCs w:val="21"/>
          <w:highlight w:val="none"/>
        </w:rPr>
        <w:t>日历天。</w:t>
      </w:r>
    </w:p>
    <w:p w14:paraId="6FE73C57">
      <w:pPr>
        <w:spacing w:line="440" w:lineRule="exact"/>
        <w:ind w:right="199" w:firstLine="420"/>
        <w:rPr>
          <w:rFonts w:hint="eastAsia" w:ascii="宋体" w:hAnsi="宋体" w:cs="宋体"/>
          <w:color w:val="auto"/>
          <w:szCs w:val="21"/>
          <w:highlight w:val="none"/>
        </w:rPr>
      </w:pPr>
      <w:r>
        <w:rPr>
          <w:rFonts w:ascii="宋体" w:hAnsi="宋体" w:cs="宋体"/>
          <w:color w:val="auto"/>
          <w:szCs w:val="21"/>
          <w:highlight w:val="none"/>
        </w:rPr>
        <w:t>14</w:t>
      </w:r>
      <w:r>
        <w:rPr>
          <w:rFonts w:hint="eastAsia" w:ascii="宋体" w:hAnsi="宋体" w:cs="宋体"/>
          <w:color w:val="auto"/>
          <w:szCs w:val="21"/>
          <w:highlight w:val="none"/>
        </w:rPr>
        <w:t>.本协议书在承包人提供履约保证金后,由双方法定代表人或其委托代理人签署并加盖单位章后生效。全部工程完工后经竣工验收合格、缺陷期满签发缺陷责任终止证书后失效。</w:t>
      </w:r>
    </w:p>
    <w:p w14:paraId="1502DBCE">
      <w:pPr>
        <w:spacing w:line="440" w:lineRule="exact"/>
        <w:ind w:right="199" w:firstLine="420"/>
        <w:rPr>
          <w:rFonts w:hint="eastAsia" w:ascii="宋体" w:hAnsi="宋体" w:cs="宋体"/>
          <w:color w:val="auto"/>
          <w:szCs w:val="21"/>
          <w:highlight w:val="none"/>
        </w:rPr>
      </w:pPr>
      <w:r>
        <w:rPr>
          <w:rFonts w:ascii="宋体" w:hAnsi="宋体" w:cs="宋体"/>
          <w:color w:val="auto"/>
          <w:szCs w:val="21"/>
          <w:highlight w:val="none"/>
        </w:rPr>
        <w:t>15</w:t>
      </w:r>
      <w:r>
        <w:rPr>
          <w:rFonts w:hint="eastAsia" w:ascii="宋体" w:hAnsi="宋体" w:cs="宋体"/>
          <w:color w:val="auto"/>
          <w:szCs w:val="21"/>
          <w:highlight w:val="none"/>
        </w:rPr>
        <w:t>.本合同一式陆份，具有同等法律效力，甲乙双方各执叁份。</w:t>
      </w:r>
    </w:p>
    <w:p w14:paraId="29B72D9A">
      <w:pPr>
        <w:spacing w:line="440" w:lineRule="exact"/>
        <w:ind w:firstLine="420"/>
        <w:rPr>
          <w:rFonts w:hint="eastAsia" w:ascii="宋体" w:hAnsi="宋体" w:cs="宋体"/>
          <w:color w:val="auto"/>
          <w:szCs w:val="21"/>
          <w:highlight w:val="none"/>
        </w:rPr>
      </w:pPr>
      <w:r>
        <w:rPr>
          <w:rFonts w:ascii="宋体" w:hAnsi="宋体" w:cs="宋体"/>
          <w:color w:val="auto"/>
          <w:szCs w:val="21"/>
          <w:highlight w:val="none"/>
        </w:rPr>
        <w:t>16.</w:t>
      </w:r>
      <w:r>
        <w:rPr>
          <w:rFonts w:hint="eastAsia" w:ascii="宋体" w:hAnsi="宋体" w:cs="宋体"/>
          <w:color w:val="auto"/>
          <w:szCs w:val="21"/>
          <w:highlight w:val="none"/>
        </w:rPr>
        <w:t>合同未尽事宜，双方另行签订补充协议。补充协议是合同的组成部分。</w:t>
      </w:r>
    </w:p>
    <w:p w14:paraId="735D3686">
      <w:pPr>
        <w:spacing w:line="336" w:lineRule="auto"/>
        <w:ind w:firstLine="420"/>
        <w:rPr>
          <w:rFonts w:hint="eastAsia" w:ascii="宋体" w:hAnsi="宋体" w:cs="宋体"/>
          <w:color w:val="auto"/>
          <w:szCs w:val="21"/>
          <w:highlight w:val="none"/>
        </w:rPr>
      </w:pPr>
    </w:p>
    <w:p w14:paraId="5A019AC1">
      <w:pPr>
        <w:spacing w:line="336" w:lineRule="auto"/>
        <w:rPr>
          <w:rFonts w:hint="eastAsia" w:ascii="宋体" w:hAnsi="宋体" w:cs="宋体"/>
          <w:color w:val="auto"/>
          <w:szCs w:val="21"/>
          <w:highlight w:val="none"/>
        </w:rPr>
      </w:pPr>
    </w:p>
    <w:p w14:paraId="3C85D29D">
      <w:pPr>
        <w:spacing w:line="336" w:lineRule="auto"/>
        <w:rPr>
          <w:rFonts w:hint="eastAsia" w:ascii="宋体" w:hAnsi="宋体" w:cs="宋体"/>
          <w:color w:val="auto"/>
          <w:szCs w:val="21"/>
          <w:highlight w:val="none"/>
        </w:rPr>
      </w:pPr>
    </w:p>
    <w:p w14:paraId="74EDB2AA">
      <w:pPr>
        <w:spacing w:line="336" w:lineRule="auto"/>
        <w:rPr>
          <w:rFonts w:hint="eastAsia" w:ascii="宋体" w:hAnsi="宋体" w:cs="宋体"/>
          <w:color w:val="auto"/>
          <w:szCs w:val="21"/>
          <w:highlight w:val="none"/>
        </w:rPr>
      </w:pPr>
    </w:p>
    <w:p w14:paraId="5DEC179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发包人：</w:t>
      </w:r>
      <w:r>
        <w:rPr>
          <w:rFonts w:hint="eastAsia" w:ascii="宋体" w:hAnsi="宋体" w:cs="宋体"/>
          <w:b/>
          <w:bCs/>
          <w:color w:val="auto"/>
          <w:szCs w:val="21"/>
          <w:highlight w:val="none"/>
          <w:u w:val="single"/>
        </w:rPr>
        <w:t xml:space="preserve">陆川县横山镇人民政府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 承包人：</w:t>
      </w:r>
      <w:r>
        <w:rPr>
          <w:rFonts w:hint="eastAsia" w:ascii="宋体" w:hAnsi="宋体" w:cs="宋体"/>
          <w:b/>
          <w:color w:val="auto"/>
          <w:szCs w:val="21"/>
          <w:highlight w:val="none"/>
          <w:u w:val="single"/>
        </w:rPr>
        <w:t xml:space="preserve">                       </w:t>
      </w:r>
    </w:p>
    <w:p w14:paraId="45521B87">
      <w:pPr>
        <w:spacing w:line="360" w:lineRule="auto"/>
        <w:ind w:firstLine="926"/>
        <w:rPr>
          <w:rFonts w:hint="eastAsia" w:ascii="宋体" w:hAnsi="宋体" w:cs="宋体"/>
          <w:color w:val="auto"/>
          <w:szCs w:val="21"/>
          <w:highlight w:val="none"/>
        </w:rPr>
      </w:pPr>
      <w:r>
        <w:rPr>
          <w:rFonts w:hint="eastAsia" w:ascii="宋体" w:hAnsi="宋体" w:cs="宋体"/>
          <w:color w:val="auto"/>
          <w:szCs w:val="21"/>
          <w:highlight w:val="none"/>
        </w:rPr>
        <w:t xml:space="preserve">（盖单位公章）                   </w:t>
      </w:r>
      <w:r>
        <w:rPr>
          <w:rFonts w:ascii="宋体" w:hAnsi="宋体" w:cs="宋体"/>
          <w:color w:val="auto"/>
          <w:szCs w:val="21"/>
          <w:highlight w:val="none"/>
        </w:rPr>
        <w:t xml:space="preserve">                </w:t>
      </w:r>
      <w:r>
        <w:rPr>
          <w:rFonts w:hint="eastAsia" w:ascii="宋体" w:hAnsi="宋体" w:cs="宋体"/>
          <w:color w:val="auto"/>
          <w:szCs w:val="21"/>
          <w:highlight w:val="none"/>
        </w:rPr>
        <w:t xml:space="preserve">    （盖单位公章）</w:t>
      </w:r>
    </w:p>
    <w:p w14:paraId="79F6E6CD">
      <w:pPr>
        <w:spacing w:line="540" w:lineRule="exact"/>
        <w:ind w:left="4200" w:hanging="4200"/>
        <w:jc w:val="left"/>
        <w:rPr>
          <w:rFonts w:hint="eastAsia" w:ascii="宋体" w:hAnsi="宋体" w:cs="宋体"/>
          <w:color w:val="auto"/>
          <w:szCs w:val="21"/>
          <w:highlight w:val="none"/>
          <w:u w:val="single"/>
        </w:rPr>
      </w:pPr>
      <w:r>
        <w:rPr>
          <w:rFonts w:hint="eastAsia" w:ascii="宋体" w:hAnsi="宋体" w:cs="宋体"/>
          <w:color w:val="auto"/>
          <w:szCs w:val="21"/>
          <w:highlight w:val="none"/>
        </w:rPr>
        <w:t xml:space="preserve">地址：陆川县横山镇龙兴街4号 </w:t>
      </w:r>
      <w:r>
        <w:rPr>
          <w:rFonts w:ascii="宋体" w:hAnsi="宋体" w:cs="宋体"/>
          <w:color w:val="auto"/>
          <w:szCs w:val="21"/>
          <w:highlight w:val="none"/>
        </w:rPr>
        <w:t xml:space="preserve">   </w:t>
      </w:r>
      <w:r>
        <w:rPr>
          <w:rFonts w:hint="eastAsia" w:ascii="宋体" w:hAnsi="宋体" w:cs="宋体"/>
          <w:color w:val="auto"/>
          <w:spacing w:val="-20"/>
          <w:szCs w:val="21"/>
          <w:highlight w:val="none"/>
        </w:rPr>
        <w:t xml:space="preserve">   </w:t>
      </w:r>
      <w:r>
        <w:rPr>
          <w:rFonts w:ascii="宋体" w:hAnsi="宋体" w:cs="宋体"/>
          <w:color w:val="auto"/>
          <w:spacing w:val="-20"/>
          <w:szCs w:val="21"/>
          <w:highlight w:val="none"/>
        </w:rPr>
        <w:t xml:space="preserve">                        </w:t>
      </w:r>
      <w:r>
        <w:rPr>
          <w:rFonts w:hint="eastAsia" w:ascii="宋体" w:hAnsi="宋体" w:cs="宋体"/>
          <w:color w:val="auto"/>
          <w:spacing w:val="-20"/>
          <w:szCs w:val="21"/>
          <w:highlight w:val="none"/>
        </w:rPr>
        <w:t xml:space="preserve"> </w:t>
      </w:r>
      <w:r>
        <w:rPr>
          <w:rFonts w:hint="eastAsia" w:ascii="宋体" w:hAnsi="宋体" w:cs="宋体"/>
          <w:color w:val="auto"/>
          <w:szCs w:val="21"/>
          <w:highlight w:val="none"/>
        </w:rPr>
        <w:t xml:space="preserve">地址：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100141BC">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 xml:space="preserve">法定代表人                           </w:t>
      </w:r>
      <w:r>
        <w:rPr>
          <w:rFonts w:ascii="宋体" w:hAnsi="宋体" w:cs="宋体"/>
          <w:color w:val="auto"/>
          <w:szCs w:val="21"/>
          <w:highlight w:val="none"/>
        </w:rPr>
        <w:t xml:space="preserve">            </w:t>
      </w:r>
      <w:r>
        <w:rPr>
          <w:rFonts w:hint="eastAsia" w:ascii="宋体" w:hAnsi="宋体" w:cs="宋体"/>
          <w:color w:val="auto"/>
          <w:szCs w:val="21"/>
          <w:highlight w:val="none"/>
        </w:rPr>
        <w:t>法定代表人</w:t>
      </w:r>
    </w:p>
    <w:p w14:paraId="1B437522">
      <w:pPr>
        <w:spacing w:line="540" w:lineRule="exact"/>
        <w:rPr>
          <w:rFonts w:hint="eastAsia" w:ascii="宋体" w:hAnsi="宋体" w:cs="宋体"/>
          <w:color w:val="auto"/>
          <w:szCs w:val="21"/>
          <w:highlight w:val="none"/>
          <w:u w:val="single"/>
        </w:rPr>
      </w:pPr>
      <w:r>
        <w:rPr>
          <w:rFonts w:hint="eastAsia" w:ascii="宋体" w:hAnsi="宋体" w:cs="宋体"/>
          <w:color w:val="auto"/>
          <w:szCs w:val="21"/>
          <w:highlight w:val="none"/>
        </w:rPr>
        <w:t>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或其委托代理人：</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05F156CC">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 xml:space="preserve">（签字或签章）                       </w:t>
      </w:r>
      <w:r>
        <w:rPr>
          <w:rFonts w:ascii="宋体" w:hAnsi="宋体" w:cs="宋体"/>
          <w:color w:val="auto"/>
          <w:szCs w:val="21"/>
          <w:highlight w:val="none"/>
        </w:rPr>
        <w:t xml:space="preserve">          </w:t>
      </w:r>
      <w:r>
        <w:rPr>
          <w:rFonts w:hint="eastAsia" w:ascii="宋体" w:hAnsi="宋体" w:cs="宋体"/>
          <w:color w:val="auto"/>
          <w:szCs w:val="21"/>
          <w:highlight w:val="none"/>
        </w:rPr>
        <w:t xml:space="preserve">（签字或签章）  </w:t>
      </w:r>
    </w:p>
    <w:p w14:paraId="169B817D">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66C366C8">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传真：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714B06B5">
      <w:pPr>
        <w:spacing w:line="540" w:lineRule="exact"/>
        <w:rPr>
          <w:rFonts w:hint="eastAsia" w:ascii="宋体" w:hAnsi="宋体" w:cs="宋体"/>
          <w:color w:val="auto"/>
          <w:szCs w:val="21"/>
          <w:highlight w:val="none"/>
          <w:u w:val="singl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开户名称： </w:t>
      </w:r>
      <w:r>
        <w:rPr>
          <w:rFonts w:ascii="宋体" w:hAnsi="宋体" w:cs="宋体"/>
          <w:color w:val="auto"/>
          <w:szCs w:val="21"/>
          <w:highlight w:val="none"/>
          <w:u w:val="single"/>
        </w:rPr>
        <w:t xml:space="preserve">                     </w:t>
      </w:r>
    </w:p>
    <w:p w14:paraId="664D37DA">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 账号：</w:t>
      </w:r>
      <w:r>
        <w:rPr>
          <w:rFonts w:hint="eastAsia" w:ascii="宋体" w:hAnsi="宋体" w:cs="宋体"/>
          <w:color w:val="auto"/>
          <w:szCs w:val="21"/>
          <w:highlight w:val="none"/>
          <w:u w:val="single"/>
        </w:rPr>
        <w:t xml:space="preserve">                          </w:t>
      </w:r>
    </w:p>
    <w:p w14:paraId="3B6487D4">
      <w:pPr>
        <w:spacing w:after="120" w:line="360" w:lineRule="auto"/>
        <w:ind w:left="420"/>
        <w:jc w:val="left"/>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(农民工工资账户）</w:t>
      </w:r>
    </w:p>
    <w:p w14:paraId="1ABB9D7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开户银行： </w:t>
      </w:r>
    </w:p>
    <w:p w14:paraId="2A95BD92">
      <w:pPr>
        <w:spacing w:line="360" w:lineRule="auto"/>
        <w:ind w:firstLine="5145"/>
        <w:jc w:val="left"/>
        <w:rPr>
          <w:rFonts w:hint="eastAsia" w:ascii="宋体" w:hAnsi="宋体" w:cs="宋体"/>
          <w:color w:val="auto"/>
          <w:szCs w:val="21"/>
          <w:highlight w:val="none"/>
        </w:rPr>
      </w:pPr>
      <w:r>
        <w:rPr>
          <w:rFonts w:hint="eastAsia" w:ascii="宋体" w:hAnsi="宋体" w:cs="宋体"/>
          <w:color w:val="auto"/>
          <w:szCs w:val="21"/>
          <w:highlight w:val="none"/>
        </w:rPr>
        <w:t xml:space="preserve">开户名称： </w:t>
      </w:r>
    </w:p>
    <w:p w14:paraId="4D9658DD">
      <w:pPr>
        <w:spacing w:line="5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 账号： </w:t>
      </w:r>
    </w:p>
    <w:p w14:paraId="1BDBF36C">
      <w:pPr>
        <w:spacing w:line="336" w:lineRule="auto"/>
        <w:ind w:firstLine="42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016479B">
      <w:pPr>
        <w:spacing w:line="336" w:lineRule="auto"/>
        <w:ind w:firstLine="420"/>
        <w:rPr>
          <w:rFonts w:hint="eastAsia" w:ascii="宋体" w:hAnsi="宋体" w:cs="宋体"/>
          <w:color w:val="auto"/>
          <w:szCs w:val="21"/>
          <w:highlight w:val="none"/>
        </w:rPr>
      </w:pPr>
    </w:p>
    <w:p w14:paraId="51C5E930">
      <w:pPr>
        <w:spacing w:line="336" w:lineRule="auto"/>
        <w:ind w:firstLine="420"/>
        <w:rPr>
          <w:rFonts w:hint="eastAsia" w:ascii="宋体" w:hAnsi="宋体" w:cs="宋体"/>
          <w:color w:val="auto"/>
          <w:szCs w:val="21"/>
          <w:highlight w:val="none"/>
        </w:rPr>
      </w:pPr>
    </w:p>
    <w:p w14:paraId="308FB526">
      <w:pPr>
        <w:spacing w:line="360" w:lineRule="auto"/>
        <w:rPr>
          <w:color w:val="auto"/>
          <w:highlight w:val="none"/>
        </w:rPr>
      </w:pPr>
    </w:p>
    <w:p w14:paraId="14253D10">
      <w:pPr>
        <w:jc w:val="center"/>
        <w:rPr>
          <w:b/>
          <w:bCs/>
          <w:color w:val="auto"/>
          <w:sz w:val="32"/>
          <w:szCs w:val="32"/>
          <w:highlight w:val="none"/>
        </w:rPr>
      </w:pPr>
      <w:bookmarkStart w:id="118" w:name="_Toc16211"/>
      <w:r>
        <w:rPr>
          <w:rFonts w:hint="eastAsia"/>
          <w:b/>
          <w:bCs/>
          <w:color w:val="auto"/>
          <w:sz w:val="32"/>
          <w:szCs w:val="32"/>
          <w:highlight w:val="none"/>
        </w:rPr>
        <w:t>二、廉 政 合 同</w:t>
      </w:r>
      <w:bookmarkEnd w:id="118"/>
    </w:p>
    <w:p w14:paraId="73A44283">
      <w:pPr>
        <w:widowControl/>
        <w:spacing w:line="460" w:lineRule="exact"/>
        <w:ind w:firstLine="420"/>
        <w:jc w:val="left"/>
        <w:rPr>
          <w:rFonts w:hint="eastAsia" w:ascii="宋体" w:hAnsi="宋体"/>
          <w:color w:val="auto"/>
          <w:szCs w:val="21"/>
          <w:highlight w:val="none"/>
        </w:rPr>
      </w:pPr>
      <w:r>
        <w:rPr>
          <w:rFonts w:hint="eastAsia" w:ascii="宋体" w:hAnsi="宋体"/>
          <w:color w:val="auto"/>
          <w:szCs w:val="21"/>
          <w:highlight w:val="none"/>
        </w:rPr>
        <w:t>根据《关于在交通基础设施建设中加强廉政建设的若干意见》以及有关工程建设、廉政建设的规定，为做好工程建设中的党风廉政建设，保证工程建设高效优质， 保证建设资金的安全和有效使用以及投资效益，</w:t>
      </w:r>
      <w:r>
        <w:rPr>
          <w:rFonts w:hint="eastAsia" w:ascii="宋体" w:hAnsi="宋体"/>
          <w:b/>
          <w:bCs/>
          <w:color w:val="auto"/>
          <w:szCs w:val="21"/>
          <w:highlight w:val="none"/>
          <w:u w:val="single"/>
        </w:rPr>
        <w:t xml:space="preserve"> </w:t>
      </w:r>
      <w:r>
        <w:rPr>
          <w:rFonts w:ascii="宋体" w:hAnsi="宋体"/>
          <w:b/>
          <w:bCs/>
          <w:color w:val="auto"/>
          <w:szCs w:val="21"/>
          <w:highlight w:val="none"/>
          <w:u w:val="single"/>
        </w:rPr>
        <w:t xml:space="preserve">           </w:t>
      </w:r>
      <w:r>
        <w:rPr>
          <w:rFonts w:hint="eastAsia" w:ascii="宋体" w:hAnsi="宋体"/>
          <w:color w:val="auto"/>
          <w:szCs w:val="21"/>
          <w:highlight w:val="none"/>
        </w:rPr>
        <w:t>（项目名称）的项目法人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b/>
          <w:bCs/>
          <w:color w:val="auto"/>
          <w:szCs w:val="21"/>
          <w:highlight w:val="none"/>
          <w:u w:val="single"/>
        </w:rPr>
        <w:t xml:space="preserve"> </w:t>
      </w:r>
      <w:r>
        <w:rPr>
          <w:rFonts w:hint="eastAsia" w:ascii="宋体" w:hAnsi="宋体"/>
          <w:b/>
          <w:bCs/>
          <w:color w:val="auto"/>
          <w:szCs w:val="21"/>
          <w:highlight w:val="none"/>
          <w:u w:val="single"/>
        </w:rPr>
        <w:t xml:space="preserve"> </w:t>
      </w:r>
      <w:r>
        <w:rPr>
          <w:rFonts w:ascii="宋体" w:hAnsi="宋体"/>
          <w:b/>
          <w:bCs/>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（项目法人名称，以下简称“发包人”）与该项目</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标段的施工单位</w:t>
      </w:r>
      <w:r>
        <w:rPr>
          <w:rFonts w:hint="eastAsia" w:ascii="宋体" w:hAnsi="宋体" w:cs="宋体"/>
          <w:b/>
          <w:bCs/>
          <w:color w:val="auto"/>
          <w:szCs w:val="21"/>
          <w:highlight w:val="none"/>
          <w:u w:val="single"/>
        </w:rPr>
        <w:t xml:space="preserve"> </w:t>
      </w:r>
      <w:r>
        <w:rPr>
          <w:rFonts w:ascii="宋体" w:hAnsi="宋体" w:cs="宋体"/>
          <w:b/>
          <w:bCs/>
          <w:color w:val="auto"/>
          <w:szCs w:val="21"/>
          <w:highlight w:val="none"/>
          <w:u w:val="single"/>
        </w:rPr>
        <w:t xml:space="preserve">         </w:t>
      </w:r>
      <w:r>
        <w:rPr>
          <w:rFonts w:hint="eastAsia" w:ascii="宋体" w:hAnsi="宋体"/>
          <w:color w:val="auto"/>
          <w:szCs w:val="21"/>
          <w:highlight w:val="none"/>
        </w:rPr>
        <w:t>（施工单位名称，以下简称“承包人”），特订立如下合同。</w:t>
      </w:r>
    </w:p>
    <w:p w14:paraId="7F98822A">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1.发包人和承包人双方的权利和义务</w:t>
      </w:r>
    </w:p>
    <w:p w14:paraId="18C678BA">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（1）严格遵守党的政策规定和国家有关法律法规及交通运输部的有关规定。</w:t>
      </w:r>
    </w:p>
    <w:p w14:paraId="1112279A">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（2）严格执行</w:t>
      </w:r>
      <w:r>
        <w:rPr>
          <w:rFonts w:hint="eastAsia" w:ascii="宋体" w:hAnsi="宋体"/>
          <w:b/>
          <w:bCs/>
          <w:color w:val="auto"/>
          <w:szCs w:val="21"/>
          <w:highlight w:val="none"/>
          <w:u w:val="single"/>
        </w:rPr>
        <w:t xml:space="preserve"> </w:t>
      </w:r>
      <w:r>
        <w:rPr>
          <w:rFonts w:ascii="宋体" w:hAnsi="宋体"/>
          <w:b/>
          <w:bCs/>
          <w:color w:val="auto"/>
          <w:szCs w:val="21"/>
          <w:highlight w:val="none"/>
          <w:u w:val="single"/>
        </w:rPr>
        <w:t xml:space="preserve">                </w:t>
      </w:r>
      <w:r>
        <w:rPr>
          <w:rFonts w:hint="eastAsia" w:ascii="宋体" w:hAnsi="宋体"/>
          <w:color w:val="auto"/>
          <w:szCs w:val="21"/>
          <w:highlight w:val="none"/>
        </w:rPr>
        <w:t>（项目名称）施工合同文件，自觉按合同办事。</w:t>
      </w:r>
    </w:p>
    <w:p w14:paraId="008602FC">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（3）双方的业务活动坚持公开、公正、诚信、透明的原则（法律认定的商业秘密和合同文件另有规定除外），不得损害国家和集体利益，不得违反工程建设管理规章制度。</w:t>
      </w:r>
    </w:p>
    <w:p w14:paraId="302D2E54">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（4）建立健全廉政制度，开展廉政教育，设立廉政告示牌，公布举报电话， 监督并认真查处违法违纪行为。</w:t>
      </w:r>
    </w:p>
    <w:p w14:paraId="50570982">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（5）发现对方在业务活动中有违反廉政规定的行为，有及时提醒对方纠正的权利和义务。</w:t>
      </w:r>
    </w:p>
    <w:p w14:paraId="3614A006">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（6）发现对方严重违反本合同义务条款的行为，有向其上级有关部门举报、建议给予处理并要求告知处理结果的权利。</w:t>
      </w:r>
    </w:p>
    <w:p w14:paraId="504BD59A">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2.发包人的义务</w:t>
      </w:r>
    </w:p>
    <w:p w14:paraId="084E6378">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（1）发包人及其工作人员不得索要或接受承包人的礼金、有价证券和贵重物品，不得让承包人报销任何应由发包人或发包人工作人员个人支付的费用等。</w:t>
      </w:r>
    </w:p>
    <w:p w14:paraId="424AA2FF">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（2）发包人工作人员不得参加承包人安排的超标准宴请和娱乐活动；不得接受承包人提供的通信工具、交通工具和高档办公用品等。</w:t>
      </w:r>
    </w:p>
    <w:p w14:paraId="445BF783">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（3）发包人及其工作人员不得要求或者接受承包人为其住房装修、婚丧嫁娶活动、配偶子女的工作安排以及出国出境、旅游等提供方便等。</w:t>
      </w:r>
    </w:p>
    <w:p w14:paraId="1733457E">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（4）发包人工作人员及其配偶、子女不得从事与发包人工程有关的材料设备供应、工程分包、劳务等经济活动等。</w:t>
      </w:r>
    </w:p>
    <w:p w14:paraId="24FDB1A4">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（5）发包人及其工作人员不得以任何理由向承包人推荐分包单位或推销材料，不得要求承包人购买合同规定外的材料和设备。</w:t>
      </w:r>
    </w:p>
    <w:p w14:paraId="3394A344">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（6）发包人工作人员要秉公办事，不准营私舞弊，不准利用职权从事各种个人有偿中介活动和安排个人施工队伍。</w:t>
      </w:r>
    </w:p>
    <w:p w14:paraId="68483481">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3.承包人的义务</w:t>
      </w:r>
    </w:p>
    <w:p w14:paraId="351319AC">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（1）承包人不得以任何理由向发包人及其工作人员行贿或馈赠礼金、有价证券、贵重礼品。</w:t>
      </w:r>
    </w:p>
    <w:p w14:paraId="38CCA909">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（2）承包人不得以任何名义为发包人及其工作人员报销应由发包人单位或个人支付的任何费用。</w:t>
      </w:r>
    </w:p>
    <w:p w14:paraId="1E7D9809">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（3）承包人不得以任何理由安排发包人工作人员参加超标准宴请及娱乐活动。</w:t>
      </w:r>
    </w:p>
    <w:p w14:paraId="533E5BF9">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（4）承包人不得为发包人单位和个人购置或提供通信工具、交通工具和高档办公用品等。</w:t>
      </w:r>
    </w:p>
    <w:p w14:paraId="1A5B3CF8">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4.违约责任</w:t>
      </w:r>
    </w:p>
    <w:p w14:paraId="393EC3F2">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（1）发包人及其工作人员违反本合同第 1、2 条，按管理权限，依据有关规定给予党纪、政纪或组织处理；涉嫌犯罪的，移交司法机关追究刑事责任；给承包人单位造成经济损失的，应予以赔偿。</w:t>
      </w:r>
    </w:p>
    <w:p w14:paraId="37EFEA30">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（2）承包人及其工作人员违反本合同第 1、3 条，按管理权限，依据有关规定给予党纪、政纪或组织处理；给发包人单位造成经济损失的，应予以赔偿；情节严重的，发包人建议交通运输主管部门给予承包人一至三年内不得进入其主管的公路建设市场的处罚。</w:t>
      </w:r>
    </w:p>
    <w:p w14:paraId="09F81406">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5.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0D24E2D4">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6.本合同有效期为发包人和承包人签署之日起至该工程项目竣工验收后止。</w:t>
      </w:r>
    </w:p>
    <w:p w14:paraId="5B1E9EC7">
      <w:pPr>
        <w:spacing w:line="460" w:lineRule="exact"/>
        <w:ind w:firstLine="480"/>
        <w:rPr>
          <w:rFonts w:hint="eastAsia" w:ascii="宋体" w:hAnsi="宋体"/>
          <w:color w:val="auto"/>
          <w:szCs w:val="21"/>
          <w:highlight w:val="none"/>
        </w:rPr>
      </w:pPr>
      <w:r>
        <w:rPr>
          <w:rFonts w:hint="eastAsia" w:ascii="宋体" w:hAnsi="宋体"/>
          <w:color w:val="auto"/>
          <w:szCs w:val="21"/>
          <w:highlight w:val="none"/>
        </w:rPr>
        <w:t>7.本合同作为</w:t>
      </w:r>
      <w:r>
        <w:rPr>
          <w:rFonts w:hint="eastAsia" w:ascii="宋体" w:hAnsi="宋体"/>
          <w:b/>
          <w:bCs/>
          <w:color w:val="auto"/>
          <w:szCs w:val="21"/>
          <w:highlight w:val="none"/>
          <w:u w:val="single"/>
        </w:rPr>
        <w:t xml:space="preserve"> </w:t>
      </w:r>
      <w:r>
        <w:rPr>
          <w:rFonts w:ascii="宋体" w:hAnsi="宋体"/>
          <w:b/>
          <w:bCs/>
          <w:color w:val="auto"/>
          <w:szCs w:val="21"/>
          <w:highlight w:val="none"/>
          <w:u w:val="single"/>
        </w:rPr>
        <w:t xml:space="preserve">            </w:t>
      </w:r>
      <w:r>
        <w:rPr>
          <w:rFonts w:hint="eastAsia" w:ascii="宋体" w:hAnsi="宋体"/>
          <w:color w:val="auto"/>
          <w:szCs w:val="21"/>
          <w:highlight w:val="none"/>
        </w:rPr>
        <w:t>（项目名称）施工合同的附件，与工程施工合同具有同等的法律效力，经合同双方签署后立即生效。</w:t>
      </w:r>
    </w:p>
    <w:p w14:paraId="40BE283C">
      <w:pPr>
        <w:spacing w:line="460" w:lineRule="exact"/>
        <w:ind w:firstLine="480"/>
        <w:rPr>
          <w:rFonts w:hint="eastAsia" w:ascii="宋体" w:hAnsi="宋体" w:cs="宋体"/>
          <w:color w:val="auto"/>
          <w:szCs w:val="21"/>
          <w:highlight w:val="none"/>
          <w:shd w:val="clear" w:color="auto" w:fill="FFFFFF"/>
          <w:lang w:val="zh-CN" w:bidi="zh-CN"/>
        </w:rPr>
      </w:pPr>
      <w:r>
        <w:rPr>
          <w:rFonts w:hint="eastAsia" w:ascii="宋体" w:hAnsi="宋体"/>
          <w:color w:val="auto"/>
          <w:szCs w:val="21"/>
          <w:highlight w:val="none"/>
        </w:rPr>
        <w:t>8.</w:t>
      </w:r>
      <w:r>
        <w:rPr>
          <w:rFonts w:hint="eastAsia" w:ascii="宋体" w:hAnsi="宋体" w:cs="宋体"/>
          <w:color w:val="auto"/>
          <w:szCs w:val="21"/>
          <w:highlight w:val="none"/>
          <w:shd w:val="clear" w:color="auto" w:fill="FFFFFF"/>
          <w:lang w:val="zh-CN" w:bidi="zh-CN"/>
        </w:rPr>
        <w:t>本合同一式</w:t>
      </w:r>
      <w:r>
        <w:rPr>
          <w:rFonts w:hint="eastAsia" w:ascii="宋体" w:hAnsi="宋体" w:cs="宋体"/>
          <w:color w:val="auto"/>
          <w:szCs w:val="21"/>
          <w:highlight w:val="none"/>
          <w:u w:val="single"/>
          <w:shd w:val="clear" w:color="auto" w:fill="FFFFFF"/>
          <w:lang w:val="zh-CN" w:bidi="zh-CN"/>
        </w:rPr>
        <w:t xml:space="preserve"> 陆 </w:t>
      </w:r>
      <w:r>
        <w:rPr>
          <w:rFonts w:hint="eastAsia" w:ascii="宋体" w:hAnsi="宋体" w:cs="宋体"/>
          <w:color w:val="auto"/>
          <w:szCs w:val="21"/>
          <w:highlight w:val="none"/>
          <w:shd w:val="clear" w:color="auto" w:fill="FFFFFF"/>
          <w:lang w:val="zh-CN" w:bidi="zh-CN"/>
        </w:rPr>
        <w:t>份，由发包人和承包人各执</w:t>
      </w:r>
      <w:r>
        <w:rPr>
          <w:rFonts w:hint="eastAsia" w:ascii="宋体" w:hAnsi="宋体" w:cs="宋体"/>
          <w:color w:val="auto"/>
          <w:szCs w:val="21"/>
          <w:highlight w:val="none"/>
          <w:u w:val="single"/>
          <w:shd w:val="clear" w:color="auto" w:fill="FFFFFF"/>
          <w:lang w:val="zh-CN" w:bidi="zh-CN"/>
        </w:rPr>
        <w:t xml:space="preserve"> 两 </w:t>
      </w:r>
      <w:r>
        <w:rPr>
          <w:rFonts w:hint="eastAsia" w:ascii="宋体" w:hAnsi="宋体" w:cs="宋体"/>
          <w:color w:val="auto"/>
          <w:szCs w:val="21"/>
          <w:highlight w:val="none"/>
          <w:shd w:val="clear" w:color="auto" w:fill="FFFFFF"/>
          <w:lang w:val="zh-CN" w:bidi="zh-CN"/>
        </w:rPr>
        <w:t>份，送交发包人和承包人的监督单位各</w:t>
      </w:r>
    </w:p>
    <w:p w14:paraId="5A1A6DDF">
      <w:pPr>
        <w:spacing w:line="460" w:lineRule="exact"/>
        <w:rPr>
          <w:rFonts w:hint="eastAsia" w:ascii="宋体" w:hAnsi="宋体" w:cs="宋体"/>
          <w:color w:val="auto"/>
          <w:szCs w:val="21"/>
          <w:highlight w:val="none"/>
          <w:shd w:val="clear" w:color="auto" w:fill="FFFFFF"/>
          <w:lang w:val="zh-CN" w:bidi="zh-CN"/>
        </w:rPr>
      </w:pPr>
      <w:r>
        <w:rPr>
          <w:rFonts w:hint="eastAsia" w:ascii="宋体" w:hAnsi="宋体" w:cs="宋体"/>
          <w:color w:val="auto"/>
          <w:szCs w:val="21"/>
          <w:highlight w:val="none"/>
          <w:shd w:val="clear" w:color="auto" w:fill="FFFFFF"/>
          <w:lang w:val="zh-CN" w:bidi="zh-CN"/>
        </w:rPr>
        <w:t>一份。</w:t>
      </w:r>
    </w:p>
    <w:p w14:paraId="42F5E951">
      <w:pPr>
        <w:spacing w:line="460" w:lineRule="exact"/>
        <w:rPr>
          <w:rFonts w:hint="eastAsia" w:ascii="宋体" w:hAnsi="宋体"/>
          <w:color w:val="auto"/>
          <w:szCs w:val="21"/>
          <w:highlight w:val="none"/>
        </w:rPr>
      </w:pPr>
    </w:p>
    <w:p w14:paraId="6F049214">
      <w:pPr>
        <w:spacing w:line="460" w:lineRule="exact"/>
        <w:rPr>
          <w:rFonts w:hint="eastAsia" w:ascii="宋体" w:hAnsi="宋体" w:cs="宋体"/>
          <w:b/>
          <w:color w:val="auto"/>
          <w:szCs w:val="21"/>
          <w:highlight w:val="none"/>
          <w:u w:val="single"/>
        </w:rPr>
      </w:pPr>
      <w:r>
        <w:rPr>
          <w:rFonts w:hint="eastAsia" w:ascii="宋体" w:hAnsi="宋体" w:cs="宋体"/>
          <w:color w:val="auto"/>
          <w:szCs w:val="21"/>
          <w:highlight w:val="none"/>
        </w:rPr>
        <w:t>发包人：</w:t>
      </w:r>
      <w:r>
        <w:rPr>
          <w:rFonts w:hint="eastAsia" w:ascii="宋体" w:hAnsi="宋体" w:cs="宋体"/>
          <w:b/>
          <w:bCs/>
          <w:color w:val="auto"/>
          <w:szCs w:val="21"/>
          <w:highlight w:val="none"/>
          <w:u w:val="single"/>
        </w:rPr>
        <w:t>陆川县横山镇人民政府</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承包人：</w:t>
      </w:r>
      <w:r>
        <w:rPr>
          <w:rFonts w:hint="eastAsia" w:ascii="宋体" w:hAnsi="宋体" w:cs="宋体"/>
          <w:b/>
          <w:bCs/>
          <w:color w:val="auto"/>
          <w:szCs w:val="21"/>
          <w:highlight w:val="none"/>
          <w:u w:val="single"/>
        </w:rPr>
        <w:t xml:space="preserve"> </w:t>
      </w:r>
      <w:r>
        <w:rPr>
          <w:rFonts w:ascii="宋体" w:hAnsi="宋体" w:cs="宋体"/>
          <w:b/>
          <w:bCs/>
          <w:color w:val="auto"/>
          <w:szCs w:val="21"/>
          <w:highlight w:val="none"/>
          <w:u w:val="single"/>
        </w:rPr>
        <w:t xml:space="preserve">                     </w:t>
      </w:r>
    </w:p>
    <w:p w14:paraId="1D64F850">
      <w:pPr>
        <w:spacing w:line="460" w:lineRule="exact"/>
        <w:ind w:firstLine="1050"/>
        <w:rPr>
          <w:rFonts w:hint="eastAsia" w:ascii="宋体" w:hAnsi="宋体" w:cs="宋体"/>
          <w:color w:val="auto"/>
          <w:szCs w:val="21"/>
          <w:highlight w:val="none"/>
        </w:rPr>
      </w:pPr>
      <w:r>
        <w:rPr>
          <w:rFonts w:hint="eastAsia" w:ascii="宋体" w:hAnsi="宋体" w:cs="宋体"/>
          <w:color w:val="auto"/>
          <w:szCs w:val="21"/>
          <w:highlight w:val="none"/>
        </w:rPr>
        <w:t xml:space="preserve">（盖单位公章）                             </w:t>
      </w:r>
      <w:r>
        <w:rPr>
          <w:rFonts w:ascii="宋体" w:hAnsi="宋体" w:cs="宋体"/>
          <w:color w:val="auto"/>
          <w:szCs w:val="21"/>
          <w:highlight w:val="none"/>
        </w:rPr>
        <w:t xml:space="preserve">  </w:t>
      </w:r>
      <w:r>
        <w:rPr>
          <w:rFonts w:hint="eastAsia" w:ascii="宋体" w:hAnsi="宋体" w:cs="宋体"/>
          <w:color w:val="auto"/>
          <w:szCs w:val="21"/>
          <w:highlight w:val="none"/>
        </w:rPr>
        <w:t xml:space="preserve">  （盖单位公章）                                     </w:t>
      </w:r>
    </w:p>
    <w:p w14:paraId="4596D008">
      <w:pPr>
        <w:spacing w:line="460" w:lineRule="exact"/>
        <w:rPr>
          <w:rFonts w:hint="eastAsia" w:ascii="宋体" w:hAnsi="宋体" w:cs="宋体"/>
          <w:color w:val="auto"/>
          <w:szCs w:val="21"/>
          <w:highlight w:val="none"/>
        </w:rPr>
      </w:pPr>
      <w:r>
        <w:rPr>
          <w:rFonts w:hint="eastAsia" w:ascii="宋体" w:hAnsi="宋体" w:cs="宋体"/>
          <w:color w:val="auto"/>
          <w:szCs w:val="21"/>
          <w:highlight w:val="none"/>
        </w:rPr>
        <w:t xml:space="preserve">法定代表人                               </w:t>
      </w:r>
      <w:r>
        <w:rPr>
          <w:rFonts w:ascii="宋体" w:hAnsi="宋体" w:cs="宋体"/>
          <w:color w:val="auto"/>
          <w:szCs w:val="21"/>
          <w:highlight w:val="none"/>
        </w:rPr>
        <w:t xml:space="preserve">     </w:t>
      </w:r>
      <w:r>
        <w:rPr>
          <w:rFonts w:hint="eastAsia" w:ascii="宋体" w:hAnsi="宋体" w:cs="宋体"/>
          <w:color w:val="auto"/>
          <w:szCs w:val="21"/>
          <w:highlight w:val="none"/>
        </w:rPr>
        <w:t xml:space="preserve"> 法定代表人</w:t>
      </w:r>
    </w:p>
    <w:p w14:paraId="45B79ADF">
      <w:pPr>
        <w:spacing w:line="460" w:lineRule="exact"/>
        <w:rPr>
          <w:rFonts w:hint="eastAsia" w:ascii="宋体" w:hAnsi="宋体" w:cs="宋体"/>
          <w:color w:val="auto"/>
          <w:szCs w:val="21"/>
          <w:highlight w:val="none"/>
        </w:rPr>
      </w:pPr>
      <w:r>
        <w:rPr>
          <w:rFonts w:hint="eastAsia" w:ascii="宋体" w:hAnsi="宋体" w:cs="宋体"/>
          <w:color w:val="auto"/>
          <w:szCs w:val="21"/>
          <w:highlight w:val="none"/>
        </w:rPr>
        <w:t xml:space="preserve">或其委托代理人：      （签字或签章）     </w:t>
      </w:r>
      <w:r>
        <w:rPr>
          <w:rFonts w:ascii="宋体" w:hAnsi="宋体" w:cs="宋体"/>
          <w:color w:val="auto"/>
          <w:szCs w:val="21"/>
          <w:highlight w:val="none"/>
        </w:rPr>
        <w:t xml:space="preserve">      </w:t>
      </w:r>
      <w:r>
        <w:rPr>
          <w:rFonts w:hint="eastAsia" w:ascii="宋体" w:hAnsi="宋体" w:cs="宋体"/>
          <w:color w:val="auto"/>
          <w:szCs w:val="21"/>
          <w:highlight w:val="none"/>
        </w:rPr>
        <w:t>或其委托代理人：       （签字或签章）</w:t>
      </w:r>
    </w:p>
    <w:p w14:paraId="2FBD404B">
      <w:pPr>
        <w:spacing w:line="460" w:lineRule="exact"/>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r>
        <w:rPr>
          <w:rFonts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0A584A93">
      <w:pPr>
        <w:spacing w:line="360" w:lineRule="auto"/>
        <w:rPr>
          <w:rFonts w:hint="eastAsia" w:ascii="宋体" w:hAnsi="宋体" w:cs="宋体"/>
          <w:color w:val="auto"/>
          <w:szCs w:val="21"/>
          <w:highlight w:val="none"/>
        </w:rPr>
      </w:pPr>
    </w:p>
    <w:p w14:paraId="7831AE42">
      <w:pPr>
        <w:spacing w:line="360" w:lineRule="auto"/>
        <w:rPr>
          <w:rFonts w:hint="eastAsia" w:ascii="宋体" w:hAnsi="宋体" w:cs="宋体"/>
          <w:color w:val="auto"/>
          <w:szCs w:val="21"/>
          <w:highlight w:val="none"/>
        </w:rPr>
      </w:pPr>
    </w:p>
    <w:p w14:paraId="1428DC27">
      <w:pPr>
        <w:spacing w:line="360" w:lineRule="auto"/>
        <w:rPr>
          <w:rFonts w:hint="eastAsia" w:ascii="宋体" w:hAnsi="宋体" w:cs="宋体"/>
          <w:color w:val="auto"/>
          <w:szCs w:val="21"/>
          <w:highlight w:val="none"/>
        </w:rPr>
      </w:pPr>
    </w:p>
    <w:p w14:paraId="37E36ACA">
      <w:pPr>
        <w:spacing w:line="360" w:lineRule="auto"/>
        <w:rPr>
          <w:rFonts w:hint="eastAsia" w:ascii="宋体" w:hAnsi="宋体" w:cs="宋体"/>
          <w:color w:val="auto"/>
          <w:szCs w:val="21"/>
          <w:highlight w:val="none"/>
        </w:rPr>
      </w:pPr>
    </w:p>
    <w:p w14:paraId="24F71769">
      <w:pPr>
        <w:spacing w:line="360" w:lineRule="auto"/>
        <w:rPr>
          <w:rFonts w:hint="eastAsia" w:ascii="宋体" w:hAnsi="宋体" w:cs="宋体"/>
          <w:color w:val="auto"/>
          <w:szCs w:val="21"/>
          <w:highlight w:val="none"/>
        </w:rPr>
      </w:pPr>
    </w:p>
    <w:p w14:paraId="3649CD52">
      <w:pPr>
        <w:jc w:val="center"/>
        <w:rPr>
          <w:b/>
          <w:bCs/>
          <w:color w:val="auto"/>
          <w:sz w:val="32"/>
          <w:szCs w:val="32"/>
          <w:highlight w:val="none"/>
        </w:rPr>
      </w:pPr>
      <w:bookmarkStart w:id="119" w:name="_Toc486"/>
      <w:r>
        <w:rPr>
          <w:rFonts w:hint="eastAsia"/>
          <w:b/>
          <w:bCs/>
          <w:color w:val="auto"/>
          <w:sz w:val="32"/>
          <w:szCs w:val="32"/>
          <w:highlight w:val="none"/>
        </w:rPr>
        <w:t>三、安全生产合同</w:t>
      </w:r>
      <w:bookmarkEnd w:id="119"/>
    </w:p>
    <w:p w14:paraId="485682C7">
      <w:pPr>
        <w:spacing w:line="440" w:lineRule="exact"/>
        <w:ind w:firstLine="482"/>
        <w:rPr>
          <w:rFonts w:hint="eastAsia" w:ascii="宋体" w:hAnsi="宋体"/>
          <w:color w:val="auto"/>
          <w:szCs w:val="21"/>
          <w:highlight w:val="none"/>
        </w:rPr>
      </w:pPr>
      <w:r>
        <w:rPr>
          <w:rFonts w:hint="eastAsia" w:ascii="宋体" w:hAnsi="宋体"/>
          <w:color w:val="auto"/>
          <w:szCs w:val="21"/>
          <w:highlight w:val="none"/>
        </w:rPr>
        <w:t>为在</w:t>
      </w:r>
      <w:r>
        <w:rPr>
          <w:rFonts w:hint="eastAsia"/>
          <w:b/>
          <w:bCs/>
          <w:color w:val="auto"/>
          <w:szCs w:val="21"/>
          <w:highlight w:val="none"/>
          <w:u w:val="single"/>
        </w:rPr>
        <w:t xml:space="preserve"> </w:t>
      </w:r>
      <w:r>
        <w:rPr>
          <w:b/>
          <w:bCs/>
          <w:color w:val="auto"/>
          <w:szCs w:val="21"/>
          <w:highlight w:val="none"/>
          <w:u w:val="single"/>
        </w:rPr>
        <w:t xml:space="preserve">          </w:t>
      </w:r>
      <w:r>
        <w:rPr>
          <w:rFonts w:hint="eastAsia" w:ascii="宋体" w:hAnsi="宋体"/>
          <w:color w:val="auto"/>
          <w:szCs w:val="21"/>
          <w:highlight w:val="none"/>
        </w:rPr>
        <w:t>（项目名称）标段施工合同的实施过程中创造安全、高效的施工环境，切实搞好本项目的安全管理工作，本项目发包人</w:t>
      </w:r>
      <w:r>
        <w:rPr>
          <w:rFonts w:hint="eastAsia" w:ascii="宋体" w:hAnsi="宋体" w:cs="宋体"/>
          <w:b/>
          <w:bCs/>
          <w:color w:val="auto"/>
          <w:szCs w:val="21"/>
          <w:highlight w:val="none"/>
          <w:u w:val="single"/>
        </w:rPr>
        <w:t xml:space="preserve"> </w:t>
      </w:r>
      <w:r>
        <w:rPr>
          <w:rFonts w:ascii="宋体" w:hAnsi="宋体" w:cs="宋体"/>
          <w:b/>
          <w:bCs/>
          <w:color w:val="auto"/>
          <w:szCs w:val="21"/>
          <w:highlight w:val="none"/>
          <w:u w:val="single"/>
        </w:rPr>
        <w:t xml:space="preserve">            </w:t>
      </w:r>
      <w:r>
        <w:rPr>
          <w:rFonts w:hint="eastAsia" w:ascii="宋体" w:hAnsi="宋体"/>
          <w:color w:val="auto"/>
          <w:szCs w:val="21"/>
          <w:highlight w:val="none"/>
        </w:rPr>
        <w:t>（发包人名称，以下简称“发包人”）与承包人</w:t>
      </w:r>
      <w:r>
        <w:rPr>
          <w:rFonts w:hint="eastAsia" w:cs="宋体"/>
          <w:b/>
          <w:bCs/>
          <w:color w:val="auto"/>
          <w:szCs w:val="21"/>
          <w:highlight w:val="none"/>
          <w:u w:val="single"/>
        </w:rPr>
        <w:t xml:space="preserve"> </w:t>
      </w:r>
      <w:r>
        <w:rPr>
          <w:rFonts w:cs="宋体"/>
          <w:b/>
          <w:bCs/>
          <w:color w:val="auto"/>
          <w:szCs w:val="21"/>
          <w:highlight w:val="none"/>
          <w:u w:val="single"/>
        </w:rPr>
        <w:t xml:space="preserve">          </w:t>
      </w:r>
      <w:r>
        <w:rPr>
          <w:rFonts w:hint="eastAsia" w:ascii="宋体" w:hAnsi="宋体"/>
          <w:color w:val="auto"/>
          <w:szCs w:val="21"/>
          <w:highlight w:val="none"/>
        </w:rPr>
        <w:t>（承包人名称，以下简称“承包人”）特此签订安全生产合同。</w:t>
      </w:r>
    </w:p>
    <w:p w14:paraId="39E3EAC7">
      <w:pPr>
        <w:spacing w:line="440" w:lineRule="exact"/>
        <w:ind w:firstLine="482"/>
        <w:rPr>
          <w:rFonts w:hint="eastAsia" w:ascii="宋体" w:hAnsi="宋体"/>
          <w:color w:val="auto"/>
          <w:szCs w:val="21"/>
          <w:highlight w:val="none"/>
        </w:rPr>
      </w:pPr>
      <w:r>
        <w:rPr>
          <w:rFonts w:hint="eastAsia" w:ascii="宋体" w:hAnsi="宋体"/>
          <w:color w:val="auto"/>
          <w:szCs w:val="21"/>
          <w:highlight w:val="none"/>
        </w:rPr>
        <w:t>1.发包人职责</w:t>
      </w:r>
    </w:p>
    <w:p w14:paraId="77B2B001">
      <w:pPr>
        <w:spacing w:line="440" w:lineRule="exact"/>
        <w:ind w:firstLine="482"/>
        <w:rPr>
          <w:rFonts w:hint="eastAsia" w:ascii="宋体" w:hAnsi="宋体"/>
          <w:color w:val="auto"/>
          <w:szCs w:val="21"/>
          <w:highlight w:val="none"/>
        </w:rPr>
      </w:pPr>
      <w:r>
        <w:rPr>
          <w:rFonts w:hint="eastAsia" w:ascii="宋体" w:hAnsi="宋体"/>
          <w:color w:val="auto"/>
          <w:szCs w:val="21"/>
          <w:highlight w:val="none"/>
        </w:rPr>
        <w:t>（1）严格遵守国家有关安全生产的法律法规，认真执行工程承包合同中的有关安全要求。</w:t>
      </w:r>
    </w:p>
    <w:p w14:paraId="1D16FCCB">
      <w:pPr>
        <w:spacing w:line="440" w:lineRule="exact"/>
        <w:ind w:firstLine="482"/>
        <w:rPr>
          <w:rFonts w:hint="eastAsia" w:ascii="宋体" w:hAnsi="宋体"/>
          <w:color w:val="auto"/>
          <w:szCs w:val="21"/>
          <w:highlight w:val="none"/>
        </w:rPr>
      </w:pPr>
      <w:r>
        <w:rPr>
          <w:rFonts w:hint="eastAsia" w:ascii="宋体" w:hAnsi="宋体"/>
          <w:color w:val="auto"/>
          <w:szCs w:val="21"/>
          <w:highlight w:val="none"/>
        </w:rPr>
        <w:t>（2）按照“安全第一、预防为主、综合治理”和坚持“管生产必须管安全”的原则进行安全生产管理，做到生产与安全工作同时计划、布置、检查、总结和评比。</w:t>
      </w:r>
    </w:p>
    <w:p w14:paraId="15ECB6EA">
      <w:pPr>
        <w:spacing w:line="440" w:lineRule="exact"/>
        <w:ind w:firstLine="482"/>
        <w:rPr>
          <w:rFonts w:hint="eastAsia" w:ascii="宋体" w:hAnsi="宋体"/>
          <w:color w:val="auto"/>
          <w:szCs w:val="21"/>
          <w:highlight w:val="none"/>
        </w:rPr>
      </w:pPr>
      <w:r>
        <w:rPr>
          <w:rFonts w:hint="eastAsia" w:ascii="宋体" w:hAnsi="宋体"/>
          <w:color w:val="auto"/>
          <w:szCs w:val="21"/>
          <w:highlight w:val="none"/>
        </w:rPr>
        <w:t>（3）重要的安全设施必须坚持与主体工程“三同时”的原则，即：同时设计、审批，同时施工，同时验收，投入使用。</w:t>
      </w:r>
    </w:p>
    <w:p w14:paraId="3531E734">
      <w:pPr>
        <w:spacing w:line="440" w:lineRule="exact"/>
        <w:ind w:firstLine="482"/>
        <w:rPr>
          <w:rFonts w:hint="eastAsia" w:ascii="宋体" w:hAnsi="宋体"/>
          <w:color w:val="auto"/>
          <w:szCs w:val="21"/>
          <w:highlight w:val="none"/>
        </w:rPr>
      </w:pPr>
      <w:r>
        <w:rPr>
          <w:rFonts w:hint="eastAsia" w:ascii="宋体" w:hAnsi="宋体"/>
          <w:color w:val="auto"/>
          <w:szCs w:val="21"/>
          <w:highlight w:val="none"/>
        </w:rPr>
        <w:t>（4）定期召开安全生产调度会，及时传达中央及地方有关安全生产的精神。</w:t>
      </w:r>
    </w:p>
    <w:p w14:paraId="567F9892">
      <w:pPr>
        <w:spacing w:line="440" w:lineRule="exact"/>
        <w:ind w:firstLine="482"/>
        <w:rPr>
          <w:rFonts w:hint="eastAsia" w:ascii="宋体" w:hAnsi="宋体"/>
          <w:color w:val="auto"/>
          <w:szCs w:val="21"/>
          <w:highlight w:val="none"/>
        </w:rPr>
      </w:pPr>
      <w:r>
        <w:rPr>
          <w:rFonts w:hint="eastAsia" w:ascii="宋体" w:hAnsi="宋体"/>
          <w:color w:val="auto"/>
          <w:szCs w:val="21"/>
          <w:highlight w:val="none"/>
        </w:rPr>
        <w:t>（5）组织对承包人施工现场进行安全生产检查，监督承包人及时处理发现的各种安全隐患。</w:t>
      </w:r>
    </w:p>
    <w:p w14:paraId="780CFB58">
      <w:pPr>
        <w:spacing w:line="440" w:lineRule="exact"/>
        <w:ind w:firstLine="482"/>
        <w:rPr>
          <w:rFonts w:hint="eastAsia" w:ascii="宋体" w:hAnsi="宋体"/>
          <w:color w:val="auto"/>
          <w:szCs w:val="21"/>
          <w:highlight w:val="none"/>
        </w:rPr>
      </w:pPr>
      <w:r>
        <w:rPr>
          <w:rFonts w:hint="eastAsia" w:ascii="宋体" w:hAnsi="宋体"/>
          <w:color w:val="auto"/>
          <w:szCs w:val="21"/>
          <w:highlight w:val="none"/>
        </w:rPr>
        <w:t>2.承包人职责</w:t>
      </w:r>
    </w:p>
    <w:p w14:paraId="251344CC">
      <w:pPr>
        <w:spacing w:line="440" w:lineRule="exact"/>
        <w:ind w:firstLine="482"/>
        <w:rPr>
          <w:rFonts w:hint="eastAsia" w:ascii="宋体" w:hAnsi="宋体"/>
          <w:color w:val="auto"/>
          <w:szCs w:val="21"/>
          <w:highlight w:val="none"/>
        </w:rPr>
      </w:pPr>
      <w:r>
        <w:rPr>
          <w:rFonts w:hint="eastAsia" w:ascii="宋体" w:hAnsi="宋体"/>
          <w:color w:val="auto"/>
          <w:szCs w:val="21"/>
          <w:highlight w:val="none"/>
        </w:rPr>
        <w:t>（1）严格遵守《中华人民共和国安全生产法》《建设工程安全生产管理条例》等国家有关安全生产的法律法规、《公路水运工程安全生产监督管理办法》和《公路工程施工安全技术规范》等有关安全生产的规定。认真执行工程承包合同中的有关安全要求。</w:t>
      </w:r>
    </w:p>
    <w:p w14:paraId="6F431A40">
      <w:pPr>
        <w:spacing w:line="440" w:lineRule="exact"/>
        <w:ind w:firstLine="482"/>
        <w:rPr>
          <w:rFonts w:hint="eastAsia" w:ascii="宋体" w:hAnsi="宋体"/>
          <w:color w:val="auto"/>
          <w:szCs w:val="21"/>
          <w:highlight w:val="none"/>
        </w:rPr>
      </w:pPr>
      <w:r>
        <w:rPr>
          <w:rFonts w:hint="eastAsia" w:ascii="宋体" w:hAnsi="宋体"/>
          <w:color w:val="auto"/>
          <w:szCs w:val="21"/>
          <w:highlight w:val="none"/>
        </w:rPr>
        <w:t>（2）坚持“安全第一、预防为主、综合治理”和“管生产必须管安全”的原则， 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7C5308C6">
      <w:pPr>
        <w:spacing w:line="440" w:lineRule="exact"/>
        <w:ind w:firstLine="482"/>
        <w:rPr>
          <w:rFonts w:hint="eastAsia" w:ascii="宋体" w:hAnsi="宋体"/>
          <w:color w:val="auto"/>
          <w:szCs w:val="21"/>
          <w:highlight w:val="none"/>
        </w:rPr>
      </w:pPr>
      <w:r>
        <w:rPr>
          <w:rFonts w:hint="eastAsia" w:ascii="宋体" w:hAnsi="宋体"/>
          <w:color w:val="auto"/>
          <w:szCs w:val="21"/>
          <w:highlight w:val="none"/>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14:paraId="18849A21">
      <w:pPr>
        <w:spacing w:line="440" w:lineRule="exact"/>
        <w:ind w:firstLine="482"/>
        <w:rPr>
          <w:rFonts w:hint="eastAsia" w:ascii="宋体" w:hAnsi="宋体"/>
          <w:color w:val="auto"/>
          <w:szCs w:val="21"/>
          <w:highlight w:val="none"/>
        </w:rPr>
      </w:pPr>
      <w:r>
        <w:rPr>
          <w:rFonts w:hint="eastAsia" w:ascii="宋体" w:hAnsi="宋体"/>
          <w:color w:val="auto"/>
          <w:szCs w:val="21"/>
          <w:highlight w:val="none"/>
        </w:rPr>
        <w:t>（4）承包人在任何时候都应采取各种合理的预防措施，防止其员工发生任何违法、违禁、暴力或妨碍治安的行为。</w:t>
      </w:r>
    </w:p>
    <w:p w14:paraId="3219A3C1">
      <w:pPr>
        <w:spacing w:line="440" w:lineRule="exact"/>
        <w:ind w:firstLine="482"/>
        <w:rPr>
          <w:rFonts w:hint="eastAsia" w:ascii="宋体" w:hAnsi="宋体"/>
          <w:color w:val="auto"/>
          <w:szCs w:val="21"/>
          <w:highlight w:val="none"/>
        </w:rPr>
      </w:pPr>
      <w:r>
        <w:rPr>
          <w:rFonts w:hint="eastAsia" w:ascii="宋体" w:hAnsi="宋体"/>
          <w:color w:val="auto"/>
          <w:szCs w:val="21"/>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1CABECB2">
      <w:pPr>
        <w:spacing w:line="440" w:lineRule="exact"/>
        <w:ind w:firstLine="482"/>
        <w:rPr>
          <w:rFonts w:hint="eastAsia" w:ascii="宋体" w:hAnsi="宋体"/>
          <w:color w:val="auto"/>
          <w:szCs w:val="21"/>
          <w:highlight w:val="none"/>
        </w:rPr>
      </w:pPr>
      <w:r>
        <w:rPr>
          <w:rFonts w:hint="eastAsia" w:ascii="宋体" w:hAnsi="宋体"/>
          <w:color w:val="auto"/>
          <w:szCs w:val="21"/>
          <w:highlight w:val="none"/>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0AA42A61">
      <w:pPr>
        <w:spacing w:line="440" w:lineRule="exact"/>
        <w:ind w:firstLine="482"/>
        <w:rPr>
          <w:rFonts w:hint="eastAsia" w:ascii="宋体" w:hAnsi="宋体"/>
          <w:color w:val="auto"/>
          <w:szCs w:val="21"/>
          <w:highlight w:val="none"/>
        </w:rPr>
      </w:pPr>
      <w:r>
        <w:rPr>
          <w:rFonts w:hint="eastAsia" w:ascii="宋体" w:hAnsi="宋体"/>
          <w:color w:val="auto"/>
          <w:szCs w:val="21"/>
          <w:highlight w:val="none"/>
        </w:rPr>
        <w:t>（7）操作人员上岗，必须按规定穿戴防护用品。施工负责人和安全检查员应随时检查劳动防护用品的穿戴情况，不按规定穿戴防护用品的人员不得上岗。</w:t>
      </w:r>
    </w:p>
    <w:p w14:paraId="56FA8A2D">
      <w:pPr>
        <w:spacing w:line="440" w:lineRule="exact"/>
        <w:ind w:firstLine="482"/>
        <w:rPr>
          <w:rFonts w:hint="eastAsia" w:ascii="宋体" w:hAnsi="宋体"/>
          <w:color w:val="auto"/>
          <w:szCs w:val="21"/>
          <w:highlight w:val="none"/>
        </w:rPr>
      </w:pPr>
      <w:r>
        <w:rPr>
          <w:rFonts w:hint="eastAsia" w:ascii="宋体" w:hAnsi="宋体"/>
          <w:color w:val="auto"/>
          <w:szCs w:val="21"/>
          <w:highlight w:val="none"/>
        </w:rPr>
        <w:t>（8）所有施工机具设备和高空作业的设备均应定期检查，并有安全员的签字记录，保证其经常处于完好状态；不合格的机具、设备和劳动保护用品严禁使用。</w:t>
      </w:r>
    </w:p>
    <w:p w14:paraId="6493D05D">
      <w:pPr>
        <w:spacing w:line="440" w:lineRule="exact"/>
        <w:ind w:firstLine="482"/>
        <w:rPr>
          <w:rFonts w:hint="eastAsia" w:ascii="宋体" w:hAnsi="宋体"/>
          <w:color w:val="auto"/>
          <w:szCs w:val="21"/>
          <w:highlight w:val="none"/>
        </w:rPr>
      </w:pPr>
      <w:r>
        <w:rPr>
          <w:rFonts w:hint="eastAsia" w:ascii="宋体" w:hAnsi="宋体"/>
          <w:color w:val="auto"/>
          <w:szCs w:val="21"/>
          <w:highlight w:val="none"/>
        </w:rPr>
        <w:t>（9）施工中采用新技术、新工艺、新设备、新材料时，必须制定相应的安全技术措施，施工现场必须具有相关的安全标志牌。</w:t>
      </w:r>
    </w:p>
    <w:p w14:paraId="15AD6ED5">
      <w:pPr>
        <w:spacing w:line="440" w:lineRule="exact"/>
        <w:ind w:firstLine="482"/>
        <w:rPr>
          <w:rFonts w:hint="eastAsia" w:ascii="宋体" w:hAnsi="宋体"/>
          <w:color w:val="auto"/>
          <w:szCs w:val="21"/>
          <w:highlight w:val="none"/>
        </w:rPr>
      </w:pPr>
      <w:r>
        <w:rPr>
          <w:rFonts w:hint="eastAsia" w:ascii="宋体" w:hAnsi="宋体"/>
          <w:color w:val="auto"/>
          <w:szCs w:val="21"/>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39819C33">
      <w:pPr>
        <w:spacing w:line="440" w:lineRule="exact"/>
        <w:ind w:firstLine="482"/>
        <w:rPr>
          <w:rFonts w:hint="eastAsia" w:ascii="宋体" w:hAnsi="宋体"/>
          <w:color w:val="auto"/>
          <w:spacing w:val="-4"/>
          <w:szCs w:val="21"/>
          <w:highlight w:val="none"/>
        </w:rPr>
      </w:pPr>
      <w:r>
        <w:rPr>
          <w:rFonts w:hint="eastAsia" w:ascii="宋体" w:hAnsi="宋体"/>
          <w:color w:val="auto"/>
          <w:spacing w:val="-4"/>
          <w:szCs w:val="21"/>
          <w:highlight w:val="none"/>
        </w:rPr>
        <w:t>（11）安全生产费用按照《公路水运工程安全生产监督管理办法》的相关规定使用和管理。</w:t>
      </w:r>
    </w:p>
    <w:p w14:paraId="3C521A8F">
      <w:pPr>
        <w:spacing w:line="440" w:lineRule="exact"/>
        <w:ind w:firstLine="482"/>
        <w:rPr>
          <w:rFonts w:hint="eastAsia" w:ascii="宋体" w:hAnsi="宋体"/>
          <w:color w:val="auto"/>
          <w:szCs w:val="21"/>
          <w:highlight w:val="none"/>
        </w:rPr>
      </w:pPr>
      <w:r>
        <w:rPr>
          <w:rFonts w:hint="eastAsia" w:ascii="宋体" w:hAnsi="宋体"/>
          <w:color w:val="auto"/>
          <w:szCs w:val="21"/>
          <w:highlight w:val="none"/>
        </w:rPr>
        <w:t>3.违约责任</w:t>
      </w:r>
    </w:p>
    <w:p w14:paraId="34D1A51C">
      <w:pPr>
        <w:spacing w:line="440" w:lineRule="exact"/>
        <w:ind w:firstLine="482"/>
        <w:rPr>
          <w:rFonts w:hint="eastAsia" w:ascii="宋体" w:hAnsi="宋体"/>
          <w:color w:val="auto"/>
          <w:szCs w:val="21"/>
          <w:highlight w:val="none"/>
        </w:rPr>
      </w:pPr>
      <w:r>
        <w:rPr>
          <w:rFonts w:hint="eastAsia" w:ascii="宋体" w:hAnsi="宋体"/>
          <w:color w:val="auto"/>
          <w:szCs w:val="21"/>
          <w:highlight w:val="none"/>
        </w:rPr>
        <w:t>如因发包人或承包人违约造成安全事故，将依法追究责任。</w:t>
      </w:r>
    </w:p>
    <w:p w14:paraId="69B7EFBF">
      <w:pPr>
        <w:spacing w:line="440" w:lineRule="exact"/>
        <w:ind w:firstLine="482"/>
        <w:rPr>
          <w:rFonts w:hint="eastAsia" w:ascii="宋体" w:hAnsi="宋体"/>
          <w:color w:val="auto"/>
          <w:szCs w:val="21"/>
          <w:highlight w:val="none"/>
        </w:rPr>
      </w:pPr>
      <w:r>
        <w:rPr>
          <w:rFonts w:hint="eastAsia" w:ascii="宋体" w:hAnsi="宋体"/>
          <w:color w:val="auto"/>
          <w:szCs w:val="21"/>
          <w:highlight w:val="none"/>
        </w:rPr>
        <w:t>4.本合同由双方法定代表人或其授权的代理人签署并加盖单位章后生效，全部工程竣工验收后失效。</w:t>
      </w:r>
    </w:p>
    <w:p w14:paraId="507564A7">
      <w:pPr>
        <w:shd w:val="clear" w:color="auto" w:fill="FFFFFF"/>
        <w:tabs>
          <w:tab w:val="left" w:pos="966"/>
        </w:tabs>
        <w:spacing w:line="440" w:lineRule="exact"/>
        <w:ind w:firstLine="420"/>
        <w:jc w:val="left"/>
        <w:rPr>
          <w:rFonts w:hint="eastAsia" w:ascii="宋体" w:hAnsi="宋体" w:cs="宋体"/>
          <w:color w:val="auto"/>
          <w:szCs w:val="21"/>
          <w:highlight w:val="none"/>
          <w:shd w:val="clear" w:color="auto" w:fill="FFFFFF"/>
          <w:lang w:val="zh-CN" w:bidi="zh-CN"/>
        </w:rPr>
      </w:pPr>
      <w:r>
        <w:rPr>
          <w:rFonts w:hint="eastAsia" w:ascii="宋体" w:hAnsi="宋体" w:cs="宋体"/>
          <w:color w:val="auto"/>
          <w:szCs w:val="21"/>
          <w:highlight w:val="none"/>
          <w:shd w:val="clear" w:color="auto" w:fill="FFFFFF"/>
          <w:lang w:val="zh-CN" w:bidi="zh-CN"/>
        </w:rPr>
        <w:t>5.本合同正本—式</w:t>
      </w:r>
      <w:r>
        <w:rPr>
          <w:rFonts w:hint="eastAsia" w:ascii="宋体" w:hAnsi="宋体" w:cs="宋体"/>
          <w:color w:val="auto"/>
          <w:szCs w:val="21"/>
          <w:highlight w:val="none"/>
          <w:u w:val="single"/>
          <w:shd w:val="clear" w:color="auto" w:fill="FFFFFF"/>
          <w:lang w:val="zh-CN" w:bidi="zh-CN"/>
        </w:rPr>
        <w:t xml:space="preserve"> 两</w:t>
      </w:r>
      <w:r>
        <w:rPr>
          <w:rFonts w:ascii="宋体" w:hAnsi="宋体" w:cs="宋体"/>
          <w:color w:val="auto"/>
          <w:szCs w:val="21"/>
          <w:highlight w:val="none"/>
          <w:u w:val="single"/>
          <w:shd w:val="clear" w:color="auto" w:fill="FFFFFF"/>
          <w:lang w:val="zh-CN" w:bidi="zh-CN"/>
        </w:rPr>
        <w:t xml:space="preserve"> </w:t>
      </w:r>
      <w:r>
        <w:rPr>
          <w:rFonts w:hint="eastAsia" w:ascii="宋体" w:hAnsi="宋体" w:cs="宋体"/>
          <w:color w:val="auto"/>
          <w:szCs w:val="21"/>
          <w:highlight w:val="none"/>
          <w:shd w:val="clear" w:color="auto" w:fill="FFFFFF"/>
          <w:lang w:val="zh-CN" w:bidi="zh-CN"/>
        </w:rPr>
        <w:t>份，副本</w:t>
      </w:r>
      <w:r>
        <w:rPr>
          <w:rFonts w:hint="eastAsia" w:ascii="宋体" w:hAnsi="宋体" w:cs="宋体"/>
          <w:color w:val="auto"/>
          <w:szCs w:val="21"/>
          <w:highlight w:val="none"/>
          <w:u w:val="single"/>
          <w:shd w:val="clear" w:color="auto" w:fill="FFFFFF"/>
          <w:lang w:val="zh-CN" w:bidi="zh-CN"/>
        </w:rPr>
        <w:t xml:space="preserve"> 肆 </w:t>
      </w:r>
      <w:r>
        <w:rPr>
          <w:rFonts w:hint="eastAsia" w:ascii="宋体" w:hAnsi="宋体" w:cs="宋体"/>
          <w:color w:val="auto"/>
          <w:szCs w:val="21"/>
          <w:highlight w:val="none"/>
          <w:shd w:val="clear" w:color="auto" w:fill="FFFFFF"/>
          <w:lang w:val="zh-CN" w:bidi="zh-CN"/>
        </w:rPr>
        <w:t>份，合同双方各执正本—份，副本</w:t>
      </w:r>
      <w:r>
        <w:rPr>
          <w:rFonts w:hint="eastAsia" w:ascii="宋体" w:hAnsi="宋体" w:cs="宋体"/>
          <w:color w:val="auto"/>
          <w:szCs w:val="21"/>
          <w:highlight w:val="none"/>
          <w:u w:val="single"/>
          <w:shd w:val="clear" w:color="auto" w:fill="FFFFFF"/>
          <w:lang w:val="zh-CN" w:bidi="zh-CN"/>
        </w:rPr>
        <w:t xml:space="preserve"> 两 </w:t>
      </w:r>
      <w:r>
        <w:rPr>
          <w:rFonts w:hint="eastAsia" w:ascii="宋体" w:hAnsi="宋体" w:cs="宋体"/>
          <w:color w:val="auto"/>
          <w:szCs w:val="21"/>
          <w:highlight w:val="none"/>
          <w:shd w:val="clear" w:color="auto" w:fill="FFFFFF"/>
          <w:lang w:val="zh-CN" w:bidi="zh-CN"/>
        </w:rPr>
        <w:t>份，当正本与副本的内容不一致时，以正本为准。</w:t>
      </w:r>
    </w:p>
    <w:p w14:paraId="42A33495">
      <w:pPr>
        <w:spacing w:line="360" w:lineRule="auto"/>
        <w:rPr>
          <w:color w:val="auto"/>
          <w:szCs w:val="21"/>
          <w:highlight w:val="none"/>
        </w:rPr>
      </w:pPr>
    </w:p>
    <w:p w14:paraId="0A2510C6">
      <w:pPr>
        <w:spacing w:line="360" w:lineRule="auto"/>
        <w:rPr>
          <w:rFonts w:hint="eastAsia" w:ascii="宋体" w:hAnsi="宋体" w:cs="宋体"/>
          <w:b/>
          <w:color w:val="auto"/>
          <w:szCs w:val="21"/>
          <w:highlight w:val="none"/>
          <w:u w:val="single"/>
        </w:rPr>
      </w:pPr>
      <w:r>
        <w:rPr>
          <w:rFonts w:hint="eastAsia" w:ascii="宋体" w:hAnsi="宋体" w:cs="宋体"/>
          <w:color w:val="auto"/>
          <w:szCs w:val="21"/>
          <w:highlight w:val="none"/>
        </w:rPr>
        <w:t>发包人：</w:t>
      </w:r>
      <w:r>
        <w:rPr>
          <w:rFonts w:hint="eastAsia" w:ascii="宋体" w:hAnsi="宋体" w:cs="宋体"/>
          <w:b/>
          <w:bCs/>
          <w:color w:val="auto"/>
          <w:szCs w:val="21"/>
          <w:highlight w:val="none"/>
          <w:u w:val="single"/>
        </w:rPr>
        <w:t>陆川县横山镇人民政府</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承包人：</w:t>
      </w:r>
      <w:r>
        <w:rPr>
          <w:rFonts w:hint="eastAsia" w:cs="宋体"/>
          <w:b/>
          <w:bCs/>
          <w:color w:val="auto"/>
          <w:szCs w:val="21"/>
          <w:highlight w:val="none"/>
          <w:u w:val="single"/>
        </w:rPr>
        <w:t xml:space="preserve"> </w:t>
      </w:r>
      <w:r>
        <w:rPr>
          <w:rFonts w:cs="宋体"/>
          <w:b/>
          <w:bCs/>
          <w:color w:val="auto"/>
          <w:szCs w:val="21"/>
          <w:highlight w:val="none"/>
          <w:u w:val="single"/>
        </w:rPr>
        <w:t xml:space="preserve">                     </w:t>
      </w:r>
    </w:p>
    <w:p w14:paraId="4B012AD6">
      <w:pPr>
        <w:spacing w:line="360" w:lineRule="auto"/>
        <w:ind w:firstLine="1050"/>
        <w:rPr>
          <w:rFonts w:hint="eastAsia" w:ascii="宋体" w:hAnsi="宋体" w:cs="宋体"/>
          <w:color w:val="auto"/>
          <w:szCs w:val="21"/>
          <w:highlight w:val="none"/>
        </w:rPr>
      </w:pPr>
      <w:r>
        <w:rPr>
          <w:rFonts w:hint="eastAsia" w:ascii="宋体" w:hAnsi="宋体" w:cs="宋体"/>
          <w:color w:val="auto"/>
          <w:szCs w:val="21"/>
          <w:highlight w:val="none"/>
        </w:rPr>
        <w:t xml:space="preserve">（盖单位公章）                             </w:t>
      </w:r>
      <w:r>
        <w:rPr>
          <w:rFonts w:ascii="宋体" w:hAnsi="宋体" w:cs="宋体"/>
          <w:color w:val="auto"/>
          <w:szCs w:val="21"/>
          <w:highlight w:val="none"/>
        </w:rPr>
        <w:t xml:space="preserve">  </w:t>
      </w:r>
      <w:r>
        <w:rPr>
          <w:rFonts w:hint="eastAsia" w:ascii="宋体" w:hAnsi="宋体" w:cs="宋体"/>
          <w:color w:val="auto"/>
          <w:szCs w:val="21"/>
          <w:highlight w:val="none"/>
        </w:rPr>
        <w:t xml:space="preserve">  （盖单位公章）                                     </w:t>
      </w:r>
    </w:p>
    <w:p w14:paraId="06D5225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法定代表人                               </w:t>
      </w:r>
      <w:r>
        <w:rPr>
          <w:rFonts w:ascii="宋体" w:hAnsi="宋体" w:cs="宋体"/>
          <w:color w:val="auto"/>
          <w:szCs w:val="21"/>
          <w:highlight w:val="none"/>
        </w:rPr>
        <w:t xml:space="preserve">     </w:t>
      </w:r>
      <w:r>
        <w:rPr>
          <w:rFonts w:hint="eastAsia" w:ascii="宋体" w:hAnsi="宋体" w:cs="宋体"/>
          <w:color w:val="auto"/>
          <w:szCs w:val="21"/>
          <w:highlight w:val="none"/>
        </w:rPr>
        <w:t xml:space="preserve"> 法定代表人</w:t>
      </w:r>
    </w:p>
    <w:p w14:paraId="3993523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或其委托代理人：      （签字或签章）     </w:t>
      </w:r>
      <w:r>
        <w:rPr>
          <w:rFonts w:ascii="宋体" w:hAnsi="宋体" w:cs="宋体"/>
          <w:color w:val="auto"/>
          <w:szCs w:val="21"/>
          <w:highlight w:val="none"/>
        </w:rPr>
        <w:t xml:space="preserve">     </w:t>
      </w:r>
      <w:r>
        <w:rPr>
          <w:rFonts w:hint="eastAsia" w:ascii="宋体" w:hAnsi="宋体" w:cs="宋体"/>
          <w:color w:val="auto"/>
          <w:szCs w:val="21"/>
          <w:highlight w:val="none"/>
        </w:rPr>
        <w:t>或其委托代理人：       （签字或签章）</w:t>
      </w:r>
    </w:p>
    <w:p w14:paraId="63C54C4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r>
        <w:rPr>
          <w:rFonts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p>
    <w:p w14:paraId="230B8919">
      <w:pPr>
        <w:spacing w:line="400" w:lineRule="exact"/>
        <w:rPr>
          <w:rFonts w:ascii="宋体" w:hAnsi="宋体"/>
          <w:b/>
          <w:bCs/>
          <w:color w:val="auto"/>
          <w:sz w:val="28"/>
          <w:szCs w:val="28"/>
          <w:highlight w:val="none"/>
        </w:rPr>
      </w:pPr>
    </w:p>
    <w:p w14:paraId="7DE9B62D">
      <w:pPr>
        <w:spacing w:line="400" w:lineRule="exact"/>
        <w:rPr>
          <w:rFonts w:ascii="宋体" w:hAnsi="宋体"/>
          <w:b/>
          <w:bCs/>
          <w:color w:val="auto"/>
          <w:sz w:val="28"/>
          <w:szCs w:val="28"/>
          <w:highlight w:val="none"/>
        </w:rPr>
      </w:pPr>
    </w:p>
    <w:p w14:paraId="3039DC1E">
      <w:pPr>
        <w:spacing w:line="400" w:lineRule="exact"/>
        <w:rPr>
          <w:rFonts w:ascii="宋体" w:hAnsi="宋体"/>
          <w:b/>
          <w:bCs/>
          <w:color w:val="auto"/>
          <w:sz w:val="28"/>
          <w:szCs w:val="28"/>
          <w:highlight w:val="none"/>
        </w:rPr>
      </w:pPr>
    </w:p>
    <w:p w14:paraId="3F1E76FF">
      <w:pPr>
        <w:spacing w:line="400" w:lineRule="exact"/>
        <w:rPr>
          <w:rFonts w:ascii="宋体" w:hAnsi="宋体"/>
          <w:b/>
          <w:bCs/>
          <w:color w:val="auto"/>
          <w:sz w:val="28"/>
          <w:szCs w:val="28"/>
          <w:highlight w:val="none"/>
        </w:rPr>
      </w:pPr>
    </w:p>
    <w:p w14:paraId="249C2C72">
      <w:pPr>
        <w:spacing w:line="400" w:lineRule="exact"/>
        <w:rPr>
          <w:rFonts w:hint="eastAsia" w:ascii="宋体" w:hAnsi="宋体"/>
          <w:b/>
          <w:bCs/>
          <w:color w:val="auto"/>
          <w:sz w:val="28"/>
          <w:szCs w:val="28"/>
          <w:highlight w:val="none"/>
        </w:rPr>
      </w:pPr>
    </w:p>
    <w:p w14:paraId="0C9746FF">
      <w:pPr>
        <w:jc w:val="center"/>
        <w:rPr>
          <w:rFonts w:hint="eastAsia" w:ascii="宋体" w:hAnsi="宋体"/>
          <w:b/>
          <w:bCs/>
          <w:color w:val="auto"/>
          <w:sz w:val="28"/>
          <w:szCs w:val="28"/>
          <w:highlight w:val="none"/>
        </w:rPr>
      </w:pPr>
      <w:bookmarkStart w:id="120" w:name="_Toc5988"/>
      <w:r>
        <w:rPr>
          <w:rFonts w:hint="eastAsia"/>
          <w:b/>
          <w:bCs/>
          <w:color w:val="auto"/>
          <w:sz w:val="32"/>
          <w:szCs w:val="32"/>
          <w:highlight w:val="none"/>
        </w:rPr>
        <w:t>四、项目经理委任书</w:t>
      </w:r>
      <w:bookmarkEnd w:id="120"/>
    </w:p>
    <w:p w14:paraId="228B5FFB">
      <w:pPr>
        <w:spacing w:line="400" w:lineRule="exact"/>
        <w:rPr>
          <w:rFonts w:hint="eastAsia" w:ascii="宋体" w:hAnsi="宋体"/>
          <w:color w:val="auto"/>
          <w:szCs w:val="21"/>
          <w:highlight w:val="none"/>
        </w:rPr>
      </w:pPr>
    </w:p>
    <w:p w14:paraId="57EDF4A0">
      <w:pPr>
        <w:spacing w:line="400" w:lineRule="exact"/>
        <w:rPr>
          <w:rFonts w:hint="eastAsia" w:ascii="宋体" w:hAnsi="宋体"/>
          <w:color w:val="auto"/>
          <w:szCs w:val="21"/>
          <w:highlight w:val="none"/>
        </w:rPr>
      </w:pPr>
    </w:p>
    <w:p w14:paraId="5ECE9329">
      <w:pPr>
        <w:spacing w:line="400" w:lineRule="exact"/>
        <w:jc w:val="center"/>
        <w:rPr>
          <w:rFonts w:hint="eastAsia" w:ascii="宋体" w:hAnsi="宋体"/>
          <w:b/>
          <w:bCs/>
          <w:color w:val="auto"/>
          <w:sz w:val="24"/>
          <w:highlight w:val="none"/>
          <w:u w:val="single"/>
        </w:rPr>
      </w:pPr>
      <w:r>
        <w:rPr>
          <w:rFonts w:hint="eastAsia" w:ascii="宋体" w:hAnsi="宋体" w:cs="宋体"/>
          <w:b/>
          <w:bCs/>
          <w:color w:val="auto"/>
          <w:sz w:val="24"/>
          <w:highlight w:val="none"/>
          <w:u w:val="single"/>
        </w:rPr>
        <w:t xml:space="preserve"> </w:t>
      </w:r>
      <w:r>
        <w:rPr>
          <w:rFonts w:ascii="宋体" w:hAnsi="宋体" w:cs="宋体"/>
          <w:b/>
          <w:bCs/>
          <w:color w:val="auto"/>
          <w:sz w:val="24"/>
          <w:highlight w:val="none"/>
          <w:u w:val="single"/>
        </w:rPr>
        <w:t xml:space="preserve">             </w:t>
      </w:r>
      <w:r>
        <w:rPr>
          <w:rFonts w:hint="eastAsia" w:ascii="宋体" w:hAnsi="宋体"/>
          <w:b/>
          <w:bCs/>
          <w:color w:val="auto"/>
          <w:sz w:val="24"/>
          <w:highlight w:val="none"/>
          <w:u w:val="single"/>
        </w:rPr>
        <w:t>（承</w:t>
      </w:r>
      <w:bookmarkStart w:id="121" w:name="_Toc454373058"/>
      <w:bookmarkStart w:id="122" w:name="_Toc454792236"/>
      <w:bookmarkStart w:id="123" w:name="_Toc234382949"/>
      <w:r>
        <w:rPr>
          <w:rFonts w:hint="eastAsia" w:ascii="宋体" w:hAnsi="宋体"/>
          <w:b/>
          <w:bCs/>
          <w:color w:val="auto"/>
          <w:sz w:val="24"/>
          <w:highlight w:val="none"/>
          <w:u w:val="single"/>
        </w:rPr>
        <w:t>包人全称）</w:t>
      </w:r>
    </w:p>
    <w:p w14:paraId="35F08175">
      <w:pPr>
        <w:spacing w:line="400" w:lineRule="exact"/>
        <w:jc w:val="center"/>
        <w:rPr>
          <w:rFonts w:hint="eastAsia" w:ascii="宋体" w:hAnsi="宋体"/>
          <w:color w:val="auto"/>
          <w:sz w:val="24"/>
          <w:highlight w:val="none"/>
          <w:u w:val="single"/>
        </w:rPr>
      </w:pPr>
    </w:p>
    <w:p w14:paraId="66A33F1E">
      <w:pPr>
        <w:spacing w:line="400" w:lineRule="exact"/>
        <w:jc w:val="center"/>
        <w:rPr>
          <w:rFonts w:hint="eastAsia" w:ascii="宋体" w:hAnsi="宋体"/>
          <w:color w:val="auto"/>
          <w:sz w:val="24"/>
          <w:highlight w:val="none"/>
          <w:u w:val="single"/>
        </w:rPr>
      </w:pPr>
      <w:r>
        <w:rPr>
          <w:rFonts w:hint="eastAsia" w:ascii="宋体" w:hAnsi="宋体"/>
          <w:b/>
          <w:bCs/>
          <w:color w:val="auto"/>
          <w:sz w:val="24"/>
          <w:highlight w:val="none"/>
          <w:u w:val="single"/>
        </w:rPr>
        <w:t xml:space="preserve">  </w:t>
      </w:r>
      <w:r>
        <w:rPr>
          <w:rFonts w:ascii="宋体" w:hAnsi="宋体"/>
          <w:b/>
          <w:bCs/>
          <w:color w:val="auto"/>
          <w:sz w:val="24"/>
          <w:highlight w:val="none"/>
          <w:u w:val="single"/>
        </w:rPr>
        <w:t xml:space="preserve">             </w:t>
      </w:r>
      <w:r>
        <w:rPr>
          <w:rFonts w:hint="eastAsia" w:ascii="宋体" w:hAnsi="宋体"/>
          <w:color w:val="auto"/>
          <w:sz w:val="24"/>
          <w:highlight w:val="none"/>
          <w:u w:val="single"/>
        </w:rPr>
        <w:t>（合同工程名称</w:t>
      </w:r>
      <w:bookmarkEnd w:id="121"/>
      <w:bookmarkEnd w:id="122"/>
      <w:bookmarkEnd w:id="123"/>
      <w:r>
        <w:rPr>
          <w:rFonts w:hint="eastAsia" w:ascii="宋体" w:hAnsi="宋体"/>
          <w:color w:val="auto"/>
          <w:sz w:val="24"/>
          <w:highlight w:val="none"/>
          <w:u w:val="single"/>
        </w:rPr>
        <w:t>）项目经理委任书</w:t>
      </w:r>
    </w:p>
    <w:p w14:paraId="1FB94508">
      <w:pPr>
        <w:spacing w:line="400" w:lineRule="exact"/>
        <w:rPr>
          <w:rFonts w:hint="eastAsia" w:ascii="宋体" w:hAnsi="宋体"/>
          <w:color w:val="auto"/>
          <w:sz w:val="24"/>
          <w:highlight w:val="none"/>
        </w:rPr>
      </w:pPr>
    </w:p>
    <w:p w14:paraId="219A034C">
      <w:pPr>
        <w:spacing w:line="400" w:lineRule="exact"/>
        <w:rPr>
          <w:rFonts w:hint="eastAsia" w:ascii="宋体" w:hAnsi="宋体"/>
          <w:color w:val="auto"/>
          <w:sz w:val="24"/>
          <w:highlight w:val="none"/>
        </w:rPr>
      </w:pPr>
    </w:p>
    <w:p w14:paraId="2C7D47B6">
      <w:pPr>
        <w:spacing w:line="600" w:lineRule="exact"/>
        <w:rPr>
          <w:rFonts w:hint="eastAsia" w:ascii="宋体" w:hAnsi="宋体"/>
          <w:color w:val="auto"/>
          <w:sz w:val="24"/>
          <w:highlight w:val="none"/>
        </w:rPr>
      </w:pPr>
      <w:r>
        <w:rPr>
          <w:rFonts w:hint="eastAsia" w:ascii="宋体" w:hAnsi="宋体"/>
          <w:color w:val="auto"/>
          <w:sz w:val="24"/>
          <w:highlight w:val="none"/>
        </w:rPr>
        <w:t>致：</w:t>
      </w:r>
      <w:r>
        <w:rPr>
          <w:rFonts w:hint="eastAsia" w:ascii="宋体" w:hAnsi="宋体"/>
          <w:b/>
          <w:bCs/>
          <w:color w:val="auto"/>
          <w:sz w:val="24"/>
          <w:highlight w:val="none"/>
          <w:u w:val="single"/>
        </w:rPr>
        <w:t>陆川县横山镇人民政府</w:t>
      </w:r>
      <w:r>
        <w:rPr>
          <w:rFonts w:hint="eastAsia" w:ascii="宋体" w:hAnsi="宋体"/>
          <w:color w:val="auto"/>
          <w:sz w:val="24"/>
          <w:highlight w:val="none"/>
          <w:u w:val="single"/>
        </w:rPr>
        <w:t>（发包人全称</w:t>
      </w:r>
      <w:r>
        <w:rPr>
          <w:rFonts w:hint="eastAsia" w:ascii="宋体" w:hAnsi="宋体"/>
          <w:color w:val="auto"/>
          <w:sz w:val="24"/>
          <w:highlight w:val="none"/>
        </w:rPr>
        <w:t>）</w:t>
      </w:r>
    </w:p>
    <w:p w14:paraId="5D34E76F">
      <w:pPr>
        <w:spacing w:line="600" w:lineRule="exact"/>
        <w:ind w:left="210" w:firstLine="480"/>
        <w:rPr>
          <w:rFonts w:hint="eastAsia" w:ascii="宋体" w:hAnsi="宋体"/>
          <w:color w:val="auto"/>
          <w:sz w:val="24"/>
          <w:highlight w:val="none"/>
        </w:rPr>
      </w:pPr>
      <w:r>
        <w:rPr>
          <w:rFonts w:hint="eastAsia" w:ascii="宋体" w:hAnsi="宋体"/>
          <w:color w:val="auto"/>
          <w:sz w:val="24"/>
          <w:highlight w:val="none"/>
          <w:u w:val="single"/>
        </w:rPr>
        <w:t>（承包人全称）</w:t>
      </w:r>
      <w:r>
        <w:rPr>
          <w:rFonts w:hint="eastAsia" w:ascii="宋体" w:hAnsi="宋体"/>
          <w:color w:val="auto"/>
          <w:sz w:val="24"/>
          <w:highlight w:val="none"/>
        </w:rPr>
        <w:t xml:space="preserve"> 法定代表人</w:t>
      </w:r>
      <w:r>
        <w:rPr>
          <w:rFonts w:hint="eastAsia" w:ascii="宋体" w:hAnsi="宋体"/>
          <w:color w:val="auto"/>
          <w:sz w:val="24"/>
          <w:highlight w:val="none"/>
          <w:u w:val="single"/>
        </w:rPr>
        <w:t xml:space="preserve"> </w:t>
      </w:r>
      <w:r>
        <w:rPr>
          <w:rFonts w:hint="eastAsia"/>
          <w:b/>
          <w:bCs/>
          <w:color w:val="auto"/>
          <w:spacing w:val="4"/>
          <w:sz w:val="24"/>
          <w:highlight w:val="none"/>
          <w:u w:val="single"/>
        </w:rPr>
        <w:t xml:space="preserve"> </w:t>
      </w:r>
      <w:r>
        <w:rPr>
          <w:b/>
          <w:bCs/>
          <w:color w:val="auto"/>
          <w:spacing w:val="4"/>
          <w:sz w:val="24"/>
          <w:highlight w:val="none"/>
          <w:u w:val="single"/>
        </w:rPr>
        <w:t xml:space="preserve">        </w:t>
      </w:r>
      <w:r>
        <w:rPr>
          <w:rFonts w:hint="eastAsia" w:ascii="宋体" w:hAnsi="宋体"/>
          <w:color w:val="auto"/>
          <w:sz w:val="24"/>
          <w:highlight w:val="none"/>
          <w:u w:val="single"/>
        </w:rPr>
        <w:t>（职务、姓名）</w:t>
      </w:r>
      <w:r>
        <w:rPr>
          <w:rFonts w:hint="eastAsia" w:ascii="宋体" w:hAnsi="宋体"/>
          <w:color w:val="auto"/>
          <w:sz w:val="24"/>
          <w:highlight w:val="none"/>
        </w:rPr>
        <w:t xml:space="preserve"> 代表本单位委任</w:t>
      </w:r>
      <w:r>
        <w:rPr>
          <w:rFonts w:hint="eastAsia" w:ascii="宋体" w:hAnsi="宋体"/>
          <w:color w:val="auto"/>
          <w:sz w:val="24"/>
          <w:highlight w:val="none"/>
          <w:u w:val="single"/>
        </w:rPr>
        <w:t xml:space="preserve"> </w:t>
      </w:r>
      <w:r>
        <w:rPr>
          <w:rFonts w:hint="eastAsia" w:ascii="宋体" w:hAnsi="宋体"/>
          <w:b/>
          <w:bCs/>
          <w:color w:val="auto"/>
          <w:sz w:val="24"/>
          <w:highlight w:val="none"/>
          <w:u w:val="single"/>
        </w:rPr>
        <w:t xml:space="preserve"> </w:t>
      </w:r>
      <w:r>
        <w:rPr>
          <w:rFonts w:ascii="宋体" w:hAnsi="宋体"/>
          <w:b/>
          <w:bCs/>
          <w:color w:val="auto"/>
          <w:sz w:val="24"/>
          <w:highlight w:val="none"/>
          <w:u w:val="single"/>
        </w:rPr>
        <w:t xml:space="preserve">  </w:t>
      </w:r>
      <w:r>
        <w:rPr>
          <w:rFonts w:hint="eastAsia" w:ascii="宋体" w:hAnsi="宋体"/>
          <w:color w:val="auto"/>
          <w:sz w:val="24"/>
          <w:highlight w:val="none"/>
          <w:u w:val="single"/>
        </w:rPr>
        <w:t>（职务、姓名）</w:t>
      </w:r>
      <w:r>
        <w:rPr>
          <w:rFonts w:hint="eastAsia" w:ascii="宋体" w:hAnsi="宋体"/>
          <w:color w:val="auto"/>
          <w:sz w:val="24"/>
          <w:highlight w:val="none"/>
        </w:rPr>
        <w:t xml:space="preserve"> 为</w:t>
      </w:r>
      <w:r>
        <w:rPr>
          <w:rFonts w:hint="eastAsia" w:ascii="宋体" w:hAnsi="宋体"/>
          <w:b/>
          <w:bCs/>
          <w:color w:val="auto"/>
          <w:sz w:val="24"/>
          <w:highlight w:val="none"/>
          <w:u w:val="single"/>
        </w:rPr>
        <w:t xml:space="preserve"> </w:t>
      </w:r>
      <w:r>
        <w:rPr>
          <w:rFonts w:ascii="宋体" w:hAnsi="宋体"/>
          <w:b/>
          <w:bCs/>
          <w:color w:val="auto"/>
          <w:sz w:val="24"/>
          <w:highlight w:val="none"/>
          <w:u w:val="single"/>
        </w:rPr>
        <w:t xml:space="preserve">         </w:t>
      </w:r>
      <w:r>
        <w:rPr>
          <w:rFonts w:hint="eastAsia" w:ascii="宋体" w:hAnsi="宋体"/>
          <w:color w:val="auto"/>
          <w:sz w:val="24"/>
          <w:highlight w:val="none"/>
          <w:u w:val="single"/>
        </w:rPr>
        <w:t>（合同工程名称）</w:t>
      </w:r>
      <w:r>
        <w:rPr>
          <w:rFonts w:hint="eastAsia" w:ascii="宋体" w:hAnsi="宋体"/>
          <w:color w:val="auto"/>
          <w:sz w:val="24"/>
          <w:highlight w:val="none"/>
        </w:rPr>
        <w:t>的项目经理。凡本合同执行中的有关技术、工程进度、现场管理、质量检验、结算与支付等方面工作，由</w:t>
      </w:r>
      <w:r>
        <w:rPr>
          <w:rFonts w:hint="eastAsia" w:ascii="宋体" w:hAnsi="宋体"/>
          <w:color w:val="auto"/>
          <w:sz w:val="24"/>
          <w:highlight w:val="none"/>
          <w:u w:val="single"/>
        </w:rPr>
        <w:t xml:space="preserve"> </w:t>
      </w:r>
      <w:r>
        <w:rPr>
          <w:rFonts w:hint="eastAsia" w:ascii="宋体" w:hAnsi="宋体"/>
          <w:b/>
          <w:bCs/>
          <w:color w:val="auto"/>
          <w:sz w:val="24"/>
          <w:highlight w:val="none"/>
          <w:u w:val="single"/>
        </w:rPr>
        <w:t xml:space="preserve"> </w:t>
      </w:r>
      <w:r>
        <w:rPr>
          <w:rFonts w:ascii="宋体" w:hAnsi="宋体"/>
          <w:b/>
          <w:bCs/>
          <w:color w:val="auto"/>
          <w:sz w:val="24"/>
          <w:highlight w:val="none"/>
          <w:u w:val="single"/>
        </w:rPr>
        <w:t xml:space="preserve">    </w:t>
      </w:r>
      <w:r>
        <w:rPr>
          <w:rFonts w:hint="eastAsia" w:ascii="宋体" w:hAnsi="宋体"/>
          <w:color w:val="auto"/>
          <w:sz w:val="24"/>
          <w:highlight w:val="none"/>
          <w:u w:val="single"/>
        </w:rPr>
        <w:t xml:space="preserve">（姓名） </w:t>
      </w:r>
      <w:r>
        <w:rPr>
          <w:rFonts w:hint="eastAsia" w:ascii="宋体" w:hAnsi="宋体"/>
          <w:color w:val="auto"/>
          <w:sz w:val="24"/>
          <w:highlight w:val="none"/>
        </w:rPr>
        <w:t>代表本单位全面负责。</w:t>
      </w:r>
    </w:p>
    <w:p w14:paraId="519F70C1">
      <w:pPr>
        <w:spacing w:line="360" w:lineRule="auto"/>
        <w:rPr>
          <w:rFonts w:hint="eastAsia" w:ascii="宋体" w:hAnsi="宋体"/>
          <w:color w:val="auto"/>
          <w:sz w:val="24"/>
          <w:highlight w:val="none"/>
        </w:rPr>
      </w:pPr>
    </w:p>
    <w:p w14:paraId="6CB57760">
      <w:pPr>
        <w:spacing w:line="360" w:lineRule="auto"/>
        <w:rPr>
          <w:rFonts w:hint="eastAsia" w:ascii="宋体" w:hAnsi="宋体"/>
          <w:color w:val="auto"/>
          <w:sz w:val="24"/>
          <w:highlight w:val="none"/>
        </w:rPr>
      </w:pPr>
    </w:p>
    <w:p w14:paraId="08B180DC">
      <w:pPr>
        <w:spacing w:line="360" w:lineRule="auto"/>
        <w:jc w:val="right"/>
        <w:rPr>
          <w:rFonts w:hint="eastAsia" w:ascii="宋体" w:hAnsi="宋体"/>
          <w:color w:val="auto"/>
          <w:sz w:val="24"/>
          <w:highlight w:val="none"/>
        </w:rPr>
      </w:pPr>
      <w:r>
        <w:rPr>
          <w:rFonts w:hint="eastAsia" w:ascii="宋体" w:hAnsi="宋体"/>
          <w:color w:val="auto"/>
          <w:sz w:val="24"/>
          <w:highlight w:val="none"/>
        </w:rPr>
        <w:t>承包人：</w:t>
      </w:r>
      <w:r>
        <w:rPr>
          <w:rFonts w:hint="eastAsia" w:ascii="宋体" w:hAnsi="宋体" w:cs="宋体"/>
          <w:b/>
          <w:bCs/>
          <w:color w:val="auto"/>
          <w:sz w:val="24"/>
          <w:highlight w:val="none"/>
          <w:u w:val="single"/>
        </w:rPr>
        <w:t xml:space="preserve"> </w:t>
      </w:r>
      <w:r>
        <w:rPr>
          <w:rFonts w:ascii="宋体" w:hAnsi="宋体" w:cs="宋体"/>
          <w:b/>
          <w:bCs/>
          <w:color w:val="auto"/>
          <w:sz w:val="24"/>
          <w:highlight w:val="none"/>
          <w:u w:val="single"/>
        </w:rPr>
        <w:t xml:space="preserve">             </w:t>
      </w:r>
      <w:r>
        <w:rPr>
          <w:rFonts w:hint="eastAsia" w:ascii="宋体" w:hAnsi="宋体"/>
          <w:color w:val="auto"/>
          <w:sz w:val="24"/>
          <w:highlight w:val="none"/>
        </w:rPr>
        <w:t>（盖单位章）</w:t>
      </w:r>
    </w:p>
    <w:p w14:paraId="1CA92974">
      <w:pPr>
        <w:spacing w:line="360" w:lineRule="auto"/>
        <w:jc w:val="right"/>
        <w:rPr>
          <w:rFonts w:hint="eastAsia" w:ascii="宋体" w:hAnsi="宋体"/>
          <w:color w:val="auto"/>
          <w:sz w:val="24"/>
          <w:highlight w:val="none"/>
          <w:u w:val="single"/>
        </w:rPr>
      </w:pPr>
      <w:r>
        <w:rPr>
          <w:rFonts w:hint="eastAsia" w:ascii="宋体" w:hAnsi="宋体"/>
          <w:color w:val="auto"/>
          <w:sz w:val="24"/>
          <w:highlight w:val="none"/>
        </w:rPr>
        <w:t>法定代表人：</w:t>
      </w:r>
      <w:r>
        <w:rPr>
          <w:rFonts w:hint="eastAsia"/>
          <w:b/>
          <w:bCs/>
          <w:color w:val="auto"/>
          <w:spacing w:val="4"/>
          <w:sz w:val="24"/>
          <w:highlight w:val="none"/>
          <w:u w:val="single"/>
        </w:rPr>
        <w:t xml:space="preserve"> </w:t>
      </w:r>
      <w:r>
        <w:rPr>
          <w:b/>
          <w:bCs/>
          <w:color w:val="auto"/>
          <w:spacing w:val="4"/>
          <w:sz w:val="24"/>
          <w:highlight w:val="none"/>
          <w:u w:val="single"/>
        </w:rPr>
        <w:t xml:space="preserve">         </w:t>
      </w:r>
      <w:r>
        <w:rPr>
          <w:rFonts w:hint="eastAsia" w:ascii="宋体" w:hAnsi="宋体"/>
          <w:color w:val="auto"/>
          <w:sz w:val="24"/>
          <w:highlight w:val="none"/>
          <w:u w:val="single"/>
        </w:rPr>
        <w:t xml:space="preserve">（职务） </w:t>
      </w:r>
    </w:p>
    <w:p w14:paraId="20A7FD17">
      <w:pPr>
        <w:spacing w:line="360" w:lineRule="auto"/>
        <w:ind w:firstLine="82"/>
        <w:jc w:val="right"/>
        <w:rPr>
          <w:rFonts w:hint="eastAsia" w:ascii="宋体" w:hAnsi="宋体"/>
          <w:color w:val="auto"/>
          <w:sz w:val="24"/>
          <w:highlight w:val="none"/>
          <w:u w:val="single"/>
        </w:rPr>
      </w:pPr>
      <w:r>
        <w:rPr>
          <w:rFonts w:hint="eastAsia"/>
          <w:b/>
          <w:bCs/>
          <w:color w:val="auto"/>
          <w:spacing w:val="-115"/>
          <w:sz w:val="24"/>
          <w:highlight w:val="none"/>
          <w:u w:val="single"/>
        </w:rPr>
        <w:t xml:space="preserve"> </w:t>
      </w:r>
      <w:r>
        <w:rPr>
          <w:b/>
          <w:bCs/>
          <w:color w:val="auto"/>
          <w:spacing w:val="-115"/>
          <w:sz w:val="24"/>
          <w:highlight w:val="none"/>
          <w:u w:val="single"/>
        </w:rPr>
        <w:t xml:space="preserve">  </w:t>
      </w:r>
      <w:r>
        <w:rPr>
          <w:b/>
          <w:bCs/>
          <w:color w:val="auto"/>
          <w:spacing w:val="4"/>
          <w:sz w:val="24"/>
          <w:highlight w:val="none"/>
          <w:u w:val="single"/>
        </w:rPr>
        <w:t xml:space="preserve">          </w:t>
      </w:r>
      <w:r>
        <w:rPr>
          <w:rFonts w:hint="eastAsia" w:ascii="宋体" w:hAnsi="宋体"/>
          <w:color w:val="auto"/>
          <w:sz w:val="24"/>
          <w:highlight w:val="none"/>
          <w:u w:val="single"/>
        </w:rPr>
        <w:t xml:space="preserve">（姓名） </w:t>
      </w:r>
    </w:p>
    <w:p w14:paraId="67A52CCD">
      <w:pPr>
        <w:spacing w:line="360" w:lineRule="auto"/>
        <w:ind w:firstLine="1800"/>
        <w:jc w:val="right"/>
        <w:rPr>
          <w:rFonts w:hint="eastAsia" w:ascii="宋体" w:hAnsi="宋体"/>
          <w:color w:val="auto"/>
          <w:sz w:val="24"/>
          <w:highlight w:val="none"/>
          <w:u w:val="single"/>
        </w:rPr>
      </w:pPr>
      <w:r>
        <w:rPr>
          <w:rFonts w:hint="eastAsia" w:ascii="宋体" w:hAnsi="宋体"/>
          <w:color w:val="auto"/>
          <w:sz w:val="24"/>
          <w:highlight w:val="none"/>
          <w:u w:val="single"/>
        </w:rPr>
        <w:t xml:space="preserve">          （签字） </w:t>
      </w:r>
    </w:p>
    <w:p w14:paraId="46B49F52">
      <w:pPr>
        <w:spacing w:line="360" w:lineRule="auto"/>
        <w:rPr>
          <w:rFonts w:hint="eastAsia" w:ascii="宋体" w:hAnsi="宋体"/>
          <w:color w:val="auto"/>
          <w:sz w:val="24"/>
          <w:highlight w:val="none"/>
        </w:rPr>
      </w:pPr>
    </w:p>
    <w:p w14:paraId="1A50E761">
      <w:pPr>
        <w:spacing w:line="360" w:lineRule="auto"/>
        <w:jc w:val="right"/>
        <w:rPr>
          <w:rFonts w:hint="eastAsia" w:ascii="宋体" w:hAnsi="宋体"/>
          <w:color w:val="auto"/>
          <w:sz w:val="24"/>
          <w:highlight w:val="none"/>
        </w:rPr>
      </w:pP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日</w:t>
      </w:r>
    </w:p>
    <w:p w14:paraId="2CC93EDE">
      <w:pPr>
        <w:spacing w:line="360" w:lineRule="auto"/>
        <w:rPr>
          <w:rFonts w:hint="eastAsia" w:ascii="宋体" w:hAnsi="宋体"/>
          <w:color w:val="auto"/>
          <w:sz w:val="24"/>
          <w:highlight w:val="none"/>
        </w:rPr>
      </w:pPr>
    </w:p>
    <w:p w14:paraId="3F7DA131">
      <w:pPr>
        <w:spacing w:line="360" w:lineRule="auto"/>
        <w:rPr>
          <w:rFonts w:hint="eastAsia" w:ascii="宋体" w:hAnsi="宋体"/>
          <w:color w:val="auto"/>
          <w:szCs w:val="21"/>
          <w:highlight w:val="none"/>
        </w:rPr>
      </w:pPr>
    </w:p>
    <w:p w14:paraId="519DA6C6">
      <w:pPr>
        <w:rPr>
          <w:rFonts w:hint="eastAsia" w:ascii="宋体" w:hAnsi="宋体"/>
          <w:color w:val="auto"/>
          <w:szCs w:val="21"/>
          <w:highlight w:val="none"/>
        </w:rPr>
      </w:pPr>
    </w:p>
    <w:p w14:paraId="2813C8D5">
      <w:pPr>
        <w:spacing w:before="156" w:after="156" w:line="400" w:lineRule="exact"/>
        <w:rPr>
          <w:rFonts w:hint="eastAsia" w:ascii="宋体" w:hAnsi="宋体"/>
          <w:color w:val="auto"/>
          <w:szCs w:val="21"/>
          <w:highlight w:val="none"/>
        </w:rPr>
      </w:pPr>
    </w:p>
    <w:p w14:paraId="1A0C511F">
      <w:pPr>
        <w:rPr>
          <w:rFonts w:hint="eastAsia" w:ascii="宋体" w:hAnsi="宋体"/>
          <w:color w:val="auto"/>
          <w:szCs w:val="21"/>
          <w:highlight w:val="none"/>
        </w:rPr>
      </w:pPr>
    </w:p>
    <w:p w14:paraId="6590DF83">
      <w:pPr>
        <w:rPr>
          <w:rFonts w:hint="eastAsia" w:ascii="宋体" w:hAnsi="宋体"/>
          <w:color w:val="auto"/>
          <w:szCs w:val="21"/>
          <w:highlight w:val="none"/>
        </w:rPr>
      </w:pPr>
    </w:p>
    <w:p w14:paraId="01DB88D9">
      <w:pPr>
        <w:rPr>
          <w:rFonts w:hint="eastAsia" w:ascii="宋体" w:hAnsi="宋体"/>
          <w:color w:val="auto"/>
          <w:szCs w:val="21"/>
          <w:highlight w:val="none"/>
        </w:rPr>
      </w:pPr>
    </w:p>
    <w:p w14:paraId="5E1DA1A8">
      <w:pPr>
        <w:rPr>
          <w:rFonts w:hint="eastAsia" w:ascii="宋体" w:hAnsi="宋体"/>
          <w:color w:val="auto"/>
          <w:szCs w:val="21"/>
          <w:highlight w:val="none"/>
        </w:rPr>
      </w:pPr>
    </w:p>
    <w:p w14:paraId="31CF860C">
      <w:pPr>
        <w:rPr>
          <w:rFonts w:hint="eastAsia" w:ascii="宋体" w:hAnsi="宋体"/>
          <w:color w:val="auto"/>
          <w:szCs w:val="21"/>
          <w:highlight w:val="none"/>
        </w:rPr>
      </w:pPr>
    </w:p>
    <w:p w14:paraId="015646F1">
      <w:pPr>
        <w:rPr>
          <w:rFonts w:hint="eastAsia" w:ascii="宋体" w:hAnsi="宋体"/>
          <w:color w:val="auto"/>
          <w:szCs w:val="21"/>
          <w:highlight w:val="none"/>
        </w:rPr>
      </w:pPr>
    </w:p>
    <w:p w14:paraId="65EC3116">
      <w:pPr>
        <w:spacing w:line="360" w:lineRule="auto"/>
        <w:rPr>
          <w:color w:val="auto"/>
          <w:highlight w:val="none"/>
        </w:rPr>
      </w:pPr>
    </w:p>
    <w:p w14:paraId="31241946">
      <w:pPr>
        <w:spacing w:line="360" w:lineRule="auto"/>
        <w:jc w:val="center"/>
        <w:rPr>
          <w:b/>
          <w:bCs/>
          <w:color w:val="auto"/>
          <w:sz w:val="32"/>
          <w:szCs w:val="32"/>
          <w:highlight w:val="none"/>
        </w:rPr>
      </w:pPr>
      <w:r>
        <w:rPr>
          <w:rFonts w:hint="eastAsia"/>
          <w:b/>
          <w:bCs/>
          <w:color w:val="auto"/>
          <w:sz w:val="32"/>
          <w:szCs w:val="32"/>
          <w:highlight w:val="none"/>
        </w:rPr>
        <w:t>五、履约担保格式</w:t>
      </w:r>
    </w:p>
    <w:p w14:paraId="50EA502B">
      <w:pPr>
        <w:spacing w:line="360" w:lineRule="auto"/>
        <w:jc w:val="center"/>
        <w:rPr>
          <w:b/>
          <w:bCs/>
          <w:color w:val="auto"/>
          <w:sz w:val="32"/>
          <w:szCs w:val="32"/>
          <w:highlight w:val="none"/>
        </w:rPr>
      </w:pPr>
    </w:p>
    <w:p w14:paraId="4812753C">
      <w:pPr>
        <w:spacing w:line="360" w:lineRule="auto"/>
        <w:jc w:val="center"/>
        <w:rPr>
          <w:b/>
          <w:bCs/>
          <w:color w:val="auto"/>
          <w:sz w:val="32"/>
          <w:szCs w:val="32"/>
          <w:highlight w:val="none"/>
        </w:rPr>
      </w:pPr>
      <w:r>
        <w:rPr>
          <w:rFonts w:hint="eastAsia"/>
          <w:b/>
          <w:bCs/>
          <w:color w:val="auto"/>
          <w:sz w:val="32"/>
          <w:szCs w:val="32"/>
          <w:highlight w:val="none"/>
        </w:rPr>
        <w:t>履约担保</w:t>
      </w:r>
    </w:p>
    <w:p w14:paraId="0728630E">
      <w:pPr>
        <w:spacing w:line="360" w:lineRule="auto"/>
        <w:rPr>
          <w:color w:val="auto"/>
          <w:highlight w:val="none"/>
        </w:rPr>
      </w:pPr>
    </w:p>
    <w:p w14:paraId="336CC4E9">
      <w:pPr>
        <w:spacing w:line="360" w:lineRule="auto"/>
        <w:ind w:firstLine="210"/>
        <w:rPr>
          <w:color w:val="auto"/>
          <w:sz w:val="24"/>
          <w:highlight w:val="none"/>
        </w:rPr>
      </w:pPr>
      <w:r>
        <w:rPr>
          <w:rFonts w:hint="eastAsia"/>
          <w:color w:val="auto"/>
          <w:highlight w:val="none"/>
        </w:rPr>
        <w:t>（发包人名称）：</w:t>
      </w:r>
    </w:p>
    <w:p w14:paraId="6ECAFAA7">
      <w:pPr>
        <w:spacing w:line="360" w:lineRule="auto"/>
        <w:rPr>
          <w:color w:val="auto"/>
          <w:highlight w:val="none"/>
        </w:rPr>
      </w:pPr>
    </w:p>
    <w:p w14:paraId="7BFEDAF7">
      <w:pPr>
        <w:spacing w:line="360" w:lineRule="auto"/>
        <w:ind w:firstLine="480"/>
        <w:rPr>
          <w:rFonts w:hint="eastAsia" w:ascii="宋体" w:hAnsi="宋体"/>
          <w:color w:val="auto"/>
          <w:highlight w:val="none"/>
        </w:rPr>
      </w:pPr>
      <w:r>
        <w:rPr>
          <w:rFonts w:hint="eastAsia" w:ascii="宋体" w:hAnsi="宋体"/>
          <w:color w:val="auto"/>
          <w:highlight w:val="none"/>
        </w:rPr>
        <w:t>鉴于</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（发包人名称，以下简称“发包人”）接受（承包人名称，以下简称“承包人”）于</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日参加</w:t>
      </w:r>
      <w:r>
        <w:rPr>
          <w:rFonts w:ascii="宋体" w:hAnsi="宋体"/>
          <w:color w:val="auto"/>
          <w:highlight w:val="none"/>
          <w:u w:val="single"/>
        </w:rPr>
        <w:t xml:space="preserve">                </w:t>
      </w:r>
      <w:r>
        <w:rPr>
          <w:rFonts w:hint="eastAsia" w:ascii="宋体" w:hAnsi="宋体"/>
          <w:color w:val="auto"/>
          <w:highlight w:val="none"/>
        </w:rPr>
        <w:t>（项目名称）</w:t>
      </w:r>
      <w:r>
        <w:rPr>
          <w:rFonts w:ascii="宋体" w:hAnsi="宋体"/>
          <w:color w:val="auto"/>
          <w:highlight w:val="none"/>
          <w:u w:val="single"/>
        </w:rPr>
        <w:t xml:space="preserve">           </w:t>
      </w:r>
      <w:r>
        <w:rPr>
          <w:rFonts w:hint="eastAsia" w:ascii="宋体" w:hAnsi="宋体"/>
          <w:color w:val="auto"/>
          <w:highlight w:val="none"/>
        </w:rPr>
        <w:t>标段施工的磋商。我方愿意无条件地、不可撤销地就承包人履行与你方订立的合同，向你方提供担保。</w:t>
      </w:r>
    </w:p>
    <w:p w14:paraId="7B233122">
      <w:pPr>
        <w:spacing w:line="360" w:lineRule="auto"/>
        <w:ind w:firstLine="480"/>
        <w:rPr>
          <w:rFonts w:hint="eastAsia" w:ascii="宋体" w:hAnsi="宋体"/>
          <w:color w:val="auto"/>
          <w:highlight w:val="none"/>
        </w:rPr>
      </w:pPr>
      <w:r>
        <w:rPr>
          <w:rFonts w:hint="eastAsia" w:ascii="宋体" w:hAnsi="宋体"/>
          <w:color w:val="auto"/>
          <w:highlight w:val="none"/>
        </w:rPr>
        <w:t>1.担保金额人民币（大写）</w:t>
      </w:r>
      <w:r>
        <w:rPr>
          <w:rFonts w:ascii="宋体" w:hAnsi="宋体"/>
          <w:color w:val="auto"/>
          <w:highlight w:val="none"/>
          <w:u w:val="single"/>
        </w:rPr>
        <w:t xml:space="preserve">               </w:t>
      </w:r>
      <w:r>
        <w:rPr>
          <w:rFonts w:hint="eastAsia" w:ascii="宋体" w:hAnsi="宋体"/>
          <w:color w:val="auto"/>
          <w:highlight w:val="none"/>
        </w:rPr>
        <w:t>元（￥</w:t>
      </w:r>
      <w:r>
        <w:rPr>
          <w:rFonts w:ascii="宋体" w:hAnsi="宋体"/>
          <w:color w:val="auto"/>
          <w:highlight w:val="none"/>
          <w:u w:val="single"/>
        </w:rPr>
        <w:t xml:space="preserve">                  </w:t>
      </w:r>
      <w:r>
        <w:rPr>
          <w:rFonts w:hint="eastAsia" w:ascii="宋体" w:hAnsi="宋体"/>
          <w:color w:val="auto"/>
          <w:highlight w:val="none"/>
        </w:rPr>
        <w:t>）。</w:t>
      </w:r>
    </w:p>
    <w:p w14:paraId="1020EBDA">
      <w:pPr>
        <w:spacing w:line="360" w:lineRule="auto"/>
        <w:ind w:firstLine="480"/>
        <w:rPr>
          <w:rFonts w:hint="eastAsia" w:ascii="宋体" w:hAnsi="宋体"/>
          <w:color w:val="auto"/>
          <w:highlight w:val="none"/>
        </w:rPr>
      </w:pPr>
      <w:r>
        <w:rPr>
          <w:rFonts w:hint="eastAsia" w:ascii="宋体" w:hAnsi="宋体"/>
          <w:color w:val="auto"/>
          <w:highlight w:val="none"/>
        </w:rPr>
        <w:t>2.担保有效期自发包人与承包人签订的合同生效之日起至发包人签发交工验收证书且承包人按照合同约定缴纳质量保证金之日止。</w:t>
      </w:r>
      <w:r>
        <w:rPr>
          <w:rFonts w:ascii="宋体" w:hAnsi="宋体"/>
          <w:color w:val="auto"/>
          <w:highlight w:val="none"/>
          <w:vertAlign w:val="superscript"/>
        </w:rPr>
        <w:footnoteReference w:id="0"/>
      </w:r>
    </w:p>
    <w:p w14:paraId="5A04BF78">
      <w:pPr>
        <w:spacing w:line="360" w:lineRule="auto"/>
        <w:ind w:firstLine="480"/>
        <w:rPr>
          <w:rFonts w:hint="eastAsia" w:ascii="宋体" w:hAnsi="宋体"/>
          <w:color w:val="auto"/>
          <w:highlight w:val="none"/>
        </w:rPr>
      </w:pPr>
      <w:r>
        <w:rPr>
          <w:rFonts w:hint="eastAsia" w:ascii="宋体" w:hAnsi="宋体"/>
          <w:color w:val="auto"/>
          <w:highlight w:val="none"/>
        </w:rPr>
        <w:t>3.在本担保有效期内，因承包人违反合同约定的义务给你方造成经济损失时， 我方在收到你方以书面形式提出的在担保金额内的赔偿要求后，在 7 日内无条件支付，无须你方出具证明或陈述理由。</w:t>
      </w:r>
    </w:p>
    <w:p w14:paraId="03323E0E">
      <w:pPr>
        <w:spacing w:line="360" w:lineRule="auto"/>
        <w:ind w:firstLine="480"/>
        <w:rPr>
          <w:rFonts w:hint="eastAsia" w:ascii="宋体" w:hAnsi="宋体"/>
          <w:color w:val="auto"/>
          <w:highlight w:val="none"/>
        </w:rPr>
      </w:pPr>
      <w:r>
        <w:rPr>
          <w:rFonts w:hint="eastAsia" w:ascii="宋体" w:hAnsi="宋体"/>
          <w:color w:val="auto"/>
          <w:highlight w:val="none"/>
        </w:rPr>
        <w:t>4.发包人和承包人按合同条款第 15 条变更合同时，无论我方是否收到该变更， 我方承担本担保规定的义务不变。</w:t>
      </w:r>
    </w:p>
    <w:p w14:paraId="3983624C">
      <w:pPr>
        <w:spacing w:line="360" w:lineRule="auto"/>
        <w:rPr>
          <w:color w:val="auto"/>
          <w:highlight w:val="none"/>
        </w:rPr>
      </w:pPr>
    </w:p>
    <w:p w14:paraId="005ED4D5">
      <w:pPr>
        <w:spacing w:line="360" w:lineRule="auto"/>
        <w:ind w:left="2940"/>
        <w:rPr>
          <w:color w:val="auto"/>
          <w:highlight w:val="none"/>
        </w:rPr>
      </w:pPr>
      <w:r>
        <w:rPr>
          <w:rFonts w:hint="eastAsia"/>
          <w:color w:val="auto"/>
          <w:highlight w:val="none"/>
        </w:rPr>
        <w:t>担保人名称：</w:t>
      </w:r>
      <w:r>
        <w:rPr>
          <w:rFonts w:hint="eastAsia"/>
          <w:color w:val="auto"/>
          <w:highlight w:val="none"/>
        </w:rPr>
        <w:tab/>
      </w:r>
      <w:r>
        <w:rPr>
          <w:rFonts w:hint="eastAsia"/>
          <w:color w:val="auto"/>
          <w:highlight w:val="none"/>
        </w:rPr>
        <w:t>（盖单位章）</w:t>
      </w:r>
    </w:p>
    <w:p w14:paraId="5117A3FA">
      <w:pPr>
        <w:spacing w:line="360" w:lineRule="auto"/>
        <w:ind w:left="2940"/>
        <w:rPr>
          <w:color w:val="auto"/>
          <w:highlight w:val="none"/>
        </w:rPr>
      </w:pPr>
      <w:r>
        <w:rPr>
          <w:rFonts w:hint="eastAsia"/>
          <w:color w:val="auto"/>
          <w:highlight w:val="none"/>
        </w:rPr>
        <w:t>法定代表人或其委托代理人：</w:t>
      </w:r>
      <w:r>
        <w:rPr>
          <w:rFonts w:hint="eastAsia"/>
          <w:color w:val="auto"/>
          <w:highlight w:val="none"/>
          <w:u w:val="single"/>
        </w:rPr>
        <w:t xml:space="preserve">         （</w:t>
      </w:r>
      <w:r>
        <w:rPr>
          <w:rFonts w:hint="eastAsia"/>
          <w:color w:val="auto"/>
          <w:highlight w:val="none"/>
        </w:rPr>
        <w:t>签字）</w:t>
      </w:r>
    </w:p>
    <w:p w14:paraId="12FA9B4C">
      <w:pPr>
        <w:spacing w:line="360" w:lineRule="auto"/>
        <w:ind w:left="2940"/>
        <w:rPr>
          <w:color w:val="auto"/>
          <w:highlight w:val="none"/>
        </w:rPr>
      </w:pPr>
      <w:r>
        <w:rPr>
          <w:rFonts w:hint="eastAsia"/>
          <w:color w:val="auto"/>
          <w:highlight w:val="none"/>
        </w:rPr>
        <w:t>地   址 ：</w:t>
      </w:r>
      <w:r>
        <w:rPr>
          <w:rFonts w:hint="eastAsia"/>
          <w:color w:val="auto"/>
          <w:highlight w:val="none"/>
        </w:rPr>
        <w:tab/>
      </w:r>
      <w:r>
        <w:rPr>
          <w:rFonts w:hint="eastAsia"/>
          <w:color w:val="auto"/>
          <w:highlight w:val="none"/>
        </w:rPr>
        <w:tab/>
      </w:r>
    </w:p>
    <w:p w14:paraId="33245C92">
      <w:pPr>
        <w:spacing w:line="360" w:lineRule="auto"/>
        <w:ind w:left="2940"/>
        <w:rPr>
          <w:color w:val="auto"/>
          <w:highlight w:val="none"/>
          <w:u w:val="single"/>
        </w:rPr>
      </w:pPr>
      <w:r>
        <w:rPr>
          <w:rFonts w:hint="eastAsia"/>
          <w:color w:val="auto"/>
          <w:highlight w:val="none"/>
        </w:rPr>
        <w:t>邮政编码：</w:t>
      </w:r>
    </w:p>
    <w:p w14:paraId="15001C17">
      <w:pPr>
        <w:spacing w:line="360" w:lineRule="auto"/>
        <w:ind w:left="2940"/>
        <w:rPr>
          <w:color w:val="auto"/>
          <w:highlight w:val="none"/>
        </w:rPr>
      </w:pPr>
      <w:r>
        <w:rPr>
          <w:rFonts w:hint="eastAsia"/>
          <w:color w:val="auto"/>
          <w:highlight w:val="none"/>
        </w:rPr>
        <w:t>电   话：</w:t>
      </w:r>
    </w:p>
    <w:p w14:paraId="40426A09">
      <w:pPr>
        <w:spacing w:line="360" w:lineRule="auto"/>
        <w:ind w:left="2940"/>
        <w:rPr>
          <w:color w:val="auto"/>
          <w:highlight w:val="none"/>
        </w:rPr>
      </w:pPr>
      <w:r>
        <w:rPr>
          <w:rFonts w:hint="eastAsia"/>
          <w:color w:val="auto"/>
          <w:highlight w:val="none"/>
        </w:rPr>
        <w:t xml:space="preserve">传   真： </w:t>
      </w:r>
      <w:r>
        <w:rPr>
          <w:rFonts w:hint="eastAsia"/>
          <w:color w:val="auto"/>
          <w:highlight w:val="none"/>
        </w:rPr>
        <w:tab/>
      </w:r>
      <w:r>
        <w:rPr>
          <w:rFonts w:hint="eastAsia"/>
          <w:color w:val="auto"/>
          <w:highlight w:val="none"/>
        </w:rPr>
        <w:tab/>
      </w:r>
    </w:p>
    <w:p w14:paraId="4EEAA047">
      <w:pPr>
        <w:spacing w:line="360" w:lineRule="auto"/>
        <w:ind w:firstLine="3570"/>
        <w:rPr>
          <w:color w:val="auto"/>
          <w:highlight w:val="none"/>
        </w:rPr>
      </w:pPr>
      <w:r>
        <w:rPr>
          <w:rFonts w:hint="eastAsia"/>
          <w:color w:val="auto"/>
          <w:highlight w:val="none"/>
        </w:rPr>
        <w:t>年   月</w:t>
      </w:r>
      <w:r>
        <w:rPr>
          <w:color w:val="auto"/>
          <w:highlight w:val="none"/>
        </w:rPr>
        <w:t xml:space="preserve">   </w:t>
      </w:r>
      <w:r>
        <w:rPr>
          <w:rFonts w:hint="eastAsia"/>
          <w:color w:val="auto"/>
          <w:highlight w:val="none"/>
        </w:rPr>
        <w:t>日</w:t>
      </w:r>
    </w:p>
    <w:p w14:paraId="1A13A8CD">
      <w:pPr>
        <w:spacing w:line="360" w:lineRule="auto"/>
        <w:rPr>
          <w:color w:val="auto"/>
          <w:highlight w:val="none"/>
        </w:rPr>
      </w:pPr>
    </w:p>
    <w:p w14:paraId="7F3F6E40">
      <w:pPr>
        <w:spacing w:line="360" w:lineRule="auto"/>
        <w:rPr>
          <w:color w:val="auto"/>
          <w:highlight w:val="none"/>
        </w:rPr>
      </w:pPr>
    </w:p>
    <w:p w14:paraId="3F758CC7">
      <w:pPr>
        <w:spacing w:line="360" w:lineRule="auto"/>
        <w:rPr>
          <w:color w:val="auto"/>
          <w:highlight w:val="none"/>
        </w:rPr>
      </w:pPr>
    </w:p>
    <w:p w14:paraId="1BA68E21">
      <w:pPr>
        <w:spacing w:line="360" w:lineRule="auto"/>
        <w:rPr>
          <w:color w:val="auto"/>
          <w:highlight w:val="none"/>
        </w:rPr>
      </w:pPr>
    </w:p>
    <w:p w14:paraId="5FA747AD">
      <w:pPr>
        <w:spacing w:line="360" w:lineRule="auto"/>
        <w:rPr>
          <w:color w:val="auto"/>
          <w:highlight w:val="none"/>
        </w:rPr>
      </w:pPr>
    </w:p>
    <w:p w14:paraId="2F75A0D3">
      <w:pPr>
        <w:spacing w:line="360" w:lineRule="auto"/>
        <w:rPr>
          <w:color w:val="auto"/>
          <w:highlight w:val="none"/>
        </w:rPr>
      </w:pPr>
    </w:p>
    <w:p w14:paraId="4EA7847C">
      <w:pPr>
        <w:spacing w:line="360" w:lineRule="auto"/>
        <w:rPr>
          <w:color w:val="auto"/>
          <w:highlight w:val="none"/>
        </w:rPr>
      </w:pPr>
    </w:p>
    <w:p w14:paraId="0B926DFB">
      <w:pPr>
        <w:tabs>
          <w:tab w:val="left" w:pos="801"/>
        </w:tabs>
        <w:spacing w:line="400" w:lineRule="exact"/>
        <w:jc w:val="center"/>
        <w:rPr>
          <w:rFonts w:hint="eastAsia" w:ascii="宋体" w:hAnsi="宋体" w:cs="宋体"/>
          <w:b/>
          <w:bCs/>
          <w:color w:val="auto"/>
          <w:sz w:val="36"/>
          <w:szCs w:val="36"/>
          <w:highlight w:val="none"/>
          <w:lang w:val="zh-CN" w:bidi="zh-CN"/>
        </w:rPr>
      </w:pPr>
      <w:r>
        <w:rPr>
          <w:rFonts w:hint="eastAsia" w:ascii="宋体" w:hAnsi="宋体" w:cs="宋体"/>
          <w:b/>
          <w:bCs/>
          <w:color w:val="auto"/>
          <w:sz w:val="36"/>
          <w:szCs w:val="36"/>
          <w:highlight w:val="none"/>
          <w:lang w:val="zh-CN" w:bidi="zh-CN"/>
        </w:rPr>
        <w:t xml:space="preserve">第二部分 </w:t>
      </w:r>
      <w:r>
        <w:rPr>
          <w:rFonts w:ascii="宋体" w:hAnsi="宋体" w:cs="宋体"/>
          <w:b/>
          <w:bCs/>
          <w:color w:val="auto"/>
          <w:sz w:val="36"/>
          <w:szCs w:val="36"/>
          <w:highlight w:val="none"/>
          <w:lang w:val="zh-CN" w:bidi="zh-CN"/>
        </w:rPr>
        <w:t xml:space="preserve"> </w:t>
      </w:r>
      <w:r>
        <w:rPr>
          <w:rFonts w:hint="eastAsia" w:ascii="宋体" w:hAnsi="宋体" w:cs="宋体"/>
          <w:b/>
          <w:bCs/>
          <w:color w:val="auto"/>
          <w:sz w:val="36"/>
          <w:szCs w:val="36"/>
          <w:highlight w:val="none"/>
          <w:lang w:val="zh-CN" w:bidi="zh-CN"/>
        </w:rPr>
        <w:t>通用合同条款和专用合同条款</w:t>
      </w:r>
    </w:p>
    <w:p w14:paraId="0B91DD00">
      <w:pPr>
        <w:tabs>
          <w:tab w:val="left" w:pos="801"/>
        </w:tabs>
        <w:spacing w:line="400" w:lineRule="exact"/>
        <w:ind w:firstLine="602"/>
        <w:rPr>
          <w:rFonts w:hint="eastAsia" w:ascii="宋体" w:hAnsi="宋体" w:cs="宋体"/>
          <w:b/>
          <w:bCs/>
          <w:color w:val="auto"/>
          <w:sz w:val="30"/>
          <w:szCs w:val="30"/>
          <w:highlight w:val="none"/>
          <w:lang w:val="zh-CN" w:bidi="zh-CN"/>
        </w:rPr>
      </w:pPr>
    </w:p>
    <w:p w14:paraId="75D7FFEB">
      <w:pPr>
        <w:tabs>
          <w:tab w:val="left" w:pos="801"/>
        </w:tabs>
        <w:spacing w:line="400" w:lineRule="exact"/>
        <w:ind w:firstLine="602"/>
        <w:jc w:val="center"/>
        <w:rPr>
          <w:rFonts w:hint="eastAsia" w:ascii="宋体" w:hAnsi="宋体" w:cs="宋体"/>
          <w:color w:val="auto"/>
          <w:szCs w:val="20"/>
          <w:highlight w:val="none"/>
          <w:lang w:val="zh-CN" w:bidi="zh-CN"/>
        </w:rPr>
      </w:pPr>
      <w:r>
        <w:rPr>
          <w:rFonts w:hint="eastAsia" w:ascii="宋体" w:hAnsi="宋体" w:cs="宋体"/>
          <w:b/>
          <w:bCs/>
          <w:color w:val="auto"/>
          <w:sz w:val="30"/>
          <w:szCs w:val="30"/>
          <w:highlight w:val="none"/>
          <w:lang w:val="zh-CN" w:bidi="zh-CN"/>
        </w:rPr>
        <w:t>第一节 通用合同条款</w:t>
      </w:r>
    </w:p>
    <w:p w14:paraId="7A81E00A">
      <w:pPr>
        <w:tabs>
          <w:tab w:val="left" w:pos="801"/>
        </w:tabs>
        <w:spacing w:line="400" w:lineRule="exact"/>
        <w:ind w:firstLine="420"/>
        <w:rPr>
          <w:rFonts w:hint="eastAsia" w:ascii="宋体" w:hAnsi="宋体" w:cs="宋体"/>
          <w:color w:val="auto"/>
          <w:szCs w:val="20"/>
          <w:highlight w:val="none"/>
          <w:lang w:val="zh-CN" w:bidi="zh-CN"/>
        </w:rPr>
      </w:pPr>
      <w:r>
        <w:rPr>
          <w:rFonts w:hint="eastAsia" w:ascii="宋体" w:hAnsi="宋体" w:cs="宋体"/>
          <w:color w:val="auto"/>
          <w:szCs w:val="20"/>
          <w:highlight w:val="none"/>
          <w:lang w:val="zh-CN" w:bidi="zh-CN"/>
        </w:rPr>
        <w:t>“通用合同条款”采用中华人民共和国交通运输部《公路工程标准施工招标文件》（2018 年版）的“通用合同条款”</w:t>
      </w:r>
    </w:p>
    <w:p w14:paraId="637CE1A2">
      <w:pPr>
        <w:tabs>
          <w:tab w:val="left" w:pos="801"/>
        </w:tabs>
        <w:spacing w:line="400" w:lineRule="exact"/>
        <w:ind w:firstLine="420"/>
        <w:rPr>
          <w:rFonts w:hint="eastAsia" w:ascii="宋体" w:hAnsi="宋体" w:cs="宋体"/>
          <w:color w:val="auto"/>
          <w:szCs w:val="20"/>
          <w:highlight w:val="none"/>
          <w:lang w:val="zh-CN" w:bidi="zh-CN"/>
        </w:rPr>
      </w:pPr>
    </w:p>
    <w:p w14:paraId="48E8E363">
      <w:pPr>
        <w:tabs>
          <w:tab w:val="left" w:pos="801"/>
        </w:tabs>
        <w:spacing w:line="400" w:lineRule="exact"/>
        <w:ind w:firstLine="602"/>
        <w:jc w:val="center"/>
        <w:rPr>
          <w:rFonts w:hint="eastAsia" w:ascii="宋体" w:hAnsi="宋体" w:cs="宋体"/>
          <w:color w:val="auto"/>
          <w:szCs w:val="20"/>
          <w:highlight w:val="none"/>
          <w:lang w:val="zh-CN" w:bidi="zh-CN"/>
        </w:rPr>
      </w:pPr>
      <w:r>
        <w:rPr>
          <w:rFonts w:hint="eastAsia" w:ascii="宋体" w:hAnsi="宋体" w:cs="宋体"/>
          <w:b/>
          <w:bCs/>
          <w:color w:val="auto"/>
          <w:sz w:val="30"/>
          <w:szCs w:val="30"/>
          <w:highlight w:val="none"/>
          <w:lang w:val="zh-CN" w:bidi="zh-CN"/>
        </w:rPr>
        <w:t>第二节 专用合同条款</w:t>
      </w:r>
    </w:p>
    <w:p w14:paraId="29681725">
      <w:pPr>
        <w:tabs>
          <w:tab w:val="left" w:pos="801"/>
        </w:tabs>
        <w:spacing w:line="400" w:lineRule="exact"/>
        <w:jc w:val="center"/>
        <w:rPr>
          <w:rFonts w:hint="eastAsia" w:ascii="宋体" w:hAnsi="宋体" w:cs="宋体"/>
          <w:b/>
          <w:bCs/>
          <w:color w:val="auto"/>
          <w:sz w:val="30"/>
          <w:szCs w:val="30"/>
          <w:highlight w:val="none"/>
          <w:lang w:val="zh-CN" w:bidi="zh-CN"/>
        </w:rPr>
      </w:pPr>
      <w:r>
        <w:rPr>
          <w:rFonts w:hint="eastAsia" w:ascii="宋体" w:hAnsi="宋体" w:cs="宋体"/>
          <w:b/>
          <w:bCs/>
          <w:color w:val="auto"/>
          <w:sz w:val="30"/>
          <w:szCs w:val="30"/>
          <w:highlight w:val="none"/>
          <w:lang w:val="zh-CN" w:bidi="zh-CN"/>
        </w:rPr>
        <w:t>A. 公路工程专用合同条款</w:t>
      </w:r>
    </w:p>
    <w:p w14:paraId="194CB98A">
      <w:pPr>
        <w:keepNext/>
        <w:keepLines/>
        <w:spacing w:line="400" w:lineRule="exact"/>
        <w:outlineLvl w:val="2"/>
        <w:rPr>
          <w:b/>
          <w:bCs/>
          <w:color w:val="auto"/>
          <w:sz w:val="32"/>
          <w:szCs w:val="32"/>
          <w:highlight w:val="none"/>
        </w:rPr>
      </w:pPr>
      <w:bookmarkStart w:id="124" w:name="_Toc233964174"/>
      <w:bookmarkStart w:id="125" w:name="_Toc122424210"/>
      <w:bookmarkStart w:id="126" w:name="_Toc122424459"/>
      <w:bookmarkStart w:id="127" w:name="_Toc11744"/>
      <w:r>
        <w:rPr>
          <w:rFonts w:hint="eastAsia"/>
          <w:b/>
          <w:bCs/>
          <w:color w:val="auto"/>
          <w:sz w:val="32"/>
          <w:szCs w:val="32"/>
          <w:highlight w:val="none"/>
        </w:rPr>
        <w:t>1.一般约定</w:t>
      </w:r>
      <w:bookmarkEnd w:id="124"/>
      <w:bookmarkEnd w:id="125"/>
      <w:bookmarkEnd w:id="126"/>
      <w:bookmarkEnd w:id="127"/>
    </w:p>
    <w:p w14:paraId="2F76A778">
      <w:pPr>
        <w:keepNext/>
        <w:keepLines/>
        <w:spacing w:line="400" w:lineRule="exact"/>
        <w:outlineLvl w:val="3"/>
        <w:rPr>
          <w:rFonts w:ascii="Arial" w:hAnsi="Arial"/>
          <w:b/>
          <w:bCs/>
          <w:color w:val="auto"/>
          <w:sz w:val="28"/>
          <w:szCs w:val="28"/>
          <w:highlight w:val="none"/>
        </w:rPr>
      </w:pPr>
      <w:bookmarkStart w:id="128" w:name="_Toc32051"/>
      <w:r>
        <w:rPr>
          <w:rFonts w:hint="eastAsia" w:ascii="Arial" w:hAnsi="Arial"/>
          <w:b/>
          <w:bCs/>
          <w:color w:val="auto"/>
          <w:sz w:val="28"/>
          <w:szCs w:val="28"/>
          <w:highlight w:val="none"/>
        </w:rPr>
        <w:t>1.1词语定义</w:t>
      </w:r>
      <w:bookmarkEnd w:id="128"/>
    </w:p>
    <w:p w14:paraId="7603733E">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1.1.1 合同</w:t>
      </w:r>
    </w:p>
    <w:p w14:paraId="7D690AC1">
      <w:pPr>
        <w:spacing w:line="400" w:lineRule="exact"/>
        <w:ind w:firstLine="480"/>
        <w:rPr>
          <w:color w:val="auto"/>
          <w:highlight w:val="none"/>
        </w:rPr>
      </w:pPr>
      <w:r>
        <w:rPr>
          <w:rFonts w:hint="eastAsia"/>
          <w:color w:val="auto"/>
          <w:highlight w:val="none"/>
        </w:rPr>
        <w:t>第 1.1.1.6 目细化为：</w:t>
      </w:r>
    </w:p>
    <w:p w14:paraId="41CE8A6B">
      <w:pPr>
        <w:spacing w:line="400" w:lineRule="exact"/>
        <w:ind w:firstLine="480"/>
        <w:rPr>
          <w:color w:val="auto"/>
          <w:highlight w:val="none"/>
        </w:rPr>
      </w:pPr>
      <w:r>
        <w:rPr>
          <w:rFonts w:hint="eastAsia"/>
          <w:color w:val="auto"/>
          <w:highlight w:val="none"/>
        </w:rPr>
        <w:t>技术规范：指本合同所约定的技术标准和要求，是合同文件的组成部分。通用合同条款中“技术标准和要求”一词具有相同含义。</w:t>
      </w:r>
    </w:p>
    <w:p w14:paraId="2BA111E6">
      <w:pPr>
        <w:spacing w:line="400" w:lineRule="exact"/>
        <w:ind w:firstLine="480"/>
        <w:rPr>
          <w:color w:val="auto"/>
          <w:highlight w:val="none"/>
        </w:rPr>
      </w:pPr>
      <w:r>
        <w:rPr>
          <w:rFonts w:hint="eastAsia"/>
          <w:color w:val="auto"/>
          <w:highlight w:val="none"/>
        </w:rPr>
        <w:t>第 1.1.1.8 目细化为：</w:t>
      </w:r>
    </w:p>
    <w:p w14:paraId="5D387507">
      <w:pPr>
        <w:spacing w:line="400" w:lineRule="exact"/>
        <w:ind w:firstLine="480"/>
        <w:rPr>
          <w:color w:val="auto"/>
          <w:highlight w:val="none"/>
        </w:rPr>
      </w:pPr>
      <w:r>
        <w:rPr>
          <w:rFonts w:hint="eastAsia"/>
          <w:color w:val="auto"/>
          <w:highlight w:val="none"/>
        </w:rPr>
        <w:t>已标价工程量清单：指构成合同文件组成部分的已标明价格、经算术性错误修正及其他错误修正（如有）且承包人已确认的最终的工程量清单，包括工程量清单说明、报价说明、计日工说明、其他说明及工程量清单各项表格（工程量清单表 5.1～表 5.5）。</w:t>
      </w:r>
    </w:p>
    <w:p w14:paraId="59EE6A87">
      <w:pPr>
        <w:spacing w:line="400" w:lineRule="exact"/>
        <w:ind w:firstLine="480"/>
        <w:rPr>
          <w:color w:val="auto"/>
          <w:highlight w:val="none"/>
        </w:rPr>
      </w:pPr>
      <w:r>
        <w:rPr>
          <w:rFonts w:hint="eastAsia"/>
          <w:color w:val="auto"/>
          <w:highlight w:val="none"/>
        </w:rPr>
        <w:t>本项补充第 1.1.1.10 目：</w:t>
      </w:r>
    </w:p>
    <w:p w14:paraId="2A79A6D8">
      <w:pPr>
        <w:spacing w:line="400" w:lineRule="exact"/>
        <w:ind w:firstLine="480"/>
        <w:rPr>
          <w:color w:val="auto"/>
          <w:highlight w:val="none"/>
        </w:rPr>
      </w:pPr>
      <w:r>
        <w:rPr>
          <w:rFonts w:hint="eastAsia"/>
          <w:color w:val="auto"/>
          <w:highlight w:val="none"/>
        </w:rPr>
        <w:t>1.1.1.10 补遗书：指发出磋商文件之后由采购人向已取得磋商文件的承包人发出的、编号的对磋商文件所作的澄清、修改书。</w:t>
      </w:r>
    </w:p>
    <w:p w14:paraId="1802723B">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1.1.2合同当事人和人员</w:t>
      </w:r>
    </w:p>
    <w:p w14:paraId="30E4F908">
      <w:pPr>
        <w:spacing w:line="400" w:lineRule="exact"/>
        <w:ind w:firstLine="480"/>
        <w:rPr>
          <w:color w:val="auto"/>
          <w:highlight w:val="none"/>
        </w:rPr>
      </w:pPr>
      <w:r>
        <w:rPr>
          <w:rFonts w:hint="eastAsia"/>
          <w:color w:val="auto"/>
          <w:highlight w:val="none"/>
        </w:rPr>
        <w:t>本项补充第 1.1.2.8 目：</w:t>
      </w:r>
    </w:p>
    <w:p w14:paraId="5B327934">
      <w:pPr>
        <w:spacing w:line="400" w:lineRule="exact"/>
        <w:ind w:firstLine="480"/>
        <w:rPr>
          <w:color w:val="auto"/>
          <w:highlight w:val="none"/>
        </w:rPr>
      </w:pPr>
      <w:r>
        <w:rPr>
          <w:rFonts w:hint="eastAsia"/>
          <w:color w:val="auto"/>
          <w:highlight w:val="none"/>
        </w:rPr>
        <w:t>1.1.2.8 承包人项目总工：指由承包人书面委派常驻现场负责管理本合同工程的总工程师或技术总负责人。</w:t>
      </w:r>
    </w:p>
    <w:p w14:paraId="3A609CCD">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1.1.3工程和设备</w:t>
      </w:r>
    </w:p>
    <w:p w14:paraId="276C474E">
      <w:pPr>
        <w:spacing w:line="400" w:lineRule="exact"/>
        <w:ind w:firstLine="480"/>
        <w:rPr>
          <w:color w:val="auto"/>
          <w:highlight w:val="none"/>
        </w:rPr>
      </w:pPr>
      <w:r>
        <w:rPr>
          <w:rFonts w:hint="eastAsia"/>
          <w:color w:val="auto"/>
          <w:highlight w:val="none"/>
        </w:rPr>
        <w:t>第 1.1.3.4 目细化为：</w:t>
      </w:r>
    </w:p>
    <w:p w14:paraId="7FF84536">
      <w:pPr>
        <w:spacing w:line="400" w:lineRule="exact"/>
        <w:ind w:firstLine="480"/>
        <w:rPr>
          <w:color w:val="auto"/>
          <w:highlight w:val="none"/>
        </w:rPr>
      </w:pPr>
      <w:r>
        <w:rPr>
          <w:rFonts w:hint="eastAsia"/>
          <w:color w:val="auto"/>
          <w:highlight w:val="none"/>
        </w:rPr>
        <w:t>单位工程：指在建设项目中，根据签订的合同，具有独立施工条件的工程。第 1.1.3.10 目细化为：</w:t>
      </w:r>
    </w:p>
    <w:p w14:paraId="72842C90">
      <w:pPr>
        <w:spacing w:line="400" w:lineRule="exact"/>
        <w:ind w:firstLine="480"/>
        <w:rPr>
          <w:color w:val="auto"/>
          <w:highlight w:val="none"/>
        </w:rPr>
      </w:pPr>
      <w:r>
        <w:rPr>
          <w:rFonts w:hint="eastAsia"/>
          <w:color w:val="auto"/>
          <w:highlight w:val="none"/>
        </w:rPr>
        <w:t>永久占地：指为实施本合同工程而需要的一切永久占用的土地，包括公路两侧路权范围内的用地。</w:t>
      </w:r>
    </w:p>
    <w:p w14:paraId="53AE8B92">
      <w:pPr>
        <w:spacing w:line="400" w:lineRule="exact"/>
        <w:ind w:firstLine="480"/>
        <w:rPr>
          <w:color w:val="auto"/>
          <w:highlight w:val="none"/>
        </w:rPr>
      </w:pPr>
      <w:r>
        <w:rPr>
          <w:rFonts w:hint="eastAsia"/>
          <w:color w:val="auto"/>
          <w:highlight w:val="none"/>
        </w:rPr>
        <w:t>第 1.1.3.11 目细化为：</w:t>
      </w:r>
    </w:p>
    <w:p w14:paraId="6A2D323C">
      <w:pPr>
        <w:spacing w:line="400" w:lineRule="exact"/>
        <w:ind w:firstLine="480"/>
        <w:rPr>
          <w:color w:val="auto"/>
          <w:highlight w:val="none"/>
        </w:rPr>
      </w:pPr>
      <w:r>
        <w:rPr>
          <w:rFonts w:hint="eastAsia"/>
          <w:color w:val="auto"/>
          <w:highlight w:val="none"/>
        </w:rPr>
        <w:t>临时占地：指为实施本合同工程而需要的一切临时占用的土地，包括施工所用的临时支线、便道、便桥和现场的临时出入通道，以及生产（办公）、生活等临时设施用地等。</w:t>
      </w:r>
    </w:p>
    <w:p w14:paraId="62ED0B99">
      <w:pPr>
        <w:spacing w:line="400" w:lineRule="exact"/>
        <w:ind w:firstLine="480"/>
        <w:rPr>
          <w:color w:val="auto"/>
          <w:highlight w:val="none"/>
        </w:rPr>
      </w:pPr>
      <w:r>
        <w:rPr>
          <w:rFonts w:hint="eastAsia"/>
          <w:color w:val="auto"/>
          <w:highlight w:val="none"/>
        </w:rPr>
        <w:t>本项补充第 1.1.3.12 目、第 1.1.3.13 目：</w:t>
      </w:r>
    </w:p>
    <w:p w14:paraId="3AE2EAB0">
      <w:pPr>
        <w:spacing w:line="400" w:lineRule="exact"/>
        <w:ind w:firstLine="480"/>
        <w:rPr>
          <w:color w:val="auto"/>
          <w:highlight w:val="none"/>
        </w:rPr>
      </w:pPr>
      <w:r>
        <w:rPr>
          <w:rFonts w:hint="eastAsia"/>
          <w:color w:val="auto"/>
          <w:highlight w:val="none"/>
        </w:rPr>
        <w:t>1.1.3.12分部工程：指在单位工程中，按结构部位、路段长度及施工特点或施工任务划分的若干个工程。</w:t>
      </w:r>
    </w:p>
    <w:p w14:paraId="2E523050">
      <w:pPr>
        <w:spacing w:line="400" w:lineRule="exact"/>
        <w:ind w:firstLine="480"/>
        <w:rPr>
          <w:color w:val="auto"/>
          <w:highlight w:val="none"/>
        </w:rPr>
      </w:pPr>
      <w:r>
        <w:rPr>
          <w:rFonts w:hint="eastAsia"/>
          <w:color w:val="auto"/>
          <w:highlight w:val="none"/>
        </w:rPr>
        <w:t>1.1.3.13分项工程：指在分部工程中，按不同的施工方法、材料、工序及路段长度等划分的若干个工程。</w:t>
      </w:r>
    </w:p>
    <w:p w14:paraId="221446C1">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1.1.6 其他</w:t>
      </w:r>
    </w:p>
    <w:p w14:paraId="7EEB1DD8">
      <w:pPr>
        <w:spacing w:line="400" w:lineRule="exact"/>
        <w:ind w:firstLine="480"/>
        <w:rPr>
          <w:color w:val="auto"/>
          <w:highlight w:val="none"/>
        </w:rPr>
      </w:pPr>
      <w:r>
        <w:rPr>
          <w:rFonts w:hint="eastAsia"/>
          <w:color w:val="auto"/>
          <w:highlight w:val="none"/>
        </w:rPr>
        <w:t>本项补充第 1.1.6.2 目～第 1.1.6.9 目：</w:t>
      </w:r>
    </w:p>
    <w:p w14:paraId="1CE4EF77">
      <w:pPr>
        <w:spacing w:line="400" w:lineRule="exact"/>
        <w:ind w:firstLine="480"/>
        <w:rPr>
          <w:color w:val="auto"/>
          <w:highlight w:val="none"/>
        </w:rPr>
      </w:pPr>
      <w:r>
        <w:rPr>
          <w:rFonts w:hint="eastAsia"/>
          <w:color w:val="auto"/>
          <w:highlight w:val="none"/>
        </w:rPr>
        <w:t>1.1.6.2竣工验收：指《公路工程竣（交）工验收办法》中的竣工验收。通用合同条款中“国家验收”一词具有相同含义。</w:t>
      </w:r>
    </w:p>
    <w:p w14:paraId="15C375C9">
      <w:pPr>
        <w:spacing w:line="400" w:lineRule="exact"/>
        <w:ind w:firstLine="480"/>
        <w:rPr>
          <w:color w:val="auto"/>
          <w:highlight w:val="none"/>
        </w:rPr>
      </w:pPr>
      <w:r>
        <w:rPr>
          <w:rFonts w:hint="eastAsia"/>
          <w:color w:val="auto"/>
          <w:highlight w:val="none"/>
        </w:rPr>
        <w:t>1.1.6.3交工：指《公路工程竣（交）工验收办法》中的交工。通用合同条款中“竣工”一词具有相同含义。</w:t>
      </w:r>
    </w:p>
    <w:p w14:paraId="068A536D">
      <w:pPr>
        <w:spacing w:line="400" w:lineRule="exact"/>
        <w:ind w:firstLine="480"/>
        <w:rPr>
          <w:color w:val="auto"/>
          <w:highlight w:val="none"/>
        </w:rPr>
      </w:pPr>
      <w:r>
        <w:rPr>
          <w:rFonts w:hint="eastAsia"/>
          <w:color w:val="auto"/>
          <w:highlight w:val="none"/>
        </w:rPr>
        <w:t>1.1.6.4交工验收：指《公路工程竣（交）工验收办法》中的交工验收。通用合同条款中“竣工验收”一词具有相同含义。</w:t>
      </w:r>
    </w:p>
    <w:p w14:paraId="03AF20F1">
      <w:pPr>
        <w:spacing w:line="400" w:lineRule="exact"/>
        <w:ind w:firstLine="480"/>
        <w:rPr>
          <w:color w:val="auto"/>
          <w:highlight w:val="none"/>
        </w:rPr>
      </w:pPr>
      <w:r>
        <w:rPr>
          <w:rFonts w:hint="eastAsia"/>
          <w:color w:val="auto"/>
          <w:highlight w:val="none"/>
        </w:rPr>
        <w:t>1.1.6.5交工验收证书：指《公路工程竣（交）工验收办法》中的交工验收证书。通用合同条款中“工程接收证书”一词具有相同含义。</w:t>
      </w:r>
    </w:p>
    <w:p w14:paraId="708F74B2">
      <w:pPr>
        <w:spacing w:line="400" w:lineRule="exact"/>
        <w:ind w:firstLine="480"/>
        <w:rPr>
          <w:color w:val="auto"/>
          <w:highlight w:val="none"/>
        </w:rPr>
      </w:pPr>
      <w:r>
        <w:rPr>
          <w:rFonts w:hint="eastAsia"/>
          <w:color w:val="auto"/>
          <w:highlight w:val="none"/>
        </w:rPr>
        <w:t>1.1.6.6转包：指承包人违反法律和不履行合同规定的责任和义务，将工程全部委托或以专业分包的名义将工程肢解后全部委托给其他施工企业施工的行为。</w:t>
      </w:r>
    </w:p>
    <w:p w14:paraId="4A7CC4E1">
      <w:pPr>
        <w:spacing w:line="400" w:lineRule="exact"/>
        <w:ind w:firstLine="480"/>
        <w:rPr>
          <w:color w:val="auto"/>
          <w:highlight w:val="none"/>
        </w:rPr>
      </w:pPr>
      <w:r>
        <w:rPr>
          <w:rFonts w:hint="eastAsia"/>
          <w:color w:val="auto"/>
          <w:highlight w:val="none"/>
        </w:rPr>
        <w:t>1.1.6.7专业分包：指承包人与具有相应资格的施工企业签订专业分包合同， 由分包人承担承包人委托的分部工程、分项工程或适合专业化队伍施工的其他工程， 整体结算，并能独立控制工程质量、施工进度、材料采购、生产安全的施工行为。</w:t>
      </w:r>
    </w:p>
    <w:p w14:paraId="2F99BB17">
      <w:pPr>
        <w:spacing w:line="400" w:lineRule="exact"/>
        <w:ind w:firstLine="480"/>
        <w:rPr>
          <w:color w:val="auto"/>
          <w:highlight w:val="none"/>
        </w:rPr>
      </w:pPr>
      <w:r>
        <w:rPr>
          <w:rFonts w:hint="eastAsia"/>
          <w:color w:val="auto"/>
          <w:highlight w:val="none"/>
        </w:rPr>
        <w:t>1.1.6.8劳务分包：指承包人与具有施工劳务资质的劳务企业签订劳务分包合同，由劳务企业提供劳务人员及机具，由承包人统一组织施工、统一控制工程质量、施工进度、材料采购、生产安全的施工行为。</w:t>
      </w:r>
    </w:p>
    <w:p w14:paraId="37AB228B">
      <w:pPr>
        <w:spacing w:line="400" w:lineRule="exact"/>
        <w:ind w:firstLine="480"/>
        <w:rPr>
          <w:color w:val="auto"/>
          <w:highlight w:val="none"/>
        </w:rPr>
      </w:pPr>
      <w:r>
        <w:rPr>
          <w:rFonts w:hint="eastAsia"/>
          <w:color w:val="auto"/>
          <w:highlight w:val="none"/>
        </w:rPr>
        <w:t>1.1.6.9雇用民工：指承包人与具有相应劳动能力的自然人签订劳动合同，由承包人统一组织管理，从事分项工程施工或配套工程施工的行为。</w:t>
      </w:r>
    </w:p>
    <w:p w14:paraId="3B590962">
      <w:pPr>
        <w:keepNext/>
        <w:keepLines/>
        <w:spacing w:line="400" w:lineRule="exact"/>
        <w:outlineLvl w:val="3"/>
        <w:rPr>
          <w:rFonts w:ascii="Arial" w:hAnsi="Arial"/>
          <w:b/>
          <w:bCs/>
          <w:color w:val="auto"/>
          <w:sz w:val="28"/>
          <w:szCs w:val="28"/>
          <w:highlight w:val="none"/>
        </w:rPr>
      </w:pPr>
      <w:bookmarkStart w:id="129" w:name="_Toc6501"/>
      <w:r>
        <w:rPr>
          <w:rFonts w:hint="eastAsia" w:ascii="Arial" w:hAnsi="Arial"/>
          <w:b/>
          <w:bCs/>
          <w:color w:val="auto"/>
          <w:sz w:val="28"/>
          <w:szCs w:val="28"/>
          <w:highlight w:val="none"/>
        </w:rPr>
        <w:t>1.4合同文件的优先顺序</w:t>
      </w:r>
      <w:bookmarkEnd w:id="129"/>
    </w:p>
    <w:p w14:paraId="61C9DB1A">
      <w:pPr>
        <w:spacing w:line="400" w:lineRule="exact"/>
        <w:ind w:firstLine="480"/>
        <w:rPr>
          <w:color w:val="auto"/>
          <w:highlight w:val="none"/>
        </w:rPr>
      </w:pPr>
      <w:r>
        <w:rPr>
          <w:rFonts w:hint="eastAsia"/>
          <w:color w:val="auto"/>
          <w:highlight w:val="none"/>
        </w:rPr>
        <w:t>本款约定为：</w:t>
      </w:r>
    </w:p>
    <w:p w14:paraId="17E760DF">
      <w:pPr>
        <w:spacing w:line="400" w:lineRule="exact"/>
        <w:ind w:firstLine="480"/>
        <w:rPr>
          <w:color w:val="auto"/>
          <w:highlight w:val="none"/>
        </w:rPr>
      </w:pPr>
      <w:r>
        <w:rPr>
          <w:rFonts w:hint="eastAsia"/>
          <w:color w:val="auto"/>
          <w:highlight w:val="none"/>
        </w:rPr>
        <w:t>组成合同的各项文件应互相解释，互为说明。除项目专用合同条款另有约定外，解释合同文件的优先顺序如下：</w:t>
      </w:r>
    </w:p>
    <w:p w14:paraId="227BF81F">
      <w:pPr>
        <w:spacing w:line="400" w:lineRule="exact"/>
        <w:ind w:firstLine="480"/>
        <w:rPr>
          <w:color w:val="auto"/>
          <w:highlight w:val="none"/>
        </w:rPr>
      </w:pPr>
      <w:r>
        <w:rPr>
          <w:rFonts w:hint="eastAsia"/>
          <w:color w:val="auto"/>
          <w:highlight w:val="none"/>
        </w:rPr>
        <w:t>（1）合同协议书及各种合同附件（含评标期间和合同谈判过程中的澄清文件和补充资料）；</w:t>
      </w:r>
    </w:p>
    <w:p w14:paraId="08EA7E14">
      <w:pPr>
        <w:spacing w:line="400" w:lineRule="exact"/>
        <w:ind w:firstLine="480"/>
        <w:rPr>
          <w:color w:val="auto"/>
          <w:highlight w:val="none"/>
        </w:rPr>
      </w:pPr>
      <w:r>
        <w:rPr>
          <w:rFonts w:hint="eastAsia"/>
          <w:color w:val="auto"/>
          <w:highlight w:val="none"/>
        </w:rPr>
        <w:t>（2）成交通知书；</w:t>
      </w:r>
    </w:p>
    <w:p w14:paraId="26F37D50">
      <w:pPr>
        <w:spacing w:line="400" w:lineRule="exact"/>
        <w:ind w:firstLine="480"/>
        <w:rPr>
          <w:color w:val="auto"/>
          <w:highlight w:val="none"/>
        </w:rPr>
      </w:pPr>
      <w:r>
        <w:rPr>
          <w:rFonts w:hint="eastAsia"/>
          <w:color w:val="auto"/>
          <w:highlight w:val="none"/>
        </w:rPr>
        <w:t>（3）响应函及响应函附录；</w:t>
      </w:r>
    </w:p>
    <w:p w14:paraId="661B3ACE">
      <w:pPr>
        <w:spacing w:line="400" w:lineRule="exact"/>
        <w:ind w:firstLine="480"/>
        <w:rPr>
          <w:color w:val="auto"/>
          <w:highlight w:val="none"/>
        </w:rPr>
      </w:pPr>
      <w:r>
        <w:rPr>
          <w:rFonts w:hint="eastAsia"/>
          <w:color w:val="auto"/>
          <w:highlight w:val="none"/>
        </w:rPr>
        <w:t>（4）项目专用合同条款；</w:t>
      </w:r>
    </w:p>
    <w:p w14:paraId="3DABDB62">
      <w:pPr>
        <w:spacing w:line="400" w:lineRule="exact"/>
        <w:ind w:firstLine="480"/>
        <w:rPr>
          <w:color w:val="auto"/>
          <w:highlight w:val="none"/>
        </w:rPr>
      </w:pPr>
      <w:r>
        <w:rPr>
          <w:rFonts w:hint="eastAsia"/>
          <w:color w:val="auto"/>
          <w:highlight w:val="none"/>
        </w:rPr>
        <w:t>（5）公路工程专用合同条款；</w:t>
      </w:r>
    </w:p>
    <w:p w14:paraId="050C23AF">
      <w:pPr>
        <w:spacing w:line="400" w:lineRule="exact"/>
        <w:ind w:firstLine="480"/>
        <w:rPr>
          <w:color w:val="auto"/>
          <w:highlight w:val="none"/>
        </w:rPr>
      </w:pPr>
      <w:r>
        <w:rPr>
          <w:rFonts w:hint="eastAsia"/>
          <w:color w:val="auto"/>
          <w:highlight w:val="none"/>
        </w:rPr>
        <w:t>（6）通用合同条款；</w:t>
      </w:r>
    </w:p>
    <w:p w14:paraId="3DC1A553">
      <w:pPr>
        <w:spacing w:line="400" w:lineRule="exact"/>
        <w:ind w:firstLine="480"/>
        <w:rPr>
          <w:color w:val="auto"/>
          <w:highlight w:val="none"/>
        </w:rPr>
      </w:pPr>
      <w:r>
        <w:rPr>
          <w:rFonts w:hint="eastAsia"/>
          <w:color w:val="auto"/>
          <w:highlight w:val="none"/>
        </w:rPr>
        <w:t>（7）工程量清单计量规则；</w:t>
      </w:r>
    </w:p>
    <w:p w14:paraId="48F03632">
      <w:pPr>
        <w:spacing w:line="400" w:lineRule="exact"/>
        <w:ind w:firstLine="480"/>
        <w:rPr>
          <w:color w:val="auto"/>
          <w:highlight w:val="none"/>
        </w:rPr>
      </w:pPr>
      <w:r>
        <w:rPr>
          <w:rFonts w:hint="eastAsia"/>
          <w:color w:val="auto"/>
          <w:highlight w:val="none"/>
        </w:rPr>
        <w:t>（8）技术规范；</w:t>
      </w:r>
    </w:p>
    <w:p w14:paraId="425BFC39">
      <w:pPr>
        <w:spacing w:line="400" w:lineRule="exact"/>
        <w:ind w:firstLine="480"/>
        <w:rPr>
          <w:color w:val="auto"/>
          <w:highlight w:val="none"/>
        </w:rPr>
      </w:pPr>
      <w:r>
        <w:rPr>
          <w:rFonts w:hint="eastAsia"/>
          <w:color w:val="auto"/>
          <w:highlight w:val="none"/>
        </w:rPr>
        <w:t>（9）图纸；</w:t>
      </w:r>
    </w:p>
    <w:p w14:paraId="5DE7EB4D">
      <w:pPr>
        <w:spacing w:line="400" w:lineRule="exact"/>
        <w:ind w:firstLine="480"/>
        <w:rPr>
          <w:color w:val="auto"/>
          <w:highlight w:val="none"/>
        </w:rPr>
      </w:pPr>
      <w:r>
        <w:rPr>
          <w:rFonts w:hint="eastAsia"/>
          <w:color w:val="auto"/>
          <w:highlight w:val="none"/>
        </w:rPr>
        <w:t>（10）已标价工程量清单；</w:t>
      </w:r>
    </w:p>
    <w:p w14:paraId="253AC596">
      <w:pPr>
        <w:spacing w:line="400" w:lineRule="exact"/>
        <w:ind w:firstLine="480"/>
        <w:rPr>
          <w:color w:val="auto"/>
          <w:highlight w:val="none"/>
        </w:rPr>
      </w:pPr>
      <w:r>
        <w:rPr>
          <w:rFonts w:hint="eastAsia"/>
          <w:color w:val="auto"/>
          <w:highlight w:val="none"/>
        </w:rPr>
        <w:t>（11）承包人有关人员、设备投入的承诺及响应文件中的施工组织设计；</w:t>
      </w:r>
    </w:p>
    <w:p w14:paraId="5ABAD273">
      <w:pPr>
        <w:spacing w:line="400" w:lineRule="exact"/>
        <w:ind w:firstLine="480"/>
        <w:rPr>
          <w:color w:val="auto"/>
          <w:highlight w:val="none"/>
        </w:rPr>
      </w:pPr>
      <w:r>
        <w:rPr>
          <w:rFonts w:hint="eastAsia"/>
          <w:color w:val="auto"/>
          <w:highlight w:val="none"/>
        </w:rPr>
        <w:t>（12）其他合同文件。</w:t>
      </w:r>
    </w:p>
    <w:p w14:paraId="4C286024">
      <w:pPr>
        <w:keepNext/>
        <w:keepLines/>
        <w:spacing w:line="400" w:lineRule="exact"/>
        <w:outlineLvl w:val="3"/>
        <w:rPr>
          <w:rFonts w:ascii="Arial" w:hAnsi="Arial"/>
          <w:b/>
          <w:bCs/>
          <w:color w:val="auto"/>
          <w:sz w:val="28"/>
          <w:szCs w:val="28"/>
          <w:highlight w:val="none"/>
        </w:rPr>
      </w:pPr>
      <w:bookmarkStart w:id="130" w:name="_Toc14018"/>
      <w:r>
        <w:rPr>
          <w:rFonts w:hint="eastAsia" w:ascii="Arial" w:hAnsi="Arial"/>
          <w:b/>
          <w:bCs/>
          <w:color w:val="auto"/>
          <w:sz w:val="28"/>
          <w:szCs w:val="28"/>
          <w:highlight w:val="none"/>
        </w:rPr>
        <w:t>1.5合同协议书</w:t>
      </w:r>
      <w:bookmarkEnd w:id="130"/>
    </w:p>
    <w:p w14:paraId="43FD212A">
      <w:pPr>
        <w:spacing w:line="400" w:lineRule="exact"/>
        <w:ind w:firstLine="480"/>
        <w:rPr>
          <w:color w:val="auto"/>
          <w:highlight w:val="none"/>
        </w:rPr>
      </w:pPr>
      <w:r>
        <w:rPr>
          <w:rFonts w:hint="eastAsia"/>
          <w:color w:val="auto"/>
          <w:highlight w:val="none"/>
        </w:rPr>
        <w:t>本款补充：</w:t>
      </w:r>
    </w:p>
    <w:p w14:paraId="60EE2B29">
      <w:pPr>
        <w:spacing w:line="400" w:lineRule="exact"/>
        <w:ind w:firstLine="480"/>
        <w:rPr>
          <w:color w:val="auto"/>
          <w:highlight w:val="none"/>
        </w:rPr>
      </w:pPr>
      <w:r>
        <w:rPr>
          <w:rFonts w:hint="eastAsia"/>
          <w:color w:val="auto"/>
          <w:highlight w:val="none"/>
        </w:rPr>
        <w:t>制备本合同文件的费用由发包人承担。在合同协议书签订并生效之前，响应函和成交通知书将对双方具有约束力。</w:t>
      </w:r>
    </w:p>
    <w:p w14:paraId="2BFABB1B">
      <w:pPr>
        <w:keepNext/>
        <w:keepLines/>
        <w:spacing w:line="400" w:lineRule="exact"/>
        <w:outlineLvl w:val="3"/>
        <w:rPr>
          <w:rFonts w:ascii="Arial" w:hAnsi="Arial"/>
          <w:b/>
          <w:bCs/>
          <w:color w:val="auto"/>
          <w:sz w:val="28"/>
          <w:szCs w:val="28"/>
          <w:highlight w:val="none"/>
        </w:rPr>
      </w:pPr>
      <w:bookmarkStart w:id="131" w:name="_Toc6014"/>
      <w:r>
        <w:rPr>
          <w:rFonts w:hint="eastAsia" w:ascii="Arial" w:hAnsi="Arial"/>
          <w:b/>
          <w:bCs/>
          <w:color w:val="auto"/>
          <w:sz w:val="28"/>
          <w:szCs w:val="28"/>
          <w:highlight w:val="none"/>
        </w:rPr>
        <w:t>1.6图纸和承包人文件</w:t>
      </w:r>
      <w:bookmarkEnd w:id="131"/>
    </w:p>
    <w:p w14:paraId="4CE8D446">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1.6.1图纸的提供</w:t>
      </w:r>
    </w:p>
    <w:p w14:paraId="1B2456A0">
      <w:pPr>
        <w:spacing w:line="400" w:lineRule="exact"/>
        <w:ind w:firstLine="480"/>
        <w:rPr>
          <w:color w:val="auto"/>
          <w:highlight w:val="none"/>
        </w:rPr>
      </w:pPr>
      <w:r>
        <w:rPr>
          <w:rFonts w:hint="eastAsia"/>
          <w:color w:val="auto"/>
          <w:highlight w:val="none"/>
        </w:rPr>
        <w:t>本项细化为：</w:t>
      </w:r>
    </w:p>
    <w:p w14:paraId="5C1BFFC1">
      <w:pPr>
        <w:spacing w:line="400" w:lineRule="exact"/>
        <w:ind w:firstLine="480"/>
        <w:rPr>
          <w:color w:val="auto"/>
          <w:highlight w:val="none"/>
        </w:rPr>
      </w:pPr>
      <w:r>
        <w:rPr>
          <w:rFonts w:hint="eastAsia"/>
          <w:color w:val="auto"/>
          <w:highlight w:val="none"/>
        </w:rPr>
        <w:t>监理人应在发出成交通知书之后 42 天内，向承包人免费提供由发包人或其委托的设计单位设计的施工图纸、技术规范和其他技术资料 2 份，并向承包人进行技术交底。承包人需要更多份数时，应自费复制。由于发包人未按时提供图纸造成工期延误的，按第 11.3 款的约定办理。</w:t>
      </w:r>
    </w:p>
    <w:p w14:paraId="392F81D4">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1.6.2承包人提供的文件</w:t>
      </w:r>
    </w:p>
    <w:p w14:paraId="6E947F60">
      <w:pPr>
        <w:spacing w:line="400" w:lineRule="exact"/>
        <w:ind w:firstLine="480"/>
        <w:rPr>
          <w:color w:val="auto"/>
          <w:highlight w:val="none"/>
        </w:rPr>
      </w:pPr>
      <w:r>
        <w:rPr>
          <w:rFonts w:hint="eastAsia"/>
          <w:color w:val="auto"/>
          <w:highlight w:val="none"/>
        </w:rPr>
        <w:t>本项细化为：</w:t>
      </w:r>
    </w:p>
    <w:p w14:paraId="51E76C27">
      <w:pPr>
        <w:spacing w:line="400" w:lineRule="exact"/>
        <w:ind w:firstLine="480"/>
        <w:rPr>
          <w:color w:val="auto"/>
          <w:highlight w:val="none"/>
        </w:rPr>
      </w:pPr>
      <w:r>
        <w:rPr>
          <w:rFonts w:hint="eastAsia"/>
          <w:color w:val="auto"/>
          <w:highlight w:val="none"/>
        </w:rPr>
        <w:t>有下列情形之一的，承包人应免费向监理人提交相关部分工程的施工图纸 3 份， 并附必要的计算书、技术资料，或施工工艺图、设备安装图及安装设备的使用和维护手册各 2 份供监理人批准。</w:t>
      </w:r>
    </w:p>
    <w:p w14:paraId="362CEBC3">
      <w:pPr>
        <w:spacing w:line="400" w:lineRule="exact"/>
        <w:ind w:firstLine="480"/>
        <w:rPr>
          <w:color w:val="auto"/>
          <w:highlight w:val="none"/>
        </w:rPr>
      </w:pPr>
      <w:r>
        <w:rPr>
          <w:rFonts w:hint="eastAsia"/>
          <w:color w:val="auto"/>
          <w:highlight w:val="none"/>
        </w:rPr>
        <w:t>（1）为使第 1.6.1 项所述的施工图纸适合于经施工测量后的纵、横断面；</w:t>
      </w:r>
    </w:p>
    <w:p w14:paraId="745D5846">
      <w:pPr>
        <w:spacing w:line="400" w:lineRule="exact"/>
        <w:ind w:firstLine="480"/>
        <w:rPr>
          <w:color w:val="auto"/>
          <w:highlight w:val="none"/>
        </w:rPr>
      </w:pPr>
      <w:r>
        <w:rPr>
          <w:rFonts w:hint="eastAsia"/>
          <w:color w:val="auto"/>
          <w:highlight w:val="none"/>
        </w:rPr>
        <w:t>（2）为使第 1.6.1 项所述的施工图纸适合于现场具体地形；</w:t>
      </w:r>
    </w:p>
    <w:p w14:paraId="3C107DBA">
      <w:pPr>
        <w:spacing w:line="400" w:lineRule="exact"/>
        <w:ind w:firstLine="480"/>
        <w:rPr>
          <w:color w:val="auto"/>
          <w:highlight w:val="none"/>
        </w:rPr>
      </w:pPr>
      <w:r>
        <w:rPr>
          <w:rFonts w:hint="eastAsia"/>
          <w:color w:val="auto"/>
          <w:highlight w:val="none"/>
        </w:rPr>
        <w:t>（3）为使第 1.6.1 项所述的施工图纸适合于因尺寸与位置变化而引起局部变更；</w:t>
      </w:r>
    </w:p>
    <w:p w14:paraId="5FB40BA1">
      <w:pPr>
        <w:spacing w:line="400" w:lineRule="exact"/>
        <w:ind w:firstLine="480"/>
        <w:rPr>
          <w:color w:val="auto"/>
          <w:highlight w:val="none"/>
        </w:rPr>
      </w:pPr>
      <w:r>
        <w:rPr>
          <w:rFonts w:hint="eastAsia"/>
          <w:color w:val="auto"/>
          <w:highlight w:val="none"/>
        </w:rPr>
        <w:t>（4）由于合同要求与施工需要。</w:t>
      </w:r>
    </w:p>
    <w:p w14:paraId="192F0F22">
      <w:pPr>
        <w:spacing w:line="400" w:lineRule="exact"/>
        <w:ind w:firstLine="480"/>
        <w:rPr>
          <w:color w:val="auto"/>
          <w:highlight w:val="none"/>
        </w:rPr>
      </w:pPr>
      <w:r>
        <w:rPr>
          <w:rFonts w:hint="eastAsia"/>
          <w:color w:val="auto"/>
          <w:highlight w:val="none"/>
        </w:rPr>
        <w:t>此类图纸应按监理人规定的格式和图幅绘制。监理人在收到由承包人绘制的上述工程、工艺图纸、计算书和有关技术资料后 14 天内应予批准或提出修改要求，承包人应按监理人提出的要求作出修改，重新向监理人提交，监理人应在 7 天内批准或提出进一步的修改意见。</w:t>
      </w:r>
    </w:p>
    <w:p w14:paraId="3D64578E">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1.6.4 图纸的错误</w:t>
      </w:r>
    </w:p>
    <w:p w14:paraId="4D7FB202">
      <w:pPr>
        <w:spacing w:line="400" w:lineRule="exact"/>
        <w:ind w:firstLine="480"/>
        <w:rPr>
          <w:color w:val="auto"/>
          <w:highlight w:val="none"/>
        </w:rPr>
      </w:pPr>
      <w:r>
        <w:rPr>
          <w:rFonts w:hint="eastAsia"/>
          <w:color w:val="auto"/>
          <w:highlight w:val="none"/>
        </w:rPr>
        <w:t>本项细化为：</w:t>
      </w:r>
    </w:p>
    <w:p w14:paraId="36DCE53F">
      <w:pPr>
        <w:spacing w:line="400" w:lineRule="exact"/>
        <w:ind w:firstLine="480"/>
        <w:rPr>
          <w:color w:val="auto"/>
          <w:highlight w:val="none"/>
        </w:rPr>
      </w:pPr>
      <w:r>
        <w:rPr>
          <w:rFonts w:hint="eastAsia"/>
          <w:color w:val="auto"/>
          <w:highlight w:val="none"/>
        </w:rPr>
        <w:t>当承包人在查阅合同文件或在本合同工程实施过程中，发现有关的工程设计、技术规范、图纸或其他资料中的任何差错、遗漏或缺陷后，应及时通知监理人。监理人接到该通知后，应立即就此作出决定，并通知承包人和发包人。</w:t>
      </w:r>
    </w:p>
    <w:p w14:paraId="535378A7">
      <w:pPr>
        <w:keepNext/>
        <w:keepLines/>
        <w:spacing w:line="400" w:lineRule="exact"/>
        <w:outlineLvl w:val="3"/>
        <w:rPr>
          <w:rFonts w:ascii="Arial" w:hAnsi="Arial"/>
          <w:b/>
          <w:bCs/>
          <w:color w:val="auto"/>
          <w:sz w:val="28"/>
          <w:szCs w:val="28"/>
          <w:highlight w:val="none"/>
        </w:rPr>
      </w:pPr>
      <w:bookmarkStart w:id="132" w:name="_Toc24253"/>
      <w:r>
        <w:rPr>
          <w:rFonts w:hint="eastAsia" w:ascii="Arial" w:hAnsi="Arial"/>
          <w:b/>
          <w:bCs/>
          <w:color w:val="auto"/>
          <w:sz w:val="28"/>
          <w:szCs w:val="28"/>
          <w:highlight w:val="none"/>
        </w:rPr>
        <w:t>1.9 严禁贿赂</w:t>
      </w:r>
      <w:bookmarkEnd w:id="132"/>
    </w:p>
    <w:p w14:paraId="4448858B">
      <w:pPr>
        <w:spacing w:line="400" w:lineRule="exact"/>
        <w:ind w:firstLine="480"/>
        <w:rPr>
          <w:color w:val="auto"/>
          <w:highlight w:val="none"/>
        </w:rPr>
      </w:pPr>
      <w:r>
        <w:rPr>
          <w:rFonts w:hint="eastAsia"/>
          <w:color w:val="auto"/>
          <w:highlight w:val="none"/>
        </w:rPr>
        <w:t>本款补充：</w:t>
      </w:r>
    </w:p>
    <w:p w14:paraId="2D380E66">
      <w:pPr>
        <w:spacing w:line="400" w:lineRule="exact"/>
        <w:ind w:firstLine="480"/>
        <w:rPr>
          <w:color w:val="auto"/>
          <w:highlight w:val="none"/>
        </w:rPr>
      </w:pPr>
      <w:r>
        <w:rPr>
          <w:rFonts w:hint="eastAsia"/>
          <w:color w:val="auto"/>
          <w:highlight w:val="none"/>
        </w:rPr>
        <w:t>在合同执行过程中，发包人和承包人应严格履行《廉政合同》约定的双方在廉政建设方面的权利和义务以及应承担的违约责任。承包人如果用行贿、送礼或其他不正当手段企图影响或已经影响了发包人或监理人的行为和（或）欲获得或已获得超出合同规定以外的额外费用，则发包人应按有关法纪严肃处理当事人，且承包人应对其上述行为造成的工程损害、发包人的经济损失等承担一切责任，并予赔偿。情节严重者，发包人有权终止承包人在本合同项下的承包。</w:t>
      </w:r>
    </w:p>
    <w:p w14:paraId="5A8D1DEB">
      <w:pPr>
        <w:keepNext/>
        <w:keepLines/>
        <w:spacing w:line="400" w:lineRule="exact"/>
        <w:outlineLvl w:val="2"/>
        <w:rPr>
          <w:b/>
          <w:bCs/>
          <w:color w:val="auto"/>
          <w:sz w:val="32"/>
          <w:szCs w:val="32"/>
          <w:highlight w:val="none"/>
        </w:rPr>
      </w:pPr>
      <w:bookmarkStart w:id="133" w:name="_Toc20696"/>
      <w:bookmarkStart w:id="134" w:name="_Toc233964175"/>
      <w:bookmarkStart w:id="135" w:name="_Toc122424460"/>
      <w:bookmarkStart w:id="136" w:name="_Toc122424211"/>
      <w:r>
        <w:rPr>
          <w:rFonts w:hint="eastAsia"/>
          <w:b/>
          <w:bCs/>
          <w:color w:val="auto"/>
          <w:sz w:val="32"/>
          <w:szCs w:val="32"/>
          <w:highlight w:val="none"/>
        </w:rPr>
        <w:t>2.发包人义务</w:t>
      </w:r>
      <w:bookmarkEnd w:id="133"/>
      <w:bookmarkEnd w:id="134"/>
      <w:bookmarkEnd w:id="135"/>
      <w:bookmarkEnd w:id="136"/>
    </w:p>
    <w:p w14:paraId="72C1A96B">
      <w:pPr>
        <w:keepNext/>
        <w:keepLines/>
        <w:spacing w:line="400" w:lineRule="exact"/>
        <w:outlineLvl w:val="3"/>
        <w:rPr>
          <w:rFonts w:ascii="Arial" w:hAnsi="Arial"/>
          <w:b/>
          <w:bCs/>
          <w:color w:val="auto"/>
          <w:sz w:val="28"/>
          <w:szCs w:val="28"/>
          <w:highlight w:val="none"/>
        </w:rPr>
      </w:pPr>
      <w:bookmarkStart w:id="137" w:name="_Toc22133"/>
      <w:r>
        <w:rPr>
          <w:rFonts w:hint="eastAsia" w:ascii="Arial" w:hAnsi="Arial"/>
          <w:b/>
          <w:bCs/>
          <w:color w:val="auto"/>
          <w:sz w:val="28"/>
          <w:szCs w:val="28"/>
          <w:highlight w:val="none"/>
        </w:rPr>
        <w:t>2.3 提供施工场地</w:t>
      </w:r>
      <w:bookmarkEnd w:id="137"/>
    </w:p>
    <w:p w14:paraId="0A8D610A">
      <w:pPr>
        <w:spacing w:line="400" w:lineRule="exact"/>
        <w:ind w:firstLine="480"/>
        <w:rPr>
          <w:color w:val="auto"/>
          <w:highlight w:val="none"/>
        </w:rPr>
      </w:pPr>
      <w:r>
        <w:rPr>
          <w:rFonts w:hint="eastAsia"/>
          <w:color w:val="auto"/>
          <w:highlight w:val="none"/>
        </w:rPr>
        <w:t>本款补充：</w:t>
      </w:r>
    </w:p>
    <w:p w14:paraId="6CD07726">
      <w:pPr>
        <w:spacing w:line="400" w:lineRule="exact"/>
        <w:ind w:firstLine="480"/>
        <w:rPr>
          <w:color w:val="auto"/>
          <w:highlight w:val="none"/>
        </w:rPr>
      </w:pPr>
      <w:r>
        <w:rPr>
          <w:rFonts w:hint="eastAsia"/>
          <w:color w:val="auto"/>
          <w:highlight w:val="none"/>
        </w:rPr>
        <w:t>发包人负责办理永久占地的征用及与之有关的拆迁赔偿手续并承担相关费用。承包人在按第 10 条规定提交施工进度计划的同时，应向监理人提交一份按施工先后次</w:t>
      </w:r>
    </w:p>
    <w:p w14:paraId="1477E7B1">
      <w:pPr>
        <w:spacing w:line="400" w:lineRule="exact"/>
        <w:ind w:firstLine="480"/>
        <w:rPr>
          <w:color w:val="auto"/>
          <w:highlight w:val="none"/>
        </w:rPr>
      </w:pPr>
      <w:r>
        <w:rPr>
          <w:rFonts w:hint="eastAsia"/>
          <w:color w:val="auto"/>
          <w:highlight w:val="none"/>
        </w:rPr>
        <w:t>序所需的永久占地计划。监理人应在收到此计划后的 14 天内审核并转报发包人核备。发包人应在监理人发出本工程或分部工程开工通知之前，对承包人开工所需的永久占地办妥征用手续和相关拆迁赔偿手续，通知承包人使用，以使承包人能够及时开工；此后按承包人提交并经监理人同意的合同进度计划的安排，分期（也可以一次）将施工所需的其余永久占地办妥征用以及拆迁赔偿手续，通知承包人使用， 以使承包人能够连续不间断地施工。由于承包人施工考虑不周或措施不当等原因而造成的超计划占地或拆迁等所发生的征用和赔偿费用，应由承包人承担。</w:t>
      </w:r>
    </w:p>
    <w:p w14:paraId="57002094">
      <w:pPr>
        <w:spacing w:line="400" w:lineRule="exact"/>
        <w:ind w:firstLine="480"/>
        <w:rPr>
          <w:color w:val="auto"/>
          <w:highlight w:val="none"/>
        </w:rPr>
      </w:pPr>
      <w:r>
        <w:rPr>
          <w:rFonts w:hint="eastAsia"/>
          <w:color w:val="auto"/>
          <w:highlight w:val="none"/>
        </w:rPr>
        <w:t>由于发包人未能按照本项规定办妥永久占地征用手续，影响承包人及时使用永久占地造成的费用增加和（或）工期延误应由发包人承担。由于承包人未能按照本项规定提交占地计划，影响发包人办理永久占地征用手续造成的费用增加和（或）工期延误由承包人承担。</w:t>
      </w:r>
    </w:p>
    <w:p w14:paraId="3AEEBF35">
      <w:pPr>
        <w:keepNext/>
        <w:keepLines/>
        <w:spacing w:line="400" w:lineRule="exact"/>
        <w:outlineLvl w:val="2"/>
        <w:rPr>
          <w:b/>
          <w:bCs/>
          <w:color w:val="auto"/>
          <w:sz w:val="32"/>
          <w:szCs w:val="32"/>
          <w:highlight w:val="none"/>
        </w:rPr>
      </w:pPr>
      <w:bookmarkStart w:id="138" w:name="_Toc22405"/>
      <w:bookmarkStart w:id="139" w:name="_Toc233964176"/>
      <w:bookmarkStart w:id="140" w:name="_Toc122424461"/>
      <w:bookmarkStart w:id="141" w:name="_Toc122424212"/>
      <w:r>
        <w:rPr>
          <w:rFonts w:hint="eastAsia"/>
          <w:b/>
          <w:bCs/>
          <w:color w:val="auto"/>
          <w:sz w:val="32"/>
          <w:szCs w:val="32"/>
          <w:highlight w:val="none"/>
        </w:rPr>
        <w:t>3.监理人</w:t>
      </w:r>
      <w:bookmarkEnd w:id="138"/>
      <w:bookmarkEnd w:id="139"/>
      <w:bookmarkEnd w:id="140"/>
      <w:bookmarkEnd w:id="141"/>
    </w:p>
    <w:p w14:paraId="742A2E3D">
      <w:pPr>
        <w:keepNext/>
        <w:keepLines/>
        <w:spacing w:line="400" w:lineRule="exact"/>
        <w:outlineLvl w:val="3"/>
        <w:rPr>
          <w:rFonts w:ascii="Arial" w:hAnsi="Arial"/>
          <w:b/>
          <w:bCs/>
          <w:color w:val="auto"/>
          <w:sz w:val="28"/>
          <w:szCs w:val="28"/>
          <w:highlight w:val="none"/>
        </w:rPr>
      </w:pPr>
      <w:bookmarkStart w:id="142" w:name="_Toc28048"/>
      <w:r>
        <w:rPr>
          <w:rFonts w:hint="eastAsia" w:ascii="Arial" w:hAnsi="Arial"/>
          <w:b/>
          <w:bCs/>
          <w:color w:val="auto"/>
          <w:sz w:val="28"/>
          <w:szCs w:val="28"/>
          <w:highlight w:val="none"/>
        </w:rPr>
        <w:t>3.1监理人的职责和权力</w:t>
      </w:r>
      <w:bookmarkEnd w:id="142"/>
    </w:p>
    <w:p w14:paraId="113CE023">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第 3.1.1 项补充：</w:t>
      </w:r>
    </w:p>
    <w:p w14:paraId="676F497F">
      <w:pPr>
        <w:spacing w:line="400" w:lineRule="exact"/>
        <w:ind w:firstLine="480"/>
        <w:rPr>
          <w:color w:val="auto"/>
          <w:highlight w:val="none"/>
        </w:rPr>
      </w:pPr>
      <w:r>
        <w:rPr>
          <w:rFonts w:hint="eastAsia"/>
          <w:color w:val="auto"/>
          <w:highlight w:val="none"/>
        </w:rPr>
        <w:t>监理人在行使下列权力前需要经发包人事先批准：</w:t>
      </w:r>
    </w:p>
    <w:p w14:paraId="3363827A">
      <w:pPr>
        <w:spacing w:line="400" w:lineRule="exact"/>
        <w:ind w:firstLine="480"/>
        <w:rPr>
          <w:color w:val="auto"/>
          <w:highlight w:val="none"/>
        </w:rPr>
      </w:pPr>
      <w:r>
        <w:rPr>
          <w:rFonts w:hint="eastAsia"/>
          <w:color w:val="auto"/>
          <w:highlight w:val="none"/>
        </w:rPr>
        <w:t>（1）根据第 4.3 款，同意分包本工程的某些非关键性工作或者适合专业化队伍施工的专项工程；</w:t>
      </w:r>
    </w:p>
    <w:p w14:paraId="0B914708">
      <w:pPr>
        <w:spacing w:line="400" w:lineRule="exact"/>
        <w:ind w:firstLine="480"/>
        <w:rPr>
          <w:color w:val="auto"/>
          <w:highlight w:val="none"/>
        </w:rPr>
      </w:pPr>
      <w:r>
        <w:rPr>
          <w:rFonts w:hint="eastAsia"/>
          <w:color w:val="auto"/>
          <w:highlight w:val="none"/>
        </w:rPr>
        <w:t>（2）确定第 4.11 款下产生的费用增加额；</w:t>
      </w:r>
    </w:p>
    <w:p w14:paraId="5F5EC709">
      <w:pPr>
        <w:spacing w:line="400" w:lineRule="exact"/>
        <w:ind w:firstLine="480"/>
        <w:rPr>
          <w:color w:val="auto"/>
          <w:highlight w:val="none"/>
        </w:rPr>
      </w:pPr>
      <w:r>
        <w:rPr>
          <w:rFonts w:hint="eastAsia"/>
          <w:color w:val="auto"/>
          <w:highlight w:val="none"/>
        </w:rPr>
        <w:t>（3）根据第 11.1 款、第 12.3 款、第 12.4 款发布开工通知、暂停施工指示或复工通知；</w:t>
      </w:r>
    </w:p>
    <w:p w14:paraId="520688E6">
      <w:pPr>
        <w:spacing w:line="400" w:lineRule="exact"/>
        <w:ind w:firstLine="480"/>
        <w:rPr>
          <w:color w:val="auto"/>
          <w:highlight w:val="none"/>
        </w:rPr>
      </w:pPr>
      <w:r>
        <w:rPr>
          <w:rFonts w:hint="eastAsia"/>
          <w:color w:val="auto"/>
          <w:highlight w:val="none"/>
        </w:rPr>
        <w:t>（4）决定第 11.3 款、第 11.4 款下的工期延长；</w:t>
      </w:r>
    </w:p>
    <w:p w14:paraId="5FBEB738">
      <w:pPr>
        <w:spacing w:line="400" w:lineRule="exact"/>
        <w:ind w:firstLine="480"/>
        <w:rPr>
          <w:color w:val="auto"/>
          <w:highlight w:val="none"/>
        </w:rPr>
      </w:pPr>
      <w:r>
        <w:rPr>
          <w:rFonts w:hint="eastAsia"/>
          <w:color w:val="auto"/>
          <w:highlight w:val="none"/>
        </w:rPr>
        <w:t>（5）审查批准技术方案或设计的变更；</w:t>
      </w:r>
    </w:p>
    <w:p w14:paraId="3287CD1D">
      <w:pPr>
        <w:spacing w:line="400" w:lineRule="exact"/>
        <w:ind w:firstLine="480"/>
        <w:rPr>
          <w:color w:val="auto"/>
          <w:highlight w:val="none"/>
        </w:rPr>
      </w:pPr>
      <w:r>
        <w:rPr>
          <w:rFonts w:hint="eastAsia"/>
          <w:color w:val="auto"/>
          <w:highlight w:val="none"/>
        </w:rPr>
        <w:t>（6）根据第 15.3 款发出的变更指示，其单项工程变更或累计变更涉及的金额超过了项目专用合同条款数据表中规定的金额；</w:t>
      </w:r>
    </w:p>
    <w:p w14:paraId="1ED4AF59">
      <w:pPr>
        <w:spacing w:line="400" w:lineRule="exact"/>
        <w:ind w:firstLine="480"/>
        <w:rPr>
          <w:color w:val="auto"/>
          <w:highlight w:val="none"/>
        </w:rPr>
      </w:pPr>
      <w:r>
        <w:rPr>
          <w:rFonts w:hint="eastAsia"/>
          <w:color w:val="auto"/>
          <w:highlight w:val="none"/>
        </w:rPr>
        <w:t>（7）确定第 15.4 款下变更工作的单价；</w:t>
      </w:r>
    </w:p>
    <w:p w14:paraId="6057ACB1">
      <w:pPr>
        <w:spacing w:line="400" w:lineRule="exact"/>
        <w:ind w:firstLine="480"/>
        <w:rPr>
          <w:color w:val="auto"/>
          <w:highlight w:val="none"/>
        </w:rPr>
      </w:pPr>
      <w:r>
        <w:rPr>
          <w:rFonts w:hint="eastAsia"/>
          <w:color w:val="auto"/>
          <w:highlight w:val="none"/>
        </w:rPr>
        <w:t>（8）按照第 15.6 款决定有关暂列金额的使用；</w:t>
      </w:r>
    </w:p>
    <w:p w14:paraId="1E88E775">
      <w:pPr>
        <w:spacing w:line="400" w:lineRule="exact"/>
        <w:ind w:firstLine="480"/>
        <w:rPr>
          <w:color w:val="auto"/>
          <w:highlight w:val="none"/>
        </w:rPr>
      </w:pPr>
      <w:r>
        <w:rPr>
          <w:rFonts w:hint="eastAsia"/>
          <w:color w:val="auto"/>
          <w:highlight w:val="none"/>
        </w:rPr>
        <w:t>（9）确定第 15.8 款下的暂估价金额；</w:t>
      </w:r>
    </w:p>
    <w:p w14:paraId="05242F3A">
      <w:pPr>
        <w:spacing w:line="400" w:lineRule="exact"/>
        <w:ind w:firstLine="480"/>
        <w:rPr>
          <w:color w:val="auto"/>
          <w:highlight w:val="none"/>
        </w:rPr>
      </w:pPr>
      <w:r>
        <w:rPr>
          <w:rFonts w:hint="eastAsia"/>
          <w:color w:val="auto"/>
          <w:highlight w:val="none"/>
        </w:rPr>
        <w:t>（10）确定第 23.1 款下的索赔额。</w:t>
      </w:r>
    </w:p>
    <w:p w14:paraId="58346EA1">
      <w:pPr>
        <w:spacing w:line="400" w:lineRule="exact"/>
        <w:ind w:firstLine="480"/>
        <w:rPr>
          <w:color w:val="auto"/>
          <w:highlight w:val="none"/>
        </w:rPr>
      </w:pPr>
      <w:r>
        <w:rPr>
          <w:rFonts w:hint="eastAsia"/>
          <w:color w:val="auto"/>
          <w:highlight w:val="none"/>
        </w:rPr>
        <w:t>如果发生紧急情况，监理人认为将造成人员伤亡，或危及本工程或邻近的财产需立即采取行动，监理人有权在未征得发包人的批准的情况下发布处理紧急情况所必需的指令，承包人应予执行，由此造成的费用增加由监理人按第 3.5 款商定或确定。</w:t>
      </w:r>
    </w:p>
    <w:p w14:paraId="6E84F6EB">
      <w:pPr>
        <w:keepNext/>
        <w:keepLines/>
        <w:spacing w:line="400" w:lineRule="exact"/>
        <w:outlineLvl w:val="3"/>
        <w:rPr>
          <w:rFonts w:ascii="Arial" w:hAnsi="Arial"/>
          <w:b/>
          <w:bCs/>
          <w:color w:val="auto"/>
          <w:sz w:val="28"/>
          <w:szCs w:val="28"/>
          <w:highlight w:val="none"/>
        </w:rPr>
      </w:pPr>
      <w:bookmarkStart w:id="143" w:name="_Toc13038"/>
      <w:r>
        <w:rPr>
          <w:rFonts w:hint="eastAsia" w:ascii="Arial" w:hAnsi="Arial"/>
          <w:b/>
          <w:bCs/>
          <w:color w:val="auto"/>
          <w:sz w:val="28"/>
          <w:szCs w:val="28"/>
          <w:highlight w:val="none"/>
        </w:rPr>
        <w:t>3.5 商定或确定</w:t>
      </w:r>
      <w:bookmarkEnd w:id="143"/>
    </w:p>
    <w:p w14:paraId="7E018CCE">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第 3.5.1 项补充：</w:t>
      </w:r>
    </w:p>
    <w:p w14:paraId="1C83A95C">
      <w:pPr>
        <w:spacing w:line="400" w:lineRule="exact"/>
        <w:ind w:firstLine="480"/>
        <w:rPr>
          <w:color w:val="auto"/>
          <w:highlight w:val="none"/>
        </w:rPr>
      </w:pPr>
      <w:r>
        <w:rPr>
          <w:rFonts w:hint="eastAsia"/>
          <w:color w:val="auto"/>
          <w:highlight w:val="none"/>
        </w:rPr>
        <w:t>如果这项商定或确定导致费用增加和（或）工期延长，或者涉及确定变更工程的价格，则总监理工程师在发出通知前，应征得发包人的同意。</w:t>
      </w:r>
    </w:p>
    <w:p w14:paraId="0204DEE8">
      <w:pPr>
        <w:keepNext/>
        <w:keepLines/>
        <w:spacing w:line="400" w:lineRule="exact"/>
        <w:outlineLvl w:val="2"/>
        <w:rPr>
          <w:b/>
          <w:bCs/>
          <w:color w:val="auto"/>
          <w:sz w:val="32"/>
          <w:szCs w:val="32"/>
          <w:highlight w:val="none"/>
        </w:rPr>
      </w:pPr>
      <w:bookmarkStart w:id="144" w:name="_Toc122424213"/>
      <w:bookmarkStart w:id="145" w:name="_Toc122424462"/>
      <w:bookmarkStart w:id="146" w:name="_Toc233964177"/>
      <w:bookmarkStart w:id="147" w:name="_Toc4806"/>
      <w:r>
        <w:rPr>
          <w:rFonts w:hint="eastAsia"/>
          <w:b/>
          <w:bCs/>
          <w:color w:val="auto"/>
          <w:sz w:val="32"/>
          <w:szCs w:val="32"/>
          <w:highlight w:val="none"/>
        </w:rPr>
        <w:t>4.承包人</w:t>
      </w:r>
      <w:bookmarkEnd w:id="144"/>
      <w:bookmarkEnd w:id="145"/>
      <w:bookmarkEnd w:id="146"/>
      <w:bookmarkEnd w:id="147"/>
    </w:p>
    <w:p w14:paraId="0FE80B67">
      <w:pPr>
        <w:keepNext/>
        <w:keepLines/>
        <w:spacing w:line="400" w:lineRule="exact"/>
        <w:outlineLvl w:val="3"/>
        <w:rPr>
          <w:rFonts w:ascii="Arial" w:hAnsi="Arial"/>
          <w:b/>
          <w:bCs/>
          <w:color w:val="auto"/>
          <w:sz w:val="28"/>
          <w:szCs w:val="28"/>
          <w:highlight w:val="none"/>
        </w:rPr>
      </w:pPr>
      <w:bookmarkStart w:id="148" w:name="_Toc20501"/>
      <w:r>
        <w:rPr>
          <w:rFonts w:hint="eastAsia" w:ascii="Arial" w:hAnsi="Arial"/>
          <w:b/>
          <w:bCs/>
          <w:color w:val="auto"/>
          <w:sz w:val="28"/>
          <w:szCs w:val="28"/>
          <w:highlight w:val="none"/>
        </w:rPr>
        <w:t>4.1承包人的一般义务</w:t>
      </w:r>
      <w:bookmarkEnd w:id="148"/>
    </w:p>
    <w:p w14:paraId="540A2CD6">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4.1.9工程的维护和照管</w:t>
      </w:r>
    </w:p>
    <w:p w14:paraId="2566E3FD">
      <w:pPr>
        <w:spacing w:line="400" w:lineRule="exact"/>
        <w:ind w:firstLine="480"/>
        <w:rPr>
          <w:color w:val="auto"/>
          <w:highlight w:val="none"/>
        </w:rPr>
      </w:pPr>
      <w:r>
        <w:rPr>
          <w:rFonts w:hint="eastAsia"/>
          <w:color w:val="auto"/>
          <w:highlight w:val="none"/>
        </w:rPr>
        <w:t>本项细化为：</w:t>
      </w:r>
    </w:p>
    <w:p w14:paraId="77451701">
      <w:pPr>
        <w:spacing w:line="400" w:lineRule="exact"/>
        <w:ind w:firstLine="480"/>
        <w:rPr>
          <w:color w:val="auto"/>
          <w:highlight w:val="none"/>
        </w:rPr>
      </w:pPr>
      <w:r>
        <w:rPr>
          <w:rFonts w:hint="eastAsia"/>
          <w:color w:val="auto"/>
          <w:highlight w:val="none"/>
        </w:rPr>
        <w:t>（1）交工验收证书颁发前，承包人应负责照管和维护工程及将用于或安装在本工程中的材料、设备。交工验收证书颁发时尚有部分未交工工程的，承包人还应负责该未交工工程、材料、设备的照管和维护工作，直至交工后移交给发包人为止。</w:t>
      </w:r>
    </w:p>
    <w:p w14:paraId="3090871D">
      <w:pPr>
        <w:spacing w:line="400" w:lineRule="exact"/>
        <w:ind w:firstLine="480"/>
        <w:rPr>
          <w:color w:val="auto"/>
          <w:highlight w:val="none"/>
        </w:rPr>
      </w:pPr>
      <w:r>
        <w:rPr>
          <w:rFonts w:hint="eastAsia"/>
          <w:color w:val="auto"/>
          <w:highlight w:val="none"/>
        </w:rPr>
        <w:t>（2）在承包人负责照管与维护期间，如果本工程或材料、设备等发生损失或损害，除不可抗力原因之外，承包人均应自费弥补，并达到合同要求。承包人还应对按第 19 条规定而实施作业过程中由承包人造成的对工程的任何损失或损害负责。</w:t>
      </w:r>
    </w:p>
    <w:p w14:paraId="339C1FDB">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4.1.10其他义务</w:t>
      </w:r>
    </w:p>
    <w:p w14:paraId="077ED081">
      <w:pPr>
        <w:spacing w:line="400" w:lineRule="exact"/>
        <w:ind w:firstLine="480"/>
        <w:rPr>
          <w:color w:val="auto"/>
          <w:highlight w:val="none"/>
        </w:rPr>
      </w:pPr>
      <w:r>
        <w:rPr>
          <w:rFonts w:hint="eastAsia"/>
          <w:color w:val="auto"/>
          <w:highlight w:val="none"/>
        </w:rPr>
        <w:t>本项细化为：</w:t>
      </w:r>
    </w:p>
    <w:p w14:paraId="2711A454">
      <w:pPr>
        <w:spacing w:line="400" w:lineRule="exact"/>
        <w:ind w:firstLine="480"/>
        <w:rPr>
          <w:color w:val="auto"/>
          <w:highlight w:val="none"/>
        </w:rPr>
      </w:pPr>
      <w:r>
        <w:rPr>
          <w:rFonts w:hint="eastAsia"/>
          <w:color w:val="auto"/>
          <w:highlight w:val="none"/>
        </w:rPr>
        <w:t>（1）临时占地由承包人向当地政府土地管理部门申请，并办理租用手续，承包人按有关规定直接支付其费用，发包人对此将予以协调。</w:t>
      </w:r>
    </w:p>
    <w:p w14:paraId="6AD9FE95">
      <w:pPr>
        <w:spacing w:line="400" w:lineRule="exact"/>
        <w:ind w:firstLine="480"/>
        <w:rPr>
          <w:color w:val="auto"/>
          <w:highlight w:val="none"/>
        </w:rPr>
      </w:pPr>
      <w:r>
        <w:rPr>
          <w:rFonts w:hint="eastAsia"/>
          <w:color w:val="auto"/>
          <w:highlight w:val="none"/>
        </w:rPr>
        <w:t>临时占地范围包括承包人驻地的办公室、食堂、宿舍、道路和机械设备停放场、材料堆放场地、弃土场、预制场、拌和场、仓库、进场临时道路、临时便道、便桥等。承包人应在“临时占地计划表”范围内按实际需要与先后次序，提出具体计划报监理人同意，并报发包人。临时占地的面积和使用期应满足工程需要，费用包括临时占地数量、时间及因此而发生的协调、租用、复耕、地面附着物（电力、电信、房屋、坟墓除外）的拆迁补偿等相关费用。除项目专用合同条款另有约定外，临时占地的租地费用实行总额包干，列入工程量清单第 100 章中由承包人按总额报价。</w:t>
      </w:r>
    </w:p>
    <w:p w14:paraId="480892B0">
      <w:pPr>
        <w:spacing w:line="400" w:lineRule="exact"/>
        <w:ind w:firstLine="480"/>
        <w:rPr>
          <w:color w:val="auto"/>
          <w:highlight w:val="none"/>
        </w:rPr>
      </w:pPr>
      <w:r>
        <w:rPr>
          <w:rFonts w:hint="eastAsia"/>
          <w:color w:val="auto"/>
          <w:highlight w:val="none"/>
        </w:rPr>
        <w:t>临时占地退还前，承包人应自费恢复到临时占地使用前的状况。如因承包人撤离后未按要求对临时占地进行恢复或虽进行了恢复但未达到使用标准的，将由发包人委托第三方对其恢复，所发生的费用将从应付给承包人的任何款项内扣除。</w:t>
      </w:r>
    </w:p>
    <w:p w14:paraId="0BF04DD2">
      <w:pPr>
        <w:spacing w:line="400" w:lineRule="exact"/>
        <w:ind w:firstLine="480"/>
        <w:rPr>
          <w:color w:val="auto"/>
          <w:highlight w:val="none"/>
        </w:rPr>
      </w:pPr>
      <w:r>
        <w:rPr>
          <w:rFonts w:hint="eastAsia"/>
          <w:color w:val="auto"/>
          <w:highlight w:val="none"/>
        </w:rPr>
        <w:t>（2）除项目专用合同条款另有约定外，承包人应承担并支付为获得本合同工程所需的石料、砂、砾石、黏土或其他当地材料等所发生的料场使用费及其他开支或补偿费。发包人应尽可能协助承包人办理料场租用手续及解决使用过程中的有关问题。</w:t>
      </w:r>
    </w:p>
    <w:p w14:paraId="1CE629A3">
      <w:pPr>
        <w:spacing w:line="400" w:lineRule="exact"/>
        <w:ind w:firstLine="480"/>
        <w:rPr>
          <w:color w:val="auto"/>
          <w:highlight w:val="none"/>
        </w:rPr>
      </w:pPr>
      <w:r>
        <w:rPr>
          <w:rFonts w:hint="eastAsia"/>
          <w:color w:val="auto"/>
          <w:highlight w:val="none"/>
        </w:rPr>
        <w:t>（3）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公路建设市场信用信息管理系统。承包人的项目经理部是民工工资支付行为的主体，承包人的项目经理是民工工资</w:t>
      </w:r>
    </w:p>
    <w:p w14:paraId="44D81C78">
      <w:pPr>
        <w:spacing w:line="400" w:lineRule="exact"/>
        <w:ind w:firstLine="480"/>
        <w:rPr>
          <w:color w:val="auto"/>
          <w:highlight w:val="none"/>
        </w:rPr>
      </w:pPr>
      <w:r>
        <w:rPr>
          <w:rFonts w:hint="eastAsia"/>
          <w:color w:val="auto"/>
          <w:highlight w:val="none"/>
        </w:rPr>
        <w:t>支付的责任人。项目经理部要建立全体民工花名册和工资支付表，确保将工资直接发放给民工本人，或委托银行发放民工工资，严禁发放给“包工头”或其他不具备用工主体资格的组织和个人。</w:t>
      </w:r>
    </w:p>
    <w:p w14:paraId="31C901A9">
      <w:pPr>
        <w:spacing w:line="400" w:lineRule="exact"/>
        <w:ind w:firstLine="480"/>
        <w:rPr>
          <w:color w:val="auto"/>
          <w:highlight w:val="none"/>
        </w:rPr>
      </w:pPr>
      <w:r>
        <w:rPr>
          <w:rFonts w:hint="eastAsia"/>
          <w:color w:val="auto"/>
          <w:highlight w:val="none"/>
        </w:rPr>
        <w:t>工资支付表应如实记录支付单位、支付时间、支付对象、支付数额、支付对象的身份证号和签字等信息。民工花名册和工资支付表应报监理人备查。</w:t>
      </w:r>
    </w:p>
    <w:p w14:paraId="0751709D">
      <w:pPr>
        <w:spacing w:line="400" w:lineRule="exact"/>
        <w:ind w:firstLine="480"/>
        <w:rPr>
          <w:color w:val="auto"/>
          <w:highlight w:val="none"/>
        </w:rPr>
      </w:pPr>
      <w:r>
        <w:rPr>
          <w:rFonts w:hint="eastAsia"/>
          <w:color w:val="auto"/>
          <w:highlight w:val="none"/>
        </w:rPr>
        <w:t>（4）承包人应分解工程价款中的人工费用，在工程项目所在地银行开设民工工资（劳务费）专用账户，专项用于支付民工工资。发包人应按照本合同约定的比例或承包人提供的人工费用数额，将应付工程款中的人工费单独拨付到承包人开设的民工工资（劳务费）专用账户。民工工资（劳务费）专用账户应向人力资源社会保障部门和交通运输主管部门备案，并委托开户银行负责日常监管，确保专款专用。开户银行发现账户资金不足、被挪用等情况，应及时向人力资源社会保障部门和交通运输主管部门报告。</w:t>
      </w:r>
    </w:p>
    <w:p w14:paraId="5A59DDB2">
      <w:pPr>
        <w:spacing w:line="400" w:lineRule="exact"/>
        <w:ind w:firstLine="480"/>
        <w:rPr>
          <w:color w:val="auto"/>
          <w:highlight w:val="none"/>
        </w:rPr>
      </w:pPr>
      <w:r>
        <w:rPr>
          <w:rFonts w:hint="eastAsia"/>
          <w:color w:val="auto"/>
          <w:highlight w:val="none"/>
        </w:rPr>
        <w:t>（5）承包人应严格执行磋商文件技术规范对施工标准化提出的具体要求，结合本单位施工能力和技术优势，积极采取有利于标准化施工的组织方式和工艺流程， 加强工地建设、工艺控制、人员管理和内业资料管理，强化对施工一线操作人员的培训，改善职工生产生活条件，与此相关的费用承包人应列入工程量清单第 100 章中。</w:t>
      </w:r>
    </w:p>
    <w:p w14:paraId="449AEB60">
      <w:pPr>
        <w:spacing w:line="400" w:lineRule="exact"/>
        <w:ind w:firstLine="480"/>
        <w:rPr>
          <w:color w:val="auto"/>
          <w:highlight w:val="none"/>
        </w:rPr>
      </w:pPr>
      <w:r>
        <w:rPr>
          <w:rFonts w:hint="eastAsia"/>
          <w:color w:val="auto"/>
          <w:highlight w:val="none"/>
        </w:rPr>
        <w:t>（6）承包人应履行项目专用合同条款约定的其他义务。</w:t>
      </w:r>
    </w:p>
    <w:p w14:paraId="0644A96E">
      <w:pPr>
        <w:keepNext/>
        <w:keepLines/>
        <w:spacing w:line="400" w:lineRule="exact"/>
        <w:outlineLvl w:val="3"/>
        <w:rPr>
          <w:rFonts w:ascii="Arial" w:hAnsi="Arial"/>
          <w:b/>
          <w:bCs/>
          <w:color w:val="auto"/>
          <w:sz w:val="28"/>
          <w:szCs w:val="28"/>
          <w:highlight w:val="none"/>
        </w:rPr>
      </w:pPr>
      <w:bookmarkStart w:id="149" w:name="_Toc31637"/>
      <w:r>
        <w:rPr>
          <w:rFonts w:hint="eastAsia" w:ascii="Arial" w:hAnsi="Arial"/>
          <w:b/>
          <w:bCs/>
          <w:color w:val="auto"/>
          <w:sz w:val="28"/>
          <w:szCs w:val="28"/>
          <w:highlight w:val="none"/>
        </w:rPr>
        <w:t>4.2履约保证金</w:t>
      </w:r>
      <w:bookmarkEnd w:id="149"/>
    </w:p>
    <w:p w14:paraId="1324957D">
      <w:pPr>
        <w:spacing w:line="400" w:lineRule="exact"/>
        <w:ind w:firstLine="480"/>
        <w:rPr>
          <w:color w:val="auto"/>
          <w:highlight w:val="none"/>
        </w:rPr>
      </w:pPr>
      <w:r>
        <w:rPr>
          <w:rFonts w:hint="eastAsia"/>
          <w:color w:val="auto"/>
          <w:highlight w:val="none"/>
        </w:rPr>
        <w:t>本款细化为：</w:t>
      </w:r>
    </w:p>
    <w:p w14:paraId="7D879C8C">
      <w:pPr>
        <w:spacing w:line="400" w:lineRule="exact"/>
        <w:ind w:firstLine="480"/>
        <w:rPr>
          <w:color w:val="auto"/>
          <w:highlight w:val="none"/>
        </w:rPr>
      </w:pPr>
      <w:r>
        <w:rPr>
          <w:rFonts w:hint="eastAsia"/>
          <w:color w:val="auto"/>
          <w:highlight w:val="none"/>
        </w:rPr>
        <w:t>承包人应保证其履约保证金在发包人签发交工验收证书且承包人按照合同约定缴纳质量保证金前一直有效。发包人应在收到承包人缴纳的质量保证金后 28 天内将履约保证金退还给承包人。</w:t>
      </w:r>
    </w:p>
    <w:p w14:paraId="568D9348">
      <w:pPr>
        <w:spacing w:line="400" w:lineRule="exact"/>
        <w:ind w:firstLine="480"/>
        <w:rPr>
          <w:color w:val="auto"/>
          <w:highlight w:val="none"/>
        </w:rPr>
      </w:pPr>
      <w:r>
        <w:rPr>
          <w:rFonts w:hint="eastAsia"/>
          <w:color w:val="auto"/>
          <w:highlight w:val="none"/>
        </w:rPr>
        <w:t>承包人拒绝按照本合同约定缴纳质量保证金的，发包人有权从交工付款证书中扣留相应金额作为质量保证金，或者直接将履约保证金金额用于保证承包人在缺陷责任期内履行缺陷修复义务。</w:t>
      </w:r>
    </w:p>
    <w:p w14:paraId="105804B4">
      <w:pPr>
        <w:keepNext/>
        <w:keepLines/>
        <w:spacing w:line="400" w:lineRule="exact"/>
        <w:outlineLvl w:val="3"/>
        <w:rPr>
          <w:rFonts w:ascii="Arial" w:hAnsi="Arial"/>
          <w:b/>
          <w:bCs/>
          <w:color w:val="auto"/>
          <w:sz w:val="28"/>
          <w:szCs w:val="28"/>
          <w:highlight w:val="none"/>
        </w:rPr>
      </w:pPr>
      <w:bookmarkStart w:id="150" w:name="_Toc8441"/>
      <w:r>
        <w:rPr>
          <w:rFonts w:hint="eastAsia" w:ascii="Arial" w:hAnsi="Arial"/>
          <w:b/>
          <w:bCs/>
          <w:color w:val="auto"/>
          <w:sz w:val="28"/>
          <w:szCs w:val="28"/>
          <w:highlight w:val="none"/>
        </w:rPr>
        <w:t>4.3分包</w:t>
      </w:r>
      <w:bookmarkEnd w:id="150"/>
    </w:p>
    <w:p w14:paraId="1BB9352D">
      <w:pPr>
        <w:spacing w:line="400" w:lineRule="exact"/>
        <w:ind w:firstLine="210" w:firstLineChars="100"/>
        <w:rPr>
          <w:rFonts w:hint="eastAsia" w:ascii="宋体" w:hAnsi="宋体"/>
          <w:color w:val="auto"/>
          <w:highlight w:val="none"/>
        </w:rPr>
      </w:pPr>
      <w:r>
        <w:rPr>
          <w:rFonts w:hint="eastAsia" w:ascii="宋体" w:hAnsi="宋体"/>
          <w:color w:val="auto"/>
          <w:highlight w:val="none"/>
        </w:rPr>
        <w:t>第 4.3.2 项～第 4.3.4 项细化为：</w:t>
      </w:r>
    </w:p>
    <w:p w14:paraId="2B39B346">
      <w:pPr>
        <w:spacing w:line="400" w:lineRule="exact"/>
        <w:ind w:firstLine="420" w:firstLineChars="200"/>
        <w:rPr>
          <w:rFonts w:hint="eastAsia" w:ascii="宋体" w:hAnsi="宋体"/>
          <w:color w:val="auto"/>
          <w:highlight w:val="none"/>
        </w:rPr>
      </w:pPr>
      <w:r>
        <w:rPr>
          <w:rFonts w:hint="eastAsia" w:ascii="宋体" w:hAnsi="宋体"/>
          <w:color w:val="auto"/>
          <w:highlight w:val="none"/>
        </w:rPr>
        <w:t>4.3.2承包人不得将工程关键性工作分包给第三人。经发包人同意，承包人可将工程的其他部分或工作分包给第三人。分包包括专业分包和劳务分包。</w:t>
      </w:r>
    </w:p>
    <w:p w14:paraId="5F9F598C">
      <w:pPr>
        <w:spacing w:line="400" w:lineRule="exact"/>
        <w:ind w:firstLine="420" w:firstLineChars="200"/>
        <w:rPr>
          <w:rFonts w:hint="eastAsia" w:ascii="宋体" w:hAnsi="宋体"/>
          <w:color w:val="auto"/>
          <w:highlight w:val="none"/>
        </w:rPr>
      </w:pPr>
      <w:r>
        <w:rPr>
          <w:rFonts w:hint="eastAsia" w:ascii="宋体" w:hAnsi="宋体"/>
          <w:color w:val="auto"/>
          <w:highlight w:val="none"/>
        </w:rPr>
        <w:t>4.3.3专业分包</w:t>
      </w:r>
    </w:p>
    <w:p w14:paraId="7F3B36E2">
      <w:pPr>
        <w:spacing w:line="400" w:lineRule="exact"/>
        <w:ind w:firstLine="480"/>
        <w:rPr>
          <w:rFonts w:hint="eastAsia" w:ascii="宋体" w:hAnsi="宋体"/>
          <w:color w:val="auto"/>
          <w:highlight w:val="none"/>
        </w:rPr>
      </w:pPr>
      <w:r>
        <w:rPr>
          <w:rFonts w:hint="eastAsia" w:ascii="宋体" w:hAnsi="宋体"/>
          <w:color w:val="auto"/>
          <w:highlight w:val="none"/>
        </w:rPr>
        <w:t>在工程施工过程中，承包人进行专业分包必须遵守以下规定：</w:t>
      </w:r>
    </w:p>
    <w:p w14:paraId="1DB572F1">
      <w:pPr>
        <w:spacing w:line="400" w:lineRule="exact"/>
        <w:ind w:firstLine="480"/>
        <w:rPr>
          <w:rFonts w:hint="eastAsia" w:ascii="宋体" w:hAnsi="宋体"/>
          <w:color w:val="auto"/>
          <w:highlight w:val="none"/>
        </w:rPr>
      </w:pPr>
      <w:r>
        <w:rPr>
          <w:rFonts w:hint="eastAsia" w:ascii="宋体" w:hAnsi="宋体"/>
          <w:color w:val="auto"/>
          <w:highlight w:val="none"/>
        </w:rPr>
        <w:t>（1）允许专业分包的工程范围仅限于非关键性工程或者适合专业化队伍施工的专项工程。未列入响应文件的专项工程，承包人不得分包。但因工程变更增加了有特殊性技术要求、特殊工艺或者涉及专利保护等的专项工程，且按规定无须再进行采购的，由承包人提出书面申请，经发包人书面同意，可以分包。</w:t>
      </w:r>
    </w:p>
    <w:p w14:paraId="55073E53">
      <w:pPr>
        <w:spacing w:line="400" w:lineRule="exact"/>
        <w:ind w:firstLine="480"/>
        <w:rPr>
          <w:color w:val="auto"/>
          <w:highlight w:val="none"/>
        </w:rPr>
      </w:pPr>
      <w:r>
        <w:rPr>
          <w:rFonts w:hint="eastAsia"/>
          <w:color w:val="auto"/>
          <w:highlight w:val="none"/>
        </w:rPr>
        <w:t>（2）专业分包人的资格能力（含安全生产能力）应与其分包工程的标准和规模相适应，且应当具备如下条件：</w:t>
      </w:r>
    </w:p>
    <w:p w14:paraId="11EEC787">
      <w:pPr>
        <w:spacing w:line="400" w:lineRule="exact"/>
        <w:ind w:firstLine="480"/>
        <w:rPr>
          <w:color w:val="auto"/>
          <w:highlight w:val="none"/>
        </w:rPr>
      </w:pPr>
      <w:r>
        <w:rPr>
          <w:rFonts w:hint="eastAsia"/>
          <w:color w:val="auto"/>
          <w:highlight w:val="none"/>
        </w:rPr>
        <w:t>a.具有经工商登记的法人资格；</w:t>
      </w:r>
    </w:p>
    <w:p w14:paraId="10694390">
      <w:pPr>
        <w:spacing w:line="400" w:lineRule="exact"/>
        <w:ind w:firstLine="480"/>
        <w:rPr>
          <w:color w:val="auto"/>
          <w:highlight w:val="none"/>
        </w:rPr>
      </w:pPr>
      <w:r>
        <w:rPr>
          <w:rFonts w:hint="eastAsia"/>
          <w:color w:val="auto"/>
          <w:highlight w:val="none"/>
        </w:rPr>
        <w:t>b.具有从事类似工程经验的管理与技术人员；</w:t>
      </w:r>
    </w:p>
    <w:p w14:paraId="3151A3A9">
      <w:pPr>
        <w:spacing w:line="400" w:lineRule="exact"/>
        <w:ind w:firstLine="480"/>
        <w:rPr>
          <w:color w:val="auto"/>
          <w:highlight w:val="none"/>
        </w:rPr>
      </w:pPr>
      <w:r>
        <w:rPr>
          <w:rFonts w:hint="eastAsia"/>
          <w:color w:val="auto"/>
          <w:highlight w:val="none"/>
        </w:rPr>
        <w:t>c.具有（自有或租赁）分包工程所需的施工设备。</w:t>
      </w:r>
    </w:p>
    <w:p w14:paraId="240054A7">
      <w:pPr>
        <w:spacing w:line="400" w:lineRule="exact"/>
        <w:ind w:firstLine="480"/>
        <w:rPr>
          <w:color w:val="auto"/>
          <w:highlight w:val="none"/>
        </w:rPr>
      </w:pPr>
      <w:r>
        <w:rPr>
          <w:rFonts w:hint="eastAsia"/>
          <w:color w:val="auto"/>
          <w:highlight w:val="none"/>
        </w:rPr>
        <w:t>承包人应向监理人提交专业分包人的资格能力证明材料，经监理人审查并报发包人批准后，可以将相应专业工程分包给该专业分包人。</w:t>
      </w:r>
    </w:p>
    <w:p w14:paraId="3BBC3E5E">
      <w:pPr>
        <w:spacing w:line="400" w:lineRule="exact"/>
        <w:ind w:firstLine="480"/>
        <w:rPr>
          <w:color w:val="auto"/>
          <w:highlight w:val="none"/>
        </w:rPr>
      </w:pPr>
      <w:r>
        <w:rPr>
          <w:rFonts w:hint="eastAsia"/>
          <w:color w:val="auto"/>
          <w:highlight w:val="none"/>
        </w:rPr>
        <w:t>（3）专业分包工程不得再次分包。</w:t>
      </w:r>
    </w:p>
    <w:p w14:paraId="3FB182BA">
      <w:pPr>
        <w:spacing w:line="400" w:lineRule="exact"/>
        <w:ind w:firstLine="480"/>
        <w:rPr>
          <w:color w:val="auto"/>
          <w:highlight w:val="none"/>
        </w:rPr>
      </w:pPr>
      <w:r>
        <w:rPr>
          <w:rFonts w:hint="eastAsia"/>
          <w:color w:val="auto"/>
          <w:highlight w:val="none"/>
        </w:rPr>
        <w:t>（4）承包人和专业分包人应当按照交通运输主管部门制定的统一格式依法签订专业分包合同，并履行合同约定的义务。专业分包合同必须遵循承包合同的各项原则，满足承包合同中的质量、安全、进度、环保以及其他技术、经济等要求。专业分包合同必须明确约定工程款支付条款、结算方式以及保证按期支付的相应措施，确保工程款的支付。承包人应在工程实施前，将经监理人审查同意后的分包合同报发包人备案。</w:t>
      </w:r>
    </w:p>
    <w:p w14:paraId="17F0E699">
      <w:pPr>
        <w:spacing w:line="400" w:lineRule="exact"/>
        <w:ind w:firstLine="480"/>
        <w:rPr>
          <w:color w:val="auto"/>
          <w:highlight w:val="none"/>
        </w:rPr>
      </w:pPr>
      <w:r>
        <w:rPr>
          <w:rFonts w:hint="eastAsia"/>
          <w:color w:val="auto"/>
          <w:highlight w:val="none"/>
        </w:rPr>
        <w:t>（5）专业分包人应当设立项目管理机构，对所分包工程的施工活动实施管理。项目管理机构应当具有与分包工程的规模、技术复杂程度相适应的技术、经济管理人员，其中项目负责人和技术、财务、计量、质量、安全等主要管理人员必须是专业分包人本单位人员。</w:t>
      </w:r>
    </w:p>
    <w:p w14:paraId="0FCB4AEF">
      <w:pPr>
        <w:spacing w:line="400" w:lineRule="exact"/>
        <w:ind w:firstLine="480"/>
        <w:rPr>
          <w:color w:val="auto"/>
          <w:highlight w:val="none"/>
        </w:rPr>
      </w:pPr>
      <w:r>
        <w:rPr>
          <w:rFonts w:hint="eastAsia"/>
          <w:color w:val="auto"/>
          <w:highlight w:val="none"/>
        </w:rPr>
        <w:t>（6）承包人应当建立健全相关分包管理制度和台账，对专业分包工程的质量、安全、进度和专业分包人的行为等实施全过程管理，按照合同约定对专业分包工程的实施向发包人负责，并承担赔偿责任。专业分包合同不免除承包合同中规定的承包人的责任或者义务。</w:t>
      </w:r>
    </w:p>
    <w:p w14:paraId="05067404">
      <w:pPr>
        <w:spacing w:line="400" w:lineRule="exact"/>
        <w:ind w:firstLine="480"/>
        <w:rPr>
          <w:color w:val="auto"/>
          <w:highlight w:val="none"/>
        </w:rPr>
      </w:pPr>
      <w:r>
        <w:rPr>
          <w:rFonts w:hint="eastAsia"/>
          <w:color w:val="auto"/>
          <w:highlight w:val="none"/>
        </w:rPr>
        <w:t>（7）专业分包人应当依据专业分包合同的约定，组织分包工程的施工，并对分包工程的质量、安全和进度等实施有效控制。专业分包人对其分包的工程向承包人负责，并就所分包的工程向发包人承担连带责任。</w:t>
      </w:r>
    </w:p>
    <w:p w14:paraId="639D71FA">
      <w:pPr>
        <w:spacing w:line="400" w:lineRule="exact"/>
        <w:ind w:firstLine="480"/>
        <w:rPr>
          <w:color w:val="auto"/>
          <w:highlight w:val="none"/>
        </w:rPr>
      </w:pPr>
      <w:r>
        <w:rPr>
          <w:rFonts w:hint="eastAsia"/>
          <w:color w:val="auto"/>
          <w:highlight w:val="none"/>
        </w:rPr>
        <w:t>（8）承包人对施工现场安全负总责，并对专业分包人的安全生产进行培训和管理。专业分包人应将其专业分包工程的施工组织设计和施工安全方案报承包人备案。专业分包人对分包施工现场安全负责，发现事故隐患，应及时处理。</w:t>
      </w:r>
    </w:p>
    <w:p w14:paraId="2A2A6A53">
      <w:pPr>
        <w:spacing w:line="400" w:lineRule="exact"/>
        <w:ind w:firstLine="480"/>
        <w:rPr>
          <w:color w:val="auto"/>
          <w:highlight w:val="none"/>
        </w:rPr>
      </w:pPr>
      <w:r>
        <w:rPr>
          <w:rFonts w:hint="eastAsia"/>
          <w:color w:val="auto"/>
          <w:highlight w:val="none"/>
        </w:rPr>
        <w:t>违反上述规定之一者属违规分包。</w:t>
      </w:r>
    </w:p>
    <w:p w14:paraId="383DB836">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4.3.4劳务分包</w:t>
      </w:r>
    </w:p>
    <w:p w14:paraId="32D0C317">
      <w:pPr>
        <w:spacing w:line="400" w:lineRule="exact"/>
        <w:ind w:firstLine="480"/>
        <w:rPr>
          <w:color w:val="auto"/>
          <w:highlight w:val="none"/>
        </w:rPr>
      </w:pPr>
      <w:r>
        <w:rPr>
          <w:rFonts w:hint="eastAsia"/>
          <w:color w:val="auto"/>
          <w:highlight w:val="none"/>
        </w:rPr>
        <w:t>在工程施工过程中，承包人进行劳务分包必须遵守以下规定：</w:t>
      </w:r>
    </w:p>
    <w:p w14:paraId="0DD90A2C">
      <w:pPr>
        <w:spacing w:line="400" w:lineRule="exact"/>
        <w:ind w:firstLine="480"/>
        <w:rPr>
          <w:color w:val="auto"/>
          <w:highlight w:val="none"/>
        </w:rPr>
      </w:pPr>
      <w:r>
        <w:rPr>
          <w:rFonts w:hint="eastAsia"/>
          <w:color w:val="auto"/>
          <w:highlight w:val="none"/>
        </w:rPr>
        <w:t>（1）劳务分包人应具有施工劳务资质。</w:t>
      </w:r>
    </w:p>
    <w:p w14:paraId="5A67F208">
      <w:pPr>
        <w:spacing w:line="400" w:lineRule="exact"/>
        <w:ind w:firstLine="480"/>
        <w:rPr>
          <w:color w:val="auto"/>
          <w:highlight w:val="none"/>
        </w:rPr>
      </w:pPr>
      <w:r>
        <w:rPr>
          <w:rFonts w:hint="eastAsia"/>
          <w:color w:val="auto"/>
          <w:highlight w:val="none"/>
        </w:rPr>
        <w:t>（2）劳务分包应当依法签订劳务分包合同，劳务分包合同必须由承包人的法定代表人或其委托代理人与劳务分包人直接签订，不得由他人代签。承包人的项目经理部、项目经理、施工班组等不具备用工主体资格，不能与劳务分包人签订劳务分包合同。承包人应向发包人和监理人提交劳务分包合同副本并报项目所在地劳动保障部门备案。</w:t>
      </w:r>
    </w:p>
    <w:p w14:paraId="60BCF1A6">
      <w:pPr>
        <w:spacing w:line="400" w:lineRule="exact"/>
        <w:ind w:firstLine="480"/>
        <w:rPr>
          <w:color w:val="auto"/>
          <w:highlight w:val="none"/>
        </w:rPr>
      </w:pPr>
      <w:r>
        <w:rPr>
          <w:rFonts w:hint="eastAsia"/>
          <w:color w:val="auto"/>
          <w:highlight w:val="none"/>
        </w:rPr>
        <w:t>（3）承包人雇用的劳务作业应加入到承包人的施工班组统一管理。有关施工质量、施工安全、施工进度、环境保护、技术方案、试验检测、材料保管与供应、机械设备等都必须由承包人管理与调配，不得以包代管。</w:t>
      </w:r>
    </w:p>
    <w:p w14:paraId="4B8F57DA">
      <w:pPr>
        <w:spacing w:line="400" w:lineRule="exact"/>
        <w:ind w:firstLine="480"/>
        <w:rPr>
          <w:color w:val="auto"/>
          <w:highlight w:val="none"/>
        </w:rPr>
      </w:pPr>
      <w:r>
        <w:rPr>
          <w:rFonts w:hint="eastAsia"/>
          <w:color w:val="auto"/>
          <w:highlight w:val="none"/>
        </w:rPr>
        <w:t>（4）承包人应当对劳务分包人员进行安全培训和管理，劳务分包人不得将其分包的劳务作业再次分包。</w:t>
      </w:r>
    </w:p>
    <w:p w14:paraId="552A2B46">
      <w:pPr>
        <w:spacing w:line="400" w:lineRule="exact"/>
        <w:ind w:firstLine="480"/>
        <w:rPr>
          <w:color w:val="auto"/>
          <w:highlight w:val="none"/>
        </w:rPr>
      </w:pPr>
      <w:r>
        <w:rPr>
          <w:rFonts w:hint="eastAsia"/>
          <w:color w:val="auto"/>
          <w:highlight w:val="none"/>
        </w:rPr>
        <w:t>违反上述规定之一者属违规分包。</w:t>
      </w:r>
    </w:p>
    <w:p w14:paraId="4DCAF78B">
      <w:pPr>
        <w:spacing w:line="400" w:lineRule="exact"/>
        <w:ind w:firstLine="480"/>
        <w:rPr>
          <w:color w:val="auto"/>
          <w:highlight w:val="none"/>
        </w:rPr>
      </w:pPr>
      <w:r>
        <w:rPr>
          <w:rFonts w:hint="eastAsia"/>
          <w:color w:val="auto"/>
          <w:highlight w:val="none"/>
        </w:rPr>
        <w:t>本款补充第 4.3.6 项、第 4.3.7 项：</w:t>
      </w:r>
    </w:p>
    <w:p w14:paraId="7E876489">
      <w:pPr>
        <w:spacing w:line="400" w:lineRule="exact"/>
        <w:ind w:firstLine="210" w:firstLineChars="100"/>
        <w:rPr>
          <w:rFonts w:hint="eastAsia" w:ascii="宋体" w:hAnsi="宋体"/>
          <w:color w:val="auto"/>
          <w:highlight w:val="none"/>
        </w:rPr>
      </w:pPr>
      <w:r>
        <w:rPr>
          <w:rFonts w:hint="eastAsia" w:ascii="宋体" w:hAnsi="宋体"/>
          <w:color w:val="auto"/>
          <w:highlight w:val="none"/>
        </w:rPr>
        <w:t>4.3.6发包人对承包人与分包人之间的法律与经济纠纷不承担任何责任和义务。</w:t>
      </w:r>
    </w:p>
    <w:p w14:paraId="2B28E231">
      <w:pPr>
        <w:spacing w:line="400" w:lineRule="exact"/>
        <w:ind w:firstLine="210" w:firstLineChars="100"/>
        <w:rPr>
          <w:color w:val="auto"/>
          <w:highlight w:val="none"/>
        </w:rPr>
      </w:pPr>
      <w:r>
        <w:rPr>
          <w:rFonts w:hint="eastAsia" w:ascii="宋体" w:hAnsi="宋体"/>
          <w:color w:val="auto"/>
          <w:highlight w:val="none"/>
        </w:rPr>
        <w:t>4.3.7本项目的各项分包工作均应遵守《公路工程施工分包管理办法》的有关规定。</w:t>
      </w:r>
    </w:p>
    <w:p w14:paraId="5A7A468B">
      <w:pPr>
        <w:keepNext/>
        <w:keepLines/>
        <w:spacing w:line="400" w:lineRule="exact"/>
        <w:outlineLvl w:val="3"/>
        <w:rPr>
          <w:rFonts w:ascii="Arial" w:hAnsi="Arial"/>
          <w:b/>
          <w:bCs/>
          <w:color w:val="auto"/>
          <w:sz w:val="28"/>
          <w:szCs w:val="28"/>
          <w:highlight w:val="none"/>
        </w:rPr>
      </w:pPr>
      <w:bookmarkStart w:id="151" w:name="_Toc660"/>
      <w:r>
        <w:rPr>
          <w:rFonts w:hint="eastAsia" w:ascii="Arial" w:hAnsi="Arial"/>
          <w:b/>
          <w:bCs/>
          <w:color w:val="auto"/>
          <w:sz w:val="28"/>
          <w:szCs w:val="28"/>
          <w:highlight w:val="none"/>
        </w:rPr>
        <w:t>4.4联合体</w:t>
      </w:r>
      <w:bookmarkEnd w:id="151"/>
    </w:p>
    <w:p w14:paraId="1FF12D0C">
      <w:pPr>
        <w:spacing w:line="400" w:lineRule="exact"/>
        <w:ind w:firstLine="480"/>
        <w:rPr>
          <w:color w:val="auto"/>
          <w:highlight w:val="none"/>
        </w:rPr>
      </w:pPr>
      <w:r>
        <w:rPr>
          <w:rFonts w:hint="eastAsia"/>
          <w:color w:val="auto"/>
          <w:highlight w:val="none"/>
        </w:rPr>
        <w:t>本款补充第 4.4.4 项：</w:t>
      </w:r>
    </w:p>
    <w:p w14:paraId="0259E414">
      <w:pPr>
        <w:spacing w:line="400" w:lineRule="exact"/>
        <w:ind w:firstLine="420" w:firstLineChars="200"/>
        <w:rPr>
          <w:rFonts w:hint="eastAsia" w:ascii="宋体" w:hAnsi="宋体"/>
          <w:color w:val="auto"/>
          <w:highlight w:val="none"/>
        </w:rPr>
      </w:pPr>
      <w:r>
        <w:rPr>
          <w:rFonts w:hint="eastAsia" w:ascii="宋体" w:hAnsi="宋体"/>
          <w:color w:val="auto"/>
          <w:highlight w:val="none"/>
        </w:rPr>
        <w:t>4.4.4 未经发包人事先同意，联合体的组成与结构不得变动。</w:t>
      </w:r>
    </w:p>
    <w:p w14:paraId="4D8F8804">
      <w:pPr>
        <w:keepNext/>
        <w:keepLines/>
        <w:spacing w:line="400" w:lineRule="exact"/>
        <w:outlineLvl w:val="3"/>
        <w:rPr>
          <w:rFonts w:ascii="Arial" w:hAnsi="Arial"/>
          <w:b/>
          <w:bCs/>
          <w:color w:val="auto"/>
          <w:sz w:val="28"/>
          <w:szCs w:val="28"/>
          <w:highlight w:val="none"/>
        </w:rPr>
      </w:pPr>
      <w:bookmarkStart w:id="152" w:name="_Toc19492"/>
      <w:r>
        <w:rPr>
          <w:rFonts w:hint="eastAsia" w:ascii="Arial" w:hAnsi="Arial"/>
          <w:b/>
          <w:bCs/>
          <w:color w:val="auto"/>
          <w:sz w:val="28"/>
          <w:szCs w:val="28"/>
          <w:highlight w:val="none"/>
        </w:rPr>
        <w:t>4.6承包人人员的管理</w:t>
      </w:r>
      <w:bookmarkEnd w:id="152"/>
    </w:p>
    <w:p w14:paraId="1661D680">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第 4.6.3 项细化为：</w:t>
      </w:r>
    </w:p>
    <w:p w14:paraId="426EBD33">
      <w:pPr>
        <w:spacing w:line="400" w:lineRule="exact"/>
        <w:ind w:firstLine="480"/>
        <w:rPr>
          <w:color w:val="auto"/>
          <w:highlight w:val="none"/>
        </w:rPr>
      </w:pPr>
      <w:r>
        <w:rPr>
          <w:rFonts w:hint="eastAsia"/>
          <w:color w:val="auto"/>
          <w:highlight w:val="none"/>
        </w:rPr>
        <w:t>承包人安排在施工场地的主要管理人员和技术骨干应与承包人承诺的名单一致，并保持相对稳定。未经监理人批准，上述人员不应无故不到位或被替换；若确实无法到位或需替换，需经监理人审核并报发包人批准后，用同等资质和经历的人员替换。</w:t>
      </w:r>
    </w:p>
    <w:p w14:paraId="2D5D190E">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本款补充第 4.6.5 项：</w:t>
      </w:r>
    </w:p>
    <w:p w14:paraId="67970B85">
      <w:pPr>
        <w:spacing w:line="400" w:lineRule="exact"/>
        <w:ind w:firstLine="480"/>
        <w:rPr>
          <w:color w:val="auto"/>
          <w:highlight w:val="none"/>
        </w:rPr>
      </w:pPr>
      <w:r>
        <w:rPr>
          <w:rFonts w:hint="eastAsia"/>
          <w:color w:val="auto"/>
          <w:highlight w:val="none"/>
        </w:rPr>
        <w:t>4.6.5 尽管承包人已按承诺派遣了上述各类人员，但若这些人员仍不能满足合同进度计划和（或）质量要求时，监理人有权要求承包人继续增派或雇用这类人员， 并书面通知承包人和抄送发包人。承包人在接到上述通知后应立即执行监理人的上述指示，不得无故拖延，由此增加的费用和（或）工期延误由承包人承担。</w:t>
      </w:r>
    </w:p>
    <w:p w14:paraId="28A1DA90">
      <w:pPr>
        <w:keepNext/>
        <w:keepLines/>
        <w:spacing w:line="400" w:lineRule="exact"/>
        <w:outlineLvl w:val="3"/>
        <w:rPr>
          <w:rFonts w:ascii="Arial" w:hAnsi="Arial"/>
          <w:b/>
          <w:bCs/>
          <w:color w:val="auto"/>
          <w:sz w:val="28"/>
          <w:szCs w:val="28"/>
          <w:highlight w:val="none"/>
        </w:rPr>
      </w:pPr>
      <w:bookmarkStart w:id="153" w:name="_Toc14658"/>
      <w:r>
        <w:rPr>
          <w:rFonts w:hint="eastAsia" w:ascii="Arial" w:hAnsi="Arial"/>
          <w:b/>
          <w:bCs/>
          <w:color w:val="auto"/>
          <w:sz w:val="28"/>
          <w:szCs w:val="28"/>
          <w:highlight w:val="none"/>
        </w:rPr>
        <w:t>4.7撤换承包人项目经理和其他人员</w:t>
      </w:r>
      <w:bookmarkEnd w:id="153"/>
    </w:p>
    <w:p w14:paraId="644A99B5">
      <w:pPr>
        <w:spacing w:line="400" w:lineRule="exact"/>
        <w:ind w:firstLine="480"/>
        <w:rPr>
          <w:color w:val="auto"/>
          <w:highlight w:val="none"/>
        </w:rPr>
      </w:pPr>
      <w:r>
        <w:rPr>
          <w:rFonts w:hint="eastAsia"/>
          <w:color w:val="auto"/>
          <w:highlight w:val="none"/>
        </w:rPr>
        <w:t>本款细化为：</w:t>
      </w:r>
    </w:p>
    <w:p w14:paraId="1CF794F7">
      <w:pPr>
        <w:spacing w:line="400" w:lineRule="exact"/>
        <w:ind w:firstLine="480"/>
        <w:rPr>
          <w:color w:val="auto"/>
          <w:highlight w:val="none"/>
        </w:rPr>
      </w:pPr>
      <w:r>
        <w:rPr>
          <w:rFonts w:hint="eastAsia"/>
          <w:color w:val="auto"/>
          <w:highlight w:val="none"/>
        </w:rPr>
        <w:t>承包人应对其项目经理和其他人员进行有效管理。监理人要求撤换不能胜任本职工作、行为不端或玩忽职守的承包人项目经理和其他人员的，承包人应予以撤换， 同时委派经发包人与监理人同意的新的项目经理和其他人员。</w:t>
      </w:r>
    </w:p>
    <w:p w14:paraId="611A83E5">
      <w:pPr>
        <w:keepNext/>
        <w:keepLines/>
        <w:spacing w:line="400" w:lineRule="exact"/>
        <w:outlineLvl w:val="3"/>
        <w:rPr>
          <w:rFonts w:ascii="Arial" w:hAnsi="Arial"/>
          <w:b/>
          <w:bCs/>
          <w:color w:val="auto"/>
          <w:sz w:val="28"/>
          <w:szCs w:val="28"/>
          <w:highlight w:val="none"/>
        </w:rPr>
      </w:pPr>
      <w:bookmarkStart w:id="154" w:name="_Toc5548"/>
      <w:r>
        <w:rPr>
          <w:rFonts w:hint="eastAsia" w:ascii="Arial" w:hAnsi="Arial"/>
          <w:b/>
          <w:bCs/>
          <w:color w:val="auto"/>
          <w:sz w:val="28"/>
          <w:szCs w:val="28"/>
          <w:highlight w:val="none"/>
        </w:rPr>
        <w:t>4.9工程价款应专款专用</w:t>
      </w:r>
      <w:bookmarkEnd w:id="154"/>
    </w:p>
    <w:p w14:paraId="5142E2EC">
      <w:pPr>
        <w:spacing w:line="400" w:lineRule="exact"/>
        <w:ind w:firstLine="480"/>
        <w:rPr>
          <w:color w:val="auto"/>
          <w:highlight w:val="none"/>
        </w:rPr>
      </w:pPr>
      <w:r>
        <w:rPr>
          <w:rFonts w:hint="eastAsia"/>
          <w:color w:val="auto"/>
          <w:highlight w:val="none"/>
        </w:rPr>
        <w:t>本款细化为：</w:t>
      </w:r>
    </w:p>
    <w:p w14:paraId="0E0865CF">
      <w:pPr>
        <w:spacing w:line="400" w:lineRule="exact"/>
        <w:ind w:firstLine="480"/>
        <w:rPr>
          <w:color w:val="auto"/>
          <w:highlight w:val="none"/>
        </w:rPr>
      </w:pPr>
      <w:r>
        <w:rPr>
          <w:rFonts w:hint="eastAsia"/>
          <w:color w:val="auto"/>
          <w:highlight w:val="none"/>
        </w:rPr>
        <w:t>发包人按合同约定支付给承包人的各项价款应专用于合同工程。承包人必须在发包人指定的银行开户，并与发包人、银行共同签订《工程资金监管协议》，接受发包人和银行对资金的监管。承包人应向发包人授权进行本合同工程开户银行工程资金的查询。发包人支付的工程进度款应为本工程的专款专用资金，不得转移或用于其他工程。发包人的期中支付款将转入该银行所设的专门账户，发包人及其派出机构有权不定期对承包人工程资金使用情况进行检查，发现问题及时责令承包人限期改正，否则，将终止月支付，直至承包人改正为止。</w:t>
      </w:r>
    </w:p>
    <w:p w14:paraId="73366327">
      <w:pPr>
        <w:keepNext/>
        <w:keepLines/>
        <w:spacing w:line="400" w:lineRule="exact"/>
        <w:outlineLvl w:val="3"/>
        <w:rPr>
          <w:rFonts w:ascii="Arial" w:hAnsi="Arial"/>
          <w:b/>
          <w:bCs/>
          <w:color w:val="auto"/>
          <w:sz w:val="28"/>
          <w:szCs w:val="28"/>
          <w:highlight w:val="none"/>
        </w:rPr>
      </w:pPr>
      <w:bookmarkStart w:id="155" w:name="_Toc20880"/>
      <w:r>
        <w:rPr>
          <w:rFonts w:hint="eastAsia" w:ascii="Arial" w:hAnsi="Arial"/>
          <w:b/>
          <w:bCs/>
          <w:color w:val="auto"/>
          <w:sz w:val="28"/>
          <w:szCs w:val="28"/>
          <w:highlight w:val="none"/>
        </w:rPr>
        <w:t>4.10承包人现场查勘</w:t>
      </w:r>
      <w:bookmarkEnd w:id="155"/>
    </w:p>
    <w:p w14:paraId="0886CEC6">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第 4.10.1 项细化为：</w:t>
      </w:r>
      <w:r>
        <w:rPr>
          <w:b/>
          <w:bCs/>
          <w:color w:val="auto"/>
          <w:sz w:val="28"/>
          <w:szCs w:val="28"/>
          <w:highlight w:val="none"/>
          <w:vertAlign w:val="superscript"/>
          <w:lang w:eastAsia="en-US"/>
        </w:rPr>
        <w:footnoteReference w:id="1"/>
      </w:r>
    </w:p>
    <w:p w14:paraId="36B7424B">
      <w:pPr>
        <w:spacing w:line="400" w:lineRule="exact"/>
        <w:ind w:firstLine="480"/>
        <w:rPr>
          <w:color w:val="auto"/>
          <w:highlight w:val="none"/>
        </w:rPr>
      </w:pPr>
      <w:r>
        <w:rPr>
          <w:rFonts w:hint="eastAsia"/>
          <w:color w:val="auto"/>
          <w:highlight w:val="none"/>
        </w:rPr>
        <w:t>发包人提供的本合同工程的水文、地质、气象和料场分布、取土场、弃土场位置等资料均属于参考资料，并不构成合同文件的组成部分，承包人应对自己就上述资料的解释、推论和应用负责，发包人不对承包人据此作出的判断和决策承担任何责任。</w:t>
      </w:r>
    </w:p>
    <w:p w14:paraId="2F771236">
      <w:pPr>
        <w:keepNext/>
        <w:keepLines/>
        <w:spacing w:line="400" w:lineRule="exact"/>
        <w:outlineLvl w:val="3"/>
        <w:rPr>
          <w:rFonts w:ascii="Arial" w:hAnsi="Arial"/>
          <w:b/>
          <w:bCs/>
          <w:color w:val="auto"/>
          <w:sz w:val="28"/>
          <w:szCs w:val="28"/>
          <w:highlight w:val="none"/>
        </w:rPr>
      </w:pPr>
      <w:bookmarkStart w:id="156" w:name="_Toc13611"/>
      <w:r>
        <w:rPr>
          <w:rFonts w:hint="eastAsia" w:ascii="Arial" w:hAnsi="Arial"/>
          <w:b/>
          <w:bCs/>
          <w:color w:val="auto"/>
          <w:sz w:val="28"/>
          <w:szCs w:val="28"/>
          <w:highlight w:val="none"/>
        </w:rPr>
        <w:t>4.11不利物质条件</w:t>
      </w:r>
      <w:bookmarkEnd w:id="156"/>
    </w:p>
    <w:p w14:paraId="060268BA">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第 4.11.2 项细化为：</w:t>
      </w:r>
    </w:p>
    <w:p w14:paraId="25786982">
      <w:pPr>
        <w:spacing w:line="400" w:lineRule="exact"/>
        <w:ind w:firstLine="480"/>
        <w:rPr>
          <w:color w:val="auto"/>
          <w:highlight w:val="none"/>
        </w:rPr>
      </w:pPr>
      <w:r>
        <w:rPr>
          <w:rFonts w:hint="eastAsia"/>
          <w:color w:val="auto"/>
          <w:highlight w:val="none"/>
        </w:rPr>
        <w:t>4.11.2承包人遇到不可预见的不利物质条件时，应采取适应不利物质条件的合理措施继续施工，并及时通知监理人。监理人应当及时发出指示，指示构成变更的， 按第 15 条约定办理。监理人没有发出指示的，承包人因采取合理措施而增加的费用和（或）工期延误，由发包人承担。</w:t>
      </w:r>
    </w:p>
    <w:p w14:paraId="17747413">
      <w:pPr>
        <w:spacing w:line="400" w:lineRule="exact"/>
        <w:ind w:firstLine="480"/>
        <w:rPr>
          <w:color w:val="auto"/>
          <w:highlight w:val="none"/>
        </w:rPr>
      </w:pPr>
      <w:r>
        <w:rPr>
          <w:rFonts w:hint="eastAsia"/>
          <w:color w:val="auto"/>
          <w:highlight w:val="none"/>
        </w:rPr>
        <w:t>本款补充第 4.11.3 项：</w:t>
      </w:r>
    </w:p>
    <w:p w14:paraId="6995BA31">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4.11.3可预见的不利物质条件</w:t>
      </w:r>
    </w:p>
    <w:p w14:paraId="3014D9F8">
      <w:pPr>
        <w:numPr>
          <w:ilvl w:val="0"/>
          <w:numId w:val="2"/>
        </w:numPr>
        <w:spacing w:line="400" w:lineRule="exact"/>
        <w:ind w:firstLine="420"/>
        <w:rPr>
          <w:color w:val="auto"/>
          <w:highlight w:val="none"/>
        </w:rPr>
      </w:pPr>
      <w:r>
        <w:rPr>
          <w:rFonts w:hint="eastAsia"/>
          <w:color w:val="auto"/>
          <w:highlight w:val="none"/>
        </w:rPr>
        <w:t>对于项目专用合同条款中已经明确指出的不利物质条件无论承包人是否有其经历和经验均视为承包人在接受合同时已预见其影响，并已在签约合同价中计入因其影响而可能发生的一切费用。</w:t>
      </w:r>
    </w:p>
    <w:p w14:paraId="2AFAD5B6">
      <w:pPr>
        <w:spacing w:line="400" w:lineRule="exact"/>
        <w:ind w:firstLine="480"/>
        <w:rPr>
          <w:color w:val="auto"/>
          <w:highlight w:val="none"/>
        </w:rPr>
      </w:pPr>
      <w:r>
        <w:rPr>
          <w:rFonts w:hint="eastAsia"/>
          <w:color w:val="auto"/>
          <w:highlight w:val="none"/>
        </w:rPr>
        <w:t>（2）对于项目专用合同条款未明确指出，但是在不利物质条件发生之前，监理人已经指示承包人有可能发生，但承包人未能及时采取有效措施，而导致的损失和后果均由承包人承担。</w:t>
      </w:r>
    </w:p>
    <w:p w14:paraId="73E5800E">
      <w:pPr>
        <w:spacing w:line="400" w:lineRule="exact"/>
        <w:ind w:firstLine="480"/>
        <w:rPr>
          <w:color w:val="auto"/>
          <w:highlight w:val="none"/>
        </w:rPr>
      </w:pPr>
      <w:r>
        <w:rPr>
          <w:rFonts w:hint="eastAsia"/>
          <w:color w:val="auto"/>
          <w:highlight w:val="none"/>
        </w:rPr>
        <w:t>补充第 4.12 款、第 4.13 款：</w:t>
      </w:r>
    </w:p>
    <w:p w14:paraId="466E8A3A">
      <w:pPr>
        <w:keepNext/>
        <w:keepLines/>
        <w:spacing w:line="400" w:lineRule="exact"/>
        <w:outlineLvl w:val="3"/>
        <w:rPr>
          <w:rFonts w:ascii="Arial" w:hAnsi="Arial"/>
          <w:b/>
          <w:bCs/>
          <w:color w:val="auto"/>
          <w:sz w:val="28"/>
          <w:szCs w:val="28"/>
          <w:highlight w:val="none"/>
        </w:rPr>
      </w:pPr>
      <w:bookmarkStart w:id="157" w:name="_Toc25718"/>
      <w:r>
        <w:rPr>
          <w:rFonts w:hint="eastAsia" w:ascii="Arial" w:hAnsi="Arial"/>
          <w:b/>
          <w:bCs/>
          <w:color w:val="auto"/>
          <w:sz w:val="28"/>
          <w:szCs w:val="28"/>
          <w:highlight w:val="none"/>
        </w:rPr>
        <w:t>4.12响应文件的完备性</w:t>
      </w:r>
      <w:bookmarkEnd w:id="157"/>
    </w:p>
    <w:p w14:paraId="19B9B7B4">
      <w:pPr>
        <w:spacing w:line="400" w:lineRule="exact"/>
        <w:ind w:firstLine="480"/>
        <w:rPr>
          <w:color w:val="auto"/>
          <w:highlight w:val="none"/>
        </w:rPr>
      </w:pPr>
      <w:r>
        <w:rPr>
          <w:rFonts w:hint="eastAsia"/>
          <w:color w:val="auto"/>
          <w:highlight w:val="none"/>
        </w:rPr>
        <w:t>合同双方一致认为，承包人在递交响应文件前，对本合同工程的响应文件和已标价工程量清单中开列的单价和总额价已查明是正确的和完备的。响应的单价和总额价应已包括了合同中规定的承包人的全部义务（包括提供货物、材料、设备、服务的义务，并包括了暂列金额和暂估价范围内的额外工作的义务）以及为实施和完成本合同工程及其缺陷修复所必需的一切工作和条件。</w:t>
      </w:r>
    </w:p>
    <w:p w14:paraId="04C925B3">
      <w:pPr>
        <w:keepNext/>
        <w:keepLines/>
        <w:spacing w:line="400" w:lineRule="exact"/>
        <w:outlineLvl w:val="3"/>
        <w:rPr>
          <w:rFonts w:ascii="Arial" w:hAnsi="Arial"/>
          <w:b/>
          <w:bCs/>
          <w:color w:val="auto"/>
          <w:sz w:val="28"/>
          <w:szCs w:val="28"/>
          <w:highlight w:val="none"/>
        </w:rPr>
      </w:pPr>
      <w:bookmarkStart w:id="158" w:name="_Toc10357"/>
      <w:r>
        <w:rPr>
          <w:rFonts w:hint="eastAsia" w:ascii="Arial" w:hAnsi="Arial"/>
          <w:b/>
          <w:bCs/>
          <w:color w:val="auto"/>
          <w:sz w:val="28"/>
          <w:szCs w:val="28"/>
          <w:highlight w:val="none"/>
        </w:rPr>
        <w:t>4.13开展党建工作要求</w:t>
      </w:r>
      <w:bookmarkEnd w:id="158"/>
    </w:p>
    <w:p w14:paraId="33B7E512">
      <w:pPr>
        <w:spacing w:line="400" w:lineRule="exact"/>
        <w:ind w:firstLine="480"/>
        <w:rPr>
          <w:color w:val="auto"/>
          <w:highlight w:val="none"/>
        </w:rPr>
      </w:pPr>
      <w:r>
        <w:rPr>
          <w:rFonts w:hint="eastAsia"/>
          <w:color w:val="auto"/>
          <w:highlight w:val="none"/>
        </w:rPr>
        <w:t>对于政府投资的国家高速公路项目，或承包人为国有控股或参股企业的，承包人应按规定在项目现场设立基层党组织。不满足上述情形的，承包人应创造条件使党员能够参加党组织生活并接受相应管理。</w:t>
      </w:r>
    </w:p>
    <w:p w14:paraId="30DBC15A">
      <w:pPr>
        <w:spacing w:line="400" w:lineRule="exact"/>
        <w:ind w:firstLine="480"/>
        <w:rPr>
          <w:color w:val="auto"/>
          <w:highlight w:val="none"/>
        </w:rPr>
      </w:pPr>
      <w:r>
        <w:rPr>
          <w:rFonts w:hint="eastAsia"/>
          <w:color w:val="auto"/>
          <w:highlight w:val="none"/>
        </w:rPr>
        <w:t>承包人在项目现场设立基层党组织的，应明确党组织机构设置、党组织负责人及党务工作人员配备情况，编制党务工作开展预案，并按照预案要求在项目实施过程中同步开展党务工作，充分发挥基层党组织在项目实施中的作用。</w:t>
      </w:r>
    </w:p>
    <w:p w14:paraId="79955D0D">
      <w:pPr>
        <w:keepNext/>
        <w:keepLines/>
        <w:spacing w:line="400" w:lineRule="exact"/>
        <w:outlineLvl w:val="2"/>
        <w:rPr>
          <w:b/>
          <w:bCs/>
          <w:color w:val="auto"/>
          <w:sz w:val="32"/>
          <w:szCs w:val="32"/>
          <w:highlight w:val="none"/>
        </w:rPr>
      </w:pPr>
      <w:bookmarkStart w:id="159" w:name="_Toc122424463"/>
      <w:bookmarkStart w:id="160" w:name="_Toc233964178"/>
      <w:bookmarkStart w:id="161" w:name="_Toc1605"/>
      <w:bookmarkStart w:id="162" w:name="_Toc122424214"/>
      <w:r>
        <w:rPr>
          <w:rFonts w:hint="eastAsia"/>
          <w:b/>
          <w:bCs/>
          <w:color w:val="auto"/>
          <w:sz w:val="32"/>
          <w:szCs w:val="32"/>
          <w:highlight w:val="none"/>
        </w:rPr>
        <w:t>5.材料和工程设备</w:t>
      </w:r>
      <w:bookmarkEnd w:id="159"/>
      <w:bookmarkEnd w:id="160"/>
      <w:bookmarkEnd w:id="161"/>
      <w:bookmarkEnd w:id="162"/>
    </w:p>
    <w:p w14:paraId="721FC73D">
      <w:pPr>
        <w:keepNext/>
        <w:keepLines/>
        <w:spacing w:line="400" w:lineRule="exact"/>
        <w:outlineLvl w:val="3"/>
        <w:rPr>
          <w:rFonts w:ascii="Arial" w:hAnsi="Arial"/>
          <w:b/>
          <w:bCs/>
          <w:color w:val="auto"/>
          <w:sz w:val="28"/>
          <w:szCs w:val="28"/>
          <w:highlight w:val="none"/>
        </w:rPr>
      </w:pPr>
      <w:bookmarkStart w:id="163" w:name="_Toc20766"/>
      <w:r>
        <w:rPr>
          <w:rFonts w:hint="eastAsia" w:ascii="Arial" w:hAnsi="Arial"/>
          <w:b/>
          <w:bCs/>
          <w:color w:val="auto"/>
          <w:sz w:val="28"/>
          <w:szCs w:val="28"/>
          <w:highlight w:val="none"/>
        </w:rPr>
        <w:t>5.2 发包人提供的材料和工程设备</w:t>
      </w:r>
      <w:bookmarkEnd w:id="163"/>
    </w:p>
    <w:p w14:paraId="482B5164">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第 5.2.3 项补充：</w:t>
      </w:r>
    </w:p>
    <w:p w14:paraId="40DE4843">
      <w:pPr>
        <w:spacing w:line="400" w:lineRule="exact"/>
        <w:ind w:firstLine="480"/>
        <w:rPr>
          <w:color w:val="auto"/>
          <w:highlight w:val="none"/>
        </w:rPr>
      </w:pPr>
      <w:r>
        <w:rPr>
          <w:rFonts w:hint="eastAsia"/>
          <w:color w:val="auto"/>
          <w:highlight w:val="none"/>
        </w:rPr>
        <w:t>承包人负责接收并按规定对材料进行抽样检验和对工程设备进行检验测试，若发现材料和工程设备存在缺陷，承包人应及时通知监理人，发包人应及时改正通知中指出的缺陷。承包人负责接收后的运输和保管，因承包人的原因发生丢失、损坏或进度拖延，由承包人承担相应责任。</w:t>
      </w:r>
    </w:p>
    <w:p w14:paraId="2A871180">
      <w:pPr>
        <w:keepNext/>
        <w:keepLines/>
        <w:spacing w:line="400" w:lineRule="exact"/>
        <w:outlineLvl w:val="2"/>
        <w:rPr>
          <w:b/>
          <w:bCs/>
          <w:color w:val="auto"/>
          <w:sz w:val="32"/>
          <w:szCs w:val="32"/>
          <w:highlight w:val="none"/>
        </w:rPr>
      </w:pPr>
      <w:bookmarkStart w:id="164" w:name="_Toc122424215"/>
      <w:bookmarkStart w:id="165" w:name="_Toc122424464"/>
      <w:bookmarkStart w:id="166" w:name="_Toc24228"/>
      <w:bookmarkStart w:id="167" w:name="_Toc233964179"/>
      <w:r>
        <w:rPr>
          <w:rFonts w:hint="eastAsia"/>
          <w:b/>
          <w:bCs/>
          <w:color w:val="auto"/>
          <w:sz w:val="32"/>
          <w:szCs w:val="32"/>
          <w:highlight w:val="none"/>
        </w:rPr>
        <w:t>6.施工设备和临时设施</w:t>
      </w:r>
      <w:bookmarkEnd w:id="164"/>
      <w:bookmarkEnd w:id="165"/>
      <w:bookmarkEnd w:id="166"/>
      <w:bookmarkEnd w:id="167"/>
    </w:p>
    <w:p w14:paraId="1AB72934">
      <w:pPr>
        <w:keepNext/>
        <w:keepLines/>
        <w:spacing w:line="400" w:lineRule="exact"/>
        <w:outlineLvl w:val="3"/>
        <w:rPr>
          <w:rFonts w:ascii="Arial" w:hAnsi="Arial"/>
          <w:b/>
          <w:bCs/>
          <w:color w:val="auto"/>
          <w:sz w:val="28"/>
          <w:szCs w:val="28"/>
          <w:highlight w:val="none"/>
        </w:rPr>
      </w:pPr>
      <w:bookmarkStart w:id="168" w:name="_Toc23309"/>
      <w:r>
        <w:rPr>
          <w:rFonts w:hint="eastAsia" w:ascii="Arial" w:hAnsi="Arial"/>
          <w:b/>
          <w:bCs/>
          <w:color w:val="auto"/>
          <w:sz w:val="28"/>
          <w:szCs w:val="28"/>
          <w:highlight w:val="none"/>
        </w:rPr>
        <w:t>6.1承包人提供的施工设备和临时设施</w:t>
      </w:r>
      <w:bookmarkEnd w:id="168"/>
    </w:p>
    <w:p w14:paraId="7FB47139">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第 6.1.2 项约定为：</w:t>
      </w:r>
    </w:p>
    <w:p w14:paraId="4868A6E5">
      <w:pPr>
        <w:spacing w:line="400" w:lineRule="exact"/>
        <w:ind w:firstLine="480"/>
        <w:rPr>
          <w:color w:val="auto"/>
          <w:highlight w:val="none"/>
        </w:rPr>
      </w:pPr>
      <w:r>
        <w:rPr>
          <w:rFonts w:hint="eastAsia"/>
          <w:color w:val="auto"/>
          <w:highlight w:val="none"/>
        </w:rPr>
        <w:t>承包人应自行承担修建临时设施的费用，需要临时占地的，应由承包人按第4.1.10 项（1）目的规定办理。</w:t>
      </w:r>
    </w:p>
    <w:p w14:paraId="71D77D86">
      <w:pPr>
        <w:spacing w:line="400" w:lineRule="exact"/>
        <w:ind w:firstLine="480"/>
        <w:rPr>
          <w:color w:val="auto"/>
          <w:highlight w:val="none"/>
        </w:rPr>
      </w:pPr>
    </w:p>
    <w:p w14:paraId="72F771D1">
      <w:pPr>
        <w:keepNext/>
        <w:keepLines/>
        <w:spacing w:line="400" w:lineRule="exact"/>
        <w:outlineLvl w:val="3"/>
        <w:rPr>
          <w:rFonts w:ascii="Arial" w:hAnsi="Arial"/>
          <w:b/>
          <w:bCs/>
          <w:color w:val="auto"/>
          <w:sz w:val="28"/>
          <w:szCs w:val="28"/>
          <w:highlight w:val="none"/>
        </w:rPr>
      </w:pPr>
      <w:bookmarkStart w:id="169" w:name="_Toc26966"/>
      <w:r>
        <w:rPr>
          <w:rFonts w:hint="eastAsia" w:ascii="Arial" w:hAnsi="Arial"/>
          <w:b/>
          <w:bCs/>
          <w:color w:val="auto"/>
          <w:sz w:val="28"/>
          <w:szCs w:val="28"/>
          <w:highlight w:val="none"/>
        </w:rPr>
        <w:t>6.3 要求承包人增加或更换施工设备</w:t>
      </w:r>
      <w:bookmarkEnd w:id="169"/>
    </w:p>
    <w:p w14:paraId="19D64DBF">
      <w:pPr>
        <w:spacing w:line="400" w:lineRule="exact"/>
        <w:ind w:firstLine="480"/>
        <w:rPr>
          <w:color w:val="auto"/>
          <w:highlight w:val="none"/>
        </w:rPr>
      </w:pPr>
      <w:r>
        <w:rPr>
          <w:rFonts w:hint="eastAsia"/>
          <w:color w:val="auto"/>
          <w:highlight w:val="none"/>
        </w:rPr>
        <w:t>本款细化为：</w:t>
      </w:r>
    </w:p>
    <w:p w14:paraId="4D7164BD">
      <w:pPr>
        <w:spacing w:line="400" w:lineRule="exact"/>
        <w:ind w:firstLine="480"/>
        <w:rPr>
          <w:color w:val="auto"/>
          <w:highlight w:val="none"/>
        </w:rPr>
      </w:pPr>
      <w:r>
        <w:rPr>
          <w:rFonts w:hint="eastAsia"/>
          <w:color w:val="auto"/>
          <w:highlight w:val="none"/>
        </w:rPr>
        <w:t>承包人承诺的施工设备必须按时到达现场，不得拖延、缺短或任意更换。尽管承包人已按承诺提供了上述设备，但若承包人使用的施工设备不能满足合同进度计划和（或）质量要求时，监理人有权要求承包人增加或更换施工设备，承包人应及时增加或更换，由此增加的费用和（或）工期延误由承包人承担。</w:t>
      </w:r>
    </w:p>
    <w:p w14:paraId="12328406">
      <w:pPr>
        <w:keepNext/>
        <w:keepLines/>
        <w:spacing w:line="400" w:lineRule="exact"/>
        <w:outlineLvl w:val="2"/>
        <w:rPr>
          <w:b/>
          <w:bCs/>
          <w:color w:val="auto"/>
          <w:sz w:val="32"/>
          <w:szCs w:val="32"/>
          <w:highlight w:val="none"/>
        </w:rPr>
      </w:pPr>
      <w:bookmarkStart w:id="170" w:name="_Toc7330"/>
      <w:bookmarkStart w:id="171" w:name="_Toc122424216"/>
      <w:bookmarkStart w:id="172" w:name="_Toc122424465"/>
      <w:bookmarkStart w:id="173" w:name="_Toc233964180"/>
      <w:r>
        <w:rPr>
          <w:rFonts w:hint="eastAsia"/>
          <w:b/>
          <w:bCs/>
          <w:color w:val="auto"/>
          <w:sz w:val="32"/>
          <w:szCs w:val="32"/>
          <w:highlight w:val="none"/>
        </w:rPr>
        <w:t>7.交通运输</w:t>
      </w:r>
      <w:bookmarkEnd w:id="170"/>
      <w:bookmarkEnd w:id="171"/>
      <w:bookmarkEnd w:id="172"/>
      <w:bookmarkEnd w:id="173"/>
    </w:p>
    <w:p w14:paraId="36FF9A18">
      <w:pPr>
        <w:keepNext/>
        <w:keepLines/>
        <w:spacing w:line="400" w:lineRule="exact"/>
        <w:outlineLvl w:val="3"/>
        <w:rPr>
          <w:rFonts w:ascii="Arial" w:hAnsi="Arial"/>
          <w:b/>
          <w:bCs/>
          <w:color w:val="auto"/>
          <w:sz w:val="28"/>
          <w:szCs w:val="28"/>
          <w:highlight w:val="none"/>
        </w:rPr>
      </w:pPr>
      <w:bookmarkStart w:id="174" w:name="_Toc28212"/>
      <w:r>
        <w:rPr>
          <w:rFonts w:hint="eastAsia" w:ascii="Arial" w:hAnsi="Arial"/>
          <w:b/>
          <w:bCs/>
          <w:color w:val="auto"/>
          <w:sz w:val="28"/>
          <w:szCs w:val="28"/>
          <w:highlight w:val="none"/>
        </w:rPr>
        <w:t>7.1道路通行权和场外设施</w:t>
      </w:r>
      <w:bookmarkEnd w:id="174"/>
    </w:p>
    <w:p w14:paraId="06C7623D">
      <w:pPr>
        <w:spacing w:line="400" w:lineRule="exact"/>
        <w:ind w:firstLine="480"/>
        <w:rPr>
          <w:color w:val="auto"/>
          <w:highlight w:val="none"/>
        </w:rPr>
      </w:pPr>
      <w:r>
        <w:rPr>
          <w:rFonts w:hint="eastAsia"/>
          <w:color w:val="auto"/>
          <w:highlight w:val="none"/>
        </w:rPr>
        <w:t>本款约定为：</w:t>
      </w:r>
    </w:p>
    <w:p w14:paraId="2A1077A2">
      <w:pPr>
        <w:spacing w:line="400" w:lineRule="exact"/>
        <w:ind w:firstLine="480"/>
        <w:rPr>
          <w:color w:val="auto"/>
          <w:highlight w:val="none"/>
        </w:rPr>
      </w:pPr>
      <w:r>
        <w:rPr>
          <w:rFonts w:hint="eastAsia"/>
          <w:color w:val="auto"/>
          <w:highlight w:val="none"/>
        </w:rPr>
        <w:t>承包人应根据合同工程的施工需要，负责办理取得出入施工场地的专用和临时道路的通行权，以及取得为工程建设所需修建场外设施的权利，并承担有关费用。需要发包人协调时，发包人应协助承包人办理相关手续。</w:t>
      </w:r>
    </w:p>
    <w:p w14:paraId="54CA418A">
      <w:pPr>
        <w:keepNext/>
        <w:keepLines/>
        <w:spacing w:line="400" w:lineRule="exact"/>
        <w:outlineLvl w:val="2"/>
        <w:rPr>
          <w:b/>
          <w:bCs/>
          <w:color w:val="auto"/>
          <w:sz w:val="32"/>
          <w:szCs w:val="32"/>
          <w:highlight w:val="none"/>
        </w:rPr>
      </w:pPr>
      <w:bookmarkStart w:id="175" w:name="_Toc233964181"/>
      <w:bookmarkStart w:id="176" w:name="_Toc122424217"/>
      <w:bookmarkStart w:id="177" w:name="_Toc122424466"/>
      <w:bookmarkStart w:id="178" w:name="_Toc25933"/>
      <w:r>
        <w:rPr>
          <w:rFonts w:hint="eastAsia"/>
          <w:b/>
          <w:bCs/>
          <w:color w:val="auto"/>
          <w:sz w:val="32"/>
          <w:szCs w:val="32"/>
          <w:highlight w:val="none"/>
        </w:rPr>
        <w:t>8.测量放线</w:t>
      </w:r>
      <w:bookmarkEnd w:id="175"/>
      <w:bookmarkEnd w:id="176"/>
      <w:bookmarkEnd w:id="177"/>
      <w:bookmarkEnd w:id="178"/>
    </w:p>
    <w:p w14:paraId="6E41341B">
      <w:pPr>
        <w:keepNext/>
        <w:keepLines/>
        <w:spacing w:line="400" w:lineRule="exact"/>
        <w:outlineLvl w:val="3"/>
        <w:rPr>
          <w:rFonts w:ascii="Arial" w:hAnsi="Arial"/>
          <w:b/>
          <w:bCs/>
          <w:color w:val="auto"/>
          <w:sz w:val="28"/>
          <w:szCs w:val="28"/>
          <w:highlight w:val="none"/>
        </w:rPr>
      </w:pPr>
      <w:bookmarkStart w:id="179" w:name="_Toc29191"/>
      <w:r>
        <w:rPr>
          <w:rFonts w:hint="eastAsia" w:ascii="Arial" w:hAnsi="Arial"/>
          <w:b/>
          <w:bCs/>
          <w:color w:val="auto"/>
          <w:sz w:val="28"/>
          <w:szCs w:val="28"/>
          <w:highlight w:val="none"/>
        </w:rPr>
        <w:t>8.4 监理人使用施工控制网</w:t>
      </w:r>
      <w:bookmarkEnd w:id="179"/>
    </w:p>
    <w:p w14:paraId="5678DC01">
      <w:pPr>
        <w:spacing w:line="400" w:lineRule="exact"/>
        <w:ind w:firstLine="480"/>
        <w:rPr>
          <w:color w:val="auto"/>
          <w:highlight w:val="none"/>
        </w:rPr>
      </w:pPr>
      <w:r>
        <w:rPr>
          <w:rFonts w:hint="eastAsia"/>
          <w:color w:val="auto"/>
          <w:highlight w:val="none"/>
        </w:rPr>
        <w:t>本款补充：</w:t>
      </w:r>
    </w:p>
    <w:p w14:paraId="759CF74A">
      <w:pPr>
        <w:spacing w:line="400" w:lineRule="exact"/>
        <w:ind w:firstLine="480"/>
        <w:rPr>
          <w:color w:val="auto"/>
          <w:highlight w:val="none"/>
        </w:rPr>
      </w:pPr>
      <w:r>
        <w:rPr>
          <w:rFonts w:hint="eastAsia"/>
          <w:color w:val="auto"/>
          <w:highlight w:val="none"/>
        </w:rPr>
        <w:t>经监理人批准，其他相关承包人也可免费使用施工控制网。</w:t>
      </w:r>
    </w:p>
    <w:p w14:paraId="21C7C56D">
      <w:pPr>
        <w:keepNext/>
        <w:keepLines/>
        <w:spacing w:line="400" w:lineRule="exact"/>
        <w:outlineLvl w:val="2"/>
        <w:rPr>
          <w:b/>
          <w:bCs/>
          <w:color w:val="auto"/>
          <w:sz w:val="32"/>
          <w:szCs w:val="32"/>
          <w:highlight w:val="none"/>
        </w:rPr>
      </w:pPr>
      <w:bookmarkStart w:id="180" w:name="_Toc233964182"/>
      <w:bookmarkStart w:id="181" w:name="_Toc5499"/>
      <w:bookmarkStart w:id="182" w:name="_Toc122424467"/>
      <w:bookmarkStart w:id="183" w:name="_Toc122424218"/>
      <w:r>
        <w:rPr>
          <w:rFonts w:hint="eastAsia"/>
          <w:b/>
          <w:bCs/>
          <w:color w:val="auto"/>
          <w:sz w:val="32"/>
          <w:szCs w:val="32"/>
          <w:highlight w:val="none"/>
        </w:rPr>
        <w:t>9.施工安全、治安保卫和环境保护</w:t>
      </w:r>
      <w:bookmarkEnd w:id="180"/>
      <w:bookmarkEnd w:id="181"/>
      <w:bookmarkEnd w:id="182"/>
      <w:bookmarkEnd w:id="183"/>
    </w:p>
    <w:p w14:paraId="07ED9DAC">
      <w:pPr>
        <w:keepNext/>
        <w:keepLines/>
        <w:spacing w:line="400" w:lineRule="exact"/>
        <w:outlineLvl w:val="3"/>
        <w:rPr>
          <w:rFonts w:ascii="Arial" w:hAnsi="Arial"/>
          <w:b/>
          <w:bCs/>
          <w:color w:val="auto"/>
          <w:sz w:val="28"/>
          <w:szCs w:val="28"/>
          <w:highlight w:val="none"/>
        </w:rPr>
      </w:pPr>
      <w:bookmarkStart w:id="184" w:name="_Toc12070"/>
      <w:r>
        <w:rPr>
          <w:rFonts w:hint="eastAsia" w:ascii="Arial" w:hAnsi="Arial"/>
          <w:b/>
          <w:bCs/>
          <w:color w:val="auto"/>
          <w:sz w:val="28"/>
          <w:szCs w:val="28"/>
          <w:highlight w:val="none"/>
        </w:rPr>
        <w:t>9.2承包人的施工安全责任</w:t>
      </w:r>
      <w:bookmarkEnd w:id="184"/>
    </w:p>
    <w:p w14:paraId="41C6965E">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第 9.2.1 项细化为：</w:t>
      </w:r>
    </w:p>
    <w:p w14:paraId="7A83678A">
      <w:pPr>
        <w:spacing w:line="400" w:lineRule="exact"/>
        <w:ind w:firstLine="480"/>
        <w:rPr>
          <w:color w:val="auto"/>
          <w:highlight w:val="none"/>
        </w:rPr>
      </w:pPr>
      <w:r>
        <w:rPr>
          <w:rFonts w:hint="eastAsia"/>
          <w:color w:val="auto"/>
          <w:highlight w:val="none"/>
        </w:rPr>
        <w:t>承包人应按合同约定履行安全职责，严格执行国家、地方政府有关施工安全管理方面的法律、法规及规章制度，同时严格执行发包人制订的本项目安全生产管理方面的规章制度、安全检查程序及施工安全管理要求，以及监理人有关安全工作的指示。</w:t>
      </w:r>
    </w:p>
    <w:p w14:paraId="1E281FB5">
      <w:pPr>
        <w:spacing w:line="400" w:lineRule="exact"/>
        <w:ind w:firstLine="480"/>
        <w:rPr>
          <w:color w:val="auto"/>
          <w:highlight w:val="none"/>
        </w:rPr>
      </w:pPr>
      <w:r>
        <w:rPr>
          <w:rFonts w:hint="eastAsia"/>
          <w:color w:val="auto"/>
          <w:highlight w:val="none"/>
        </w:rPr>
        <w:t>承包人应根据本工程的实际安全施工要求，编制施工安全技术措施，并在签订合同协议书后 28 天内，报监理人和发包人批准。该施工安全技术措施包括（但不限于）施工安全保障体系，安全生产责任制，安全生产管理规章制度，安全防护施工方案，施工现场临时用电方案，施工安全评估，安全预控及保证措施方案，紧急应变措施，安全标识、警示和围护方案等。对影响安全的重要工序和下列危险性较大的工程应编制专项施工方案，并附安全验算结果，经承包人项目总工签字并报监理人和发包人批准后实施，由专职安全生产管理人员进行现场监督。</w:t>
      </w:r>
    </w:p>
    <w:p w14:paraId="04551EED">
      <w:pPr>
        <w:spacing w:line="400" w:lineRule="exact"/>
        <w:ind w:firstLine="480"/>
        <w:rPr>
          <w:color w:val="auto"/>
          <w:highlight w:val="none"/>
        </w:rPr>
      </w:pPr>
      <w:r>
        <w:rPr>
          <w:rFonts w:hint="eastAsia"/>
          <w:color w:val="auto"/>
          <w:highlight w:val="none"/>
        </w:rPr>
        <w:t>本项目需要编制专项施工方案的工程包括但不限于以下内容：</w:t>
      </w:r>
    </w:p>
    <w:p w14:paraId="5090181A">
      <w:pPr>
        <w:spacing w:line="400" w:lineRule="exact"/>
        <w:ind w:firstLine="480"/>
        <w:rPr>
          <w:color w:val="auto"/>
          <w:highlight w:val="none"/>
        </w:rPr>
      </w:pPr>
      <w:r>
        <w:rPr>
          <w:rFonts w:hint="eastAsia"/>
          <w:color w:val="auto"/>
          <w:highlight w:val="none"/>
        </w:rPr>
        <w:t>（1）不良地质条件下有潜在危险性的土方、石方开挖；</w:t>
      </w:r>
    </w:p>
    <w:p w14:paraId="42F98B84">
      <w:pPr>
        <w:spacing w:line="400" w:lineRule="exact"/>
        <w:ind w:firstLine="480"/>
        <w:rPr>
          <w:color w:val="auto"/>
          <w:highlight w:val="none"/>
        </w:rPr>
      </w:pPr>
      <w:r>
        <w:rPr>
          <w:rFonts w:hint="eastAsia"/>
          <w:color w:val="auto"/>
          <w:highlight w:val="none"/>
        </w:rPr>
        <w:t>（2）滑坡和高边坡处理；</w:t>
      </w:r>
    </w:p>
    <w:p w14:paraId="7A6A1A45">
      <w:pPr>
        <w:spacing w:line="400" w:lineRule="exact"/>
        <w:ind w:firstLine="480"/>
        <w:rPr>
          <w:color w:val="auto"/>
          <w:highlight w:val="none"/>
        </w:rPr>
      </w:pPr>
      <w:r>
        <w:rPr>
          <w:rFonts w:hint="eastAsia"/>
          <w:color w:val="auto"/>
          <w:highlight w:val="none"/>
        </w:rPr>
        <w:t>（3）桩基础、挡墙基础、深水基础及围堰工程；</w:t>
      </w:r>
    </w:p>
    <w:p w14:paraId="537EC8AB">
      <w:pPr>
        <w:spacing w:line="400" w:lineRule="exact"/>
        <w:ind w:firstLine="480"/>
        <w:rPr>
          <w:color w:val="auto"/>
          <w:highlight w:val="none"/>
        </w:rPr>
      </w:pPr>
      <w:r>
        <w:rPr>
          <w:rFonts w:hint="eastAsia"/>
          <w:color w:val="auto"/>
          <w:highlight w:val="none"/>
        </w:rPr>
        <w:t>（4）桥梁工程中的梁、拱、柱等构件施工等；</w:t>
      </w:r>
    </w:p>
    <w:p w14:paraId="41E52ED9">
      <w:pPr>
        <w:spacing w:line="400" w:lineRule="exact"/>
        <w:ind w:firstLine="480"/>
        <w:rPr>
          <w:color w:val="auto"/>
          <w:highlight w:val="none"/>
        </w:rPr>
      </w:pPr>
      <w:r>
        <w:rPr>
          <w:rFonts w:hint="eastAsia"/>
          <w:color w:val="auto"/>
          <w:highlight w:val="none"/>
        </w:rPr>
        <w:t>（5）隧道工程中的不良地质隧道、高瓦斯隧道等；</w:t>
      </w:r>
    </w:p>
    <w:p w14:paraId="104315CC">
      <w:pPr>
        <w:spacing w:line="400" w:lineRule="exact"/>
        <w:ind w:firstLine="480"/>
        <w:rPr>
          <w:color w:val="auto"/>
          <w:highlight w:val="none"/>
        </w:rPr>
      </w:pPr>
      <w:r>
        <w:rPr>
          <w:rFonts w:hint="eastAsia"/>
          <w:color w:val="auto"/>
          <w:highlight w:val="none"/>
        </w:rPr>
        <w:t>（6）水上工程中的打桩船作业、施工船作业、外海孤岛作业、边通航边施工 作业等；</w:t>
      </w:r>
    </w:p>
    <w:p w14:paraId="78A7FA37">
      <w:pPr>
        <w:spacing w:line="400" w:lineRule="exact"/>
        <w:ind w:firstLine="480"/>
        <w:rPr>
          <w:color w:val="auto"/>
          <w:highlight w:val="none"/>
        </w:rPr>
      </w:pPr>
      <w:r>
        <w:rPr>
          <w:rFonts w:hint="eastAsia"/>
          <w:color w:val="auto"/>
          <w:highlight w:val="none"/>
        </w:rPr>
        <w:t>（7）水下工程中的水下焊接、混凝土浇筑、爆破工程等；</w:t>
      </w:r>
    </w:p>
    <w:p w14:paraId="5F36F847">
      <w:pPr>
        <w:spacing w:line="400" w:lineRule="exact"/>
        <w:ind w:firstLine="480"/>
        <w:rPr>
          <w:color w:val="auto"/>
          <w:highlight w:val="none"/>
        </w:rPr>
      </w:pPr>
      <w:r>
        <w:rPr>
          <w:rFonts w:hint="eastAsia"/>
          <w:color w:val="auto"/>
          <w:highlight w:val="none"/>
        </w:rPr>
        <w:t>（8）爆破工程；</w:t>
      </w:r>
    </w:p>
    <w:p w14:paraId="5ADFB600">
      <w:pPr>
        <w:spacing w:line="400" w:lineRule="exact"/>
        <w:ind w:firstLine="480"/>
        <w:rPr>
          <w:color w:val="auto"/>
          <w:highlight w:val="none"/>
        </w:rPr>
      </w:pPr>
      <w:r>
        <w:rPr>
          <w:rFonts w:hint="eastAsia"/>
          <w:color w:val="auto"/>
          <w:highlight w:val="none"/>
        </w:rPr>
        <w:t>（9）大型临时工程中的大型支架、模板、便桥的架设与拆除；桥梁、码头的加固与拆除；</w:t>
      </w:r>
    </w:p>
    <w:p w14:paraId="535601A7">
      <w:pPr>
        <w:spacing w:line="400" w:lineRule="exact"/>
        <w:ind w:firstLine="480"/>
        <w:rPr>
          <w:color w:val="auto"/>
          <w:highlight w:val="none"/>
        </w:rPr>
      </w:pPr>
      <w:r>
        <w:rPr>
          <w:rFonts w:hint="eastAsia"/>
          <w:color w:val="auto"/>
          <w:highlight w:val="none"/>
        </w:rPr>
        <w:t>（10）其他危险性较大的工程。</w:t>
      </w:r>
    </w:p>
    <w:p w14:paraId="258A53D6">
      <w:pPr>
        <w:spacing w:line="400" w:lineRule="exact"/>
        <w:ind w:firstLine="480"/>
        <w:rPr>
          <w:color w:val="auto"/>
          <w:highlight w:val="none"/>
        </w:rPr>
      </w:pPr>
      <w:r>
        <w:rPr>
          <w:rFonts w:hint="eastAsia"/>
          <w:color w:val="auto"/>
          <w:highlight w:val="none"/>
        </w:rPr>
        <w:t>监理人和发包人在检查中发现有安全问题或有违反安全管理规章制度的情况时，可视为承包人违约，应按第 22.1 款的规定办理。</w:t>
      </w:r>
    </w:p>
    <w:p w14:paraId="46BF0F5C">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第 9.2.5 项细化为：</w:t>
      </w:r>
    </w:p>
    <w:p w14:paraId="2ABD155D">
      <w:pPr>
        <w:spacing w:line="400" w:lineRule="exact"/>
        <w:ind w:firstLine="480"/>
        <w:rPr>
          <w:color w:val="auto"/>
          <w:highlight w:val="none"/>
        </w:rPr>
      </w:pPr>
      <w:r>
        <w:rPr>
          <w:rFonts w:hint="eastAsia"/>
          <w:color w:val="auto"/>
          <w:highlight w:val="none"/>
        </w:rPr>
        <w:t>除项目专用合同条款另有约定外，安全生产费用应为竞标报价（不含安全生产费及建筑工程一切险及第三者责任险的保险费）的 1.5%（若发包人公布了最高限价时，按最高限价的 1.5%计）。安全生产费用应用于施工安全防护用具及设施的采购和更新、安全施工措施的落实、安全生产条件的改善，不得挪作他用。如承包人在此基础上增加安全生产费用以满足项目施工需要，则承包人应在本项目工程量清单其他相关子目的单价或总额价中予以考虑，发包人不再另行支付。因采取合同未约定的特殊防护措施增加的费用，由监理人按第 3.5 款商定或确定。</w:t>
      </w:r>
    </w:p>
    <w:p w14:paraId="32E95B91">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本款补充第 9.2.8 项~第 9.2.11 项：</w:t>
      </w:r>
    </w:p>
    <w:p w14:paraId="3D6A87CB">
      <w:pPr>
        <w:spacing w:line="400" w:lineRule="exact"/>
        <w:ind w:firstLine="480"/>
        <w:rPr>
          <w:color w:val="auto"/>
          <w:highlight w:val="none"/>
        </w:rPr>
      </w:pPr>
      <w:r>
        <w:rPr>
          <w:rFonts w:hint="eastAsia"/>
          <w:color w:val="auto"/>
          <w:highlight w:val="none"/>
        </w:rPr>
        <w:t>9.2.8承包人应充分关注和保障所有在现场工作的人员的安全，采取以下有效措施，使现场和本合同工程的实施保持有条不紊，以免使上述人员的安全受到威胁。</w:t>
      </w:r>
    </w:p>
    <w:p w14:paraId="3AE8407A">
      <w:pPr>
        <w:spacing w:line="400" w:lineRule="exact"/>
        <w:ind w:firstLine="480"/>
        <w:rPr>
          <w:color w:val="auto"/>
          <w:highlight w:val="none"/>
        </w:rPr>
      </w:pPr>
      <w:r>
        <w:rPr>
          <w:rFonts w:hint="eastAsia"/>
          <w:color w:val="auto"/>
          <w:highlight w:val="none"/>
        </w:rPr>
        <w:t>（1）按《公路水运工程安全生产监督管理办法》规定的最低数量和资质条件配备专职安全生产管理人员；</w:t>
      </w:r>
    </w:p>
    <w:p w14:paraId="7AFE57F7">
      <w:pPr>
        <w:spacing w:line="400" w:lineRule="exact"/>
        <w:ind w:firstLine="480"/>
        <w:rPr>
          <w:color w:val="auto"/>
          <w:highlight w:val="none"/>
        </w:rPr>
      </w:pPr>
      <w:r>
        <w:rPr>
          <w:rFonts w:hint="eastAsia"/>
          <w:color w:val="auto"/>
          <w:highlight w:val="none"/>
        </w:rPr>
        <w:t>（2）承包人的垂直运输机械作业人员、施工船舶作业人员、爆破作业人员、 安装拆卸工、起重信号工、电工、焊工等国家规定的特种作业人员，必须按照国家规定经过专门的安全作业培训，并取得特种作业操作资格证书后，方可上岗作业；</w:t>
      </w:r>
    </w:p>
    <w:p w14:paraId="0A81A229">
      <w:pPr>
        <w:spacing w:line="400" w:lineRule="exact"/>
        <w:ind w:firstLine="480"/>
        <w:rPr>
          <w:color w:val="auto"/>
          <w:highlight w:val="none"/>
        </w:rPr>
      </w:pPr>
      <w:r>
        <w:rPr>
          <w:rFonts w:hint="eastAsia"/>
          <w:color w:val="auto"/>
          <w:highlight w:val="none"/>
        </w:rPr>
        <w:t>（3）所有施工机具设备和高空作业设备均应定期检查，并有安全员的签字记录；</w:t>
      </w:r>
    </w:p>
    <w:p w14:paraId="2A36A316">
      <w:pPr>
        <w:spacing w:line="400" w:lineRule="exact"/>
        <w:ind w:firstLine="480"/>
        <w:rPr>
          <w:color w:val="auto"/>
          <w:highlight w:val="none"/>
        </w:rPr>
      </w:pPr>
      <w:r>
        <w:rPr>
          <w:rFonts w:hint="eastAsia"/>
          <w:color w:val="auto"/>
          <w:highlight w:val="none"/>
        </w:rPr>
        <w:t>（4）根据本合同各单位工程的施工特点，严格执行《公路水运工程安全生产监督管理办法》《公路工程施工安全技术规范》等有关规定。</w:t>
      </w:r>
    </w:p>
    <w:p w14:paraId="0D1B5292">
      <w:pPr>
        <w:spacing w:line="400" w:lineRule="exact"/>
        <w:ind w:firstLine="480"/>
        <w:rPr>
          <w:color w:val="auto"/>
          <w:highlight w:val="none"/>
        </w:rPr>
      </w:pPr>
      <w:r>
        <w:rPr>
          <w:rFonts w:hint="eastAsia"/>
          <w:color w:val="auto"/>
          <w:highlight w:val="none"/>
        </w:rPr>
        <w:t>9.2.9为了保护本合同工程免遭损坏，或为了现场附近和过往群众的安全与方便，在确有必要的时候和地方，或当监理人或有关主管部门要求时，承包人应自费提供照明、警卫、护栅、警告标志等安全防护设施。</w:t>
      </w:r>
    </w:p>
    <w:p w14:paraId="6C3B5AC4">
      <w:pPr>
        <w:spacing w:line="400" w:lineRule="exact"/>
        <w:ind w:firstLine="480"/>
        <w:rPr>
          <w:color w:val="auto"/>
          <w:highlight w:val="none"/>
        </w:rPr>
      </w:pPr>
      <w:r>
        <w:rPr>
          <w:rFonts w:hint="eastAsia"/>
          <w:color w:val="auto"/>
          <w:highlight w:val="none"/>
        </w:rPr>
        <w:t>9.2.10在通航水域施工时，承包人应与当地主管部门取得联系，设置必要的导航标志，及时发布航行通告，确保施工水域安全。</w:t>
      </w:r>
    </w:p>
    <w:p w14:paraId="3C160618">
      <w:pPr>
        <w:spacing w:line="400" w:lineRule="exact"/>
        <w:ind w:firstLine="480"/>
        <w:rPr>
          <w:color w:val="auto"/>
          <w:highlight w:val="none"/>
        </w:rPr>
      </w:pPr>
      <w:r>
        <w:rPr>
          <w:rFonts w:hint="eastAsia"/>
          <w:color w:val="auto"/>
          <w:highlight w:val="none"/>
        </w:rPr>
        <w:t>9.2.11在整个施工过程中对承包人采取的施工安全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33F487FB">
      <w:pPr>
        <w:keepNext/>
        <w:keepLines/>
        <w:spacing w:line="400" w:lineRule="exact"/>
        <w:outlineLvl w:val="3"/>
        <w:rPr>
          <w:rFonts w:ascii="Arial" w:hAnsi="Arial"/>
          <w:b/>
          <w:bCs/>
          <w:color w:val="auto"/>
          <w:sz w:val="28"/>
          <w:szCs w:val="28"/>
          <w:highlight w:val="none"/>
        </w:rPr>
      </w:pPr>
      <w:bookmarkStart w:id="185" w:name="_Toc29507"/>
      <w:r>
        <w:rPr>
          <w:rFonts w:hint="eastAsia" w:ascii="Arial" w:hAnsi="Arial"/>
          <w:b/>
          <w:bCs/>
          <w:color w:val="auto"/>
          <w:sz w:val="28"/>
          <w:szCs w:val="28"/>
          <w:highlight w:val="none"/>
        </w:rPr>
        <w:t>9.4 环境保护</w:t>
      </w:r>
      <w:bookmarkEnd w:id="185"/>
    </w:p>
    <w:p w14:paraId="47118A0A">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本款补充第 9.4.7 项~第 9.4.11 项：</w:t>
      </w:r>
    </w:p>
    <w:p w14:paraId="06E98404">
      <w:pPr>
        <w:spacing w:line="400" w:lineRule="exact"/>
        <w:ind w:firstLine="480"/>
        <w:rPr>
          <w:color w:val="auto"/>
          <w:highlight w:val="none"/>
        </w:rPr>
      </w:pPr>
      <w:r>
        <w:rPr>
          <w:rFonts w:hint="eastAsia"/>
          <w:color w:val="auto"/>
          <w:highlight w:val="none"/>
        </w:rPr>
        <w:t>9.4.7承包人应切实执行技术规范中有关环境保护方面的条款和规定。</w:t>
      </w:r>
    </w:p>
    <w:p w14:paraId="477A53E3">
      <w:pPr>
        <w:spacing w:line="400" w:lineRule="exact"/>
        <w:ind w:firstLine="480"/>
        <w:rPr>
          <w:color w:val="auto"/>
          <w:highlight w:val="none"/>
        </w:rPr>
      </w:pPr>
      <w:r>
        <w:rPr>
          <w:rFonts w:hint="eastAsia"/>
          <w:color w:val="auto"/>
          <w:highlight w:val="none"/>
        </w:rPr>
        <w:t>（1）对于来自施工机械和运输车辆的施工噪声，为保护施工人员的健康，依据《工业企业噪声卫生标准》合理安排工作人员轮流操作筑路机械，减少接触高噪声的时间，或间歇安排高噪声的工作。对距噪声源较近的施工人员，除采取使用防护耳塞或头盔等有效措施外，还应当缩短其劳动时间。同时，要注意对机械的经常性保养，尽量使其噪声降低到最低水平。为保护施工现场附近居民的夜间休息，对居民区 150m 以内的施工现场， 施工时间应加以控制。</w:t>
      </w:r>
    </w:p>
    <w:p w14:paraId="3AF0FB6A">
      <w:pPr>
        <w:spacing w:line="400" w:lineRule="exact"/>
        <w:ind w:firstLine="480"/>
        <w:rPr>
          <w:color w:val="auto"/>
          <w:highlight w:val="none"/>
        </w:rPr>
      </w:pPr>
      <w:r>
        <w:rPr>
          <w:rFonts w:hint="eastAsia"/>
          <w:color w:val="auto"/>
          <w:highlight w:val="none"/>
        </w:rPr>
        <w:t>（2）对于公路施工中粉尘污染的主要污染源――灰土拌和、施工车辆和筑路机械运行及运输产生的扬尘，应采取有效措施减轻其对施工现场的大气污染，保护人民健康，如：</w:t>
      </w:r>
    </w:p>
    <w:p w14:paraId="49E9E414">
      <w:pPr>
        <w:spacing w:line="400" w:lineRule="exact"/>
        <w:ind w:firstLine="480"/>
        <w:rPr>
          <w:color w:val="auto"/>
          <w:highlight w:val="none"/>
        </w:rPr>
      </w:pPr>
      <w:r>
        <w:rPr>
          <w:rFonts w:hint="eastAsia"/>
          <w:color w:val="auto"/>
          <w:highlight w:val="none"/>
        </w:rPr>
        <w:t>a.拌和设备应有较好的密封，或有防尘设备。</w:t>
      </w:r>
    </w:p>
    <w:p w14:paraId="2CDFB38D">
      <w:pPr>
        <w:spacing w:line="400" w:lineRule="exact"/>
        <w:ind w:firstLine="480"/>
        <w:rPr>
          <w:color w:val="auto"/>
          <w:highlight w:val="none"/>
        </w:rPr>
      </w:pPr>
      <w:r>
        <w:rPr>
          <w:rFonts w:hint="eastAsia"/>
          <w:color w:val="auto"/>
          <w:highlight w:val="none"/>
        </w:rPr>
        <w:t>b.施工通道、沥青混凝土拌和站及灰土拌和站应经常进行洒水降尘。</w:t>
      </w:r>
    </w:p>
    <w:p w14:paraId="1CF7EB5C">
      <w:pPr>
        <w:spacing w:line="400" w:lineRule="exact"/>
        <w:ind w:firstLine="480"/>
        <w:rPr>
          <w:color w:val="auto"/>
          <w:highlight w:val="none"/>
        </w:rPr>
      </w:pPr>
      <w:r>
        <w:rPr>
          <w:rFonts w:hint="eastAsia"/>
          <w:color w:val="auto"/>
          <w:highlight w:val="none"/>
        </w:rPr>
        <w:t>c.路面施工应注意保持水分，以免扬尘。</w:t>
      </w:r>
    </w:p>
    <w:p w14:paraId="6E0CF8AB">
      <w:pPr>
        <w:spacing w:line="400" w:lineRule="exact"/>
        <w:ind w:firstLine="480"/>
        <w:rPr>
          <w:color w:val="auto"/>
          <w:highlight w:val="none"/>
        </w:rPr>
      </w:pPr>
      <w:r>
        <w:rPr>
          <w:rFonts w:hint="eastAsia"/>
          <w:color w:val="auto"/>
          <w:highlight w:val="none"/>
        </w:rPr>
        <w:t>d.隧道出渣和桥梁钻孔灌注桩施工时排出的泥浆要进行妥善处理，严禁向河流或农田排放。</w:t>
      </w:r>
    </w:p>
    <w:p w14:paraId="02ACA692">
      <w:pPr>
        <w:spacing w:line="400" w:lineRule="exact"/>
        <w:ind w:firstLine="480"/>
        <w:rPr>
          <w:color w:val="auto"/>
          <w:highlight w:val="none"/>
        </w:rPr>
      </w:pPr>
      <w:r>
        <w:rPr>
          <w:rFonts w:hint="eastAsia"/>
          <w:color w:val="auto"/>
          <w:highlight w:val="none"/>
        </w:rPr>
        <w:t>（3）采取可靠措施保证原有交通的正常通行，维持沿线村镇的居民饮水、农田灌溉、生产生活用电及通信等管线的正常使用。</w:t>
      </w:r>
    </w:p>
    <w:p w14:paraId="347ED8A0">
      <w:pPr>
        <w:spacing w:line="400" w:lineRule="exact"/>
        <w:ind w:firstLine="480"/>
        <w:rPr>
          <w:color w:val="auto"/>
          <w:highlight w:val="none"/>
        </w:rPr>
      </w:pPr>
      <w:r>
        <w:rPr>
          <w:rFonts w:hint="eastAsia"/>
          <w:color w:val="auto"/>
          <w:highlight w:val="none"/>
        </w:rPr>
        <w:t>9.4.8在整个施工过程中对承包人采取的环境保护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014944B4">
      <w:pPr>
        <w:spacing w:line="400" w:lineRule="exact"/>
        <w:ind w:firstLine="480"/>
        <w:rPr>
          <w:color w:val="auto"/>
          <w:highlight w:val="none"/>
        </w:rPr>
      </w:pPr>
      <w:r>
        <w:rPr>
          <w:rFonts w:hint="eastAsia"/>
          <w:color w:val="auto"/>
          <w:highlight w:val="none"/>
        </w:rPr>
        <w:t>9.4.9在施工期间，承包人应随时保持现场整洁，施工设备和材料、工程设备应整齐妥善存放和储存，废料与垃圾及不再需要的临时设施应及时从现场清除、拆除并运走。</w:t>
      </w:r>
    </w:p>
    <w:p w14:paraId="72DD57F2">
      <w:pPr>
        <w:spacing w:line="400" w:lineRule="exact"/>
        <w:ind w:firstLine="480"/>
        <w:rPr>
          <w:color w:val="auto"/>
          <w:highlight w:val="none"/>
        </w:rPr>
      </w:pPr>
      <w:r>
        <w:rPr>
          <w:rFonts w:hint="eastAsia"/>
          <w:color w:val="auto"/>
          <w:highlight w:val="none"/>
        </w:rPr>
        <w:t>9.4.10在施工期间，承包人应严格遵守《关于在公路建设中实行最严格的耕地保护制度的若干意见》的相关规定，规范用地、科学用地、合理用地和节约用地。承包人应合理利用所占耕地地表的耕作层，用于重新造地；合理设置取土坑和弃土场，取土坑和弃土场的施工防护要符合要求，防止水土流失。承包人应严格控制临时占地数量，施工便道、各种料场、预制场要根据工程进度统筹考虑，尽可能设置在公路用地范围内或利用荒坡、废弃地解决，不得占用农田。施工过程中要采取有效措施防止污染农田，项目完工后承包人应将临时占地自费恢复到临时占地使用前的状况。</w:t>
      </w:r>
    </w:p>
    <w:p w14:paraId="3083E5B6">
      <w:pPr>
        <w:spacing w:line="400" w:lineRule="exact"/>
        <w:ind w:firstLine="480"/>
        <w:rPr>
          <w:color w:val="auto"/>
          <w:highlight w:val="none"/>
        </w:rPr>
      </w:pPr>
      <w:r>
        <w:rPr>
          <w:rFonts w:hint="eastAsia"/>
          <w:color w:val="auto"/>
          <w:highlight w:val="none"/>
        </w:rPr>
        <w:t>9.4.11承包人应严格按照国家有关法规要求，做好施工过程中的生态保护和水土保持工作。施工中要尽可能减少对原地面的扰动，减少对地面草木的破坏，需要爆破作业的，应按规定进行控爆设计。雨季填筑路基应随挖、随运、随填、随压， 要完善施工中的临时排水系统，加强施工便道的管理。取（弃）土场必须先挡后弃， 严禁在指定的取（弃）土场以外的地方乱挖乱弃。</w:t>
      </w:r>
    </w:p>
    <w:p w14:paraId="4F1053CE">
      <w:pPr>
        <w:keepNext/>
        <w:keepLines/>
        <w:spacing w:line="400" w:lineRule="exact"/>
        <w:outlineLvl w:val="2"/>
        <w:rPr>
          <w:b/>
          <w:bCs/>
          <w:color w:val="auto"/>
          <w:sz w:val="32"/>
          <w:szCs w:val="32"/>
          <w:highlight w:val="none"/>
        </w:rPr>
      </w:pPr>
      <w:bookmarkStart w:id="186" w:name="_Toc233964183"/>
      <w:bookmarkStart w:id="187" w:name="_Toc122424468"/>
      <w:bookmarkStart w:id="188" w:name="_Toc23551"/>
      <w:bookmarkStart w:id="189" w:name="_Toc122424219"/>
      <w:r>
        <w:rPr>
          <w:rFonts w:hint="eastAsia"/>
          <w:b/>
          <w:bCs/>
          <w:color w:val="auto"/>
          <w:sz w:val="32"/>
          <w:szCs w:val="32"/>
          <w:highlight w:val="none"/>
        </w:rPr>
        <w:t>10.进度计划</w:t>
      </w:r>
      <w:bookmarkEnd w:id="186"/>
      <w:bookmarkEnd w:id="187"/>
      <w:bookmarkEnd w:id="188"/>
      <w:bookmarkEnd w:id="189"/>
    </w:p>
    <w:p w14:paraId="406BD3C3">
      <w:pPr>
        <w:keepNext/>
        <w:keepLines/>
        <w:spacing w:line="400" w:lineRule="exact"/>
        <w:outlineLvl w:val="3"/>
        <w:rPr>
          <w:rFonts w:ascii="Arial" w:hAnsi="Arial"/>
          <w:b/>
          <w:bCs/>
          <w:color w:val="auto"/>
          <w:sz w:val="28"/>
          <w:szCs w:val="28"/>
          <w:highlight w:val="none"/>
        </w:rPr>
      </w:pPr>
      <w:bookmarkStart w:id="190" w:name="_Toc2371"/>
      <w:r>
        <w:rPr>
          <w:rFonts w:hint="eastAsia" w:ascii="Arial" w:hAnsi="Arial"/>
          <w:b/>
          <w:bCs/>
          <w:color w:val="auto"/>
          <w:sz w:val="28"/>
          <w:szCs w:val="28"/>
          <w:highlight w:val="none"/>
        </w:rPr>
        <w:t>10.1合同进度计划</w:t>
      </w:r>
      <w:bookmarkEnd w:id="190"/>
    </w:p>
    <w:p w14:paraId="03A7B616">
      <w:pPr>
        <w:spacing w:line="400" w:lineRule="exact"/>
        <w:ind w:firstLine="480"/>
        <w:rPr>
          <w:color w:val="auto"/>
          <w:highlight w:val="none"/>
        </w:rPr>
      </w:pPr>
      <w:r>
        <w:rPr>
          <w:rFonts w:hint="eastAsia"/>
          <w:color w:val="auto"/>
          <w:highlight w:val="none"/>
        </w:rPr>
        <w:t>本款补充：</w:t>
      </w:r>
    </w:p>
    <w:p w14:paraId="54012017">
      <w:pPr>
        <w:spacing w:line="400" w:lineRule="exact"/>
        <w:ind w:firstLine="480"/>
        <w:rPr>
          <w:color w:val="auto"/>
          <w:highlight w:val="none"/>
        </w:rPr>
      </w:pPr>
      <w:r>
        <w:rPr>
          <w:rFonts w:hint="eastAsia"/>
          <w:color w:val="auto"/>
          <w:highlight w:val="none"/>
        </w:rPr>
        <w:t>承包人编制施工方案说明的内容见项目专用合同条款。</w:t>
      </w:r>
    </w:p>
    <w:p w14:paraId="4A38F1BD">
      <w:pPr>
        <w:spacing w:line="400" w:lineRule="exact"/>
        <w:ind w:firstLine="480"/>
        <w:rPr>
          <w:color w:val="auto"/>
          <w:highlight w:val="none"/>
        </w:rPr>
      </w:pPr>
      <w:r>
        <w:rPr>
          <w:rFonts w:hint="eastAsia"/>
          <w:color w:val="auto"/>
          <w:highlight w:val="none"/>
        </w:rPr>
        <w:t>承包人向监理人报送施工进度计划和施工方案说明的期限：签订合同协议书后28 天之内。</w:t>
      </w:r>
    </w:p>
    <w:p w14:paraId="059EC245">
      <w:pPr>
        <w:spacing w:line="400" w:lineRule="exact"/>
        <w:ind w:firstLine="480"/>
        <w:rPr>
          <w:color w:val="auto"/>
          <w:highlight w:val="none"/>
        </w:rPr>
      </w:pPr>
      <w:r>
        <w:rPr>
          <w:rFonts w:hint="eastAsia"/>
          <w:color w:val="auto"/>
          <w:highlight w:val="none"/>
        </w:rPr>
        <w:t>监理人应在 14 天内对承包人施工进度计划和施工方案说明予以批复或提出修改意见。</w:t>
      </w:r>
    </w:p>
    <w:p w14:paraId="368F860B">
      <w:pPr>
        <w:spacing w:line="400" w:lineRule="exact"/>
        <w:ind w:firstLine="480"/>
        <w:rPr>
          <w:color w:val="auto"/>
          <w:highlight w:val="none"/>
        </w:rPr>
      </w:pPr>
      <w:r>
        <w:rPr>
          <w:rFonts w:hint="eastAsia"/>
          <w:color w:val="auto"/>
          <w:highlight w:val="none"/>
        </w:rPr>
        <w:t>合同进度计划应按照关键线路网络图和主要工作横道图两种形式分别编绘，并应包括每月预计完成的工作量和形象进度。</w:t>
      </w:r>
    </w:p>
    <w:p w14:paraId="3B161795">
      <w:pPr>
        <w:keepNext/>
        <w:keepLines/>
        <w:spacing w:line="400" w:lineRule="exact"/>
        <w:outlineLvl w:val="3"/>
        <w:rPr>
          <w:rFonts w:ascii="Arial" w:hAnsi="Arial"/>
          <w:b/>
          <w:bCs/>
          <w:color w:val="auto"/>
          <w:sz w:val="28"/>
          <w:szCs w:val="28"/>
          <w:highlight w:val="none"/>
        </w:rPr>
      </w:pPr>
      <w:bookmarkStart w:id="191" w:name="_Toc30457"/>
      <w:r>
        <w:rPr>
          <w:rFonts w:hint="eastAsia" w:ascii="Arial" w:hAnsi="Arial"/>
          <w:b/>
          <w:bCs/>
          <w:color w:val="auto"/>
          <w:sz w:val="28"/>
          <w:szCs w:val="28"/>
          <w:highlight w:val="none"/>
        </w:rPr>
        <w:t>10.2合同进度计划的修订</w:t>
      </w:r>
      <w:bookmarkEnd w:id="191"/>
    </w:p>
    <w:p w14:paraId="599382D3">
      <w:pPr>
        <w:spacing w:line="400" w:lineRule="exact"/>
        <w:ind w:firstLine="480"/>
        <w:rPr>
          <w:color w:val="auto"/>
          <w:highlight w:val="none"/>
        </w:rPr>
      </w:pPr>
      <w:r>
        <w:rPr>
          <w:rFonts w:hint="eastAsia"/>
          <w:color w:val="auto"/>
          <w:highlight w:val="none"/>
        </w:rPr>
        <w:t>本款补充：</w:t>
      </w:r>
    </w:p>
    <w:p w14:paraId="0B0EAE60">
      <w:pPr>
        <w:spacing w:line="400" w:lineRule="exact"/>
        <w:ind w:firstLine="480"/>
        <w:rPr>
          <w:color w:val="auto"/>
          <w:highlight w:val="none"/>
        </w:rPr>
      </w:pPr>
      <w:r>
        <w:rPr>
          <w:rFonts w:hint="eastAsia"/>
          <w:color w:val="auto"/>
          <w:highlight w:val="none"/>
        </w:rPr>
        <w:t>承包人提交合同进度计划修订申请报告，并附有关措施和相关资料的期限：实际进度发生滞后的当月 25 日前。</w:t>
      </w:r>
    </w:p>
    <w:p w14:paraId="4D44448F">
      <w:pPr>
        <w:spacing w:line="400" w:lineRule="exact"/>
        <w:ind w:firstLine="480"/>
        <w:rPr>
          <w:color w:val="auto"/>
          <w:highlight w:val="none"/>
        </w:rPr>
      </w:pPr>
      <w:r>
        <w:rPr>
          <w:rFonts w:hint="eastAsia"/>
          <w:color w:val="auto"/>
          <w:highlight w:val="none"/>
        </w:rPr>
        <w:t>监理人批复修订合同进度计划的期限：收到修订合同进度计划后 14 天内。</w:t>
      </w:r>
    </w:p>
    <w:p w14:paraId="4F06F7D1">
      <w:pPr>
        <w:spacing w:line="400" w:lineRule="exact"/>
        <w:ind w:firstLine="480"/>
        <w:rPr>
          <w:color w:val="auto"/>
          <w:highlight w:val="none"/>
        </w:rPr>
      </w:pPr>
      <w:r>
        <w:rPr>
          <w:rFonts w:hint="eastAsia"/>
          <w:color w:val="auto"/>
          <w:highlight w:val="none"/>
        </w:rPr>
        <w:t>本条补充第 10.3 款、第 10.4 款：</w:t>
      </w:r>
    </w:p>
    <w:p w14:paraId="595DECE8">
      <w:pPr>
        <w:keepNext/>
        <w:keepLines/>
        <w:spacing w:line="400" w:lineRule="exact"/>
        <w:outlineLvl w:val="3"/>
        <w:rPr>
          <w:rFonts w:ascii="Arial" w:hAnsi="Arial"/>
          <w:b/>
          <w:bCs/>
          <w:color w:val="auto"/>
          <w:sz w:val="28"/>
          <w:szCs w:val="28"/>
          <w:highlight w:val="none"/>
        </w:rPr>
      </w:pPr>
      <w:bookmarkStart w:id="192" w:name="_Toc2437"/>
      <w:r>
        <w:rPr>
          <w:rFonts w:hint="eastAsia" w:ascii="Arial" w:hAnsi="Arial"/>
          <w:b/>
          <w:bCs/>
          <w:color w:val="auto"/>
          <w:sz w:val="28"/>
          <w:szCs w:val="28"/>
          <w:highlight w:val="none"/>
        </w:rPr>
        <w:t>10.3年度施工计划</w:t>
      </w:r>
      <w:bookmarkEnd w:id="192"/>
    </w:p>
    <w:p w14:paraId="03567446">
      <w:pPr>
        <w:spacing w:line="400" w:lineRule="exact"/>
        <w:ind w:firstLine="480"/>
        <w:rPr>
          <w:color w:val="auto"/>
          <w:highlight w:val="none"/>
        </w:rPr>
      </w:pPr>
      <w:r>
        <w:rPr>
          <w:rFonts w:hint="eastAsia"/>
          <w:color w:val="auto"/>
          <w:highlight w:val="none"/>
        </w:rPr>
        <w:t>承包人应在每年 11 月底前，根据已同意的合同进度计划或其修订的计划，向监理人提交 2 份格式和内容符合监理人合理规定的下一年度的施工计划，以供审查。该计划应包括本年度估计完成的和下一年度预计完成的分项工程数量和工作量，以及为实施此计划将采取的措施。</w:t>
      </w:r>
    </w:p>
    <w:p w14:paraId="26B75BCD">
      <w:pPr>
        <w:keepNext/>
        <w:keepLines/>
        <w:spacing w:line="400" w:lineRule="exact"/>
        <w:outlineLvl w:val="3"/>
        <w:rPr>
          <w:rFonts w:ascii="Arial" w:hAnsi="Arial"/>
          <w:b/>
          <w:bCs/>
          <w:color w:val="auto"/>
          <w:sz w:val="28"/>
          <w:szCs w:val="28"/>
          <w:highlight w:val="none"/>
        </w:rPr>
      </w:pPr>
      <w:bookmarkStart w:id="193" w:name="_Toc19021"/>
      <w:r>
        <w:rPr>
          <w:rFonts w:hint="eastAsia" w:ascii="Arial" w:hAnsi="Arial"/>
          <w:b/>
          <w:bCs/>
          <w:color w:val="auto"/>
          <w:sz w:val="28"/>
          <w:szCs w:val="28"/>
          <w:highlight w:val="none"/>
        </w:rPr>
        <w:t>10.4合同用款计划</w:t>
      </w:r>
      <w:bookmarkEnd w:id="193"/>
    </w:p>
    <w:p w14:paraId="63498E0E">
      <w:pPr>
        <w:spacing w:line="400" w:lineRule="exact"/>
        <w:ind w:firstLine="480"/>
        <w:rPr>
          <w:color w:val="auto"/>
          <w:highlight w:val="none"/>
        </w:rPr>
      </w:pPr>
      <w:r>
        <w:rPr>
          <w:rFonts w:hint="eastAsia"/>
          <w:color w:val="auto"/>
          <w:highlight w:val="none"/>
        </w:rPr>
        <w:t>承包人应在签订本合同协议书后 28 天之内，按磋商文件中规定的格式，向监理人提交 2 份按合同规定承包人有权得到支付的详细的季度合同用款计划，以备监理人查阅。如果监理人提出要求，承包人还应按季度提交修订的合同用款计划。</w:t>
      </w:r>
    </w:p>
    <w:p w14:paraId="17DB8CF9">
      <w:pPr>
        <w:keepNext/>
        <w:keepLines/>
        <w:spacing w:line="400" w:lineRule="exact"/>
        <w:outlineLvl w:val="2"/>
        <w:rPr>
          <w:b/>
          <w:bCs/>
          <w:color w:val="auto"/>
          <w:sz w:val="32"/>
          <w:szCs w:val="32"/>
          <w:highlight w:val="none"/>
        </w:rPr>
      </w:pPr>
      <w:bookmarkStart w:id="194" w:name="_Toc233964184"/>
      <w:bookmarkStart w:id="195" w:name="_Toc122424469"/>
      <w:bookmarkStart w:id="196" w:name="_Toc122424220"/>
      <w:bookmarkStart w:id="197" w:name="_Toc15458"/>
      <w:r>
        <w:rPr>
          <w:rFonts w:hint="eastAsia"/>
          <w:b/>
          <w:bCs/>
          <w:color w:val="auto"/>
          <w:sz w:val="32"/>
          <w:szCs w:val="32"/>
          <w:highlight w:val="none"/>
        </w:rPr>
        <w:t>11.开工和交工</w:t>
      </w:r>
      <w:bookmarkEnd w:id="194"/>
      <w:bookmarkEnd w:id="195"/>
      <w:bookmarkEnd w:id="196"/>
      <w:bookmarkEnd w:id="197"/>
    </w:p>
    <w:p w14:paraId="5CBBF6C9">
      <w:pPr>
        <w:keepNext/>
        <w:keepLines/>
        <w:spacing w:line="400" w:lineRule="exact"/>
        <w:outlineLvl w:val="3"/>
        <w:rPr>
          <w:rFonts w:ascii="Arial" w:hAnsi="Arial"/>
          <w:b/>
          <w:bCs/>
          <w:color w:val="auto"/>
          <w:sz w:val="28"/>
          <w:szCs w:val="28"/>
          <w:highlight w:val="none"/>
        </w:rPr>
      </w:pPr>
      <w:bookmarkStart w:id="198" w:name="_Toc12235"/>
      <w:r>
        <w:rPr>
          <w:rFonts w:hint="eastAsia" w:ascii="Arial" w:hAnsi="Arial"/>
          <w:b/>
          <w:bCs/>
          <w:color w:val="auto"/>
          <w:sz w:val="28"/>
          <w:szCs w:val="28"/>
          <w:highlight w:val="none"/>
        </w:rPr>
        <w:t>11.1开工</w:t>
      </w:r>
      <w:bookmarkEnd w:id="198"/>
    </w:p>
    <w:p w14:paraId="31F75E0E">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第 11.1.2 项补充：</w:t>
      </w:r>
    </w:p>
    <w:p w14:paraId="79DFFB2D">
      <w:pPr>
        <w:spacing w:line="400" w:lineRule="exact"/>
        <w:ind w:firstLine="480"/>
        <w:rPr>
          <w:color w:val="auto"/>
          <w:highlight w:val="none"/>
        </w:rPr>
      </w:pPr>
      <w:r>
        <w:rPr>
          <w:rFonts w:hint="eastAsia"/>
          <w:color w:val="auto"/>
          <w:highlight w:val="none"/>
        </w:rPr>
        <w:t>承包人应在分部工程开工前 14 天向监理人提交分部工程开工报审表，若承包人的开工准备、工作计划和质量控制方法是可接受的且已获得批准，则经监理人书面同意，分部工程才能开工。</w:t>
      </w:r>
    </w:p>
    <w:p w14:paraId="20B3E11D">
      <w:pPr>
        <w:keepNext/>
        <w:keepLines/>
        <w:spacing w:line="400" w:lineRule="exact"/>
        <w:outlineLvl w:val="3"/>
        <w:rPr>
          <w:rFonts w:ascii="Arial" w:hAnsi="Arial"/>
          <w:b/>
          <w:bCs/>
          <w:color w:val="auto"/>
          <w:sz w:val="28"/>
          <w:szCs w:val="28"/>
          <w:highlight w:val="none"/>
        </w:rPr>
      </w:pPr>
      <w:bookmarkStart w:id="199" w:name="_Toc965"/>
      <w:r>
        <w:rPr>
          <w:rFonts w:hint="eastAsia" w:ascii="Arial" w:hAnsi="Arial"/>
          <w:b/>
          <w:bCs/>
          <w:color w:val="auto"/>
          <w:sz w:val="28"/>
          <w:szCs w:val="28"/>
          <w:highlight w:val="none"/>
        </w:rPr>
        <w:t>11.3发包人的工期延误</w:t>
      </w:r>
      <w:bookmarkEnd w:id="199"/>
    </w:p>
    <w:p w14:paraId="2FCFE170">
      <w:pPr>
        <w:spacing w:line="400" w:lineRule="exact"/>
        <w:ind w:firstLine="480"/>
        <w:rPr>
          <w:color w:val="auto"/>
          <w:highlight w:val="none"/>
        </w:rPr>
      </w:pPr>
      <w:r>
        <w:rPr>
          <w:rFonts w:hint="eastAsia"/>
          <w:color w:val="auto"/>
          <w:highlight w:val="none"/>
        </w:rPr>
        <w:t>本款补充：</w:t>
      </w:r>
    </w:p>
    <w:p w14:paraId="55085F9A">
      <w:pPr>
        <w:spacing w:line="400" w:lineRule="exact"/>
        <w:ind w:firstLine="480"/>
        <w:rPr>
          <w:color w:val="auto"/>
          <w:highlight w:val="none"/>
        </w:rPr>
      </w:pPr>
      <w:r>
        <w:rPr>
          <w:rFonts w:hint="eastAsia"/>
          <w:color w:val="auto"/>
          <w:highlight w:val="none"/>
        </w:rPr>
        <w:t>即使由于上述原因造成工期延误，如果受影响的工程并非处在工程施工进度网络计划的关键线路上，则承包人无权要求延长总工期。</w:t>
      </w:r>
    </w:p>
    <w:p w14:paraId="3D486F96">
      <w:pPr>
        <w:keepNext/>
        <w:keepLines/>
        <w:spacing w:line="400" w:lineRule="exact"/>
        <w:outlineLvl w:val="3"/>
        <w:rPr>
          <w:rFonts w:ascii="Arial" w:hAnsi="Arial"/>
          <w:b/>
          <w:bCs/>
          <w:color w:val="auto"/>
          <w:sz w:val="28"/>
          <w:szCs w:val="28"/>
          <w:highlight w:val="none"/>
        </w:rPr>
      </w:pPr>
      <w:bookmarkStart w:id="200" w:name="_Toc7080"/>
      <w:r>
        <w:rPr>
          <w:rFonts w:hint="eastAsia" w:ascii="Arial" w:hAnsi="Arial"/>
          <w:b/>
          <w:bCs/>
          <w:color w:val="auto"/>
          <w:sz w:val="28"/>
          <w:szCs w:val="28"/>
          <w:highlight w:val="none"/>
        </w:rPr>
        <w:t>11.4异常恶劣的气候条件</w:t>
      </w:r>
      <w:bookmarkEnd w:id="200"/>
    </w:p>
    <w:p w14:paraId="1EEDA2C3">
      <w:pPr>
        <w:spacing w:line="400" w:lineRule="exact"/>
        <w:ind w:firstLine="480"/>
        <w:rPr>
          <w:color w:val="auto"/>
          <w:highlight w:val="none"/>
        </w:rPr>
      </w:pPr>
      <w:r>
        <w:rPr>
          <w:rFonts w:hint="eastAsia"/>
          <w:color w:val="auto"/>
          <w:highlight w:val="none"/>
        </w:rPr>
        <w:t>本款补充：</w:t>
      </w:r>
    </w:p>
    <w:p w14:paraId="1D89E171">
      <w:pPr>
        <w:spacing w:line="400" w:lineRule="exact"/>
        <w:ind w:firstLine="480"/>
        <w:rPr>
          <w:color w:val="auto"/>
          <w:highlight w:val="none"/>
        </w:rPr>
      </w:pPr>
      <w:r>
        <w:rPr>
          <w:rFonts w:hint="eastAsia"/>
          <w:color w:val="auto"/>
          <w:highlight w:val="none"/>
        </w:rPr>
        <w:t>异常气候是指项目所在地 30 年以上一遇的罕见气候现象（包括温度、降水、降雪、风等）。异常恶劣的气候条件在项目专用合同条款中作具体约定。</w:t>
      </w:r>
    </w:p>
    <w:p w14:paraId="4D9A7448">
      <w:pPr>
        <w:keepNext/>
        <w:keepLines/>
        <w:spacing w:line="400" w:lineRule="exact"/>
        <w:outlineLvl w:val="3"/>
        <w:rPr>
          <w:rFonts w:ascii="Arial" w:hAnsi="Arial"/>
          <w:b/>
          <w:bCs/>
          <w:color w:val="auto"/>
          <w:sz w:val="28"/>
          <w:szCs w:val="28"/>
          <w:highlight w:val="none"/>
        </w:rPr>
      </w:pPr>
      <w:bookmarkStart w:id="201" w:name="_Toc32058"/>
      <w:r>
        <w:rPr>
          <w:rFonts w:hint="eastAsia" w:ascii="Arial" w:hAnsi="Arial"/>
          <w:b/>
          <w:bCs/>
          <w:color w:val="auto"/>
          <w:sz w:val="28"/>
          <w:szCs w:val="28"/>
          <w:highlight w:val="none"/>
        </w:rPr>
        <w:t>11.5承包人的工期延误</w:t>
      </w:r>
      <w:bookmarkEnd w:id="201"/>
    </w:p>
    <w:p w14:paraId="396BCBE4">
      <w:pPr>
        <w:spacing w:line="400" w:lineRule="exact"/>
        <w:ind w:firstLine="480"/>
        <w:rPr>
          <w:color w:val="auto"/>
          <w:highlight w:val="none"/>
        </w:rPr>
      </w:pPr>
      <w:r>
        <w:rPr>
          <w:rFonts w:hint="eastAsia"/>
          <w:color w:val="auto"/>
          <w:highlight w:val="none"/>
        </w:rPr>
        <w:t>本款细化为：</w:t>
      </w:r>
    </w:p>
    <w:p w14:paraId="7779CC95">
      <w:pPr>
        <w:spacing w:line="400" w:lineRule="exact"/>
        <w:ind w:firstLine="480"/>
        <w:rPr>
          <w:color w:val="auto"/>
          <w:highlight w:val="none"/>
        </w:rPr>
      </w:pPr>
      <w:r>
        <w:rPr>
          <w:rFonts w:hint="eastAsia"/>
          <w:color w:val="auto"/>
          <w:highlight w:val="none"/>
        </w:rPr>
        <w:t>（1）承包人应严格执行监理人批准的合同进度计划，对工作量计划和形象进度计划分别控制。除第 11.3 款规定外，承包人的实际工程进度曲线应在合同进度管理曲线规定的安全区域之内。若承包人的实际工程进度曲线处在合同进度管理曲线规定的安全区域的下限之外时，则监理人有权认为本合同工程的进度过慢，并通知承包人应采取必要措施，以便加快工程进度，确保工程能在预定的工期内交工。承包人应采取措施加快进度，并承担加快进度所增加的费用。</w:t>
      </w:r>
    </w:p>
    <w:p w14:paraId="16AA5968">
      <w:pPr>
        <w:spacing w:line="400" w:lineRule="exact"/>
        <w:ind w:firstLine="480"/>
        <w:rPr>
          <w:color w:val="auto"/>
          <w:highlight w:val="none"/>
        </w:rPr>
      </w:pPr>
      <w:r>
        <w:rPr>
          <w:rFonts w:hint="eastAsia"/>
          <w:color w:val="auto"/>
          <w:highlight w:val="none"/>
        </w:rPr>
        <w:t>（2）如果承包人在接到监理人通知后的 14 天内，未能采取加快工程进度的措施，致使实际工程进度进一步滞后，或承包人虽采取了一些措施，仍无法按预计工期交工时，监理人应立即通知发包人。发包人在向承包人发出书面警告通知 14 天后，发包人可按第 22.1 款终止对承包人的雇用，也可将本合同工程中的一部分工作交由其他承包人或其他分包人完成。在不解除本合同规定的承包人责任和义务的同时， 承包人应承担因此所增加的一切费用。</w:t>
      </w:r>
    </w:p>
    <w:p w14:paraId="2034A634">
      <w:pPr>
        <w:spacing w:line="400" w:lineRule="exact"/>
        <w:ind w:firstLine="480"/>
        <w:rPr>
          <w:color w:val="auto"/>
          <w:highlight w:val="none"/>
        </w:rPr>
      </w:pPr>
      <w:r>
        <w:rPr>
          <w:rFonts w:hint="eastAsia"/>
          <w:color w:val="auto"/>
          <w:highlight w:val="none"/>
        </w:rPr>
        <w:t>（3）由于承包人原因造成工期延误，承包人应支付逾期交工违约金。逾期交工违约金的计算方法在项目专用合同条款数据表中约定，时间自预定的交工日期起到交工验收证书中写明的实际交工日期止（扣除已批准的延长工期），按天计算。逾期交工违约金累计金额最高不超过项目专用合同条款数据表中写明的限额。发包人可以从应付或到期应付给承包人的任何款项中或采用其他方法扣除此违约金。</w:t>
      </w:r>
    </w:p>
    <w:p w14:paraId="1ED8CDF1">
      <w:pPr>
        <w:spacing w:line="400" w:lineRule="exact"/>
        <w:ind w:firstLine="480"/>
        <w:rPr>
          <w:color w:val="auto"/>
          <w:highlight w:val="none"/>
        </w:rPr>
      </w:pPr>
      <w:r>
        <w:rPr>
          <w:rFonts w:hint="eastAsia"/>
          <w:color w:val="auto"/>
          <w:highlight w:val="none"/>
        </w:rPr>
        <w:t>（4）承包人支付逾期交工违约金，不免除承包人完成工程及修补缺陷的义务。</w:t>
      </w:r>
    </w:p>
    <w:p w14:paraId="7E61611A">
      <w:pPr>
        <w:spacing w:line="400" w:lineRule="exact"/>
        <w:ind w:firstLine="480"/>
        <w:rPr>
          <w:color w:val="auto"/>
          <w:highlight w:val="none"/>
        </w:rPr>
      </w:pPr>
      <w:r>
        <w:rPr>
          <w:rFonts w:hint="eastAsia"/>
          <w:color w:val="auto"/>
          <w:highlight w:val="none"/>
        </w:rPr>
        <w:t>（5）如果在合同工程完工之前，已对合同工程内按时完工的单位工程签发了交工验收证书，则合同工程的逾期交工违约金，应按已签发交工验收证书的单位工程的价值占合同工程价值的比例予以减少，但本规定不应影响逾期交工违约金的规定限额。</w:t>
      </w:r>
    </w:p>
    <w:p w14:paraId="78D71861">
      <w:pPr>
        <w:keepNext/>
        <w:keepLines/>
        <w:spacing w:line="400" w:lineRule="exact"/>
        <w:outlineLvl w:val="3"/>
        <w:rPr>
          <w:rFonts w:ascii="Arial" w:hAnsi="Arial"/>
          <w:b/>
          <w:bCs/>
          <w:color w:val="auto"/>
          <w:sz w:val="28"/>
          <w:szCs w:val="28"/>
          <w:highlight w:val="none"/>
        </w:rPr>
      </w:pPr>
      <w:bookmarkStart w:id="202" w:name="_Toc28353"/>
      <w:r>
        <w:rPr>
          <w:rFonts w:hint="eastAsia" w:ascii="Arial" w:hAnsi="Arial"/>
          <w:b/>
          <w:bCs/>
          <w:color w:val="auto"/>
          <w:sz w:val="28"/>
          <w:szCs w:val="28"/>
          <w:highlight w:val="none"/>
        </w:rPr>
        <w:t>11.6工期提前</w:t>
      </w:r>
      <w:bookmarkEnd w:id="202"/>
    </w:p>
    <w:p w14:paraId="6ECF3DD7">
      <w:pPr>
        <w:spacing w:line="400" w:lineRule="exact"/>
        <w:ind w:firstLine="480"/>
        <w:rPr>
          <w:color w:val="auto"/>
          <w:highlight w:val="none"/>
        </w:rPr>
      </w:pPr>
      <w:r>
        <w:rPr>
          <w:rFonts w:hint="eastAsia"/>
          <w:color w:val="auto"/>
          <w:highlight w:val="none"/>
        </w:rPr>
        <w:t>本款补充：</w:t>
      </w:r>
    </w:p>
    <w:p w14:paraId="1F846402">
      <w:pPr>
        <w:spacing w:line="400" w:lineRule="exact"/>
        <w:ind w:firstLine="480"/>
        <w:rPr>
          <w:color w:val="auto"/>
          <w:highlight w:val="none"/>
        </w:rPr>
      </w:pPr>
      <w:r>
        <w:rPr>
          <w:rFonts w:hint="eastAsia"/>
          <w:color w:val="auto"/>
          <w:highlight w:val="none"/>
        </w:rPr>
        <w:t>发包人不得随意要求承包人提前交工，承包人也不得随意提出提前交工的建议。如遇特殊情况，确需将工期提前的，发包人和承包人必须采取有效措施，确保工程质量。</w:t>
      </w:r>
    </w:p>
    <w:p w14:paraId="34FD60CB">
      <w:pPr>
        <w:spacing w:line="400" w:lineRule="exact"/>
        <w:ind w:firstLine="480"/>
        <w:rPr>
          <w:color w:val="auto"/>
          <w:highlight w:val="none"/>
        </w:rPr>
      </w:pPr>
      <w:r>
        <w:rPr>
          <w:rFonts w:hint="eastAsia"/>
          <w:color w:val="auto"/>
          <w:highlight w:val="none"/>
        </w:rPr>
        <w:t>如果承包人提前交工，发包人支付奖金的计算方法在项目专用合同条款数据表中约定，时间自交工验收证书中写明的实际交工日期起至预定的交工日期止，按天计算。但奖金最高限额不超过项目专用合同条款数据表中写明的限额。</w:t>
      </w:r>
    </w:p>
    <w:p w14:paraId="77770AD5">
      <w:pPr>
        <w:spacing w:line="400" w:lineRule="exact"/>
        <w:ind w:firstLine="480"/>
        <w:rPr>
          <w:color w:val="auto"/>
          <w:highlight w:val="none"/>
        </w:rPr>
      </w:pPr>
      <w:r>
        <w:rPr>
          <w:rFonts w:hint="eastAsia"/>
          <w:color w:val="auto"/>
          <w:highlight w:val="none"/>
        </w:rPr>
        <w:t>本条补充第 11.7 款：</w:t>
      </w:r>
    </w:p>
    <w:p w14:paraId="2CE78B56">
      <w:pPr>
        <w:keepNext/>
        <w:keepLines/>
        <w:spacing w:line="400" w:lineRule="exact"/>
        <w:outlineLvl w:val="3"/>
        <w:rPr>
          <w:rFonts w:ascii="Arial" w:hAnsi="Arial"/>
          <w:b/>
          <w:bCs/>
          <w:color w:val="auto"/>
          <w:sz w:val="28"/>
          <w:szCs w:val="28"/>
          <w:highlight w:val="none"/>
        </w:rPr>
      </w:pPr>
      <w:bookmarkStart w:id="203" w:name="_Toc24998"/>
      <w:r>
        <w:rPr>
          <w:rFonts w:hint="eastAsia" w:ascii="Arial" w:hAnsi="Arial"/>
          <w:b/>
          <w:bCs/>
          <w:color w:val="auto"/>
          <w:sz w:val="28"/>
          <w:szCs w:val="28"/>
          <w:highlight w:val="none"/>
        </w:rPr>
        <w:t>11.7工作时间的限制</w:t>
      </w:r>
      <w:bookmarkEnd w:id="203"/>
    </w:p>
    <w:p w14:paraId="49D922C1">
      <w:pPr>
        <w:spacing w:line="400" w:lineRule="exact"/>
        <w:ind w:firstLine="480"/>
        <w:rPr>
          <w:color w:val="auto"/>
          <w:highlight w:val="none"/>
        </w:rPr>
      </w:pPr>
      <w:r>
        <w:rPr>
          <w:rFonts w:hint="eastAsia"/>
          <w:color w:val="auto"/>
          <w:highlight w:val="none"/>
        </w:rPr>
        <w:t>承包人在夜间或国家规定的节假日进行永久工程的施工，应向监理人报告，以便监理人履行监理职责和义务。</w:t>
      </w:r>
    </w:p>
    <w:p w14:paraId="2A172F04">
      <w:pPr>
        <w:spacing w:line="400" w:lineRule="exact"/>
        <w:ind w:firstLine="480"/>
        <w:rPr>
          <w:color w:val="auto"/>
          <w:highlight w:val="none"/>
        </w:rPr>
      </w:pPr>
      <w:r>
        <w:rPr>
          <w:rFonts w:hint="eastAsia"/>
          <w:color w:val="auto"/>
          <w:highlight w:val="none"/>
        </w:rPr>
        <w:t>但是，为了抢救生命或保护财产，或为了工程的安全、质量而不可避免地短暂作业，则不必事先向监理人报告。但承包人应在事后立即向监理人报告。</w:t>
      </w:r>
    </w:p>
    <w:p w14:paraId="56736B51">
      <w:pPr>
        <w:spacing w:line="400" w:lineRule="exact"/>
        <w:ind w:firstLine="480"/>
        <w:rPr>
          <w:color w:val="auto"/>
          <w:highlight w:val="none"/>
        </w:rPr>
      </w:pPr>
      <w:r>
        <w:rPr>
          <w:rFonts w:hint="eastAsia"/>
          <w:color w:val="auto"/>
          <w:highlight w:val="none"/>
        </w:rPr>
        <w:t>本款规定不适用于习惯上或施工本身要求实行连续生产的作业。</w:t>
      </w:r>
    </w:p>
    <w:p w14:paraId="24E8EB7A">
      <w:pPr>
        <w:keepNext/>
        <w:keepLines/>
        <w:spacing w:line="400" w:lineRule="exact"/>
        <w:outlineLvl w:val="2"/>
        <w:rPr>
          <w:b/>
          <w:bCs/>
          <w:color w:val="auto"/>
          <w:sz w:val="32"/>
          <w:szCs w:val="32"/>
          <w:highlight w:val="none"/>
        </w:rPr>
      </w:pPr>
      <w:bookmarkStart w:id="204" w:name="_Toc21499"/>
      <w:bookmarkStart w:id="205" w:name="_Toc122424470"/>
      <w:bookmarkStart w:id="206" w:name="_Toc233964185"/>
      <w:bookmarkStart w:id="207" w:name="_Toc122424221"/>
      <w:r>
        <w:rPr>
          <w:rFonts w:hint="eastAsia"/>
          <w:b/>
          <w:bCs/>
          <w:color w:val="auto"/>
          <w:sz w:val="32"/>
          <w:szCs w:val="32"/>
          <w:highlight w:val="none"/>
        </w:rPr>
        <w:t>12.暂停施工</w:t>
      </w:r>
      <w:bookmarkEnd w:id="204"/>
      <w:bookmarkEnd w:id="205"/>
      <w:bookmarkEnd w:id="206"/>
      <w:bookmarkEnd w:id="207"/>
    </w:p>
    <w:p w14:paraId="169E7420">
      <w:pPr>
        <w:keepNext/>
        <w:keepLines/>
        <w:spacing w:line="400" w:lineRule="exact"/>
        <w:outlineLvl w:val="3"/>
        <w:rPr>
          <w:rFonts w:ascii="Arial" w:hAnsi="Arial"/>
          <w:b/>
          <w:bCs/>
          <w:color w:val="auto"/>
          <w:sz w:val="28"/>
          <w:szCs w:val="28"/>
          <w:highlight w:val="none"/>
        </w:rPr>
      </w:pPr>
      <w:bookmarkStart w:id="208" w:name="_Toc30626"/>
      <w:r>
        <w:rPr>
          <w:rFonts w:hint="eastAsia" w:ascii="Arial" w:hAnsi="Arial"/>
          <w:b/>
          <w:bCs/>
          <w:color w:val="auto"/>
          <w:sz w:val="28"/>
          <w:szCs w:val="28"/>
          <w:highlight w:val="none"/>
        </w:rPr>
        <w:t>12.1承包人暂停施工的责任</w:t>
      </w:r>
      <w:bookmarkEnd w:id="208"/>
    </w:p>
    <w:p w14:paraId="57D9AA11">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本款第（5）项细化为：</w:t>
      </w:r>
    </w:p>
    <w:p w14:paraId="545E4217">
      <w:pPr>
        <w:spacing w:line="400" w:lineRule="exact"/>
        <w:ind w:firstLine="480"/>
        <w:rPr>
          <w:color w:val="auto"/>
          <w:highlight w:val="none"/>
        </w:rPr>
      </w:pPr>
      <w:r>
        <w:rPr>
          <w:rFonts w:hint="eastAsia"/>
          <w:color w:val="auto"/>
          <w:highlight w:val="none"/>
        </w:rPr>
        <w:t>（5）现场气候条件导致的必要停工（第 11.4 款约定的异常恶劣的气候条件除外）；</w:t>
      </w:r>
    </w:p>
    <w:p w14:paraId="3F1A461F">
      <w:pPr>
        <w:spacing w:line="400" w:lineRule="exact"/>
        <w:ind w:firstLine="480"/>
        <w:rPr>
          <w:color w:val="auto"/>
          <w:highlight w:val="none"/>
        </w:rPr>
      </w:pPr>
      <w:r>
        <w:rPr>
          <w:rFonts w:hint="eastAsia"/>
          <w:color w:val="auto"/>
          <w:highlight w:val="none"/>
        </w:rPr>
        <w:t>（6）项目专用合同条款可能约定的由承包人承担的其他暂停施工。</w:t>
      </w:r>
    </w:p>
    <w:p w14:paraId="6E00DDF6">
      <w:pPr>
        <w:keepNext/>
        <w:keepLines/>
        <w:spacing w:line="400" w:lineRule="exact"/>
        <w:outlineLvl w:val="2"/>
        <w:rPr>
          <w:b/>
          <w:bCs/>
          <w:color w:val="auto"/>
          <w:sz w:val="32"/>
          <w:szCs w:val="32"/>
          <w:highlight w:val="none"/>
        </w:rPr>
      </w:pPr>
      <w:bookmarkStart w:id="209" w:name="_Toc233964186"/>
      <w:bookmarkStart w:id="210" w:name="_Toc18857"/>
      <w:bookmarkStart w:id="211" w:name="_Toc122424222"/>
      <w:bookmarkStart w:id="212" w:name="_Toc122424471"/>
      <w:r>
        <w:rPr>
          <w:rFonts w:hint="eastAsia"/>
          <w:b/>
          <w:bCs/>
          <w:color w:val="auto"/>
          <w:sz w:val="32"/>
          <w:szCs w:val="32"/>
          <w:highlight w:val="none"/>
        </w:rPr>
        <w:t>13.工程质量</w:t>
      </w:r>
      <w:bookmarkEnd w:id="209"/>
      <w:bookmarkEnd w:id="210"/>
      <w:bookmarkEnd w:id="211"/>
      <w:bookmarkEnd w:id="212"/>
    </w:p>
    <w:p w14:paraId="32502A3E">
      <w:pPr>
        <w:keepNext/>
        <w:keepLines/>
        <w:spacing w:line="400" w:lineRule="exact"/>
        <w:outlineLvl w:val="3"/>
        <w:rPr>
          <w:rFonts w:ascii="Arial" w:hAnsi="Arial"/>
          <w:b/>
          <w:bCs/>
          <w:color w:val="auto"/>
          <w:sz w:val="28"/>
          <w:szCs w:val="28"/>
          <w:highlight w:val="none"/>
        </w:rPr>
      </w:pPr>
      <w:bookmarkStart w:id="213" w:name="_Toc16161"/>
      <w:r>
        <w:rPr>
          <w:rFonts w:hint="eastAsia" w:ascii="Arial" w:hAnsi="Arial"/>
          <w:b/>
          <w:bCs/>
          <w:color w:val="auto"/>
          <w:sz w:val="28"/>
          <w:szCs w:val="28"/>
          <w:highlight w:val="none"/>
        </w:rPr>
        <w:t>13.1工程质量要求</w:t>
      </w:r>
      <w:bookmarkEnd w:id="213"/>
    </w:p>
    <w:p w14:paraId="48715A60">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第 13.1.1 项约定为：</w:t>
      </w:r>
    </w:p>
    <w:p w14:paraId="3FA4E426">
      <w:pPr>
        <w:spacing w:line="400" w:lineRule="exact"/>
        <w:ind w:firstLine="480"/>
        <w:rPr>
          <w:color w:val="auto"/>
          <w:highlight w:val="none"/>
        </w:rPr>
      </w:pPr>
      <w:r>
        <w:rPr>
          <w:rFonts w:hint="eastAsia"/>
          <w:color w:val="auto"/>
          <w:highlight w:val="none"/>
        </w:rPr>
        <w:t>工程质量验收按技术规范及《公路工程质量检验评定标准 第一册 土建工程》执行。</w:t>
      </w:r>
    </w:p>
    <w:p w14:paraId="33D16663">
      <w:pPr>
        <w:spacing w:line="400" w:lineRule="exact"/>
        <w:ind w:firstLine="480"/>
        <w:rPr>
          <w:color w:val="auto"/>
          <w:highlight w:val="none"/>
        </w:rPr>
      </w:pPr>
    </w:p>
    <w:p w14:paraId="0351C2FA">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本款补充第 13.1.4 项、第 13.1.5 项：</w:t>
      </w:r>
    </w:p>
    <w:p w14:paraId="72B1B095">
      <w:pPr>
        <w:spacing w:line="400" w:lineRule="exact"/>
        <w:ind w:firstLine="480"/>
        <w:rPr>
          <w:color w:val="auto"/>
          <w:highlight w:val="none"/>
        </w:rPr>
      </w:pPr>
      <w:r>
        <w:rPr>
          <w:rFonts w:hint="eastAsia"/>
          <w:color w:val="auto"/>
          <w:highlight w:val="none"/>
        </w:rPr>
        <w:t>13.1.4发包人和承包人应严格遵守《关于严格落实公路工程质量责任制的若干意见》的相关规定，认真执行工程质量责任登记制度并按要求填写工程质量责任登记表。</w:t>
      </w:r>
    </w:p>
    <w:p w14:paraId="25D03413">
      <w:pPr>
        <w:spacing w:line="400" w:lineRule="exact"/>
        <w:ind w:firstLine="480"/>
        <w:rPr>
          <w:color w:val="auto"/>
          <w:highlight w:val="none"/>
        </w:rPr>
      </w:pPr>
      <w:r>
        <w:rPr>
          <w:rFonts w:hint="eastAsia"/>
          <w:color w:val="auto"/>
          <w:highlight w:val="none"/>
        </w:rPr>
        <w:t>13.1.5本项目严格执行质量责任追究制度。质量事故处理实行“四不放过”原则： 事故原因调查不清不放过；事故责任者没有受到教育不放过；没有防范措施不放过； 相关责任人没受到处理不放过。</w:t>
      </w:r>
    </w:p>
    <w:p w14:paraId="3F6A95B1">
      <w:pPr>
        <w:keepNext/>
        <w:keepLines/>
        <w:spacing w:line="400" w:lineRule="exact"/>
        <w:outlineLvl w:val="3"/>
        <w:rPr>
          <w:rFonts w:ascii="Arial" w:hAnsi="Arial"/>
          <w:b/>
          <w:bCs/>
          <w:color w:val="auto"/>
          <w:sz w:val="28"/>
          <w:szCs w:val="28"/>
          <w:highlight w:val="none"/>
        </w:rPr>
      </w:pPr>
      <w:bookmarkStart w:id="214" w:name="_Toc23702"/>
      <w:r>
        <w:rPr>
          <w:rFonts w:hint="eastAsia" w:ascii="Arial" w:hAnsi="Arial"/>
          <w:b/>
          <w:bCs/>
          <w:color w:val="auto"/>
          <w:sz w:val="28"/>
          <w:szCs w:val="28"/>
          <w:highlight w:val="none"/>
        </w:rPr>
        <w:t>13.2承包人的质量管理</w:t>
      </w:r>
      <w:bookmarkEnd w:id="214"/>
    </w:p>
    <w:p w14:paraId="76FD8A81">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第 13.2.1 项补充：</w:t>
      </w:r>
    </w:p>
    <w:p w14:paraId="77B76395">
      <w:pPr>
        <w:spacing w:line="400" w:lineRule="exact"/>
        <w:ind w:firstLine="480"/>
        <w:rPr>
          <w:color w:val="auto"/>
          <w:highlight w:val="none"/>
        </w:rPr>
      </w:pPr>
      <w:r>
        <w:rPr>
          <w:rFonts w:hint="eastAsia"/>
          <w:color w:val="auto"/>
          <w:highlight w:val="none"/>
        </w:rPr>
        <w:t>承包人提交工程质量保证措施文件的期限：签订合同协议书后 28 天之内。</w:t>
      </w:r>
    </w:p>
    <w:p w14:paraId="51743A8C">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本款补充第 13.2.3 项~第 13.2.10 项：</w:t>
      </w:r>
    </w:p>
    <w:p w14:paraId="72F6EA98">
      <w:pPr>
        <w:spacing w:line="400" w:lineRule="exact"/>
        <w:ind w:firstLine="480"/>
        <w:rPr>
          <w:color w:val="auto"/>
          <w:highlight w:val="none"/>
        </w:rPr>
      </w:pPr>
      <w:r>
        <w:rPr>
          <w:rFonts w:hint="eastAsia"/>
          <w:color w:val="auto"/>
          <w:highlight w:val="none"/>
        </w:rPr>
        <w:t>13.2.3公路工程施行质量责任终身制。承包人应当书面明确相应的项目负责人和质量负责人。承包人的相关人员按照国家法律法规和有关规定在工程合理使用年限内承担相应的质量责任。</w:t>
      </w:r>
    </w:p>
    <w:p w14:paraId="0592ABFA">
      <w:pPr>
        <w:spacing w:line="400" w:lineRule="exact"/>
        <w:ind w:firstLine="480"/>
        <w:rPr>
          <w:color w:val="auto"/>
          <w:highlight w:val="none"/>
        </w:rPr>
      </w:pPr>
      <w:r>
        <w:rPr>
          <w:rFonts w:hint="eastAsia"/>
          <w:color w:val="auto"/>
          <w:highlight w:val="none"/>
        </w:rPr>
        <w:t>13.2.4承包人应当建立健全工程质量保证体系，制定质量管理制度，强化工程质量管理措施，完善工程质量目标保障机制；严格遵守国家有关法律、法规和规章， 严格执行公路工程强制性技术标准、各类技术规范及规程，全面履行工程合同义务。</w:t>
      </w:r>
    </w:p>
    <w:p w14:paraId="66DC58E1">
      <w:pPr>
        <w:spacing w:line="400" w:lineRule="exact"/>
        <w:ind w:firstLine="480"/>
        <w:rPr>
          <w:color w:val="auto"/>
          <w:highlight w:val="none"/>
        </w:rPr>
      </w:pPr>
      <w:r>
        <w:rPr>
          <w:rFonts w:hint="eastAsia"/>
          <w:color w:val="auto"/>
          <w:highlight w:val="none"/>
        </w:rPr>
        <w:t>13.2.5承包人对工程施工质量负责，应当按合同约定设立现场质量管理机构、配备工程技术人员和质量管理人员，落实工程施工质量责任制。</w:t>
      </w:r>
    </w:p>
    <w:p w14:paraId="2E4A9F62">
      <w:pPr>
        <w:spacing w:line="400" w:lineRule="exact"/>
        <w:ind w:firstLine="480"/>
        <w:rPr>
          <w:color w:val="auto"/>
          <w:highlight w:val="none"/>
        </w:rPr>
      </w:pPr>
      <w:r>
        <w:rPr>
          <w:rFonts w:hint="eastAsia"/>
          <w:color w:val="auto"/>
          <w:highlight w:val="none"/>
        </w:rPr>
        <w:t>13.2.6承包人应当严格按照工程设计图纸、施工技术标准和合同约定施工，对原材料、混合料、构配件、工程实体、机电设备等进行检验；按规定施行班组自检、工序交接检、专职质检员检验的质量控制程序；对分项工程、分部工程和单位工程进行质量自评。检验或者自评不合格的，不得进入下道工序或者投入使用。</w:t>
      </w:r>
    </w:p>
    <w:p w14:paraId="7FD13ECD">
      <w:pPr>
        <w:spacing w:line="400" w:lineRule="exact"/>
        <w:ind w:firstLine="480"/>
        <w:rPr>
          <w:color w:val="auto"/>
          <w:highlight w:val="none"/>
        </w:rPr>
      </w:pPr>
      <w:r>
        <w:rPr>
          <w:rFonts w:hint="eastAsia"/>
          <w:color w:val="auto"/>
          <w:highlight w:val="none"/>
        </w:rPr>
        <w:t>13.2.7承包人应当加强施工过程质量控制，并形成完整、可追溯的施工质量管理资料，主体工程的隐蔽部位施工还应当保留影像资料。对施工中出现的质量问题或者验收不合格的工程，应当负责返工处理；对在保修范围和保修期限内发生质量问题的工程，应当履行保修义务。</w:t>
      </w:r>
    </w:p>
    <w:p w14:paraId="19633443">
      <w:pPr>
        <w:spacing w:line="400" w:lineRule="exact"/>
        <w:ind w:firstLine="480"/>
        <w:rPr>
          <w:color w:val="auto"/>
          <w:highlight w:val="none"/>
        </w:rPr>
      </w:pPr>
      <w:r>
        <w:rPr>
          <w:rFonts w:hint="eastAsia"/>
          <w:color w:val="auto"/>
          <w:highlight w:val="none"/>
        </w:rPr>
        <w:t>13.2.8承包人应当按照合同约定设立工地临时试验室，配齐检测和试验仪器、仪表，及时校正确保其精度；严格按照工程技术标准、检测规范和规程，在核定的试验检测参数范围内开展试验检测活动，并确保规范规定的检验、抽检频率。承包人应当对其设立的工地临时试验室所出具的试验检测数据和报告的真实性、客观性、准确性负责。</w:t>
      </w:r>
    </w:p>
    <w:p w14:paraId="0DD8B680">
      <w:pPr>
        <w:spacing w:line="400" w:lineRule="exact"/>
        <w:ind w:firstLine="480"/>
        <w:rPr>
          <w:color w:val="auto"/>
          <w:highlight w:val="none"/>
        </w:rPr>
      </w:pPr>
      <w:r>
        <w:rPr>
          <w:rFonts w:hint="eastAsia"/>
          <w:color w:val="auto"/>
          <w:highlight w:val="none"/>
        </w:rPr>
        <w:t>13.2.9承包人应当依法规范分包行为，并对承担的工程质量负总责，分包单位对分包合同范围内的工程质量负责。</w:t>
      </w:r>
    </w:p>
    <w:p w14:paraId="4DDDFCE7">
      <w:pPr>
        <w:spacing w:line="400" w:lineRule="exact"/>
        <w:ind w:firstLine="480"/>
        <w:rPr>
          <w:color w:val="auto"/>
          <w:highlight w:val="none"/>
        </w:rPr>
      </w:pPr>
      <w:r>
        <w:rPr>
          <w:rFonts w:hint="eastAsia"/>
          <w:color w:val="auto"/>
          <w:highlight w:val="none"/>
        </w:rPr>
        <w:t>13.2.10承包人驻工程现场机构应在现场驻地和重要的分部、分项工程施工现场设置明显的工程质量责任登记表公示牌。</w:t>
      </w:r>
    </w:p>
    <w:p w14:paraId="583C10CB">
      <w:pPr>
        <w:keepNext/>
        <w:keepLines/>
        <w:spacing w:line="400" w:lineRule="exact"/>
        <w:outlineLvl w:val="3"/>
        <w:rPr>
          <w:rFonts w:ascii="Arial" w:hAnsi="Arial"/>
          <w:b/>
          <w:bCs/>
          <w:color w:val="auto"/>
          <w:sz w:val="28"/>
          <w:szCs w:val="28"/>
          <w:highlight w:val="none"/>
        </w:rPr>
      </w:pPr>
      <w:bookmarkStart w:id="215" w:name="_Toc12254"/>
      <w:r>
        <w:rPr>
          <w:rFonts w:hint="eastAsia" w:ascii="Arial" w:hAnsi="Arial"/>
          <w:b/>
          <w:bCs/>
          <w:color w:val="auto"/>
          <w:sz w:val="28"/>
          <w:szCs w:val="28"/>
          <w:highlight w:val="none"/>
        </w:rPr>
        <w:t>13.4监理人的质量检查</w:t>
      </w:r>
      <w:bookmarkEnd w:id="215"/>
    </w:p>
    <w:p w14:paraId="135D24A6">
      <w:pPr>
        <w:spacing w:line="400" w:lineRule="exact"/>
        <w:ind w:firstLine="480"/>
        <w:rPr>
          <w:color w:val="auto"/>
          <w:highlight w:val="none"/>
        </w:rPr>
      </w:pPr>
      <w:r>
        <w:rPr>
          <w:rFonts w:hint="eastAsia"/>
          <w:color w:val="auto"/>
          <w:highlight w:val="none"/>
        </w:rPr>
        <w:t>本款补充：</w:t>
      </w:r>
    </w:p>
    <w:p w14:paraId="7753B32B">
      <w:pPr>
        <w:spacing w:line="400" w:lineRule="exact"/>
        <w:ind w:firstLine="480"/>
        <w:rPr>
          <w:color w:val="auto"/>
          <w:highlight w:val="none"/>
        </w:rPr>
      </w:pPr>
      <w:r>
        <w:rPr>
          <w:rFonts w:hint="eastAsia"/>
          <w:color w:val="auto"/>
          <w:highlight w:val="none"/>
        </w:rPr>
        <w:t>监理人及其委派的检验人员，应能进入工程现场，以及材料或工程设备的制造、加工或制配的车间和场所，包括不属于承包人的车间或场所进行检查，承包人应为此提供便利和协助。</w:t>
      </w:r>
    </w:p>
    <w:p w14:paraId="610D61AB">
      <w:pPr>
        <w:spacing w:line="400" w:lineRule="exact"/>
        <w:ind w:firstLine="480"/>
        <w:rPr>
          <w:color w:val="auto"/>
          <w:highlight w:val="none"/>
        </w:rPr>
      </w:pPr>
      <w:r>
        <w:rPr>
          <w:rFonts w:hint="eastAsia"/>
          <w:color w:val="auto"/>
          <w:highlight w:val="none"/>
        </w:rPr>
        <w:t>监理人可以将材料或工程设备的检查和检验委托给一家独立的有质量检验认证资格的检验单位。该独立检验单位的检验结果应视为监理人完成的。监理人应将这种委托的通知书不少于 7 天前交给承包人。</w:t>
      </w:r>
    </w:p>
    <w:p w14:paraId="5968D06F">
      <w:pPr>
        <w:keepNext/>
        <w:keepLines/>
        <w:spacing w:line="400" w:lineRule="exact"/>
        <w:outlineLvl w:val="3"/>
        <w:rPr>
          <w:rFonts w:ascii="Arial" w:hAnsi="Arial"/>
          <w:b/>
          <w:bCs/>
          <w:color w:val="auto"/>
          <w:sz w:val="28"/>
          <w:szCs w:val="28"/>
          <w:highlight w:val="none"/>
        </w:rPr>
      </w:pPr>
      <w:bookmarkStart w:id="216" w:name="_Toc19260"/>
      <w:r>
        <w:rPr>
          <w:rFonts w:hint="eastAsia" w:ascii="Arial" w:hAnsi="Arial"/>
          <w:b/>
          <w:bCs/>
          <w:color w:val="auto"/>
          <w:sz w:val="28"/>
          <w:szCs w:val="28"/>
          <w:highlight w:val="none"/>
        </w:rPr>
        <w:t>13.5工程隐蔽部位覆盖前的检查</w:t>
      </w:r>
      <w:bookmarkEnd w:id="216"/>
    </w:p>
    <w:p w14:paraId="25112112">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第 13.5.1 项补充：</w:t>
      </w:r>
    </w:p>
    <w:p w14:paraId="1D2E74DA">
      <w:pPr>
        <w:spacing w:line="400" w:lineRule="exact"/>
        <w:ind w:firstLine="480"/>
        <w:rPr>
          <w:color w:val="auto"/>
          <w:highlight w:val="none"/>
        </w:rPr>
      </w:pPr>
      <w:r>
        <w:rPr>
          <w:rFonts w:hint="eastAsia"/>
          <w:color w:val="auto"/>
          <w:highlight w:val="none"/>
        </w:rPr>
        <w:t>当监理人有指令时，承包人应对重要隐蔽工程进行拍摄或照相并应保证监理人有充分的机会对将要覆盖或掩蔽的工程进行检查和量测，特别是在基础以上的任一部分工程修筑之前，对该基础进行检查。</w:t>
      </w:r>
    </w:p>
    <w:p w14:paraId="1A458359">
      <w:pPr>
        <w:keepNext/>
        <w:keepLines/>
        <w:spacing w:line="400" w:lineRule="exact"/>
        <w:outlineLvl w:val="3"/>
        <w:rPr>
          <w:rFonts w:ascii="Arial" w:hAnsi="Arial"/>
          <w:b/>
          <w:bCs/>
          <w:color w:val="auto"/>
          <w:sz w:val="28"/>
          <w:szCs w:val="28"/>
          <w:highlight w:val="none"/>
        </w:rPr>
      </w:pPr>
      <w:bookmarkStart w:id="217" w:name="_Toc12524"/>
      <w:r>
        <w:rPr>
          <w:rFonts w:hint="eastAsia" w:ascii="Arial" w:hAnsi="Arial"/>
          <w:b/>
          <w:bCs/>
          <w:color w:val="auto"/>
          <w:sz w:val="28"/>
          <w:szCs w:val="28"/>
          <w:highlight w:val="none"/>
        </w:rPr>
        <w:t>13.6清除不合格工程</w:t>
      </w:r>
      <w:bookmarkEnd w:id="217"/>
    </w:p>
    <w:p w14:paraId="77CCB0FD">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第 13.6.1 项细化为：</w:t>
      </w:r>
    </w:p>
    <w:p w14:paraId="02AEDAF1">
      <w:pPr>
        <w:spacing w:line="400" w:lineRule="exact"/>
        <w:ind w:firstLine="480"/>
        <w:rPr>
          <w:color w:val="auto"/>
          <w:highlight w:val="none"/>
        </w:rPr>
      </w:pPr>
      <w:r>
        <w:rPr>
          <w:rFonts w:hint="eastAsia"/>
          <w:color w:val="auto"/>
          <w:highlight w:val="none"/>
        </w:rPr>
        <w:t>（1）承包人使用不合格材料、工程设备，或采用不适当的施工工艺，或施工 不当，造成工程不合格的，监理人可以随时发出指示，要求承包人立即采取措施进行替换、补救或拆除重建，直至达到合同要求的质量标准，由此增加的费用和（或）工期延误由承包人承担。</w:t>
      </w:r>
    </w:p>
    <w:p w14:paraId="0911FAF0">
      <w:pPr>
        <w:spacing w:line="400" w:lineRule="exact"/>
        <w:ind w:firstLine="480"/>
        <w:rPr>
          <w:color w:val="auto"/>
          <w:highlight w:val="none"/>
        </w:rPr>
      </w:pPr>
      <w:r>
        <w:rPr>
          <w:rFonts w:hint="eastAsia"/>
          <w:color w:val="auto"/>
          <w:highlight w:val="none"/>
        </w:rPr>
        <w:t>（2）如果承包人未在规定时间内执行监理人的指示，发包人有权雇用他人执行，由此增加的费用和（或）工期延误由承包人承担。</w:t>
      </w:r>
    </w:p>
    <w:p w14:paraId="11D48330">
      <w:pPr>
        <w:keepNext/>
        <w:keepLines/>
        <w:spacing w:line="400" w:lineRule="exact"/>
        <w:outlineLvl w:val="2"/>
        <w:rPr>
          <w:b/>
          <w:bCs/>
          <w:color w:val="auto"/>
          <w:sz w:val="32"/>
          <w:szCs w:val="32"/>
          <w:highlight w:val="none"/>
        </w:rPr>
      </w:pPr>
      <w:bookmarkStart w:id="218" w:name="_Toc122424223"/>
      <w:bookmarkStart w:id="219" w:name="_Toc233964187"/>
      <w:bookmarkStart w:id="220" w:name="_Toc122424472"/>
      <w:bookmarkStart w:id="221" w:name="_Toc12844"/>
      <w:r>
        <w:rPr>
          <w:rFonts w:hint="eastAsia"/>
          <w:b/>
          <w:bCs/>
          <w:color w:val="auto"/>
          <w:sz w:val="32"/>
          <w:szCs w:val="32"/>
          <w:highlight w:val="none"/>
        </w:rPr>
        <w:t>14.试验和检验</w:t>
      </w:r>
      <w:bookmarkEnd w:id="218"/>
      <w:bookmarkEnd w:id="219"/>
      <w:bookmarkEnd w:id="220"/>
      <w:bookmarkEnd w:id="221"/>
    </w:p>
    <w:p w14:paraId="20B9832D">
      <w:pPr>
        <w:spacing w:line="400" w:lineRule="exact"/>
        <w:ind w:firstLine="480"/>
        <w:rPr>
          <w:color w:val="auto"/>
          <w:highlight w:val="none"/>
        </w:rPr>
      </w:pPr>
      <w:r>
        <w:rPr>
          <w:rFonts w:hint="eastAsia"/>
          <w:color w:val="auto"/>
          <w:highlight w:val="none"/>
        </w:rPr>
        <w:t>本条补充第 14.4 款：</w:t>
      </w:r>
    </w:p>
    <w:p w14:paraId="07EA092A">
      <w:pPr>
        <w:keepNext/>
        <w:keepLines/>
        <w:spacing w:line="400" w:lineRule="exact"/>
        <w:outlineLvl w:val="3"/>
        <w:rPr>
          <w:rFonts w:ascii="Arial" w:hAnsi="Arial"/>
          <w:b/>
          <w:bCs/>
          <w:color w:val="auto"/>
          <w:sz w:val="28"/>
          <w:szCs w:val="28"/>
          <w:highlight w:val="none"/>
        </w:rPr>
      </w:pPr>
      <w:bookmarkStart w:id="222" w:name="_Toc19052"/>
      <w:r>
        <w:rPr>
          <w:rFonts w:hint="eastAsia" w:ascii="Arial" w:hAnsi="Arial"/>
          <w:b/>
          <w:bCs/>
          <w:color w:val="auto"/>
          <w:sz w:val="28"/>
          <w:szCs w:val="28"/>
          <w:highlight w:val="none"/>
        </w:rPr>
        <w:t>14.4试验和检验费用</w:t>
      </w:r>
      <w:bookmarkEnd w:id="222"/>
    </w:p>
    <w:p w14:paraId="386E47BE">
      <w:pPr>
        <w:spacing w:line="400" w:lineRule="exact"/>
        <w:ind w:firstLine="480"/>
        <w:rPr>
          <w:color w:val="auto"/>
          <w:highlight w:val="none"/>
        </w:rPr>
      </w:pPr>
      <w:r>
        <w:rPr>
          <w:rFonts w:hint="eastAsia"/>
          <w:color w:val="auto"/>
          <w:highlight w:val="none"/>
        </w:rPr>
        <w:t>（1）承包人应负责提供合同和技术规范规定的试验和检验所需的全部样品，并承担其费用。</w:t>
      </w:r>
    </w:p>
    <w:p w14:paraId="79C31E0C">
      <w:pPr>
        <w:spacing w:line="400" w:lineRule="exact"/>
        <w:ind w:firstLine="480"/>
        <w:rPr>
          <w:color w:val="auto"/>
          <w:highlight w:val="none"/>
        </w:rPr>
      </w:pPr>
      <w:r>
        <w:rPr>
          <w:rFonts w:hint="eastAsia"/>
          <w:color w:val="auto"/>
          <w:highlight w:val="none"/>
        </w:rPr>
        <w:t>（2）在合同中明确规定的试验和检验，包括无须在工程量清单中单独列项和已在工程量清单中单独列项的试验和检验，其试验和检验的费用由承包人承担。</w:t>
      </w:r>
    </w:p>
    <w:p w14:paraId="4D64A899">
      <w:pPr>
        <w:spacing w:line="400" w:lineRule="exact"/>
        <w:ind w:firstLine="480"/>
        <w:rPr>
          <w:color w:val="auto"/>
          <w:highlight w:val="none"/>
        </w:rPr>
      </w:pPr>
      <w:r>
        <w:rPr>
          <w:rFonts w:hint="eastAsia"/>
          <w:color w:val="auto"/>
          <w:highlight w:val="none"/>
        </w:rPr>
        <w:t>（3）如果监理人所要求做的试验和检验为合同未规定的或是在该材料或工程设备的制造、加工、制配场地以外的场所进行的，则检验结束后，如表明操作工艺或材料、工程设备未能符合合同规定，其费用应由承包人承担，否则，其费用应由发包人承担。</w:t>
      </w:r>
    </w:p>
    <w:p w14:paraId="29A4C156">
      <w:pPr>
        <w:spacing w:line="400" w:lineRule="exact"/>
        <w:ind w:firstLine="480"/>
        <w:rPr>
          <w:color w:val="auto"/>
          <w:highlight w:val="none"/>
        </w:rPr>
      </w:pPr>
    </w:p>
    <w:p w14:paraId="3099CC39">
      <w:pPr>
        <w:keepNext/>
        <w:keepLines/>
        <w:spacing w:line="400" w:lineRule="exact"/>
        <w:outlineLvl w:val="2"/>
        <w:rPr>
          <w:b/>
          <w:bCs/>
          <w:color w:val="auto"/>
          <w:sz w:val="32"/>
          <w:szCs w:val="32"/>
          <w:highlight w:val="none"/>
        </w:rPr>
      </w:pPr>
      <w:bookmarkStart w:id="223" w:name="_Toc122424224"/>
      <w:bookmarkStart w:id="224" w:name="_Toc233964188"/>
      <w:bookmarkStart w:id="225" w:name="_Toc21724"/>
      <w:bookmarkStart w:id="226" w:name="_Toc122424473"/>
      <w:r>
        <w:rPr>
          <w:rFonts w:hint="eastAsia"/>
          <w:b/>
          <w:bCs/>
          <w:color w:val="auto"/>
          <w:sz w:val="32"/>
          <w:szCs w:val="32"/>
          <w:highlight w:val="none"/>
        </w:rPr>
        <w:t>15.变更</w:t>
      </w:r>
      <w:bookmarkEnd w:id="223"/>
      <w:bookmarkEnd w:id="224"/>
      <w:bookmarkEnd w:id="225"/>
      <w:bookmarkEnd w:id="226"/>
    </w:p>
    <w:p w14:paraId="173C613B">
      <w:pPr>
        <w:keepNext/>
        <w:keepLines/>
        <w:spacing w:line="400" w:lineRule="exact"/>
        <w:outlineLvl w:val="3"/>
        <w:rPr>
          <w:rFonts w:ascii="Arial" w:hAnsi="Arial"/>
          <w:b/>
          <w:bCs/>
          <w:color w:val="auto"/>
          <w:sz w:val="28"/>
          <w:szCs w:val="28"/>
          <w:highlight w:val="none"/>
        </w:rPr>
      </w:pPr>
      <w:bookmarkStart w:id="227" w:name="_Toc1645"/>
      <w:r>
        <w:rPr>
          <w:rFonts w:hint="eastAsia" w:ascii="Arial" w:hAnsi="Arial"/>
          <w:b/>
          <w:bCs/>
          <w:color w:val="auto"/>
          <w:sz w:val="28"/>
          <w:szCs w:val="28"/>
          <w:highlight w:val="none"/>
        </w:rPr>
        <w:t>15.1变更的范围和内容</w:t>
      </w:r>
      <w:bookmarkEnd w:id="227"/>
    </w:p>
    <w:p w14:paraId="026AC298">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本款第（1）项细化为：</w:t>
      </w:r>
    </w:p>
    <w:p w14:paraId="54B7F07F">
      <w:pPr>
        <w:spacing w:line="400" w:lineRule="exact"/>
        <w:ind w:firstLine="480"/>
        <w:rPr>
          <w:color w:val="auto"/>
          <w:highlight w:val="none"/>
        </w:rPr>
      </w:pPr>
      <w:r>
        <w:rPr>
          <w:rFonts w:hint="eastAsia"/>
          <w:color w:val="auto"/>
          <w:highlight w:val="none"/>
        </w:rPr>
        <w:t>（1）取消合同中任何一项工作，但被取消的工作不能转由发包人或其他人实施，由于承包人违约造成的情况除外；</w:t>
      </w:r>
    </w:p>
    <w:p w14:paraId="2F922995">
      <w:pPr>
        <w:keepNext/>
        <w:keepLines/>
        <w:spacing w:line="400" w:lineRule="exact"/>
        <w:outlineLvl w:val="3"/>
        <w:rPr>
          <w:rFonts w:ascii="Arial" w:hAnsi="Arial"/>
          <w:b/>
          <w:bCs/>
          <w:color w:val="auto"/>
          <w:sz w:val="28"/>
          <w:szCs w:val="28"/>
          <w:highlight w:val="none"/>
        </w:rPr>
      </w:pPr>
      <w:bookmarkStart w:id="228" w:name="_Toc24522"/>
      <w:r>
        <w:rPr>
          <w:rFonts w:hint="eastAsia" w:ascii="Arial" w:hAnsi="Arial"/>
          <w:b/>
          <w:bCs/>
          <w:color w:val="auto"/>
          <w:sz w:val="28"/>
          <w:szCs w:val="28"/>
          <w:highlight w:val="none"/>
        </w:rPr>
        <w:t>15.3变更程序</w:t>
      </w:r>
      <w:bookmarkEnd w:id="228"/>
    </w:p>
    <w:p w14:paraId="155203C3">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本款补充第 15.3.4 项：</w:t>
      </w:r>
    </w:p>
    <w:p w14:paraId="06670006">
      <w:pPr>
        <w:spacing w:line="400" w:lineRule="exact"/>
        <w:ind w:firstLine="480"/>
        <w:rPr>
          <w:color w:val="auto"/>
          <w:highlight w:val="none"/>
        </w:rPr>
      </w:pPr>
      <w:r>
        <w:rPr>
          <w:rFonts w:hint="eastAsia"/>
          <w:color w:val="auto"/>
          <w:highlight w:val="none"/>
        </w:rPr>
        <w:t>15.3.4 设计变更程序应执行《公路工程设计变更管理办法》的相关规定。</w:t>
      </w:r>
    </w:p>
    <w:p w14:paraId="387891CA">
      <w:pPr>
        <w:keepNext/>
        <w:keepLines/>
        <w:spacing w:line="400" w:lineRule="exact"/>
        <w:outlineLvl w:val="3"/>
        <w:rPr>
          <w:rFonts w:ascii="Arial" w:hAnsi="Arial"/>
          <w:b/>
          <w:bCs/>
          <w:color w:val="auto"/>
          <w:sz w:val="28"/>
          <w:szCs w:val="28"/>
          <w:highlight w:val="none"/>
        </w:rPr>
      </w:pPr>
      <w:bookmarkStart w:id="229" w:name="_Toc10101"/>
      <w:r>
        <w:rPr>
          <w:rFonts w:hint="eastAsia" w:ascii="Arial" w:hAnsi="Arial"/>
          <w:b/>
          <w:bCs/>
          <w:color w:val="auto"/>
          <w:sz w:val="28"/>
          <w:szCs w:val="28"/>
          <w:highlight w:val="none"/>
        </w:rPr>
        <w:t>15.4变更的估价原则</w:t>
      </w:r>
      <w:bookmarkEnd w:id="229"/>
    </w:p>
    <w:p w14:paraId="047DC149">
      <w:pPr>
        <w:spacing w:line="400" w:lineRule="exact"/>
        <w:ind w:firstLine="480"/>
        <w:rPr>
          <w:color w:val="auto"/>
          <w:highlight w:val="none"/>
        </w:rPr>
      </w:pPr>
      <w:r>
        <w:rPr>
          <w:rFonts w:hint="eastAsia"/>
          <w:color w:val="auto"/>
          <w:highlight w:val="none"/>
        </w:rPr>
        <w:t>本款细化为：</w:t>
      </w:r>
    </w:p>
    <w:p w14:paraId="676CCB42">
      <w:pPr>
        <w:spacing w:line="400" w:lineRule="exact"/>
        <w:ind w:firstLine="480"/>
        <w:rPr>
          <w:color w:val="auto"/>
          <w:highlight w:val="none"/>
        </w:rPr>
      </w:pPr>
      <w:r>
        <w:rPr>
          <w:rFonts w:hint="eastAsia"/>
          <w:color w:val="auto"/>
          <w:highlight w:val="none"/>
        </w:rPr>
        <w:t>除项目专用合同条款另有约定外，因变更引起的价格调整按照本款约定处理。</w:t>
      </w:r>
    </w:p>
    <w:p w14:paraId="53BE9697">
      <w:pPr>
        <w:spacing w:line="400" w:lineRule="exact"/>
        <w:ind w:firstLine="480"/>
        <w:rPr>
          <w:color w:val="auto"/>
          <w:highlight w:val="none"/>
        </w:rPr>
      </w:pPr>
      <w:r>
        <w:rPr>
          <w:rFonts w:hint="eastAsia"/>
          <w:color w:val="auto"/>
          <w:highlight w:val="none"/>
        </w:rPr>
        <w:t>15.4.1如果取消某项工作，则该项工作的总额价不予支付。</w:t>
      </w:r>
    </w:p>
    <w:p w14:paraId="51A4031C">
      <w:pPr>
        <w:spacing w:line="400" w:lineRule="exact"/>
        <w:ind w:firstLine="480"/>
        <w:rPr>
          <w:color w:val="auto"/>
          <w:highlight w:val="none"/>
        </w:rPr>
      </w:pPr>
      <w:r>
        <w:rPr>
          <w:rFonts w:hint="eastAsia"/>
          <w:color w:val="auto"/>
          <w:highlight w:val="none"/>
        </w:rPr>
        <w:t>15.4.2已标价工程量清单中有适用于变更工作的子目的，采用该子目的单价。</w:t>
      </w:r>
    </w:p>
    <w:p w14:paraId="1C18245D">
      <w:pPr>
        <w:spacing w:line="400" w:lineRule="exact"/>
        <w:ind w:firstLine="480"/>
        <w:rPr>
          <w:color w:val="auto"/>
          <w:highlight w:val="none"/>
        </w:rPr>
      </w:pPr>
      <w:r>
        <w:rPr>
          <w:rFonts w:hint="eastAsia"/>
          <w:color w:val="auto"/>
          <w:highlight w:val="none"/>
        </w:rPr>
        <w:t>15.4.3已标价工程量清单中无适用于变更工作的子目，但有类似子目的，可在合理范围内参照类似子目的单价，由监理人按第 3.5 款商定或确定变更工作的单价。</w:t>
      </w:r>
    </w:p>
    <w:p w14:paraId="6537B96F">
      <w:pPr>
        <w:spacing w:line="400" w:lineRule="exact"/>
        <w:ind w:firstLine="480"/>
        <w:rPr>
          <w:color w:val="auto"/>
          <w:highlight w:val="none"/>
        </w:rPr>
      </w:pPr>
      <w:r>
        <w:rPr>
          <w:rFonts w:hint="eastAsia"/>
          <w:color w:val="auto"/>
          <w:highlight w:val="none"/>
        </w:rPr>
        <w:t>15.4.4已标价工程量清单中无适用或类似子目的单价，可在综合考虑承包人在竞标时所提供的单价分析表的基础上，由监理人按第 3.5 款商定或确定变更工作的单价。</w:t>
      </w:r>
    </w:p>
    <w:p w14:paraId="25D1B343">
      <w:pPr>
        <w:spacing w:line="400" w:lineRule="exact"/>
        <w:ind w:firstLine="480"/>
        <w:rPr>
          <w:color w:val="auto"/>
          <w:highlight w:val="none"/>
        </w:rPr>
      </w:pPr>
      <w:r>
        <w:rPr>
          <w:rFonts w:hint="eastAsia"/>
          <w:color w:val="auto"/>
          <w:highlight w:val="none"/>
        </w:rPr>
        <w:t>15.4.5如果本工程的变更指示是因承包人过错、承包人违反合同或承包人责任造成的，则这种违约引起的任何额外费用应由承包人承担。</w:t>
      </w:r>
    </w:p>
    <w:p w14:paraId="78D6E64E">
      <w:pPr>
        <w:keepNext/>
        <w:keepLines/>
        <w:spacing w:line="400" w:lineRule="exact"/>
        <w:outlineLvl w:val="3"/>
        <w:rPr>
          <w:rFonts w:ascii="Arial" w:hAnsi="Arial"/>
          <w:b/>
          <w:bCs/>
          <w:color w:val="auto"/>
          <w:sz w:val="28"/>
          <w:szCs w:val="28"/>
          <w:highlight w:val="none"/>
        </w:rPr>
      </w:pPr>
      <w:bookmarkStart w:id="230" w:name="_Toc15193"/>
      <w:r>
        <w:rPr>
          <w:rFonts w:hint="eastAsia" w:ascii="Arial" w:hAnsi="Arial"/>
          <w:b/>
          <w:bCs/>
          <w:color w:val="auto"/>
          <w:sz w:val="28"/>
          <w:szCs w:val="28"/>
          <w:highlight w:val="none"/>
        </w:rPr>
        <w:t>15.5承包人的合理化建议</w:t>
      </w:r>
      <w:bookmarkEnd w:id="230"/>
    </w:p>
    <w:p w14:paraId="674E3DC9">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第 15.5.2 项约定为：</w:t>
      </w:r>
    </w:p>
    <w:p w14:paraId="3FA5472C">
      <w:pPr>
        <w:spacing w:line="400" w:lineRule="exact"/>
        <w:ind w:firstLine="480"/>
        <w:rPr>
          <w:color w:val="auto"/>
          <w:highlight w:val="none"/>
        </w:rPr>
      </w:pPr>
      <w:r>
        <w:rPr>
          <w:rFonts w:hint="eastAsia"/>
          <w:color w:val="auto"/>
          <w:highlight w:val="none"/>
        </w:rPr>
        <w:t>承包人提出的合理化建议缩短了工期，发包人按第 11.6 款的规定给予奖励。承包人提出的合理化建议降低了合同价格或者提高了工程经济效益的，发包人按</w:t>
      </w:r>
    </w:p>
    <w:p w14:paraId="42A84631">
      <w:pPr>
        <w:spacing w:line="400" w:lineRule="exact"/>
        <w:ind w:firstLine="480"/>
        <w:rPr>
          <w:color w:val="auto"/>
          <w:highlight w:val="none"/>
        </w:rPr>
      </w:pPr>
      <w:r>
        <w:rPr>
          <w:rFonts w:hint="eastAsia"/>
          <w:color w:val="auto"/>
          <w:highlight w:val="none"/>
        </w:rPr>
        <w:t>项目专用合同条款数据表中规定的金额给予奖励。</w:t>
      </w:r>
    </w:p>
    <w:p w14:paraId="4C998C28">
      <w:pPr>
        <w:keepNext/>
        <w:keepLines/>
        <w:spacing w:line="400" w:lineRule="exact"/>
        <w:outlineLvl w:val="3"/>
        <w:rPr>
          <w:rFonts w:ascii="Arial" w:hAnsi="Arial"/>
          <w:b/>
          <w:bCs/>
          <w:color w:val="auto"/>
          <w:sz w:val="28"/>
          <w:szCs w:val="28"/>
          <w:highlight w:val="none"/>
        </w:rPr>
      </w:pPr>
      <w:bookmarkStart w:id="231" w:name="_Toc19567"/>
      <w:r>
        <w:rPr>
          <w:rFonts w:hint="eastAsia" w:ascii="Arial" w:hAnsi="Arial"/>
          <w:b/>
          <w:bCs/>
          <w:color w:val="auto"/>
          <w:sz w:val="28"/>
          <w:szCs w:val="28"/>
          <w:highlight w:val="none"/>
        </w:rPr>
        <w:t>15.6暂列金额</w:t>
      </w:r>
      <w:bookmarkEnd w:id="231"/>
    </w:p>
    <w:p w14:paraId="39A2C9E0">
      <w:pPr>
        <w:spacing w:line="400" w:lineRule="exact"/>
        <w:ind w:firstLine="480"/>
        <w:rPr>
          <w:color w:val="auto"/>
          <w:highlight w:val="none"/>
        </w:rPr>
      </w:pPr>
      <w:r>
        <w:rPr>
          <w:rFonts w:hint="eastAsia"/>
          <w:color w:val="auto"/>
          <w:highlight w:val="none"/>
        </w:rPr>
        <w:t>本款细化为：</w:t>
      </w:r>
    </w:p>
    <w:p w14:paraId="35276D11">
      <w:pPr>
        <w:spacing w:line="400" w:lineRule="exact"/>
        <w:ind w:firstLine="480"/>
        <w:rPr>
          <w:color w:val="auto"/>
          <w:highlight w:val="none"/>
        </w:rPr>
      </w:pPr>
      <w:r>
        <w:rPr>
          <w:rFonts w:hint="eastAsia"/>
          <w:color w:val="auto"/>
          <w:highlight w:val="none"/>
        </w:rPr>
        <w:t>15.6.1暂列金额应由监理人报发包人批准后指令全部或部分地使用，或者根本不予动用。</w:t>
      </w:r>
    </w:p>
    <w:p w14:paraId="44900516">
      <w:pPr>
        <w:spacing w:line="400" w:lineRule="exact"/>
        <w:ind w:firstLine="480"/>
        <w:rPr>
          <w:color w:val="auto"/>
          <w:highlight w:val="none"/>
        </w:rPr>
      </w:pPr>
      <w:r>
        <w:rPr>
          <w:rFonts w:hint="eastAsia"/>
          <w:color w:val="auto"/>
          <w:highlight w:val="none"/>
        </w:rPr>
        <w:t>15.6.2对于经发包人批准的每一笔暂列金额，监理人有权向承包人发出实施工程或提供材料、工程设备或服务的指令。这些指令应由承包人完成，监理人应根据第15.4 款约定的变更估价原则和第 15.7 款的规定，对合同价格进行相应调整。</w:t>
      </w:r>
    </w:p>
    <w:p w14:paraId="641FE3A6">
      <w:pPr>
        <w:spacing w:line="400" w:lineRule="exact"/>
        <w:ind w:firstLine="480"/>
        <w:rPr>
          <w:color w:val="auto"/>
          <w:highlight w:val="none"/>
        </w:rPr>
      </w:pPr>
      <w:r>
        <w:rPr>
          <w:rFonts w:hint="eastAsia"/>
          <w:color w:val="auto"/>
          <w:highlight w:val="none"/>
        </w:rPr>
        <w:t>15.6.3当监理人提出要求时，承包人应提供有关暂列金额支出的所有报价单、发票、凭证和账单或收据，除非该工作是根据已标价工程量清单列明的单价或总额价进行的估价。</w:t>
      </w:r>
    </w:p>
    <w:p w14:paraId="366D3C29">
      <w:pPr>
        <w:keepNext/>
        <w:keepLines/>
        <w:spacing w:line="400" w:lineRule="exact"/>
        <w:outlineLvl w:val="2"/>
        <w:rPr>
          <w:b/>
          <w:bCs/>
          <w:color w:val="auto"/>
          <w:sz w:val="32"/>
          <w:szCs w:val="32"/>
          <w:highlight w:val="none"/>
        </w:rPr>
      </w:pPr>
      <w:bookmarkStart w:id="232" w:name="_Toc19095"/>
      <w:bookmarkStart w:id="233" w:name="_Toc122424225"/>
      <w:bookmarkStart w:id="234" w:name="_Toc233964189"/>
      <w:bookmarkStart w:id="235" w:name="_Toc122424474"/>
      <w:r>
        <w:rPr>
          <w:rFonts w:hint="eastAsia"/>
          <w:b/>
          <w:bCs/>
          <w:color w:val="auto"/>
          <w:sz w:val="32"/>
          <w:szCs w:val="32"/>
          <w:highlight w:val="none"/>
        </w:rPr>
        <w:t>16.价格调整</w:t>
      </w:r>
      <w:bookmarkEnd w:id="232"/>
      <w:bookmarkEnd w:id="233"/>
      <w:bookmarkEnd w:id="234"/>
      <w:bookmarkEnd w:id="235"/>
    </w:p>
    <w:p w14:paraId="17A9B71B">
      <w:pPr>
        <w:keepNext/>
        <w:keepLines/>
        <w:spacing w:line="400" w:lineRule="exact"/>
        <w:outlineLvl w:val="3"/>
        <w:rPr>
          <w:rFonts w:ascii="Arial" w:hAnsi="Arial"/>
          <w:b/>
          <w:bCs/>
          <w:color w:val="auto"/>
          <w:sz w:val="28"/>
          <w:szCs w:val="28"/>
          <w:highlight w:val="none"/>
        </w:rPr>
      </w:pPr>
      <w:bookmarkStart w:id="236" w:name="_Toc13524"/>
      <w:r>
        <w:rPr>
          <w:rFonts w:hint="eastAsia" w:ascii="Arial" w:hAnsi="Arial"/>
          <w:b/>
          <w:bCs/>
          <w:color w:val="auto"/>
          <w:sz w:val="28"/>
          <w:szCs w:val="28"/>
          <w:highlight w:val="none"/>
        </w:rPr>
        <w:t>16.1物价波动引起的价格调整</w:t>
      </w:r>
      <w:bookmarkEnd w:id="236"/>
    </w:p>
    <w:p w14:paraId="64E241DA">
      <w:pPr>
        <w:spacing w:line="400" w:lineRule="exact"/>
        <w:ind w:firstLine="480"/>
        <w:rPr>
          <w:color w:val="auto"/>
          <w:highlight w:val="none"/>
        </w:rPr>
      </w:pPr>
      <w:r>
        <w:rPr>
          <w:rFonts w:hint="eastAsia"/>
          <w:color w:val="auto"/>
          <w:highlight w:val="none"/>
        </w:rPr>
        <w:t>本款约定为：</w:t>
      </w:r>
    </w:p>
    <w:p w14:paraId="57052721">
      <w:pPr>
        <w:spacing w:line="400" w:lineRule="exact"/>
        <w:ind w:firstLine="480"/>
        <w:rPr>
          <w:color w:val="auto"/>
          <w:highlight w:val="none"/>
        </w:rPr>
      </w:pPr>
      <w:r>
        <w:rPr>
          <w:rFonts w:hint="eastAsia"/>
          <w:color w:val="auto"/>
          <w:highlight w:val="none"/>
        </w:rPr>
        <w:t>（1）除项目专用合同条款另有约定外，因物价波动引起的价格调整应按项目专用合同条款数据表的规定，按照第 16.1.1 项或第 16.1.2 项约定的原则处理；</w:t>
      </w:r>
    </w:p>
    <w:p w14:paraId="7BBAFC25">
      <w:pPr>
        <w:spacing w:line="400" w:lineRule="exact"/>
        <w:ind w:firstLine="480"/>
        <w:rPr>
          <w:color w:val="auto"/>
          <w:highlight w:val="none"/>
        </w:rPr>
      </w:pPr>
      <w:r>
        <w:rPr>
          <w:rFonts w:hint="eastAsia"/>
          <w:color w:val="auto"/>
          <w:highlight w:val="none"/>
        </w:rPr>
        <w:t>（2）在合同执行期间（包括工期拖延期间）由于人工、材料和设备价格的上涨而引起工程施工成本增加的风险由承包人自行承担，合同价格不会因此而调整。</w:t>
      </w:r>
    </w:p>
    <w:p w14:paraId="4F680B81">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16.1.1采用价格指数调整价格差额</w:t>
      </w:r>
    </w:p>
    <w:p w14:paraId="658E3BA3">
      <w:pPr>
        <w:spacing w:line="400" w:lineRule="exact"/>
        <w:ind w:firstLine="480"/>
        <w:rPr>
          <w:color w:val="auto"/>
          <w:highlight w:val="none"/>
        </w:rPr>
      </w:pPr>
      <w:r>
        <w:rPr>
          <w:rFonts w:hint="eastAsia"/>
          <w:color w:val="auto"/>
          <w:highlight w:val="none"/>
        </w:rPr>
        <w:t>16.1.1.1价格调整公式</w:t>
      </w:r>
    </w:p>
    <w:p w14:paraId="1C92CC03">
      <w:pPr>
        <w:spacing w:line="400" w:lineRule="exact"/>
        <w:ind w:firstLine="480"/>
        <w:rPr>
          <w:color w:val="auto"/>
          <w:highlight w:val="none"/>
        </w:rPr>
      </w:pPr>
      <w:r>
        <w:rPr>
          <w:rFonts w:hint="eastAsia"/>
          <w:color w:val="auto"/>
          <w:highlight w:val="none"/>
        </w:rPr>
        <w:t>价格调整公式后增加备注如下：</w:t>
      </w:r>
    </w:p>
    <w:p w14:paraId="46A942DD">
      <w:pPr>
        <w:spacing w:line="400" w:lineRule="exact"/>
        <w:ind w:firstLine="480"/>
        <w:rPr>
          <w:color w:val="auto"/>
          <w:highlight w:val="none"/>
        </w:rPr>
      </w:pPr>
      <w:r>
        <w:rPr>
          <w:rFonts w:hint="eastAsia"/>
          <w:color w:val="auto"/>
          <w:highlight w:val="none"/>
        </w:rPr>
        <w:t>式中，</w:t>
      </w:r>
      <w:r>
        <w:rPr>
          <w:rFonts w:hint="eastAsia"/>
          <w:b/>
          <w:bCs/>
          <w:color w:val="auto"/>
          <w:sz w:val="30"/>
          <w:szCs w:val="30"/>
          <w:highlight w:val="none"/>
        </w:rPr>
        <w:t>A=1－（B1＋B2＋B3＋……＋Bn）</w:t>
      </w:r>
      <w:r>
        <w:rPr>
          <w:rFonts w:hint="eastAsia"/>
          <w:color w:val="auto"/>
          <w:highlight w:val="none"/>
        </w:rPr>
        <w:t>。</w:t>
      </w:r>
    </w:p>
    <w:p w14:paraId="667705D4">
      <w:pPr>
        <w:spacing w:line="400" w:lineRule="exact"/>
        <w:ind w:firstLine="480"/>
        <w:rPr>
          <w:color w:val="auto"/>
          <w:highlight w:val="none"/>
        </w:rPr>
      </w:pPr>
      <w:r>
        <w:rPr>
          <w:rFonts w:hint="eastAsia"/>
          <w:color w:val="auto"/>
          <w:highlight w:val="none"/>
        </w:rPr>
        <w:t>本目最后一段文字细化为：</w:t>
      </w:r>
    </w:p>
    <w:p w14:paraId="7F278548">
      <w:pPr>
        <w:spacing w:line="400" w:lineRule="exact"/>
        <w:ind w:firstLine="480"/>
        <w:rPr>
          <w:color w:val="auto"/>
          <w:highlight w:val="none"/>
        </w:rPr>
      </w:pPr>
      <w:r>
        <w:rPr>
          <w:rFonts w:hint="eastAsia"/>
          <w:color w:val="auto"/>
          <w:highlight w:val="none"/>
        </w:rPr>
        <w:t>在采用价格调整公式进行调价时，还应遵守以下规定：</w:t>
      </w:r>
    </w:p>
    <w:p w14:paraId="2A31113F">
      <w:pPr>
        <w:spacing w:line="400" w:lineRule="exact"/>
        <w:ind w:firstLine="480"/>
        <w:rPr>
          <w:color w:val="auto"/>
          <w:highlight w:val="none"/>
        </w:rPr>
      </w:pPr>
      <w:r>
        <w:rPr>
          <w:rFonts w:hint="eastAsia"/>
          <w:color w:val="auto"/>
          <w:highlight w:val="none"/>
        </w:rPr>
        <w:t>（1）以上价格调整公式中的各可调因子、定值权重，以及基本价格指数及其来源由发包人在竞标函附录价格指数和权重表中约定。价格指数应首先采用国家或省、自治区、直辖市价格部门或统计部门提供的价格指数，缺乏上述价格指数时，可采用上述部门提供的价格代替。</w:t>
      </w:r>
    </w:p>
    <w:p w14:paraId="376F5B8E">
      <w:pPr>
        <w:spacing w:line="400" w:lineRule="exact"/>
        <w:ind w:firstLine="480"/>
        <w:rPr>
          <w:color w:val="auto"/>
          <w:highlight w:val="none"/>
        </w:rPr>
      </w:pPr>
      <w:r>
        <w:rPr>
          <w:rFonts w:hint="eastAsia"/>
          <w:color w:val="auto"/>
          <w:highlight w:val="none"/>
        </w:rPr>
        <w:t>（2）价格调整公式中的变值权重，由发包人根据项目实际情况测算确定范围， 并在响应函附录价格指数和权重表中约定范围；承包人在竞标时在此范围内填写各可调因子的权重，合同实施期间将按此权重进行调价。</w:t>
      </w:r>
    </w:p>
    <w:p w14:paraId="46181CDE">
      <w:pPr>
        <w:keepNext/>
        <w:keepLines/>
        <w:spacing w:line="400" w:lineRule="exact"/>
        <w:outlineLvl w:val="2"/>
        <w:rPr>
          <w:b/>
          <w:bCs/>
          <w:color w:val="auto"/>
          <w:sz w:val="32"/>
          <w:szCs w:val="32"/>
          <w:highlight w:val="none"/>
        </w:rPr>
      </w:pPr>
      <w:bookmarkStart w:id="237" w:name="_Toc122424226"/>
      <w:bookmarkStart w:id="238" w:name="_Toc7475"/>
      <w:bookmarkStart w:id="239" w:name="_Toc233964190"/>
      <w:bookmarkStart w:id="240" w:name="_Toc122424475"/>
      <w:r>
        <w:rPr>
          <w:rFonts w:hint="eastAsia"/>
          <w:b/>
          <w:bCs/>
          <w:color w:val="auto"/>
          <w:sz w:val="32"/>
          <w:szCs w:val="32"/>
          <w:highlight w:val="none"/>
        </w:rPr>
        <w:t>17.计量与支付</w:t>
      </w:r>
      <w:bookmarkEnd w:id="237"/>
      <w:bookmarkEnd w:id="238"/>
      <w:bookmarkEnd w:id="239"/>
      <w:bookmarkEnd w:id="240"/>
    </w:p>
    <w:p w14:paraId="26185907">
      <w:pPr>
        <w:keepNext/>
        <w:keepLines/>
        <w:spacing w:line="400" w:lineRule="exact"/>
        <w:outlineLvl w:val="3"/>
        <w:rPr>
          <w:rFonts w:ascii="Arial" w:hAnsi="Arial"/>
          <w:b/>
          <w:bCs/>
          <w:color w:val="auto"/>
          <w:sz w:val="28"/>
          <w:szCs w:val="28"/>
          <w:highlight w:val="none"/>
        </w:rPr>
      </w:pPr>
      <w:bookmarkStart w:id="241" w:name="_Toc12101"/>
      <w:r>
        <w:rPr>
          <w:rFonts w:hint="eastAsia" w:ascii="Arial" w:hAnsi="Arial"/>
          <w:b/>
          <w:bCs/>
          <w:color w:val="auto"/>
          <w:sz w:val="28"/>
          <w:szCs w:val="28"/>
          <w:highlight w:val="none"/>
        </w:rPr>
        <w:t>17.1计量</w:t>
      </w:r>
      <w:bookmarkEnd w:id="241"/>
    </w:p>
    <w:p w14:paraId="0F1C15FF">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17.1.2 计量方法</w:t>
      </w:r>
    </w:p>
    <w:p w14:paraId="438490CF">
      <w:pPr>
        <w:spacing w:line="400" w:lineRule="exact"/>
        <w:ind w:firstLine="480"/>
        <w:rPr>
          <w:color w:val="auto"/>
          <w:highlight w:val="none"/>
        </w:rPr>
      </w:pPr>
      <w:r>
        <w:rPr>
          <w:rFonts w:hint="eastAsia"/>
          <w:color w:val="auto"/>
          <w:highlight w:val="none"/>
        </w:rPr>
        <w:t>本项约定为：</w:t>
      </w:r>
    </w:p>
    <w:p w14:paraId="4FB41F61">
      <w:pPr>
        <w:spacing w:line="400" w:lineRule="exact"/>
        <w:ind w:firstLine="480"/>
        <w:rPr>
          <w:color w:val="auto"/>
          <w:highlight w:val="none"/>
        </w:rPr>
      </w:pPr>
      <w:r>
        <w:rPr>
          <w:rFonts w:hint="eastAsia"/>
          <w:color w:val="auto"/>
          <w:highlight w:val="none"/>
        </w:rPr>
        <w:t>工程的计量应以净值为准，除非项目专用合同条款另有约定。工程量清单中各个子目的具体计量方法按本合同文件工程量清单计量规则中的规定执行。</w:t>
      </w:r>
    </w:p>
    <w:p w14:paraId="4C249F55">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17.1.4单价子目的计量</w:t>
      </w:r>
    </w:p>
    <w:p w14:paraId="34016A94">
      <w:pPr>
        <w:spacing w:line="400" w:lineRule="exact"/>
        <w:ind w:firstLine="480"/>
        <w:rPr>
          <w:color w:val="auto"/>
          <w:highlight w:val="none"/>
        </w:rPr>
      </w:pPr>
      <w:r>
        <w:rPr>
          <w:rFonts w:hint="eastAsia"/>
          <w:color w:val="auto"/>
          <w:highlight w:val="none"/>
        </w:rPr>
        <w:t>本项补充：</w:t>
      </w:r>
    </w:p>
    <w:p w14:paraId="35627C6B">
      <w:pPr>
        <w:spacing w:line="400" w:lineRule="exact"/>
        <w:ind w:firstLine="480"/>
        <w:rPr>
          <w:color w:val="auto"/>
          <w:highlight w:val="none"/>
        </w:rPr>
      </w:pPr>
      <w:r>
        <w:rPr>
          <w:rFonts w:hint="eastAsia"/>
          <w:color w:val="auto"/>
          <w:highlight w:val="none"/>
        </w:rPr>
        <w:t>（7）承包人未在已标价工程量清单中填入单价或总额价的工程子目，将被认为其已包含在本合同的其他子目的单价和总额价中，发包人将不另行支付。</w:t>
      </w:r>
    </w:p>
    <w:p w14:paraId="1E4BE7BF">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17.1.5总价子目的计量</w:t>
      </w:r>
    </w:p>
    <w:p w14:paraId="610639D1">
      <w:pPr>
        <w:spacing w:line="400" w:lineRule="exact"/>
        <w:ind w:firstLine="480"/>
        <w:rPr>
          <w:color w:val="auto"/>
          <w:highlight w:val="none"/>
        </w:rPr>
      </w:pPr>
      <w:r>
        <w:rPr>
          <w:rFonts w:hint="eastAsia"/>
          <w:color w:val="auto"/>
          <w:highlight w:val="none"/>
        </w:rPr>
        <w:t>本项补充：</w:t>
      </w:r>
    </w:p>
    <w:p w14:paraId="46E4DFF1">
      <w:pPr>
        <w:spacing w:line="400" w:lineRule="exact"/>
        <w:ind w:firstLine="480"/>
        <w:rPr>
          <w:color w:val="auto"/>
          <w:highlight w:val="none"/>
        </w:rPr>
      </w:pPr>
      <w:r>
        <w:rPr>
          <w:rFonts w:hint="eastAsia"/>
          <w:color w:val="auto"/>
          <w:highlight w:val="none"/>
        </w:rPr>
        <w:t>本项目工程量清单中要求承包人以“总额”方式报价的子目，各子目的支付原则和支付进度按项目专用合同条款的规定执行。</w:t>
      </w:r>
    </w:p>
    <w:p w14:paraId="556FF24C">
      <w:pPr>
        <w:keepNext/>
        <w:keepLines/>
        <w:spacing w:line="400" w:lineRule="exact"/>
        <w:outlineLvl w:val="3"/>
        <w:rPr>
          <w:rFonts w:ascii="Arial" w:hAnsi="Arial"/>
          <w:b/>
          <w:bCs/>
          <w:color w:val="auto"/>
          <w:sz w:val="28"/>
          <w:szCs w:val="28"/>
          <w:highlight w:val="none"/>
        </w:rPr>
      </w:pPr>
      <w:bookmarkStart w:id="242" w:name="_Toc5679"/>
      <w:r>
        <w:rPr>
          <w:rFonts w:hint="eastAsia" w:ascii="Arial" w:hAnsi="Arial"/>
          <w:b/>
          <w:bCs/>
          <w:color w:val="auto"/>
          <w:sz w:val="28"/>
          <w:szCs w:val="28"/>
          <w:highlight w:val="none"/>
        </w:rPr>
        <w:t>17.2预付款</w:t>
      </w:r>
      <w:bookmarkEnd w:id="242"/>
    </w:p>
    <w:p w14:paraId="42AF2DF8">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17.2.1预付款</w:t>
      </w:r>
    </w:p>
    <w:p w14:paraId="55834D32">
      <w:pPr>
        <w:spacing w:line="400" w:lineRule="exact"/>
        <w:ind w:firstLine="480"/>
        <w:rPr>
          <w:color w:val="auto"/>
          <w:highlight w:val="none"/>
        </w:rPr>
      </w:pPr>
      <w:r>
        <w:rPr>
          <w:rFonts w:hint="eastAsia"/>
          <w:color w:val="auto"/>
          <w:highlight w:val="none"/>
        </w:rPr>
        <w:t>本项约定为：</w:t>
      </w:r>
    </w:p>
    <w:p w14:paraId="293569A8">
      <w:pPr>
        <w:spacing w:line="400" w:lineRule="exact"/>
        <w:ind w:firstLine="480"/>
        <w:rPr>
          <w:color w:val="auto"/>
          <w:highlight w:val="none"/>
        </w:rPr>
      </w:pPr>
      <w:r>
        <w:rPr>
          <w:rFonts w:hint="eastAsia"/>
          <w:color w:val="auto"/>
          <w:highlight w:val="none"/>
        </w:rPr>
        <w:t>预付款包括开工预付款和材料、设备预付款。具体额度和预付办法如下：</w:t>
      </w:r>
    </w:p>
    <w:p w14:paraId="01231A7E">
      <w:pPr>
        <w:spacing w:line="400" w:lineRule="exact"/>
        <w:ind w:firstLine="480"/>
        <w:rPr>
          <w:color w:val="auto"/>
          <w:highlight w:val="none"/>
        </w:rPr>
      </w:pPr>
      <w:r>
        <w:rPr>
          <w:rFonts w:hint="eastAsia"/>
          <w:color w:val="auto"/>
          <w:highlight w:val="none"/>
        </w:rPr>
        <w:t>（1）开工预付款的金额在项目专用合同条款数据表中约定。在承包人签订了合同协议书且承包人承诺的主要设备进场后，监理人应在当期进度付款证书中向承包人支付开工预付款。</w:t>
      </w:r>
    </w:p>
    <w:p w14:paraId="3ABBF9B0">
      <w:pPr>
        <w:spacing w:line="400" w:lineRule="exact"/>
        <w:ind w:firstLine="480"/>
        <w:rPr>
          <w:color w:val="auto"/>
          <w:highlight w:val="none"/>
        </w:rPr>
      </w:pPr>
      <w:r>
        <w:rPr>
          <w:rFonts w:hint="eastAsia"/>
          <w:color w:val="auto"/>
          <w:highlight w:val="none"/>
        </w:rPr>
        <w:t>承包人不得将该预付款用于与本工程无关的支出，监理人有权监督承包人对该项费用的使用，如经查实承包人滥用开工预付款，发包人有权立即向银行索赔履约保证金，并解除合同。</w:t>
      </w:r>
    </w:p>
    <w:p w14:paraId="5866AB54">
      <w:pPr>
        <w:spacing w:line="400" w:lineRule="exact"/>
        <w:ind w:firstLine="480"/>
        <w:rPr>
          <w:color w:val="auto"/>
          <w:highlight w:val="none"/>
        </w:rPr>
      </w:pPr>
      <w:r>
        <w:rPr>
          <w:rFonts w:hint="eastAsia"/>
          <w:color w:val="auto"/>
          <w:highlight w:val="none"/>
        </w:rPr>
        <w:t>（2）材料、设备预付款按项目专用合同条款数据表中所列主要材料、设备单据费用（进口的材料、设备为到岸价，国内采购的为出厂价或销售价，地方材料为堆场价）的百分比支付。其预付条件为：</w:t>
      </w:r>
    </w:p>
    <w:p w14:paraId="75C7AB60">
      <w:pPr>
        <w:spacing w:line="400" w:lineRule="exact"/>
        <w:ind w:firstLine="480"/>
        <w:rPr>
          <w:color w:val="auto"/>
          <w:highlight w:val="none"/>
        </w:rPr>
      </w:pPr>
      <w:r>
        <w:rPr>
          <w:rFonts w:hint="eastAsia"/>
          <w:color w:val="auto"/>
          <w:highlight w:val="none"/>
        </w:rPr>
        <w:t>a.材料、设备符合规范要求并经监理人认可；</w:t>
      </w:r>
    </w:p>
    <w:p w14:paraId="0806775E">
      <w:pPr>
        <w:spacing w:line="400" w:lineRule="exact"/>
        <w:ind w:firstLine="480"/>
        <w:rPr>
          <w:color w:val="auto"/>
          <w:highlight w:val="none"/>
        </w:rPr>
      </w:pPr>
      <w:r>
        <w:rPr>
          <w:rFonts w:hint="eastAsia"/>
          <w:color w:val="auto"/>
          <w:highlight w:val="none"/>
        </w:rPr>
        <w:t>b.承包人已出具材料、设备费用凭证或支付单据；</w:t>
      </w:r>
    </w:p>
    <w:p w14:paraId="7B1DFD6E">
      <w:pPr>
        <w:spacing w:line="400" w:lineRule="exact"/>
        <w:ind w:firstLine="480"/>
        <w:rPr>
          <w:color w:val="auto"/>
          <w:highlight w:val="none"/>
        </w:rPr>
      </w:pPr>
      <w:r>
        <w:rPr>
          <w:rFonts w:hint="eastAsia"/>
          <w:color w:val="auto"/>
          <w:highlight w:val="none"/>
        </w:rPr>
        <w:t>c.材料、设备已在现场交货，且存储良好，监理人认为材料、设备的存储方法符合要求。</w:t>
      </w:r>
    </w:p>
    <w:p w14:paraId="48904C36">
      <w:pPr>
        <w:spacing w:line="400" w:lineRule="exact"/>
        <w:ind w:firstLine="480"/>
        <w:rPr>
          <w:color w:val="auto"/>
          <w:highlight w:val="none"/>
        </w:rPr>
      </w:pPr>
      <w:r>
        <w:rPr>
          <w:rFonts w:hint="eastAsia"/>
          <w:color w:val="auto"/>
          <w:highlight w:val="none"/>
        </w:rPr>
        <w:t>则监理人应将此项金额作为材料、设备预付款计入下一次的进度付款证书中。在预计交工前 3 个月，将不再支付材料、设备预付款。</w:t>
      </w:r>
    </w:p>
    <w:p w14:paraId="62C89925">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17.2.2预付款保函</w:t>
      </w:r>
    </w:p>
    <w:p w14:paraId="44A7FF00">
      <w:pPr>
        <w:spacing w:line="400" w:lineRule="exact"/>
        <w:ind w:firstLine="480"/>
        <w:rPr>
          <w:color w:val="auto"/>
          <w:highlight w:val="none"/>
        </w:rPr>
      </w:pPr>
      <w:r>
        <w:rPr>
          <w:rFonts w:hint="eastAsia"/>
          <w:color w:val="auto"/>
          <w:highlight w:val="none"/>
        </w:rPr>
        <w:t>本项细化为：</w:t>
      </w:r>
    </w:p>
    <w:p w14:paraId="7BEE85AD">
      <w:pPr>
        <w:spacing w:line="400" w:lineRule="exact"/>
        <w:ind w:firstLine="480"/>
        <w:rPr>
          <w:color w:val="auto"/>
          <w:highlight w:val="none"/>
        </w:rPr>
      </w:pPr>
      <w:r>
        <w:rPr>
          <w:rFonts w:hint="eastAsia"/>
          <w:color w:val="auto"/>
          <w:highlight w:val="none"/>
        </w:rPr>
        <w:t>承包人无须向发包人提交预付款保函。发包人向承包人支付的预付款，应按照本合同第 17.2.1 项规定使用，承包人提交的履约保证金对预付款的正常使用承担保证责任。</w:t>
      </w:r>
    </w:p>
    <w:p w14:paraId="088B4685">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17.2.3预付款的扣回与还清</w:t>
      </w:r>
    </w:p>
    <w:p w14:paraId="621D1BC7">
      <w:pPr>
        <w:spacing w:line="400" w:lineRule="exact"/>
        <w:ind w:firstLine="480"/>
        <w:rPr>
          <w:color w:val="auto"/>
          <w:highlight w:val="none"/>
        </w:rPr>
      </w:pPr>
      <w:r>
        <w:rPr>
          <w:rFonts w:hint="eastAsia"/>
          <w:color w:val="auto"/>
          <w:highlight w:val="none"/>
        </w:rPr>
        <w:t>本项约定为：</w:t>
      </w:r>
    </w:p>
    <w:p w14:paraId="11BF9BBB">
      <w:pPr>
        <w:spacing w:line="400" w:lineRule="exact"/>
        <w:ind w:firstLine="480"/>
        <w:rPr>
          <w:color w:val="auto"/>
          <w:highlight w:val="none"/>
        </w:rPr>
      </w:pPr>
      <w:r>
        <w:rPr>
          <w:rFonts w:hint="eastAsia"/>
          <w:color w:val="auto"/>
          <w:highlight w:val="none"/>
        </w:rPr>
        <w:t>（1）开工预付款在进度付款证书的累计金额未达到签约合同价的 30%之前不予扣回，在达到签约合同价 30%之后，开始按工程进度以固定比例（即每完成签约合同价的 1%，扣回开工预付款的 2%）分期从各月的进度付款证书中扣回，全部金额在进度付款证书的累计金额达到签约合同价的 80%时扣完。</w:t>
      </w:r>
    </w:p>
    <w:p w14:paraId="7EC600C3">
      <w:pPr>
        <w:spacing w:line="400" w:lineRule="exact"/>
        <w:ind w:firstLine="480"/>
        <w:rPr>
          <w:color w:val="auto"/>
          <w:highlight w:val="none"/>
        </w:rPr>
      </w:pPr>
      <w:r>
        <w:rPr>
          <w:rFonts w:hint="eastAsia"/>
          <w:color w:val="auto"/>
          <w:highlight w:val="none"/>
        </w:rPr>
        <w:t>（2）当材料、设备已用于或安装在永久工程之中时，材料、设备预付款应从进度付款证书中扣回，扣回期不超过 3 个月。已经支付材料、设备预付款的材料、设备的所有权应属于发包人。</w:t>
      </w:r>
    </w:p>
    <w:p w14:paraId="0D184303">
      <w:pPr>
        <w:keepNext/>
        <w:keepLines/>
        <w:spacing w:line="400" w:lineRule="exact"/>
        <w:outlineLvl w:val="3"/>
        <w:rPr>
          <w:rFonts w:ascii="Arial" w:hAnsi="Arial"/>
          <w:b/>
          <w:bCs/>
          <w:color w:val="auto"/>
          <w:sz w:val="28"/>
          <w:szCs w:val="28"/>
          <w:highlight w:val="none"/>
        </w:rPr>
      </w:pPr>
      <w:r>
        <w:rPr>
          <w:rFonts w:hint="eastAsia" w:ascii="Arial" w:hAnsi="Arial"/>
          <w:b/>
          <w:bCs/>
          <w:color w:val="auto"/>
          <w:sz w:val="28"/>
          <w:szCs w:val="28"/>
          <w:highlight w:val="none"/>
        </w:rPr>
        <w:t>17.3工程进度付款</w:t>
      </w:r>
    </w:p>
    <w:p w14:paraId="76CF7B77">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17.3.3 进度付款证书和支付时间</w:t>
      </w:r>
    </w:p>
    <w:p w14:paraId="10C078F9">
      <w:pPr>
        <w:spacing w:line="400" w:lineRule="exact"/>
        <w:ind w:firstLine="480"/>
        <w:rPr>
          <w:color w:val="auto"/>
          <w:highlight w:val="none"/>
        </w:rPr>
      </w:pPr>
      <w:r>
        <w:rPr>
          <w:rFonts w:hint="eastAsia"/>
          <w:color w:val="auto"/>
          <w:highlight w:val="none"/>
        </w:rPr>
        <w:t>本项（1）目补充：</w:t>
      </w:r>
    </w:p>
    <w:p w14:paraId="42ED9BEF">
      <w:pPr>
        <w:spacing w:line="400" w:lineRule="exact"/>
        <w:ind w:firstLine="480"/>
        <w:rPr>
          <w:color w:val="auto"/>
          <w:highlight w:val="none"/>
        </w:rPr>
      </w:pPr>
      <w:r>
        <w:rPr>
          <w:rFonts w:hint="eastAsia"/>
          <w:color w:val="auto"/>
          <w:highlight w:val="none"/>
        </w:rPr>
        <w:t>如果该付款周期应结算的价款经扣留和扣回后的款额少于项目专用合同条款数据表中列明的进度付款证书的最低金额，则该付款周期监理人可不核证支付，上述款额将按付款周期结转，直至累计应支付的款额达到项目专用合同条款数据表中列明的进度付款证书的最低金额为止。</w:t>
      </w:r>
    </w:p>
    <w:p w14:paraId="3083F17F">
      <w:pPr>
        <w:spacing w:line="400" w:lineRule="exact"/>
        <w:ind w:firstLine="480"/>
        <w:rPr>
          <w:color w:val="auto"/>
          <w:highlight w:val="none"/>
        </w:rPr>
      </w:pPr>
      <w:r>
        <w:rPr>
          <w:rFonts w:hint="eastAsia"/>
          <w:color w:val="auto"/>
          <w:highlight w:val="none"/>
        </w:rPr>
        <w:t>本项（2）目细化为：</w:t>
      </w:r>
    </w:p>
    <w:p w14:paraId="50D46E87">
      <w:pPr>
        <w:spacing w:line="400" w:lineRule="exact"/>
        <w:ind w:firstLine="480"/>
        <w:rPr>
          <w:color w:val="auto"/>
          <w:highlight w:val="none"/>
        </w:rPr>
      </w:pPr>
      <w:r>
        <w:rPr>
          <w:rFonts w:hint="eastAsia"/>
          <w:color w:val="auto"/>
          <w:highlight w:val="none"/>
        </w:rPr>
        <w:t>发包人应在监理人收到进度付款申请单且承包人提交了合格的增值税专用发票后的 28 天内，将进度应付款支付给承包人。</w:t>
      </w:r>
    </w:p>
    <w:p w14:paraId="00A0FF46">
      <w:pPr>
        <w:spacing w:line="400" w:lineRule="exact"/>
        <w:ind w:firstLine="480"/>
        <w:rPr>
          <w:color w:val="auto"/>
          <w:highlight w:val="none"/>
        </w:rPr>
      </w:pPr>
      <w:r>
        <w:rPr>
          <w:rFonts w:hint="eastAsia"/>
          <w:color w:val="auto"/>
          <w:highlight w:val="none"/>
        </w:rPr>
        <w:t>发包人不按期支付的，按项目专用合同条款数据表中约定的利率向承包人支付逾期付款违约金。违约金计算基数为发包人的全部未付款额，时间从应付而未付该款额之日算起（不计复利）。</w:t>
      </w:r>
    </w:p>
    <w:p w14:paraId="3B6DC5D2">
      <w:pPr>
        <w:spacing w:line="400" w:lineRule="exact"/>
        <w:ind w:firstLine="480"/>
        <w:rPr>
          <w:color w:val="auto"/>
          <w:highlight w:val="none"/>
        </w:rPr>
      </w:pPr>
      <w:r>
        <w:rPr>
          <w:rFonts w:hint="eastAsia"/>
          <w:color w:val="auto"/>
          <w:highlight w:val="none"/>
        </w:rPr>
        <w:t>本款补充第 17.3.5 项：</w:t>
      </w:r>
    </w:p>
    <w:p w14:paraId="7D4AD544">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17.3.5 农民工工资保证金</w:t>
      </w:r>
    </w:p>
    <w:p w14:paraId="3AE47E0D">
      <w:pPr>
        <w:spacing w:line="400" w:lineRule="exact"/>
        <w:ind w:firstLine="480"/>
        <w:rPr>
          <w:color w:val="auto"/>
          <w:highlight w:val="none"/>
        </w:rPr>
      </w:pPr>
      <w:r>
        <w:rPr>
          <w:rFonts w:hint="eastAsia"/>
          <w:color w:val="auto"/>
          <w:highlight w:val="none"/>
        </w:rPr>
        <w:t>（1）为确保施工过程中农民工工资实时、足额发放到位，承包人应按照项目专用合同条款约定的时间和金额缴存农民工工资保证金。</w:t>
      </w:r>
    </w:p>
    <w:p w14:paraId="6AC4855F">
      <w:pPr>
        <w:spacing w:line="400" w:lineRule="exact"/>
        <w:ind w:firstLine="480"/>
        <w:rPr>
          <w:color w:val="auto"/>
          <w:highlight w:val="none"/>
        </w:rPr>
      </w:pPr>
      <w:r>
        <w:rPr>
          <w:rFonts w:hint="eastAsia"/>
          <w:color w:val="auto"/>
          <w:highlight w:val="none"/>
        </w:rPr>
        <w:t>（2）农民工工资保证金可采用银行保函或现金、支票形式。采用银行保函时， 出具保函的银行须具有相应担保能力，且按照发包人批准的格式出具，所需费用由承包人承担。</w:t>
      </w:r>
    </w:p>
    <w:p w14:paraId="103D86C0">
      <w:pPr>
        <w:spacing w:line="400" w:lineRule="exact"/>
        <w:ind w:firstLine="480"/>
        <w:rPr>
          <w:color w:val="auto"/>
          <w:highlight w:val="none"/>
        </w:rPr>
      </w:pPr>
      <w:r>
        <w:rPr>
          <w:rFonts w:hint="eastAsia"/>
          <w:color w:val="auto"/>
          <w:highlight w:val="none"/>
        </w:rPr>
        <w:t>（3）农民工工资保证金的扣留条件、返还时间按照项目专用合同条款的约定执行。</w:t>
      </w:r>
    </w:p>
    <w:p w14:paraId="2367232F">
      <w:pPr>
        <w:keepNext/>
        <w:keepLines/>
        <w:spacing w:line="400" w:lineRule="exact"/>
        <w:outlineLvl w:val="3"/>
        <w:rPr>
          <w:rFonts w:ascii="Arial" w:hAnsi="Arial"/>
          <w:b/>
          <w:bCs/>
          <w:color w:val="auto"/>
          <w:sz w:val="28"/>
          <w:szCs w:val="28"/>
          <w:highlight w:val="none"/>
        </w:rPr>
      </w:pPr>
      <w:r>
        <w:rPr>
          <w:rFonts w:hint="eastAsia" w:ascii="Arial" w:hAnsi="Arial"/>
          <w:b/>
          <w:bCs/>
          <w:color w:val="auto"/>
          <w:sz w:val="28"/>
          <w:szCs w:val="28"/>
          <w:highlight w:val="none"/>
        </w:rPr>
        <w:t>17.4质量保证金</w:t>
      </w:r>
    </w:p>
    <w:p w14:paraId="46BD74BA">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第 17.4.1 项、第 17.4.2 项细化为：</w:t>
      </w:r>
    </w:p>
    <w:p w14:paraId="6D33D551">
      <w:pPr>
        <w:spacing w:line="400" w:lineRule="exact"/>
        <w:ind w:firstLine="480"/>
        <w:rPr>
          <w:color w:val="auto"/>
          <w:highlight w:val="none"/>
        </w:rPr>
      </w:pPr>
      <w:r>
        <w:rPr>
          <w:rFonts w:hint="eastAsia"/>
          <w:color w:val="auto"/>
          <w:highlight w:val="none"/>
        </w:rPr>
        <w:t>17.4.1交工验收证书签发后 14 天内，承包人应向发包人缴纳质量保证金。质量保证金可采用银行保函或现金、支票形式，金额应符合项目专用合同条款数据表的规定。采用银行保函时，出具保函的银行须具有相应担保能力，且按照发包人批准的格式出具，所需费用由承包人承担。</w:t>
      </w:r>
    </w:p>
    <w:p w14:paraId="788B64C8">
      <w:pPr>
        <w:spacing w:line="400" w:lineRule="exact"/>
        <w:ind w:firstLine="480"/>
        <w:rPr>
          <w:color w:val="auto"/>
          <w:highlight w:val="none"/>
        </w:rPr>
      </w:pPr>
      <w:r>
        <w:rPr>
          <w:rFonts w:hint="eastAsia"/>
          <w:color w:val="auto"/>
          <w:highlight w:val="none"/>
        </w:rPr>
        <w:t xml:space="preserve">质量保证金采用现金、支票形式提交的，发包人应在项目专用合同条款数据表中明确是否计付利息以及利息的计算方式。 </w:t>
      </w:r>
    </w:p>
    <w:p w14:paraId="16A63D47">
      <w:pPr>
        <w:spacing w:line="400" w:lineRule="exact"/>
        <w:ind w:firstLine="480"/>
        <w:rPr>
          <w:color w:val="auto"/>
          <w:highlight w:val="none"/>
        </w:rPr>
      </w:pPr>
      <w:r>
        <w:rPr>
          <w:rFonts w:hint="eastAsia"/>
          <w:color w:val="auto"/>
          <w:highlight w:val="none"/>
        </w:rPr>
        <w:t>17.4.2在第 1.1.4.5 目约定的缺陷责任期满，且质量监督机构已按规定对工程质量检测鉴定合格，承包人向发包人申请到期应返还承包人剩余的质量保证金金额， 发包人应在 14 天内会同承包人按照合同约定的内容核实承包人是否完成缺陷责任。如无异议，发包人应当在核实后将剩余保证金返还承包人。</w:t>
      </w:r>
    </w:p>
    <w:p w14:paraId="02898093">
      <w:pPr>
        <w:keepNext/>
        <w:keepLines/>
        <w:spacing w:line="400" w:lineRule="exact"/>
        <w:outlineLvl w:val="3"/>
        <w:rPr>
          <w:rFonts w:ascii="Arial" w:hAnsi="Arial"/>
          <w:b/>
          <w:bCs/>
          <w:color w:val="auto"/>
          <w:sz w:val="28"/>
          <w:szCs w:val="28"/>
          <w:highlight w:val="none"/>
        </w:rPr>
      </w:pPr>
      <w:r>
        <w:rPr>
          <w:rFonts w:hint="eastAsia" w:ascii="Arial" w:hAnsi="Arial"/>
          <w:b/>
          <w:bCs/>
          <w:color w:val="auto"/>
          <w:sz w:val="28"/>
          <w:szCs w:val="28"/>
          <w:highlight w:val="none"/>
        </w:rPr>
        <w:t>17.5交工结算</w:t>
      </w:r>
    </w:p>
    <w:p w14:paraId="70162838">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17.5.1交工付款申请单</w:t>
      </w:r>
    </w:p>
    <w:p w14:paraId="1D11DB9E">
      <w:pPr>
        <w:spacing w:line="400" w:lineRule="exact"/>
        <w:ind w:firstLine="480"/>
        <w:rPr>
          <w:color w:val="auto"/>
          <w:highlight w:val="none"/>
        </w:rPr>
      </w:pPr>
      <w:r>
        <w:rPr>
          <w:rFonts w:hint="eastAsia"/>
          <w:color w:val="auto"/>
          <w:highlight w:val="none"/>
        </w:rPr>
        <w:t>本项（1）目约定为：</w:t>
      </w:r>
    </w:p>
    <w:p w14:paraId="5122FCC3">
      <w:pPr>
        <w:spacing w:line="400" w:lineRule="exact"/>
        <w:ind w:firstLine="480"/>
        <w:rPr>
          <w:color w:val="auto"/>
          <w:highlight w:val="none"/>
        </w:rPr>
      </w:pPr>
      <w:r>
        <w:rPr>
          <w:rFonts w:hint="eastAsia"/>
          <w:color w:val="auto"/>
          <w:highlight w:val="none"/>
        </w:rPr>
        <w:t>承包人向监理人提交交工付款申请单（包括相关证明材料）的份数在项目专用合同条款数据表中约定；期限：交工验收证书签发后 42 天内。</w:t>
      </w:r>
    </w:p>
    <w:p w14:paraId="46479FCD">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17.5.2交工付款证书及支付时间</w:t>
      </w:r>
    </w:p>
    <w:p w14:paraId="44CA68F1">
      <w:pPr>
        <w:spacing w:line="400" w:lineRule="exact"/>
        <w:ind w:firstLine="480"/>
        <w:rPr>
          <w:color w:val="auto"/>
          <w:highlight w:val="none"/>
        </w:rPr>
      </w:pPr>
      <w:r>
        <w:rPr>
          <w:rFonts w:hint="eastAsia"/>
          <w:color w:val="auto"/>
          <w:highlight w:val="none"/>
        </w:rPr>
        <w:t>本项（2）目细化为：</w:t>
      </w:r>
    </w:p>
    <w:p w14:paraId="2428CDDA">
      <w:pPr>
        <w:spacing w:line="400" w:lineRule="exact"/>
        <w:ind w:firstLine="480"/>
        <w:rPr>
          <w:color w:val="auto"/>
          <w:highlight w:val="none"/>
        </w:rPr>
      </w:pPr>
      <w:r>
        <w:rPr>
          <w:rFonts w:hint="eastAsia"/>
          <w:color w:val="auto"/>
          <w:highlight w:val="none"/>
        </w:rPr>
        <w:t>发包人应在监理人出具交工付款证书且承包人提交了合格的增值税专用发票后的 14 天内，将应支付款支付给承包人。发包人不按期支付的，按第 17.3.3（2）目的约定，将逾期付款违约金支付给承包人。</w:t>
      </w:r>
    </w:p>
    <w:p w14:paraId="4C6DF80A">
      <w:pPr>
        <w:keepNext/>
        <w:keepLines/>
        <w:spacing w:line="400" w:lineRule="exact"/>
        <w:outlineLvl w:val="3"/>
        <w:rPr>
          <w:rFonts w:ascii="Arial" w:hAnsi="Arial"/>
          <w:b/>
          <w:bCs/>
          <w:color w:val="auto"/>
          <w:sz w:val="28"/>
          <w:szCs w:val="28"/>
          <w:highlight w:val="none"/>
        </w:rPr>
      </w:pPr>
      <w:r>
        <w:rPr>
          <w:rFonts w:hint="eastAsia" w:ascii="Arial" w:hAnsi="Arial"/>
          <w:b/>
          <w:bCs/>
          <w:color w:val="auto"/>
          <w:sz w:val="28"/>
          <w:szCs w:val="28"/>
          <w:highlight w:val="none"/>
        </w:rPr>
        <w:t>17.6最终结清</w:t>
      </w:r>
    </w:p>
    <w:p w14:paraId="31D17B4A">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17.6.1最终结清申请单</w:t>
      </w:r>
    </w:p>
    <w:p w14:paraId="4C738FB0">
      <w:pPr>
        <w:spacing w:line="400" w:lineRule="exact"/>
        <w:ind w:firstLine="480"/>
        <w:rPr>
          <w:color w:val="auto"/>
          <w:highlight w:val="none"/>
        </w:rPr>
      </w:pPr>
      <w:r>
        <w:rPr>
          <w:rFonts w:hint="eastAsia"/>
          <w:color w:val="auto"/>
          <w:highlight w:val="none"/>
        </w:rPr>
        <w:t>本项（1）目约定为：</w:t>
      </w:r>
    </w:p>
    <w:p w14:paraId="085C298F">
      <w:pPr>
        <w:spacing w:line="400" w:lineRule="exact"/>
        <w:ind w:firstLine="480"/>
        <w:rPr>
          <w:color w:val="auto"/>
          <w:highlight w:val="none"/>
        </w:rPr>
      </w:pPr>
      <w:r>
        <w:rPr>
          <w:rFonts w:hint="eastAsia"/>
          <w:color w:val="auto"/>
          <w:highlight w:val="none"/>
        </w:rPr>
        <w:t>承包人向监理人提交最终结清申请单（包括相关证明材料）的份数在项目专用合同条款数据表中约定；期限：缺陷责任期终止证书签发后 28 天内。</w:t>
      </w:r>
    </w:p>
    <w:p w14:paraId="52B30586">
      <w:pPr>
        <w:spacing w:line="400" w:lineRule="exact"/>
        <w:ind w:firstLine="480"/>
        <w:rPr>
          <w:color w:val="auto"/>
          <w:highlight w:val="none"/>
        </w:rPr>
      </w:pPr>
      <w:r>
        <w:rPr>
          <w:rFonts w:hint="eastAsia"/>
          <w:color w:val="auto"/>
          <w:highlight w:val="none"/>
        </w:rPr>
        <w:t>最终结清申请单中的总金额应认为是代表了根据合同规定应付给承包人的全部款项的最后结算。</w:t>
      </w:r>
    </w:p>
    <w:p w14:paraId="38E7D6D2">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17.6.2最终结清证书和支付时间</w:t>
      </w:r>
    </w:p>
    <w:p w14:paraId="31291AC5">
      <w:pPr>
        <w:spacing w:line="400" w:lineRule="exact"/>
        <w:ind w:firstLine="480"/>
        <w:rPr>
          <w:color w:val="auto"/>
          <w:highlight w:val="none"/>
        </w:rPr>
      </w:pPr>
      <w:r>
        <w:rPr>
          <w:rFonts w:hint="eastAsia"/>
          <w:color w:val="auto"/>
          <w:highlight w:val="none"/>
        </w:rPr>
        <w:t>本项（2）目细化为：</w:t>
      </w:r>
    </w:p>
    <w:p w14:paraId="10F4C14D">
      <w:pPr>
        <w:spacing w:line="400" w:lineRule="exact"/>
        <w:ind w:firstLine="480"/>
        <w:rPr>
          <w:color w:val="auto"/>
          <w:highlight w:val="none"/>
        </w:rPr>
      </w:pPr>
      <w:r>
        <w:rPr>
          <w:rFonts w:hint="eastAsia"/>
          <w:color w:val="auto"/>
          <w:highlight w:val="none"/>
        </w:rPr>
        <w:t>（2）发包人应在监理人出具最终结清证书且承包人提交了合格的增值税专用发票后的 14 天内，将应支付款支付给承包人。发包人不按期支付的，按第 17.3.3（2） 目的约定，将逾期付款违约金支付给承包人。</w:t>
      </w:r>
    </w:p>
    <w:p w14:paraId="18A85043">
      <w:pPr>
        <w:keepNext/>
        <w:keepLines/>
        <w:spacing w:line="400" w:lineRule="exact"/>
        <w:outlineLvl w:val="2"/>
        <w:rPr>
          <w:b/>
          <w:bCs/>
          <w:color w:val="auto"/>
          <w:sz w:val="32"/>
          <w:szCs w:val="32"/>
          <w:highlight w:val="none"/>
        </w:rPr>
      </w:pPr>
      <w:bookmarkStart w:id="243" w:name="_Toc233964191"/>
      <w:r>
        <w:rPr>
          <w:rFonts w:hint="eastAsia"/>
          <w:b/>
          <w:bCs/>
          <w:color w:val="auto"/>
          <w:sz w:val="32"/>
          <w:szCs w:val="32"/>
          <w:highlight w:val="none"/>
        </w:rPr>
        <w:t>18.交工验收</w:t>
      </w:r>
      <w:bookmarkEnd w:id="243"/>
    </w:p>
    <w:p w14:paraId="0C1BD10A">
      <w:pPr>
        <w:keepNext/>
        <w:keepLines/>
        <w:spacing w:line="400" w:lineRule="exact"/>
        <w:outlineLvl w:val="3"/>
        <w:rPr>
          <w:rFonts w:ascii="Arial" w:hAnsi="Arial"/>
          <w:b/>
          <w:bCs/>
          <w:color w:val="auto"/>
          <w:sz w:val="28"/>
          <w:szCs w:val="28"/>
          <w:highlight w:val="none"/>
        </w:rPr>
      </w:pPr>
      <w:r>
        <w:rPr>
          <w:rFonts w:hint="eastAsia" w:ascii="Arial" w:hAnsi="Arial"/>
          <w:b/>
          <w:bCs/>
          <w:color w:val="auto"/>
          <w:sz w:val="28"/>
          <w:szCs w:val="28"/>
          <w:highlight w:val="none"/>
        </w:rPr>
        <w:t>18.2交工验收申请报告</w:t>
      </w:r>
    </w:p>
    <w:p w14:paraId="222F370A">
      <w:pPr>
        <w:spacing w:line="400" w:lineRule="exact"/>
        <w:ind w:firstLine="480"/>
        <w:rPr>
          <w:color w:val="auto"/>
          <w:highlight w:val="none"/>
        </w:rPr>
      </w:pPr>
      <w:r>
        <w:rPr>
          <w:rFonts w:hint="eastAsia"/>
          <w:color w:val="auto"/>
          <w:highlight w:val="none"/>
        </w:rPr>
        <w:t>本款第（2）项约定为：</w:t>
      </w:r>
    </w:p>
    <w:p w14:paraId="085F3C46">
      <w:pPr>
        <w:spacing w:line="400" w:lineRule="exact"/>
        <w:ind w:firstLine="480"/>
        <w:rPr>
          <w:color w:val="auto"/>
          <w:highlight w:val="none"/>
        </w:rPr>
      </w:pPr>
      <w:r>
        <w:rPr>
          <w:rFonts w:hint="eastAsia"/>
          <w:color w:val="auto"/>
          <w:highlight w:val="none"/>
        </w:rPr>
        <w:t>竣工资料的内容：承包人应按照《公路工程竣（交）工验收办法》和相关规定编制竣工资料。</w:t>
      </w:r>
    </w:p>
    <w:p w14:paraId="48980167">
      <w:pPr>
        <w:spacing w:line="400" w:lineRule="exact"/>
        <w:ind w:firstLine="480"/>
        <w:rPr>
          <w:color w:val="auto"/>
          <w:highlight w:val="none"/>
        </w:rPr>
      </w:pPr>
      <w:r>
        <w:rPr>
          <w:rFonts w:hint="eastAsia"/>
          <w:color w:val="auto"/>
          <w:highlight w:val="none"/>
        </w:rPr>
        <w:t>竣工资料的份数在项目专用合同条款数据表中约定。</w:t>
      </w:r>
    </w:p>
    <w:p w14:paraId="0A7A9A32">
      <w:pPr>
        <w:keepNext/>
        <w:keepLines/>
        <w:spacing w:line="400" w:lineRule="exact"/>
        <w:outlineLvl w:val="3"/>
        <w:rPr>
          <w:rFonts w:ascii="Arial" w:hAnsi="Arial"/>
          <w:b/>
          <w:bCs/>
          <w:color w:val="auto"/>
          <w:sz w:val="28"/>
          <w:szCs w:val="28"/>
          <w:highlight w:val="none"/>
        </w:rPr>
      </w:pPr>
      <w:r>
        <w:rPr>
          <w:rFonts w:hint="eastAsia" w:ascii="Arial" w:hAnsi="Arial"/>
          <w:b/>
          <w:bCs/>
          <w:color w:val="auto"/>
          <w:sz w:val="28"/>
          <w:szCs w:val="28"/>
          <w:highlight w:val="none"/>
        </w:rPr>
        <w:t>18.3验收</w:t>
      </w:r>
    </w:p>
    <w:p w14:paraId="1C7A3879">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第 18.3.2 项补充：</w:t>
      </w:r>
    </w:p>
    <w:p w14:paraId="17D5384D">
      <w:pPr>
        <w:spacing w:line="400" w:lineRule="exact"/>
        <w:ind w:firstLine="480"/>
        <w:rPr>
          <w:color w:val="auto"/>
          <w:highlight w:val="none"/>
        </w:rPr>
      </w:pPr>
      <w:r>
        <w:rPr>
          <w:rFonts w:hint="eastAsia"/>
          <w:color w:val="auto"/>
          <w:highlight w:val="none"/>
        </w:rPr>
        <w:t>交工验收由发包人主持，由发包人、监理人、质监、设计、施工、运营、管理养护等有关部门代表组成交工验收小组，对本项目的工程质量进行评定，并写出交工验收报告报交通运输主管部门备案。承包人应按发包人的要求提交竣工资料，完成交工验收准备工作。</w:t>
      </w:r>
    </w:p>
    <w:p w14:paraId="69DD9A3E">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第 18.3.5 项约定为：</w:t>
      </w:r>
    </w:p>
    <w:p w14:paraId="7573262B">
      <w:pPr>
        <w:spacing w:line="400" w:lineRule="exact"/>
        <w:ind w:firstLine="480"/>
        <w:rPr>
          <w:color w:val="auto"/>
          <w:highlight w:val="none"/>
        </w:rPr>
      </w:pPr>
      <w:r>
        <w:rPr>
          <w:rFonts w:hint="eastAsia"/>
          <w:color w:val="auto"/>
          <w:highlight w:val="none"/>
        </w:rPr>
        <w:t>经验收合格工程的实际交工日期，以最终提交交工验收申请报告的日期为准， 并在交工验收证书中写明。</w:t>
      </w:r>
    </w:p>
    <w:p w14:paraId="5D8C442B">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本款补充第 18.3.7 项：</w:t>
      </w:r>
    </w:p>
    <w:p w14:paraId="69200BE5">
      <w:pPr>
        <w:spacing w:line="400" w:lineRule="exact"/>
        <w:ind w:firstLine="480"/>
        <w:rPr>
          <w:color w:val="auto"/>
          <w:highlight w:val="none"/>
        </w:rPr>
      </w:pPr>
      <w:r>
        <w:rPr>
          <w:rFonts w:hint="eastAsia"/>
          <w:color w:val="auto"/>
          <w:highlight w:val="none"/>
        </w:rPr>
        <w:t>组织办理交工验收和签发交工验收证书的费用由发包人承担。但按照第 18.3.4</w:t>
      </w:r>
    </w:p>
    <w:p w14:paraId="0D754E13">
      <w:pPr>
        <w:spacing w:line="400" w:lineRule="exact"/>
        <w:ind w:firstLine="480"/>
        <w:rPr>
          <w:color w:val="auto"/>
          <w:highlight w:val="none"/>
        </w:rPr>
      </w:pPr>
      <w:r>
        <w:rPr>
          <w:rFonts w:hint="eastAsia"/>
          <w:color w:val="auto"/>
          <w:highlight w:val="none"/>
        </w:rPr>
        <w:t>项规定达不到合格标准的交工验收费用由承包人承担。</w:t>
      </w:r>
    </w:p>
    <w:p w14:paraId="6840E85F">
      <w:pPr>
        <w:spacing w:line="400" w:lineRule="exact"/>
        <w:ind w:firstLine="480"/>
        <w:rPr>
          <w:color w:val="auto"/>
          <w:highlight w:val="none"/>
        </w:rPr>
      </w:pPr>
      <w:r>
        <w:rPr>
          <w:rFonts w:hint="eastAsia"/>
          <w:color w:val="auto"/>
          <w:highlight w:val="none"/>
        </w:rPr>
        <w:t>本条补充第 18.9 款：</w:t>
      </w:r>
    </w:p>
    <w:p w14:paraId="1D1F6A91">
      <w:pPr>
        <w:keepNext/>
        <w:keepLines/>
        <w:spacing w:line="400" w:lineRule="exact"/>
        <w:outlineLvl w:val="3"/>
        <w:rPr>
          <w:rFonts w:ascii="Arial" w:hAnsi="Arial"/>
          <w:b/>
          <w:bCs/>
          <w:color w:val="auto"/>
          <w:sz w:val="28"/>
          <w:szCs w:val="28"/>
          <w:highlight w:val="none"/>
        </w:rPr>
      </w:pPr>
      <w:r>
        <w:rPr>
          <w:rFonts w:hint="eastAsia" w:ascii="Arial" w:hAnsi="Arial"/>
          <w:b/>
          <w:bCs/>
          <w:color w:val="auto"/>
          <w:sz w:val="28"/>
          <w:szCs w:val="28"/>
          <w:highlight w:val="none"/>
        </w:rPr>
        <w:t>18.9 竣工文件</w:t>
      </w:r>
    </w:p>
    <w:p w14:paraId="5947FF49">
      <w:pPr>
        <w:spacing w:line="400" w:lineRule="exact"/>
        <w:ind w:firstLine="480"/>
        <w:rPr>
          <w:color w:val="auto"/>
          <w:highlight w:val="none"/>
        </w:rPr>
      </w:pPr>
      <w:r>
        <w:rPr>
          <w:rFonts w:hint="eastAsia"/>
          <w:color w:val="auto"/>
          <w:highlight w:val="none"/>
        </w:rPr>
        <w:t>承包人应按照《公路工程竣（交）工验收办法》的相关规定，在缺陷责任期内为竣工验收补充竣工资料，并在签发缺陷责任期终止证书之前提交。</w:t>
      </w:r>
    </w:p>
    <w:p w14:paraId="3A197FB7">
      <w:pPr>
        <w:keepNext/>
        <w:keepLines/>
        <w:spacing w:line="400" w:lineRule="exact"/>
        <w:outlineLvl w:val="2"/>
        <w:rPr>
          <w:b/>
          <w:bCs/>
          <w:color w:val="auto"/>
          <w:sz w:val="32"/>
          <w:szCs w:val="32"/>
          <w:highlight w:val="none"/>
        </w:rPr>
      </w:pPr>
      <w:bookmarkStart w:id="244" w:name="_Toc233964192"/>
      <w:r>
        <w:rPr>
          <w:rFonts w:hint="eastAsia"/>
          <w:b/>
          <w:bCs/>
          <w:color w:val="auto"/>
          <w:sz w:val="32"/>
          <w:szCs w:val="32"/>
          <w:highlight w:val="none"/>
        </w:rPr>
        <w:t>19.缺陷责任与保修责任</w:t>
      </w:r>
      <w:bookmarkEnd w:id="244"/>
    </w:p>
    <w:p w14:paraId="7F457468">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第 19.2.2 项补充：</w:t>
      </w:r>
    </w:p>
    <w:p w14:paraId="268FAD53">
      <w:pPr>
        <w:spacing w:line="400" w:lineRule="exact"/>
        <w:ind w:firstLine="480"/>
        <w:rPr>
          <w:color w:val="auto"/>
          <w:highlight w:val="none"/>
        </w:rPr>
      </w:pPr>
      <w:r>
        <w:rPr>
          <w:rFonts w:hint="eastAsia"/>
          <w:color w:val="auto"/>
          <w:highlight w:val="none"/>
        </w:rPr>
        <w:t>在缺陷责任期内，承包人应尽快完成在交工验收证书中写明的未完成工作，并完成对本工程缺陷的修复或监理人指令的修补工作。</w:t>
      </w:r>
    </w:p>
    <w:p w14:paraId="70F90039">
      <w:pPr>
        <w:keepNext/>
        <w:keepLines/>
        <w:spacing w:line="400" w:lineRule="exact"/>
        <w:outlineLvl w:val="3"/>
        <w:rPr>
          <w:rFonts w:ascii="Arial" w:hAnsi="Arial"/>
          <w:b/>
          <w:bCs/>
          <w:color w:val="auto"/>
          <w:sz w:val="28"/>
          <w:szCs w:val="28"/>
          <w:highlight w:val="none"/>
        </w:rPr>
      </w:pPr>
      <w:r>
        <w:rPr>
          <w:rFonts w:hint="eastAsia" w:ascii="Arial" w:hAnsi="Arial"/>
          <w:b/>
          <w:bCs/>
          <w:color w:val="auto"/>
          <w:sz w:val="28"/>
          <w:szCs w:val="28"/>
          <w:highlight w:val="none"/>
        </w:rPr>
        <w:t>19.5 承包人的进入权</w:t>
      </w:r>
    </w:p>
    <w:p w14:paraId="1B8A77F4">
      <w:pPr>
        <w:spacing w:line="400" w:lineRule="exact"/>
        <w:ind w:firstLine="480"/>
        <w:rPr>
          <w:color w:val="auto"/>
          <w:highlight w:val="none"/>
        </w:rPr>
      </w:pPr>
      <w:r>
        <w:rPr>
          <w:rFonts w:hint="eastAsia"/>
          <w:color w:val="auto"/>
          <w:highlight w:val="none"/>
        </w:rPr>
        <w:t>本款补充：</w:t>
      </w:r>
    </w:p>
    <w:p w14:paraId="2A289F30">
      <w:pPr>
        <w:spacing w:line="400" w:lineRule="exact"/>
        <w:ind w:firstLine="480"/>
        <w:rPr>
          <w:color w:val="auto"/>
          <w:highlight w:val="none"/>
        </w:rPr>
      </w:pPr>
      <w:r>
        <w:rPr>
          <w:rFonts w:hint="eastAsia"/>
          <w:color w:val="auto"/>
          <w:highlight w:val="none"/>
        </w:rPr>
        <w:t>承包人在缺陷修复施工过程中，应服从管养单位的有关安全管理规定，由于承包人自身原因造成的人员伤亡、设备和材料的损毁及罚款等责任由承包人自负。</w:t>
      </w:r>
    </w:p>
    <w:p w14:paraId="736FBC37">
      <w:pPr>
        <w:keepNext/>
        <w:keepLines/>
        <w:spacing w:line="400" w:lineRule="exact"/>
        <w:outlineLvl w:val="3"/>
        <w:rPr>
          <w:rFonts w:ascii="Arial" w:hAnsi="Arial"/>
          <w:b/>
          <w:bCs/>
          <w:color w:val="auto"/>
          <w:sz w:val="28"/>
          <w:szCs w:val="28"/>
          <w:highlight w:val="none"/>
        </w:rPr>
      </w:pPr>
      <w:r>
        <w:rPr>
          <w:rFonts w:hint="eastAsia" w:ascii="Arial" w:hAnsi="Arial"/>
          <w:b/>
          <w:bCs/>
          <w:color w:val="auto"/>
          <w:sz w:val="28"/>
          <w:szCs w:val="28"/>
          <w:highlight w:val="none"/>
        </w:rPr>
        <w:t>19.7保修责任</w:t>
      </w:r>
    </w:p>
    <w:p w14:paraId="20948AA2">
      <w:pPr>
        <w:spacing w:line="400" w:lineRule="exact"/>
        <w:ind w:firstLine="480"/>
        <w:rPr>
          <w:color w:val="auto"/>
          <w:highlight w:val="none"/>
        </w:rPr>
      </w:pPr>
      <w:r>
        <w:rPr>
          <w:rFonts w:hint="eastAsia"/>
          <w:color w:val="auto"/>
          <w:highlight w:val="none"/>
        </w:rPr>
        <w:t>本款细化为：</w:t>
      </w:r>
    </w:p>
    <w:p w14:paraId="7D973E0B">
      <w:pPr>
        <w:spacing w:line="400" w:lineRule="exact"/>
        <w:ind w:firstLine="480"/>
        <w:rPr>
          <w:color w:val="auto"/>
          <w:highlight w:val="none"/>
        </w:rPr>
      </w:pPr>
      <w:r>
        <w:rPr>
          <w:rFonts w:hint="eastAsia"/>
          <w:color w:val="auto"/>
          <w:highlight w:val="none"/>
        </w:rPr>
        <w:t>（1）保修期自实际交工日期起计算，具体期限在项目专用合同条款数据表中约定。保修期与缺陷责任期重叠的期间内，承包人的保修责任同缺陷责任。在缺陷责任期满后的保修期内，承包人可不在工地留有办事人员和机械设备，但必须随时与发包人保持联系，在保修期内承包人应对由于施工质量原因造成的损坏自费进行修复。</w:t>
      </w:r>
    </w:p>
    <w:p w14:paraId="2E3419FE">
      <w:pPr>
        <w:spacing w:line="400" w:lineRule="exact"/>
        <w:ind w:firstLine="480"/>
        <w:rPr>
          <w:color w:val="auto"/>
          <w:highlight w:val="none"/>
        </w:rPr>
      </w:pPr>
      <w:r>
        <w:rPr>
          <w:rFonts w:hint="eastAsia"/>
          <w:color w:val="auto"/>
          <w:highlight w:val="none"/>
        </w:rPr>
        <w:t>（2）在全部工程交工验收前，已经发包人提前验收的单位工程，其保修期的起算日期相应提前。</w:t>
      </w:r>
    </w:p>
    <w:p w14:paraId="1FD5F1A1">
      <w:pPr>
        <w:spacing w:line="400" w:lineRule="exact"/>
        <w:ind w:firstLine="480"/>
        <w:rPr>
          <w:color w:val="auto"/>
          <w:highlight w:val="none"/>
        </w:rPr>
      </w:pPr>
      <w:r>
        <w:rPr>
          <w:rFonts w:hint="eastAsia"/>
          <w:color w:val="auto"/>
          <w:highlight w:val="none"/>
        </w:rPr>
        <w:t>（3）工程保修期终止后 28 天内，监理人签发保修期终止证书。</w:t>
      </w:r>
    </w:p>
    <w:p w14:paraId="6DA3647C">
      <w:pPr>
        <w:spacing w:line="400" w:lineRule="exact"/>
        <w:ind w:firstLine="480"/>
        <w:rPr>
          <w:color w:val="auto"/>
          <w:highlight w:val="none"/>
        </w:rPr>
      </w:pPr>
      <w:r>
        <w:rPr>
          <w:rFonts w:hint="eastAsia"/>
          <w:color w:val="auto"/>
          <w:highlight w:val="none"/>
        </w:rPr>
        <w:t>（4）若承包人不履行保修义务和责任，则承包人应承担由于违约造成的法律后果，并由发包人将其违约行为上报省级交通运输主管部门，作为不良记录纳入公路建设市场信用信息管理系统。</w:t>
      </w:r>
    </w:p>
    <w:p w14:paraId="3052CF53">
      <w:pPr>
        <w:keepNext/>
        <w:keepLines/>
        <w:spacing w:line="400" w:lineRule="exact"/>
        <w:outlineLvl w:val="2"/>
        <w:rPr>
          <w:b/>
          <w:bCs/>
          <w:color w:val="auto"/>
          <w:sz w:val="32"/>
          <w:szCs w:val="32"/>
          <w:highlight w:val="none"/>
        </w:rPr>
      </w:pPr>
      <w:bookmarkStart w:id="245" w:name="_Toc233964193"/>
      <w:r>
        <w:rPr>
          <w:rFonts w:hint="eastAsia"/>
          <w:b/>
          <w:bCs/>
          <w:color w:val="auto"/>
          <w:sz w:val="32"/>
          <w:szCs w:val="32"/>
          <w:highlight w:val="none"/>
        </w:rPr>
        <w:t>20.保险</w:t>
      </w:r>
      <w:bookmarkEnd w:id="245"/>
    </w:p>
    <w:p w14:paraId="73E87ABE">
      <w:pPr>
        <w:keepNext/>
        <w:keepLines/>
        <w:spacing w:line="400" w:lineRule="exact"/>
        <w:outlineLvl w:val="3"/>
        <w:rPr>
          <w:rFonts w:ascii="Arial" w:hAnsi="Arial"/>
          <w:b/>
          <w:bCs/>
          <w:color w:val="auto"/>
          <w:sz w:val="28"/>
          <w:szCs w:val="28"/>
          <w:highlight w:val="none"/>
        </w:rPr>
      </w:pPr>
      <w:r>
        <w:rPr>
          <w:rFonts w:hint="eastAsia" w:ascii="Arial" w:hAnsi="Arial"/>
          <w:b/>
          <w:bCs/>
          <w:color w:val="auto"/>
          <w:sz w:val="28"/>
          <w:szCs w:val="28"/>
          <w:highlight w:val="none"/>
        </w:rPr>
        <w:t>20.1工程保险</w:t>
      </w:r>
    </w:p>
    <w:p w14:paraId="38B9B1D3">
      <w:pPr>
        <w:spacing w:line="400" w:lineRule="exact"/>
        <w:ind w:firstLine="480"/>
        <w:rPr>
          <w:color w:val="auto"/>
          <w:highlight w:val="none"/>
        </w:rPr>
      </w:pPr>
      <w:r>
        <w:rPr>
          <w:rFonts w:hint="eastAsia"/>
          <w:color w:val="auto"/>
          <w:highlight w:val="none"/>
        </w:rPr>
        <w:t>本款约定为：</w:t>
      </w:r>
    </w:p>
    <w:p w14:paraId="46E7CD95">
      <w:pPr>
        <w:spacing w:line="400" w:lineRule="exact"/>
        <w:ind w:firstLine="480"/>
        <w:rPr>
          <w:color w:val="auto"/>
          <w:highlight w:val="none"/>
        </w:rPr>
      </w:pPr>
      <w:r>
        <w:rPr>
          <w:rFonts w:hint="eastAsia"/>
          <w:color w:val="auto"/>
          <w:highlight w:val="none"/>
        </w:rPr>
        <w:t>建筑工程一切险的投保内容：为本合同工程的永久工程、临时工程和设备及已运至施工工地用于永久工程的材料和设备所投的保险。</w:t>
      </w:r>
    </w:p>
    <w:p w14:paraId="45C6B67A">
      <w:pPr>
        <w:spacing w:line="400" w:lineRule="exact"/>
        <w:ind w:firstLine="480"/>
        <w:rPr>
          <w:color w:val="auto"/>
          <w:highlight w:val="none"/>
        </w:rPr>
      </w:pPr>
      <w:r>
        <w:rPr>
          <w:rFonts w:hint="eastAsia"/>
          <w:color w:val="auto"/>
          <w:highlight w:val="none"/>
        </w:rPr>
        <w:t>保险金额：工程量清单第 100 章（不含建筑工程一切险及第三者责任险的保险费）至第 700 章的合计金额。</w:t>
      </w:r>
    </w:p>
    <w:p w14:paraId="73534EFE">
      <w:pPr>
        <w:spacing w:line="400" w:lineRule="exact"/>
        <w:ind w:firstLine="480"/>
        <w:rPr>
          <w:color w:val="auto"/>
          <w:highlight w:val="none"/>
        </w:rPr>
      </w:pPr>
      <w:r>
        <w:rPr>
          <w:rFonts w:hint="eastAsia"/>
          <w:color w:val="auto"/>
          <w:highlight w:val="none"/>
        </w:rPr>
        <w:t>保险费率：在项目专用合同条款数据表中约定。</w:t>
      </w:r>
    </w:p>
    <w:p w14:paraId="5E0A5CF5">
      <w:pPr>
        <w:spacing w:line="400" w:lineRule="exact"/>
        <w:ind w:firstLine="480"/>
        <w:rPr>
          <w:color w:val="auto"/>
          <w:highlight w:val="none"/>
        </w:rPr>
      </w:pPr>
      <w:r>
        <w:rPr>
          <w:rFonts w:hint="eastAsia"/>
          <w:color w:val="auto"/>
          <w:highlight w:val="none"/>
        </w:rPr>
        <w:t>保险期限：开工日起直至本合同工程签发缺陷责任期终止证书止（即合同工期＋缺陷责任期）。</w:t>
      </w:r>
    </w:p>
    <w:p w14:paraId="4E9D186A">
      <w:pPr>
        <w:spacing w:line="400" w:lineRule="exact"/>
        <w:ind w:firstLine="480"/>
        <w:rPr>
          <w:color w:val="auto"/>
          <w:highlight w:val="none"/>
        </w:rPr>
      </w:pPr>
      <w:r>
        <w:rPr>
          <w:rFonts w:hint="eastAsia"/>
          <w:color w:val="auto"/>
          <w:highlight w:val="none"/>
        </w:rPr>
        <w:t>承包人应以发包人和承包人的共同名义投保建筑工程一切险。建筑工程一切险的保险费由承包人报价时列入工程量清单第 100 章内。发包人在接到保险单后，将按照保险单的费用直接向承包人支付。</w:t>
      </w:r>
    </w:p>
    <w:p w14:paraId="7BBE8C8C">
      <w:pPr>
        <w:keepNext/>
        <w:keepLines/>
        <w:spacing w:line="400" w:lineRule="exact"/>
        <w:outlineLvl w:val="3"/>
        <w:rPr>
          <w:rFonts w:ascii="Arial" w:hAnsi="Arial"/>
          <w:b/>
          <w:bCs/>
          <w:color w:val="auto"/>
          <w:sz w:val="28"/>
          <w:szCs w:val="28"/>
          <w:highlight w:val="none"/>
        </w:rPr>
      </w:pPr>
      <w:r>
        <w:rPr>
          <w:rFonts w:hint="eastAsia" w:ascii="Arial" w:hAnsi="Arial"/>
          <w:b/>
          <w:bCs/>
          <w:color w:val="auto"/>
          <w:sz w:val="28"/>
          <w:szCs w:val="28"/>
          <w:highlight w:val="none"/>
        </w:rPr>
        <w:t>20.4第三者责任险</w:t>
      </w:r>
    </w:p>
    <w:p w14:paraId="5822C23B">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第 20.4.2 项补充：</w:t>
      </w:r>
    </w:p>
    <w:p w14:paraId="48823683">
      <w:pPr>
        <w:spacing w:line="400" w:lineRule="exact"/>
        <w:ind w:firstLine="480"/>
        <w:rPr>
          <w:color w:val="auto"/>
          <w:highlight w:val="none"/>
        </w:rPr>
      </w:pPr>
      <w:r>
        <w:rPr>
          <w:rFonts w:hint="eastAsia"/>
          <w:color w:val="auto"/>
          <w:highlight w:val="none"/>
        </w:rPr>
        <w:t>第三者责任险的保险费由承包人报价时列入工程量清单第 100 章内。发包人在接到保险单后，将按照保险单的费用直接向承包人支付。</w:t>
      </w:r>
    </w:p>
    <w:p w14:paraId="46721AB4">
      <w:pPr>
        <w:keepNext/>
        <w:keepLines/>
        <w:spacing w:line="400" w:lineRule="exact"/>
        <w:outlineLvl w:val="3"/>
        <w:rPr>
          <w:rFonts w:ascii="Arial" w:hAnsi="Arial"/>
          <w:b/>
          <w:bCs/>
          <w:color w:val="auto"/>
          <w:sz w:val="28"/>
          <w:szCs w:val="28"/>
          <w:highlight w:val="none"/>
        </w:rPr>
      </w:pPr>
      <w:r>
        <w:rPr>
          <w:rFonts w:hint="eastAsia" w:ascii="Arial" w:hAnsi="Arial"/>
          <w:b/>
          <w:bCs/>
          <w:color w:val="auto"/>
          <w:sz w:val="28"/>
          <w:szCs w:val="28"/>
          <w:highlight w:val="none"/>
        </w:rPr>
        <w:t>20.5其他保险</w:t>
      </w:r>
    </w:p>
    <w:p w14:paraId="22774070">
      <w:pPr>
        <w:spacing w:line="400" w:lineRule="exact"/>
        <w:ind w:firstLine="480"/>
        <w:rPr>
          <w:color w:val="auto"/>
          <w:highlight w:val="none"/>
        </w:rPr>
      </w:pPr>
      <w:r>
        <w:rPr>
          <w:rFonts w:hint="eastAsia"/>
          <w:color w:val="auto"/>
          <w:highlight w:val="none"/>
        </w:rPr>
        <w:t>本款约定为：</w:t>
      </w:r>
    </w:p>
    <w:p w14:paraId="53EFC262">
      <w:pPr>
        <w:spacing w:line="400" w:lineRule="exact"/>
        <w:ind w:firstLine="480"/>
        <w:rPr>
          <w:color w:val="auto"/>
          <w:highlight w:val="none"/>
        </w:rPr>
      </w:pPr>
      <w:r>
        <w:rPr>
          <w:rFonts w:hint="eastAsia"/>
          <w:color w:val="auto"/>
          <w:highlight w:val="none"/>
        </w:rPr>
        <w:t>承包人应为其施工设备等办理保险，其投保金额应足以现场重置。办理本款保险的一切费用均由承包人承担，并包括在工程量清单的单价及总额价中，发包人不单独支付。</w:t>
      </w:r>
    </w:p>
    <w:p w14:paraId="3000FE32">
      <w:pPr>
        <w:keepNext/>
        <w:keepLines/>
        <w:spacing w:line="400" w:lineRule="exact"/>
        <w:outlineLvl w:val="3"/>
        <w:rPr>
          <w:rFonts w:ascii="Arial" w:hAnsi="Arial"/>
          <w:b/>
          <w:bCs/>
          <w:color w:val="auto"/>
          <w:sz w:val="28"/>
          <w:szCs w:val="28"/>
          <w:highlight w:val="none"/>
        </w:rPr>
      </w:pPr>
      <w:r>
        <w:rPr>
          <w:rFonts w:hint="eastAsia" w:ascii="Arial" w:hAnsi="Arial"/>
          <w:b/>
          <w:bCs/>
          <w:color w:val="auto"/>
          <w:sz w:val="28"/>
          <w:szCs w:val="28"/>
          <w:highlight w:val="none"/>
        </w:rPr>
        <w:t>20.6对各项保险的一般要求</w:t>
      </w:r>
    </w:p>
    <w:p w14:paraId="3124A0C7">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20.6.1保险凭证</w:t>
      </w:r>
    </w:p>
    <w:p w14:paraId="6538B940">
      <w:pPr>
        <w:spacing w:line="400" w:lineRule="exact"/>
        <w:ind w:firstLine="480"/>
        <w:rPr>
          <w:color w:val="auto"/>
          <w:highlight w:val="none"/>
        </w:rPr>
      </w:pPr>
      <w:r>
        <w:rPr>
          <w:rFonts w:hint="eastAsia"/>
          <w:color w:val="auto"/>
          <w:highlight w:val="none"/>
        </w:rPr>
        <w:t>本项约定为：</w:t>
      </w:r>
    </w:p>
    <w:p w14:paraId="4C27A69D">
      <w:pPr>
        <w:spacing w:line="400" w:lineRule="exact"/>
        <w:ind w:firstLine="480"/>
        <w:rPr>
          <w:color w:val="auto"/>
          <w:highlight w:val="none"/>
        </w:rPr>
      </w:pPr>
      <w:r>
        <w:rPr>
          <w:rFonts w:hint="eastAsia"/>
          <w:color w:val="auto"/>
          <w:highlight w:val="none"/>
        </w:rPr>
        <w:t>承包人向发包人提交各项保险生效的证据和保险单副本的期限：开工后 56 天内。</w:t>
      </w:r>
    </w:p>
    <w:p w14:paraId="282FB120">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20.6.3持续保险</w:t>
      </w:r>
    </w:p>
    <w:p w14:paraId="48AAD52B">
      <w:pPr>
        <w:spacing w:line="400" w:lineRule="exact"/>
        <w:ind w:firstLine="480"/>
        <w:rPr>
          <w:color w:val="auto"/>
          <w:highlight w:val="none"/>
        </w:rPr>
      </w:pPr>
      <w:r>
        <w:rPr>
          <w:rFonts w:hint="eastAsia"/>
          <w:color w:val="auto"/>
          <w:highlight w:val="none"/>
        </w:rPr>
        <w:t>本项补充：</w:t>
      </w:r>
    </w:p>
    <w:p w14:paraId="5CC0A378">
      <w:pPr>
        <w:spacing w:line="400" w:lineRule="exact"/>
        <w:ind w:firstLine="480"/>
        <w:rPr>
          <w:color w:val="auto"/>
          <w:highlight w:val="none"/>
        </w:rPr>
      </w:pPr>
      <w:r>
        <w:rPr>
          <w:rFonts w:hint="eastAsia"/>
          <w:color w:val="auto"/>
          <w:highlight w:val="none"/>
        </w:rPr>
        <w:t>在整个合同期内，承包人应按合同条款规定保证足够的保险额。</w:t>
      </w:r>
    </w:p>
    <w:p w14:paraId="654C0C0E">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20.6.4保险金不足的补偿</w:t>
      </w:r>
    </w:p>
    <w:p w14:paraId="317770A5">
      <w:pPr>
        <w:spacing w:line="400" w:lineRule="exact"/>
        <w:ind w:firstLine="480"/>
        <w:rPr>
          <w:color w:val="auto"/>
          <w:highlight w:val="none"/>
        </w:rPr>
      </w:pPr>
      <w:r>
        <w:rPr>
          <w:rFonts w:hint="eastAsia"/>
          <w:color w:val="auto"/>
          <w:highlight w:val="none"/>
        </w:rPr>
        <w:t>本项细化为：</w:t>
      </w:r>
    </w:p>
    <w:p w14:paraId="4E293193">
      <w:pPr>
        <w:spacing w:line="400" w:lineRule="exact"/>
        <w:ind w:firstLine="480"/>
        <w:rPr>
          <w:color w:val="auto"/>
          <w:highlight w:val="none"/>
        </w:rPr>
      </w:pPr>
      <w:r>
        <w:rPr>
          <w:rFonts w:hint="eastAsia"/>
          <w:color w:val="auto"/>
          <w:highlight w:val="none"/>
        </w:rPr>
        <w:t>保险金不足以补偿损失的（包括免赔额和超过赔偿限额的部分），应由承包人和（或）发包人按合同约定负责补偿。</w:t>
      </w:r>
    </w:p>
    <w:p w14:paraId="1D5FA0C2">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20.6.5未按约定投保的补救</w:t>
      </w:r>
    </w:p>
    <w:p w14:paraId="78A6E979">
      <w:pPr>
        <w:spacing w:line="400" w:lineRule="exact"/>
        <w:ind w:firstLine="480"/>
        <w:rPr>
          <w:color w:val="auto"/>
          <w:highlight w:val="none"/>
        </w:rPr>
      </w:pPr>
      <w:r>
        <w:rPr>
          <w:rFonts w:hint="eastAsia"/>
          <w:color w:val="auto"/>
          <w:highlight w:val="none"/>
        </w:rPr>
        <w:t>本项（2）目细化为：</w:t>
      </w:r>
    </w:p>
    <w:p w14:paraId="3657AD3C">
      <w:pPr>
        <w:spacing w:line="400" w:lineRule="exact"/>
        <w:ind w:firstLine="480"/>
        <w:rPr>
          <w:color w:val="auto"/>
          <w:highlight w:val="none"/>
        </w:rPr>
      </w:pPr>
      <w:r>
        <w:rPr>
          <w:rFonts w:hint="eastAsia"/>
          <w:color w:val="auto"/>
          <w:highlight w:val="none"/>
        </w:rPr>
        <w:t>（2）由于负有投保义务的一方当事人未按合同约定办理某项保险，或未按保险单规定的条件和期限及时向保险人报告事故情况，或未按要求的保险期限进行投保， 或未按要求投保足够的保险金额，导致受益人未能或未能全部得到保险人的赔偿， 原应从该项保险得到的保险金应由负有投保义务的一方当事人支付。</w:t>
      </w:r>
    </w:p>
    <w:p w14:paraId="5C9DAE63">
      <w:pPr>
        <w:keepNext/>
        <w:keepLines/>
        <w:spacing w:line="400" w:lineRule="exact"/>
        <w:outlineLvl w:val="2"/>
        <w:rPr>
          <w:b/>
          <w:bCs/>
          <w:color w:val="auto"/>
          <w:sz w:val="32"/>
          <w:szCs w:val="32"/>
          <w:highlight w:val="none"/>
        </w:rPr>
      </w:pPr>
      <w:bookmarkStart w:id="246" w:name="_Toc233964194"/>
      <w:r>
        <w:rPr>
          <w:rFonts w:hint="eastAsia"/>
          <w:b/>
          <w:bCs/>
          <w:color w:val="auto"/>
          <w:sz w:val="32"/>
          <w:szCs w:val="32"/>
          <w:highlight w:val="none"/>
        </w:rPr>
        <w:t>21.不可抗力</w:t>
      </w:r>
      <w:bookmarkEnd w:id="246"/>
    </w:p>
    <w:p w14:paraId="2837F2C5">
      <w:pPr>
        <w:keepNext/>
        <w:keepLines/>
        <w:spacing w:line="400" w:lineRule="exact"/>
        <w:outlineLvl w:val="3"/>
        <w:rPr>
          <w:rFonts w:ascii="Arial" w:hAnsi="Arial"/>
          <w:b/>
          <w:bCs/>
          <w:color w:val="auto"/>
          <w:sz w:val="28"/>
          <w:szCs w:val="28"/>
          <w:highlight w:val="none"/>
        </w:rPr>
      </w:pPr>
      <w:r>
        <w:rPr>
          <w:rFonts w:hint="eastAsia" w:ascii="Arial" w:hAnsi="Arial"/>
          <w:b/>
          <w:bCs/>
          <w:color w:val="auto"/>
          <w:sz w:val="28"/>
          <w:szCs w:val="28"/>
          <w:highlight w:val="none"/>
        </w:rPr>
        <w:t>21.1不可抗力的确认</w:t>
      </w:r>
    </w:p>
    <w:p w14:paraId="05692B23">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第 21.1.1 项细化为：</w:t>
      </w:r>
    </w:p>
    <w:p w14:paraId="2EA8A0B4">
      <w:pPr>
        <w:spacing w:line="400" w:lineRule="exact"/>
        <w:ind w:firstLine="480"/>
        <w:rPr>
          <w:color w:val="auto"/>
          <w:highlight w:val="none"/>
        </w:rPr>
      </w:pPr>
      <w:r>
        <w:rPr>
          <w:rFonts w:hint="eastAsia"/>
          <w:color w:val="auto"/>
          <w:highlight w:val="none"/>
        </w:rPr>
        <w:t>不可抗力是指承包人和发包人在订立合同时不可预见，在工程施工过程中不可避免发生并不能克服的自然灾害和社会性突发事件。包括但不限于：</w:t>
      </w:r>
    </w:p>
    <w:p w14:paraId="1629DBB4">
      <w:pPr>
        <w:spacing w:line="400" w:lineRule="exact"/>
        <w:ind w:firstLine="480"/>
        <w:rPr>
          <w:color w:val="auto"/>
          <w:highlight w:val="none"/>
        </w:rPr>
      </w:pPr>
      <w:r>
        <w:rPr>
          <w:rFonts w:hint="eastAsia"/>
          <w:color w:val="auto"/>
          <w:highlight w:val="none"/>
        </w:rPr>
        <w:t>（1）地震、海啸、火山爆发、泥石流、暴雨（雪）、台风、龙卷风、水灾等自然灾害；</w:t>
      </w:r>
    </w:p>
    <w:p w14:paraId="5EDE58B6">
      <w:pPr>
        <w:spacing w:line="400" w:lineRule="exact"/>
        <w:ind w:firstLine="480"/>
        <w:rPr>
          <w:color w:val="auto"/>
          <w:highlight w:val="none"/>
        </w:rPr>
      </w:pPr>
      <w:r>
        <w:rPr>
          <w:rFonts w:hint="eastAsia"/>
          <w:color w:val="auto"/>
          <w:highlight w:val="none"/>
        </w:rPr>
        <w:t>（2）战争、骚乱、暴动，但纯属承包人或其分包人派遣与雇用的人员由于本 合同工程施工原因引起者除外；</w:t>
      </w:r>
    </w:p>
    <w:p w14:paraId="12FE3388">
      <w:pPr>
        <w:spacing w:line="400" w:lineRule="exact"/>
        <w:ind w:firstLine="480"/>
        <w:rPr>
          <w:color w:val="auto"/>
          <w:highlight w:val="none"/>
        </w:rPr>
      </w:pPr>
      <w:r>
        <w:rPr>
          <w:rFonts w:hint="eastAsia"/>
          <w:color w:val="auto"/>
          <w:highlight w:val="none"/>
        </w:rPr>
        <w:t>（3）核反应、辐射或放射性污染；</w:t>
      </w:r>
    </w:p>
    <w:p w14:paraId="3D0BB416">
      <w:pPr>
        <w:spacing w:line="400" w:lineRule="exact"/>
        <w:ind w:firstLine="480"/>
        <w:rPr>
          <w:color w:val="auto"/>
          <w:highlight w:val="none"/>
        </w:rPr>
      </w:pPr>
      <w:r>
        <w:rPr>
          <w:rFonts w:hint="eastAsia"/>
          <w:color w:val="auto"/>
          <w:highlight w:val="none"/>
        </w:rPr>
        <w:t>（4）空中飞行物体坠落或非发包人或承包人责任造成的爆炸、火灾；</w:t>
      </w:r>
    </w:p>
    <w:p w14:paraId="05087501">
      <w:pPr>
        <w:spacing w:line="400" w:lineRule="exact"/>
        <w:ind w:firstLine="480"/>
        <w:rPr>
          <w:color w:val="auto"/>
          <w:highlight w:val="none"/>
        </w:rPr>
      </w:pPr>
      <w:r>
        <w:rPr>
          <w:rFonts w:hint="eastAsia"/>
          <w:color w:val="auto"/>
          <w:highlight w:val="none"/>
        </w:rPr>
        <w:t>（5）瘟疫；</w:t>
      </w:r>
    </w:p>
    <w:p w14:paraId="307D6601">
      <w:pPr>
        <w:spacing w:line="400" w:lineRule="exact"/>
        <w:ind w:firstLine="480"/>
        <w:rPr>
          <w:color w:val="auto"/>
          <w:highlight w:val="none"/>
        </w:rPr>
      </w:pPr>
      <w:r>
        <w:rPr>
          <w:rFonts w:hint="eastAsia"/>
          <w:color w:val="auto"/>
          <w:highlight w:val="none"/>
        </w:rPr>
        <w:t>（6）项目专用合同条款约定的其他情形。</w:t>
      </w:r>
    </w:p>
    <w:p w14:paraId="55BF0882">
      <w:pPr>
        <w:keepNext/>
        <w:keepLines/>
        <w:spacing w:line="400" w:lineRule="exact"/>
        <w:outlineLvl w:val="3"/>
        <w:rPr>
          <w:rFonts w:ascii="Arial" w:hAnsi="Arial"/>
          <w:b/>
          <w:bCs/>
          <w:color w:val="auto"/>
          <w:sz w:val="28"/>
          <w:szCs w:val="28"/>
          <w:highlight w:val="none"/>
        </w:rPr>
      </w:pPr>
      <w:r>
        <w:rPr>
          <w:rFonts w:hint="eastAsia" w:ascii="Arial" w:hAnsi="Arial"/>
          <w:b/>
          <w:bCs/>
          <w:color w:val="auto"/>
          <w:sz w:val="28"/>
          <w:szCs w:val="28"/>
          <w:highlight w:val="none"/>
        </w:rPr>
        <w:t>21.3 不可抗力后果及其处理</w:t>
      </w:r>
    </w:p>
    <w:p w14:paraId="1CB63C65">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21.3.4 因不可抗力解除合同</w:t>
      </w:r>
    </w:p>
    <w:p w14:paraId="1637A804">
      <w:pPr>
        <w:spacing w:line="400" w:lineRule="exact"/>
        <w:ind w:firstLine="480"/>
        <w:rPr>
          <w:color w:val="auto"/>
          <w:highlight w:val="none"/>
        </w:rPr>
      </w:pPr>
      <w:r>
        <w:rPr>
          <w:rFonts w:hint="eastAsia"/>
          <w:color w:val="auto"/>
          <w:highlight w:val="none"/>
        </w:rPr>
        <w:t>本项细化为：</w:t>
      </w:r>
    </w:p>
    <w:p w14:paraId="70355334">
      <w:pPr>
        <w:spacing w:line="400" w:lineRule="exact"/>
        <w:ind w:firstLine="480"/>
        <w:rPr>
          <w:color w:val="auto"/>
          <w:highlight w:val="none"/>
        </w:rPr>
      </w:pPr>
      <w:r>
        <w:rPr>
          <w:rFonts w:hint="eastAsia"/>
          <w:color w:val="auto"/>
          <w:highlight w:val="none"/>
        </w:rPr>
        <w:t>合同一方当事人因不可抗力不能履行合同的，应当及时通知对方解除合同。合同解除后，承包人应按照第 22.2.5 项约定撤离施工场地。已经订货的材料、设备由订货方负责退货或解除订货合同，不能退还的货款和因退货、解除订货合同发生的费用，由发包人承担，因未及时退货造成的损失由责任方承担。合同解除后的付款， 参照第 22.2.4 项约定，由监理人按第 3.5 款商定或确定，但由于解除合同应赔偿的承包人损失不予考虑。</w:t>
      </w:r>
    </w:p>
    <w:p w14:paraId="48C5E31B">
      <w:pPr>
        <w:keepNext/>
        <w:keepLines/>
        <w:spacing w:line="400" w:lineRule="exact"/>
        <w:outlineLvl w:val="2"/>
        <w:rPr>
          <w:b/>
          <w:bCs/>
          <w:color w:val="auto"/>
          <w:sz w:val="32"/>
          <w:szCs w:val="32"/>
          <w:highlight w:val="none"/>
        </w:rPr>
      </w:pPr>
      <w:bookmarkStart w:id="247" w:name="_Toc233964195"/>
      <w:r>
        <w:rPr>
          <w:rFonts w:hint="eastAsia"/>
          <w:b/>
          <w:bCs/>
          <w:color w:val="auto"/>
          <w:sz w:val="32"/>
          <w:szCs w:val="32"/>
          <w:highlight w:val="none"/>
        </w:rPr>
        <w:t>22.违约</w:t>
      </w:r>
      <w:bookmarkEnd w:id="247"/>
    </w:p>
    <w:p w14:paraId="6AA66E54">
      <w:pPr>
        <w:keepNext/>
        <w:keepLines/>
        <w:spacing w:line="400" w:lineRule="exact"/>
        <w:outlineLvl w:val="3"/>
        <w:rPr>
          <w:rFonts w:ascii="Arial" w:hAnsi="Arial"/>
          <w:b/>
          <w:bCs/>
          <w:color w:val="auto"/>
          <w:sz w:val="28"/>
          <w:szCs w:val="28"/>
          <w:highlight w:val="none"/>
        </w:rPr>
      </w:pPr>
      <w:r>
        <w:rPr>
          <w:rFonts w:hint="eastAsia" w:ascii="Arial" w:hAnsi="Arial"/>
          <w:b/>
          <w:bCs/>
          <w:color w:val="auto"/>
          <w:sz w:val="28"/>
          <w:szCs w:val="28"/>
          <w:highlight w:val="none"/>
        </w:rPr>
        <w:t>22.1承包人违约</w:t>
      </w:r>
    </w:p>
    <w:p w14:paraId="0DE37F76">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22.1.1承包人违约的情形</w:t>
      </w:r>
    </w:p>
    <w:p w14:paraId="6B9D7767">
      <w:pPr>
        <w:spacing w:line="400" w:lineRule="exact"/>
        <w:ind w:firstLine="480"/>
        <w:rPr>
          <w:color w:val="auto"/>
          <w:highlight w:val="none"/>
        </w:rPr>
      </w:pPr>
      <w:r>
        <w:rPr>
          <w:rFonts w:hint="eastAsia"/>
          <w:color w:val="auto"/>
          <w:highlight w:val="none"/>
        </w:rPr>
        <w:t>本项（2）目细化为：</w:t>
      </w:r>
    </w:p>
    <w:p w14:paraId="12FAAAB3">
      <w:pPr>
        <w:spacing w:line="400" w:lineRule="exact"/>
        <w:ind w:firstLine="480"/>
        <w:rPr>
          <w:color w:val="auto"/>
          <w:highlight w:val="none"/>
        </w:rPr>
      </w:pPr>
      <w:r>
        <w:rPr>
          <w:rFonts w:hint="eastAsia"/>
          <w:color w:val="auto"/>
          <w:highlight w:val="none"/>
        </w:rPr>
        <w:t>（2）承包人违反第 5.3 款或第 6.4 款的约定，未经监理人批准，私自将已按合同约定进入施工场地的施工设备、临时设施、材料或工程设备撤离施工场地；</w:t>
      </w:r>
    </w:p>
    <w:p w14:paraId="3573474E">
      <w:pPr>
        <w:spacing w:line="400" w:lineRule="exact"/>
        <w:ind w:firstLine="480"/>
        <w:rPr>
          <w:color w:val="auto"/>
          <w:highlight w:val="none"/>
        </w:rPr>
      </w:pPr>
      <w:r>
        <w:rPr>
          <w:rFonts w:hint="eastAsia"/>
          <w:color w:val="auto"/>
          <w:highlight w:val="none"/>
        </w:rPr>
        <w:t>本项（7）目细化为：</w:t>
      </w:r>
    </w:p>
    <w:p w14:paraId="2283509B">
      <w:pPr>
        <w:spacing w:line="400" w:lineRule="exact"/>
        <w:ind w:firstLine="480"/>
        <w:rPr>
          <w:color w:val="auto"/>
          <w:highlight w:val="none"/>
        </w:rPr>
      </w:pPr>
      <w:r>
        <w:rPr>
          <w:rFonts w:hint="eastAsia"/>
          <w:color w:val="auto"/>
          <w:highlight w:val="none"/>
        </w:rPr>
        <w:t>（7）承包人未能按期开工；</w:t>
      </w:r>
    </w:p>
    <w:p w14:paraId="22B818E9">
      <w:pPr>
        <w:spacing w:line="400" w:lineRule="exact"/>
        <w:ind w:firstLine="480"/>
        <w:rPr>
          <w:color w:val="auto"/>
          <w:highlight w:val="none"/>
        </w:rPr>
      </w:pPr>
      <w:r>
        <w:rPr>
          <w:rFonts w:hint="eastAsia"/>
          <w:color w:val="auto"/>
          <w:highlight w:val="none"/>
        </w:rPr>
        <w:t>（8）承包人违反第 4.6 款或第 6.3 款的规定，未按承诺或未按监理人的要求及时配备称职的主要管理人员、技术骨干或关键施工设备；</w:t>
      </w:r>
    </w:p>
    <w:p w14:paraId="0BA06AE1">
      <w:pPr>
        <w:spacing w:line="400" w:lineRule="exact"/>
        <w:ind w:firstLine="480"/>
        <w:rPr>
          <w:color w:val="auto"/>
          <w:highlight w:val="none"/>
        </w:rPr>
      </w:pPr>
      <w:r>
        <w:rPr>
          <w:rFonts w:hint="eastAsia"/>
          <w:color w:val="auto"/>
          <w:highlight w:val="none"/>
        </w:rPr>
        <w:t>（9）经监理人和发包人检查，发现承包人有安全问题或有违反安全管理规章制度的情况；</w:t>
      </w:r>
    </w:p>
    <w:p w14:paraId="2430F11D">
      <w:pPr>
        <w:spacing w:line="400" w:lineRule="exact"/>
        <w:ind w:firstLine="480"/>
        <w:rPr>
          <w:color w:val="auto"/>
          <w:highlight w:val="none"/>
        </w:rPr>
      </w:pPr>
      <w:r>
        <w:rPr>
          <w:rFonts w:hint="eastAsia"/>
          <w:color w:val="auto"/>
          <w:highlight w:val="none"/>
        </w:rPr>
        <w:t>（10）承包人不按合同约定履行义务的其他情况。</w:t>
      </w:r>
    </w:p>
    <w:p w14:paraId="049EA1EE">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22.1.2对承包人违约的处理</w:t>
      </w:r>
    </w:p>
    <w:p w14:paraId="54B6EA5F">
      <w:pPr>
        <w:spacing w:line="400" w:lineRule="exact"/>
        <w:ind w:firstLine="480"/>
        <w:rPr>
          <w:color w:val="auto"/>
          <w:highlight w:val="none"/>
        </w:rPr>
      </w:pPr>
      <w:r>
        <w:rPr>
          <w:rFonts w:hint="eastAsia"/>
          <w:color w:val="auto"/>
          <w:highlight w:val="none"/>
        </w:rPr>
        <w:t>本项补充：</w:t>
      </w:r>
    </w:p>
    <w:p w14:paraId="084A2039">
      <w:pPr>
        <w:spacing w:line="400" w:lineRule="exact"/>
        <w:ind w:firstLine="480"/>
        <w:rPr>
          <w:color w:val="auto"/>
          <w:highlight w:val="none"/>
        </w:rPr>
      </w:pPr>
      <w:r>
        <w:rPr>
          <w:rFonts w:hint="eastAsia"/>
          <w:color w:val="auto"/>
          <w:highlight w:val="none"/>
        </w:rPr>
        <w:t>（4）承包人发生第 22.1.1 项约定的违约情况时，无论发包人是否解除合同， 发包人均有权向承包人课以项目专用合同条款中规定的违约金，并由发包人将其违约行为上报省级交通运输主管部门，作为不良记录纳入公路建设市场信用信息管理系统。</w:t>
      </w:r>
    </w:p>
    <w:p w14:paraId="1EC2D8CA">
      <w:pPr>
        <w:keepNext/>
        <w:keepLines/>
        <w:spacing w:line="400" w:lineRule="exact"/>
        <w:outlineLvl w:val="3"/>
        <w:rPr>
          <w:rFonts w:ascii="Arial" w:hAnsi="Arial"/>
          <w:b/>
          <w:bCs/>
          <w:color w:val="auto"/>
          <w:sz w:val="28"/>
          <w:szCs w:val="28"/>
          <w:highlight w:val="none"/>
        </w:rPr>
      </w:pPr>
      <w:r>
        <w:rPr>
          <w:rFonts w:hint="eastAsia" w:ascii="Arial" w:hAnsi="Arial"/>
          <w:b/>
          <w:bCs/>
          <w:color w:val="auto"/>
          <w:sz w:val="28"/>
          <w:szCs w:val="28"/>
          <w:highlight w:val="none"/>
        </w:rPr>
        <w:t>22.2发包人违约</w:t>
      </w:r>
    </w:p>
    <w:p w14:paraId="34038C0F">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22.2.1发包人违约的情形</w:t>
      </w:r>
    </w:p>
    <w:p w14:paraId="0720EAA7">
      <w:pPr>
        <w:spacing w:line="400" w:lineRule="exact"/>
        <w:ind w:firstLine="480"/>
        <w:rPr>
          <w:color w:val="auto"/>
          <w:highlight w:val="none"/>
        </w:rPr>
      </w:pPr>
      <w:r>
        <w:rPr>
          <w:rFonts w:hint="eastAsia"/>
          <w:color w:val="auto"/>
          <w:highlight w:val="none"/>
        </w:rPr>
        <w:t>本项（5）目细化为：</w:t>
      </w:r>
    </w:p>
    <w:p w14:paraId="14D6BBEC">
      <w:pPr>
        <w:spacing w:line="400" w:lineRule="exact"/>
        <w:ind w:firstLine="480"/>
        <w:rPr>
          <w:color w:val="auto"/>
          <w:highlight w:val="none"/>
        </w:rPr>
      </w:pPr>
      <w:r>
        <w:rPr>
          <w:rFonts w:hint="eastAsia"/>
          <w:color w:val="auto"/>
          <w:highlight w:val="none"/>
        </w:rPr>
        <w:t>（5）发包人无正当理由不按时返还履约保证金、质量保证金或农民工工资保证金的；</w:t>
      </w:r>
    </w:p>
    <w:p w14:paraId="0CF40981">
      <w:pPr>
        <w:spacing w:line="400" w:lineRule="exact"/>
        <w:ind w:firstLine="480"/>
        <w:rPr>
          <w:color w:val="auto"/>
          <w:highlight w:val="none"/>
        </w:rPr>
      </w:pPr>
      <w:r>
        <w:rPr>
          <w:rFonts w:hint="eastAsia"/>
          <w:color w:val="auto"/>
          <w:highlight w:val="none"/>
        </w:rPr>
        <w:t>（6）发包人不履行合同约定其他义务的。</w:t>
      </w:r>
    </w:p>
    <w:p w14:paraId="091D5942">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22.2.2承包人有权暂停施工</w:t>
      </w:r>
    </w:p>
    <w:p w14:paraId="45F5DFB7">
      <w:pPr>
        <w:spacing w:line="400" w:lineRule="exact"/>
        <w:ind w:firstLine="480"/>
        <w:rPr>
          <w:color w:val="auto"/>
          <w:highlight w:val="none"/>
        </w:rPr>
      </w:pPr>
      <w:r>
        <w:rPr>
          <w:rFonts w:hint="eastAsia"/>
          <w:color w:val="auto"/>
          <w:highlight w:val="none"/>
        </w:rPr>
        <w:t>本项细化为：</w:t>
      </w:r>
    </w:p>
    <w:p w14:paraId="049445CD">
      <w:pPr>
        <w:spacing w:line="400" w:lineRule="exact"/>
        <w:ind w:firstLine="480"/>
        <w:rPr>
          <w:color w:val="auto"/>
          <w:highlight w:val="none"/>
        </w:rPr>
      </w:pPr>
      <w:r>
        <w:rPr>
          <w:rFonts w:hint="eastAsia"/>
          <w:color w:val="auto"/>
          <w:highlight w:val="none"/>
        </w:rPr>
        <w:t>发包人发生除第 22.2.1（4）、（5）目以外的违约情况时，承包人可向发包人发出通知，要求发包人采取有效措施纠正违约行为。发包人收到承包人通知后的 28 天内仍不履行合同义务，承包人有权暂停施工，并通知监理人，发包人应承担由此增加的费用和（或）工期延误，并支付承包人合理利润。</w:t>
      </w:r>
    </w:p>
    <w:p w14:paraId="4746868A">
      <w:pPr>
        <w:spacing w:line="400" w:lineRule="exact"/>
        <w:ind w:firstLine="480"/>
        <w:rPr>
          <w:color w:val="auto"/>
          <w:highlight w:val="none"/>
        </w:rPr>
      </w:pPr>
      <w:r>
        <w:rPr>
          <w:rFonts w:hint="eastAsia"/>
          <w:color w:val="auto"/>
          <w:highlight w:val="none"/>
        </w:rPr>
        <w:t>发包人发生第 22.2.1（5）目的违约情况时，承包人可向发包人发出通知，要求发包人采取有效措施纠正违约行为。发包人收到承包人通知后的 28 天内仍不返还履约保证金、质量保证金或农民工工资保证金的，发包人应按项目专用合同条款的约定向承包人支付逾期返还保证金的违约金。</w:t>
      </w:r>
    </w:p>
    <w:p w14:paraId="77A43764">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22.2.4 解除合同后的付款</w:t>
      </w:r>
    </w:p>
    <w:p w14:paraId="71EE00AB">
      <w:pPr>
        <w:spacing w:line="400" w:lineRule="exact"/>
        <w:ind w:firstLine="480"/>
        <w:rPr>
          <w:color w:val="auto"/>
          <w:highlight w:val="none"/>
        </w:rPr>
      </w:pPr>
      <w:r>
        <w:rPr>
          <w:rFonts w:hint="eastAsia"/>
          <w:color w:val="auto"/>
          <w:highlight w:val="none"/>
        </w:rPr>
        <w:t>本项（2）目细化为：</w:t>
      </w:r>
    </w:p>
    <w:p w14:paraId="529C9E60">
      <w:pPr>
        <w:spacing w:line="400" w:lineRule="exact"/>
        <w:ind w:firstLine="480"/>
        <w:rPr>
          <w:color w:val="auto"/>
          <w:highlight w:val="none"/>
        </w:rPr>
      </w:pPr>
      <w:r>
        <w:rPr>
          <w:rFonts w:hint="eastAsia"/>
          <w:color w:val="auto"/>
          <w:highlight w:val="none"/>
        </w:rPr>
        <w:t>（2）承包人为该工程施工订购并已付款的材料、工程设备和其他物品的金额。发包人付款后，该材料、工程设备和其他物品归发包人所有；</w:t>
      </w:r>
    </w:p>
    <w:p w14:paraId="5D74A543">
      <w:pPr>
        <w:keepNext/>
        <w:keepLines/>
        <w:spacing w:line="400" w:lineRule="exact"/>
        <w:outlineLvl w:val="2"/>
        <w:rPr>
          <w:b/>
          <w:bCs/>
          <w:color w:val="auto"/>
          <w:sz w:val="32"/>
          <w:szCs w:val="32"/>
          <w:highlight w:val="none"/>
        </w:rPr>
      </w:pPr>
      <w:bookmarkStart w:id="248" w:name="_Toc233964196"/>
      <w:r>
        <w:rPr>
          <w:rFonts w:hint="eastAsia"/>
          <w:b/>
          <w:bCs/>
          <w:color w:val="auto"/>
          <w:sz w:val="32"/>
          <w:szCs w:val="32"/>
          <w:highlight w:val="none"/>
        </w:rPr>
        <w:t>23.索赔</w:t>
      </w:r>
      <w:bookmarkEnd w:id="248"/>
    </w:p>
    <w:p w14:paraId="5EF4D3C1">
      <w:pPr>
        <w:keepNext/>
        <w:keepLines/>
        <w:spacing w:line="400" w:lineRule="exact"/>
        <w:outlineLvl w:val="3"/>
        <w:rPr>
          <w:rFonts w:ascii="Arial" w:hAnsi="Arial"/>
          <w:b/>
          <w:bCs/>
          <w:color w:val="auto"/>
          <w:sz w:val="28"/>
          <w:szCs w:val="28"/>
          <w:highlight w:val="none"/>
        </w:rPr>
      </w:pPr>
      <w:r>
        <w:rPr>
          <w:rFonts w:hint="eastAsia" w:ascii="Arial" w:hAnsi="Arial"/>
          <w:b/>
          <w:bCs/>
          <w:color w:val="auto"/>
          <w:sz w:val="28"/>
          <w:szCs w:val="28"/>
          <w:highlight w:val="none"/>
        </w:rPr>
        <w:t>23.1承包人索赔的提出</w:t>
      </w:r>
    </w:p>
    <w:p w14:paraId="716C79D6">
      <w:pPr>
        <w:spacing w:line="400" w:lineRule="exact"/>
        <w:ind w:firstLine="480"/>
        <w:rPr>
          <w:color w:val="auto"/>
          <w:highlight w:val="none"/>
        </w:rPr>
      </w:pPr>
      <w:r>
        <w:rPr>
          <w:rFonts w:hint="eastAsia"/>
          <w:color w:val="auto"/>
          <w:highlight w:val="none"/>
        </w:rPr>
        <w:t>本款第（4）项细化为：</w:t>
      </w:r>
    </w:p>
    <w:p w14:paraId="698B0811">
      <w:pPr>
        <w:spacing w:line="400" w:lineRule="exact"/>
        <w:ind w:firstLine="480"/>
        <w:rPr>
          <w:color w:val="auto"/>
          <w:highlight w:val="none"/>
        </w:rPr>
      </w:pPr>
      <w:r>
        <w:rPr>
          <w:rFonts w:hint="eastAsia"/>
          <w:color w:val="auto"/>
          <w:highlight w:val="none"/>
        </w:rPr>
        <w:t>（4）在索赔事件影响结束后的 28 天内，承包人应向监理人递交最终索赔通知书，说明最终要求索赔的追加付款金额和（或）延长的工期，并附必要的记录和证明材料。</w:t>
      </w:r>
    </w:p>
    <w:p w14:paraId="15C161CC">
      <w:pPr>
        <w:keepNext/>
        <w:keepLines/>
        <w:spacing w:line="400" w:lineRule="exact"/>
        <w:outlineLvl w:val="3"/>
        <w:rPr>
          <w:rFonts w:ascii="Arial" w:hAnsi="Arial"/>
          <w:b/>
          <w:bCs/>
          <w:color w:val="auto"/>
          <w:sz w:val="28"/>
          <w:szCs w:val="28"/>
          <w:highlight w:val="none"/>
        </w:rPr>
      </w:pPr>
      <w:r>
        <w:rPr>
          <w:rFonts w:hint="eastAsia" w:ascii="Arial" w:hAnsi="Arial"/>
          <w:b/>
          <w:bCs/>
          <w:color w:val="auto"/>
          <w:sz w:val="28"/>
          <w:szCs w:val="28"/>
          <w:highlight w:val="none"/>
        </w:rPr>
        <w:t>23.2承包人索赔处理程序</w:t>
      </w:r>
    </w:p>
    <w:p w14:paraId="36D19EFC">
      <w:pPr>
        <w:spacing w:line="400" w:lineRule="exact"/>
        <w:ind w:firstLine="480"/>
        <w:rPr>
          <w:color w:val="auto"/>
          <w:highlight w:val="none"/>
        </w:rPr>
      </w:pPr>
      <w:r>
        <w:rPr>
          <w:rFonts w:hint="eastAsia"/>
          <w:color w:val="auto"/>
          <w:highlight w:val="none"/>
        </w:rPr>
        <w:t>本款第（2）项细化为：</w:t>
      </w:r>
    </w:p>
    <w:p w14:paraId="22CCF527">
      <w:pPr>
        <w:spacing w:line="400" w:lineRule="exact"/>
        <w:ind w:firstLine="480"/>
        <w:rPr>
          <w:color w:val="auto"/>
          <w:highlight w:val="none"/>
        </w:rPr>
      </w:pPr>
      <w:r>
        <w:rPr>
          <w:rFonts w:hint="eastAsia"/>
          <w:color w:val="auto"/>
          <w:highlight w:val="none"/>
        </w:rPr>
        <w:t>（2）监理人应按第 3.5 款商定或确定追加的付款和（或）延长的工期，并在收</w:t>
      </w:r>
    </w:p>
    <w:p w14:paraId="2BE59736">
      <w:pPr>
        <w:spacing w:line="400" w:lineRule="exact"/>
        <w:ind w:firstLine="480"/>
        <w:rPr>
          <w:color w:val="auto"/>
          <w:highlight w:val="none"/>
        </w:rPr>
      </w:pPr>
      <w:r>
        <w:rPr>
          <w:rFonts w:hint="eastAsia"/>
          <w:color w:val="auto"/>
          <w:highlight w:val="none"/>
        </w:rPr>
        <w:t>到上述索赔通知书或有关索赔的进一步证明材料后的 42 天内，将索赔处理结果报发包人批准后答复承包人。如果承包人提出的索赔要求未能遵守第 23.1（2）~（4）项的规定，则承包人只限于索赔由监理人按当时记录予以核实的那部分款额和（或） 工期延长天数。</w:t>
      </w:r>
    </w:p>
    <w:p w14:paraId="21E6B561">
      <w:pPr>
        <w:keepNext/>
        <w:keepLines/>
        <w:spacing w:line="400" w:lineRule="exact"/>
        <w:outlineLvl w:val="2"/>
        <w:rPr>
          <w:b/>
          <w:bCs/>
          <w:color w:val="auto"/>
          <w:sz w:val="32"/>
          <w:szCs w:val="32"/>
          <w:highlight w:val="none"/>
        </w:rPr>
      </w:pPr>
      <w:bookmarkStart w:id="249" w:name="_Toc233964197"/>
      <w:r>
        <w:rPr>
          <w:rFonts w:hint="eastAsia"/>
          <w:b/>
          <w:bCs/>
          <w:color w:val="auto"/>
          <w:sz w:val="32"/>
          <w:szCs w:val="32"/>
          <w:highlight w:val="none"/>
        </w:rPr>
        <w:t>24.争议的解决</w:t>
      </w:r>
      <w:bookmarkEnd w:id="249"/>
    </w:p>
    <w:p w14:paraId="2AC91E02">
      <w:pPr>
        <w:keepNext/>
        <w:keepLines/>
        <w:spacing w:line="400" w:lineRule="exact"/>
        <w:outlineLvl w:val="3"/>
        <w:rPr>
          <w:rFonts w:ascii="Arial" w:hAnsi="Arial"/>
          <w:b/>
          <w:bCs/>
          <w:color w:val="auto"/>
          <w:sz w:val="28"/>
          <w:szCs w:val="28"/>
          <w:highlight w:val="none"/>
        </w:rPr>
      </w:pPr>
      <w:r>
        <w:rPr>
          <w:rFonts w:hint="eastAsia" w:ascii="Arial" w:hAnsi="Arial"/>
          <w:b/>
          <w:bCs/>
          <w:color w:val="auto"/>
          <w:sz w:val="28"/>
          <w:szCs w:val="28"/>
          <w:highlight w:val="none"/>
        </w:rPr>
        <w:t>24.3争议评审</w:t>
      </w:r>
    </w:p>
    <w:p w14:paraId="00910F6B">
      <w:pPr>
        <w:keepNext/>
        <w:keepLines/>
        <w:spacing w:line="400" w:lineRule="exact"/>
        <w:ind w:firstLine="482"/>
        <w:outlineLvl w:val="4"/>
        <w:rPr>
          <w:b/>
          <w:bCs/>
          <w:color w:val="auto"/>
          <w:sz w:val="28"/>
          <w:szCs w:val="28"/>
          <w:highlight w:val="none"/>
        </w:rPr>
      </w:pPr>
      <w:r>
        <w:rPr>
          <w:rFonts w:hint="eastAsia"/>
          <w:b/>
          <w:bCs/>
          <w:color w:val="auto"/>
          <w:sz w:val="28"/>
          <w:szCs w:val="28"/>
          <w:highlight w:val="none"/>
        </w:rPr>
        <w:t>第 24.3.1 项补充：</w:t>
      </w:r>
    </w:p>
    <w:p w14:paraId="5809236F">
      <w:pPr>
        <w:spacing w:line="400" w:lineRule="exact"/>
        <w:ind w:firstLine="480"/>
        <w:rPr>
          <w:color w:val="auto"/>
          <w:highlight w:val="none"/>
        </w:rPr>
      </w:pPr>
      <w:r>
        <w:rPr>
          <w:rFonts w:hint="eastAsia"/>
          <w:color w:val="auto"/>
          <w:highlight w:val="none"/>
        </w:rPr>
        <w:t>争议评审组由 3 人或 5 人组成，专家的聘请方法可由发包人和承包人共同协商确定，亦可请政府主管部门推荐或通过合同争议调解机构聘请，并经双方认同。争议评审组成员应与合同双方均无利害关系。争议评审组的各项费用由发包人和承包人平均分担。</w:t>
      </w:r>
    </w:p>
    <w:p w14:paraId="71A12F91">
      <w:pPr>
        <w:spacing w:line="400" w:lineRule="exact"/>
        <w:ind w:firstLine="480"/>
        <w:rPr>
          <w:color w:val="auto"/>
          <w:highlight w:val="none"/>
        </w:rPr>
      </w:pPr>
      <w:r>
        <w:rPr>
          <w:rFonts w:hint="eastAsia"/>
          <w:color w:val="auto"/>
          <w:highlight w:val="none"/>
        </w:rPr>
        <w:t>本条补充第 24.4 款、第 24.5 款（适用于采用仲裁方式最终解决争议的项目）：</w:t>
      </w:r>
    </w:p>
    <w:p w14:paraId="4FAAB59A">
      <w:pPr>
        <w:keepNext/>
        <w:keepLines/>
        <w:spacing w:line="400" w:lineRule="exact"/>
        <w:outlineLvl w:val="3"/>
        <w:rPr>
          <w:rFonts w:ascii="Arial" w:hAnsi="Arial"/>
          <w:b/>
          <w:bCs/>
          <w:color w:val="auto"/>
          <w:sz w:val="28"/>
          <w:szCs w:val="28"/>
          <w:highlight w:val="none"/>
        </w:rPr>
      </w:pPr>
      <w:r>
        <w:rPr>
          <w:rFonts w:hint="eastAsia" w:ascii="Arial" w:hAnsi="Arial"/>
          <w:b/>
          <w:bCs/>
          <w:color w:val="auto"/>
          <w:sz w:val="28"/>
          <w:szCs w:val="28"/>
          <w:highlight w:val="none"/>
        </w:rPr>
        <w:t>24.4仲裁</w:t>
      </w:r>
    </w:p>
    <w:p w14:paraId="6305AC63">
      <w:pPr>
        <w:spacing w:line="400" w:lineRule="exact"/>
        <w:ind w:firstLine="480"/>
        <w:rPr>
          <w:color w:val="auto"/>
          <w:highlight w:val="none"/>
        </w:rPr>
      </w:pPr>
      <w:r>
        <w:rPr>
          <w:rFonts w:hint="eastAsia"/>
          <w:color w:val="auto"/>
          <w:highlight w:val="none"/>
        </w:rPr>
        <w:t>（1）对于未能友好解决或未能通过争议评审解决的争议，发包人或承包人任一方均有权提交给第 24.1 款约定的仲裁委员会仲裁。</w:t>
      </w:r>
    </w:p>
    <w:p w14:paraId="6BB32AD4">
      <w:pPr>
        <w:spacing w:line="400" w:lineRule="exact"/>
        <w:ind w:firstLine="480"/>
        <w:rPr>
          <w:color w:val="auto"/>
          <w:highlight w:val="none"/>
        </w:rPr>
      </w:pPr>
      <w:r>
        <w:rPr>
          <w:rFonts w:hint="eastAsia"/>
          <w:color w:val="auto"/>
          <w:highlight w:val="none"/>
        </w:rPr>
        <w:t>（2）仲裁可在交工之前或之后进行，但发包人、监理人和承包人各自的义务不得因在工程实施期间进行仲裁而有所改变。如果仲裁是在终止合同的情况下进行，则对合同工程应采取保护措施，措施费由败诉方承担。</w:t>
      </w:r>
    </w:p>
    <w:p w14:paraId="537EF130">
      <w:pPr>
        <w:spacing w:line="400" w:lineRule="exact"/>
        <w:ind w:firstLine="480"/>
        <w:rPr>
          <w:color w:val="auto"/>
          <w:highlight w:val="none"/>
        </w:rPr>
      </w:pPr>
      <w:r>
        <w:rPr>
          <w:rFonts w:hint="eastAsia"/>
          <w:color w:val="auto"/>
          <w:highlight w:val="none"/>
        </w:rPr>
        <w:t>（3）仲裁裁决是终局性的并对发包人和承包人双方具有约束力。</w:t>
      </w:r>
    </w:p>
    <w:p w14:paraId="47F7A71D">
      <w:pPr>
        <w:spacing w:line="400" w:lineRule="exact"/>
        <w:ind w:firstLine="480"/>
        <w:rPr>
          <w:color w:val="auto"/>
          <w:highlight w:val="none"/>
        </w:rPr>
      </w:pPr>
      <w:r>
        <w:rPr>
          <w:rFonts w:hint="eastAsia"/>
          <w:color w:val="auto"/>
          <w:highlight w:val="none"/>
        </w:rPr>
        <w:t>（4）全部仲裁费用应由败诉方承担；或按仲裁委员会裁决的比例分担。</w:t>
      </w:r>
    </w:p>
    <w:p w14:paraId="02D2D3DD">
      <w:pPr>
        <w:keepNext/>
        <w:keepLines/>
        <w:spacing w:line="400" w:lineRule="exact"/>
        <w:outlineLvl w:val="3"/>
        <w:rPr>
          <w:rFonts w:ascii="Arial" w:hAnsi="Arial"/>
          <w:b/>
          <w:bCs/>
          <w:color w:val="auto"/>
          <w:sz w:val="28"/>
          <w:szCs w:val="28"/>
          <w:highlight w:val="none"/>
        </w:rPr>
      </w:pPr>
      <w:r>
        <w:rPr>
          <w:rFonts w:hint="eastAsia" w:ascii="Arial" w:hAnsi="Arial"/>
          <w:b/>
          <w:bCs/>
          <w:color w:val="auto"/>
          <w:sz w:val="28"/>
          <w:szCs w:val="28"/>
          <w:highlight w:val="none"/>
        </w:rPr>
        <w:t>24.5仲裁的执行</w:t>
      </w:r>
    </w:p>
    <w:p w14:paraId="6D166DF8">
      <w:pPr>
        <w:spacing w:line="400" w:lineRule="exact"/>
        <w:ind w:firstLine="480"/>
        <w:rPr>
          <w:color w:val="auto"/>
          <w:highlight w:val="none"/>
        </w:rPr>
      </w:pPr>
      <w:r>
        <w:rPr>
          <w:rFonts w:hint="eastAsia"/>
          <w:color w:val="auto"/>
          <w:highlight w:val="none"/>
        </w:rPr>
        <w:t>（1）任何一方不履行仲裁机构的裁决的，对方可以向有管辖权的人民法院申请执行。</w:t>
      </w:r>
    </w:p>
    <w:p w14:paraId="1085B524">
      <w:pPr>
        <w:widowControl/>
        <w:spacing w:line="400" w:lineRule="exact"/>
        <w:ind w:firstLine="420"/>
        <w:jc w:val="left"/>
        <w:rPr>
          <w:rFonts w:cs="宋体"/>
          <w:color w:val="auto"/>
          <w:highlight w:val="none"/>
        </w:rPr>
      </w:pPr>
      <w:r>
        <w:rPr>
          <w:rFonts w:hint="eastAsia"/>
          <w:color w:val="auto"/>
          <w:highlight w:val="none"/>
        </w:rPr>
        <w:t>（2）任何一方提出证据证明裁决有《中华人民共和国仲裁法》第五十八条规定情形之一的，可以向仲裁委员会所在地的中级人民法院申请撤销裁决。人民法院认定执行该裁决违背社会公共利益的，裁定不予执行。仲裁裁决被人民法院裁定不予执行的，当事人可以根据双方达成的书面仲裁协议重新申请仲裁，也可以向人民法院起诉。</w:t>
      </w:r>
      <w:r>
        <w:rPr>
          <w:rFonts w:hint="eastAsia" w:cs="宋体"/>
          <w:color w:val="auto"/>
          <w:highlight w:val="none"/>
        </w:rPr>
        <w:t xml:space="preserve"> </w:t>
      </w:r>
    </w:p>
    <w:p w14:paraId="7482DBCD">
      <w:pPr>
        <w:keepNext/>
        <w:keepLines/>
        <w:spacing w:line="360" w:lineRule="auto"/>
        <w:jc w:val="center"/>
        <w:outlineLvl w:val="1"/>
        <w:rPr>
          <w:rFonts w:ascii="Cambria" w:hAnsi="Cambria"/>
          <w:b/>
          <w:bCs/>
          <w:color w:val="auto"/>
          <w:sz w:val="32"/>
          <w:szCs w:val="32"/>
          <w:highlight w:val="none"/>
        </w:rPr>
      </w:pPr>
      <w:r>
        <w:rPr>
          <w:rFonts w:ascii="宋体" w:hAnsi="宋体" w:cs="宋体"/>
          <w:b/>
          <w:bCs/>
          <w:color w:val="auto"/>
          <w:sz w:val="24"/>
          <w:szCs w:val="32"/>
          <w:highlight w:val="none"/>
        </w:rPr>
        <w:br w:type="page" w:clear="all"/>
      </w:r>
      <w:bookmarkStart w:id="250" w:name="_Toc233964198"/>
      <w:r>
        <w:rPr>
          <w:rFonts w:hint="eastAsia" w:ascii="Cambria" w:hAnsi="Cambria"/>
          <w:b/>
          <w:bCs/>
          <w:color w:val="auto"/>
          <w:sz w:val="32"/>
          <w:szCs w:val="32"/>
          <w:highlight w:val="none"/>
        </w:rPr>
        <w:t>B.项目专用合同条款</w:t>
      </w:r>
      <w:bookmarkEnd w:id="250"/>
    </w:p>
    <w:p w14:paraId="5B372A60">
      <w:pPr>
        <w:spacing w:line="360" w:lineRule="auto"/>
        <w:ind w:firstLine="480"/>
        <w:rPr>
          <w:b/>
          <w:bCs/>
          <w:color w:val="auto"/>
          <w:highlight w:val="none"/>
        </w:rPr>
      </w:pPr>
      <w:r>
        <w:rPr>
          <w:rFonts w:hint="eastAsia"/>
          <w:b/>
          <w:bCs/>
          <w:color w:val="auto"/>
          <w:highlight w:val="none"/>
        </w:rPr>
        <w:t>说</w:t>
      </w:r>
      <w:r>
        <w:rPr>
          <w:rFonts w:hint="eastAsia"/>
          <w:b/>
          <w:bCs/>
          <w:color w:val="auto"/>
          <w:highlight w:val="none"/>
        </w:rPr>
        <w:tab/>
      </w:r>
      <w:r>
        <w:rPr>
          <w:rFonts w:hint="eastAsia"/>
          <w:b/>
          <w:bCs/>
          <w:color w:val="auto"/>
          <w:highlight w:val="none"/>
        </w:rPr>
        <w:t>明：</w:t>
      </w:r>
    </w:p>
    <w:p w14:paraId="6E619C15">
      <w:pPr>
        <w:spacing w:line="360" w:lineRule="auto"/>
        <w:ind w:firstLine="480"/>
        <w:rPr>
          <w:rFonts w:hint="eastAsia" w:ascii="宋体" w:hAnsi="宋体"/>
          <w:color w:val="auto"/>
          <w:highlight w:val="none"/>
        </w:rPr>
      </w:pPr>
      <w:r>
        <w:rPr>
          <w:rFonts w:hint="eastAsia" w:ascii="宋体" w:hAnsi="宋体"/>
          <w:color w:val="auto"/>
          <w:highlight w:val="none"/>
        </w:rPr>
        <w:t>1.采购人在编制项目磋商文件中的“项目专用合同条款”时，可根据采购项目的具体特点和实际需要，对“通用合同条款”及“公路工程专用合同条款”进行补充和细化，除“通用合同条款”明确“专用合同条款”可作出不同约定以及“公路工程专用合同条款”明确“项目专用合同条款”可作出不同约定外，补充和细化的内容不得与“通用合同条款”及“公路工程专用合同条款”强制性规定相抵触。同时，补充、细化或约定的内容，不得违反法律、行政法规的强制性规定和平等、自愿、公平和诚实信用原则。</w:t>
      </w:r>
    </w:p>
    <w:p w14:paraId="31ADD175">
      <w:pPr>
        <w:spacing w:line="360" w:lineRule="auto"/>
        <w:ind w:firstLine="480"/>
        <w:rPr>
          <w:rFonts w:hint="eastAsia" w:ascii="宋体" w:hAnsi="宋体"/>
          <w:color w:val="auto"/>
          <w:highlight w:val="none"/>
        </w:rPr>
      </w:pPr>
      <w:r>
        <w:rPr>
          <w:rFonts w:hint="eastAsia" w:ascii="宋体" w:hAnsi="宋体"/>
          <w:color w:val="auto"/>
          <w:highlight w:val="none"/>
        </w:rPr>
        <w:t>2.项目专用合同条款的编号应与通用合同条款和公路工程专用合同条款一致。</w:t>
      </w:r>
    </w:p>
    <w:p w14:paraId="74494AD8">
      <w:pPr>
        <w:spacing w:line="360" w:lineRule="auto"/>
        <w:ind w:firstLine="480"/>
        <w:rPr>
          <w:rFonts w:hint="eastAsia" w:ascii="宋体" w:hAnsi="宋体"/>
          <w:color w:val="auto"/>
          <w:highlight w:val="none"/>
        </w:rPr>
      </w:pPr>
      <w:r>
        <w:rPr>
          <w:rFonts w:hint="eastAsia" w:ascii="宋体" w:hAnsi="宋体"/>
          <w:color w:val="auto"/>
          <w:highlight w:val="none"/>
        </w:rPr>
        <w:t>3.项目专用合同条款可对下列内容进行补充和细化：</w:t>
      </w:r>
    </w:p>
    <w:p w14:paraId="3AC93C67">
      <w:pPr>
        <w:spacing w:line="360" w:lineRule="auto"/>
        <w:ind w:firstLine="480"/>
        <w:rPr>
          <w:rFonts w:hint="eastAsia" w:ascii="宋体" w:hAnsi="宋体"/>
          <w:color w:val="auto"/>
          <w:highlight w:val="none"/>
        </w:rPr>
      </w:pPr>
      <w:r>
        <w:rPr>
          <w:rFonts w:hint="eastAsia" w:ascii="宋体" w:hAnsi="宋体"/>
          <w:color w:val="auto"/>
          <w:highlight w:val="none"/>
        </w:rPr>
        <w:t>（1）“通用合同条款”中明确指出“专用合同条款”可对“通用合同条款”进行修改的内容（在“通用合同条款”中用“应按合同约定”“应按专用合同条款约定”“除合同另有约定外”“除专用合同条款另有约定外”“在专用合同条款中约定”等多种文字形式表达）；</w:t>
      </w:r>
    </w:p>
    <w:p w14:paraId="551EFFAD">
      <w:pPr>
        <w:spacing w:line="360" w:lineRule="auto"/>
        <w:ind w:firstLine="480"/>
        <w:rPr>
          <w:rFonts w:hint="eastAsia" w:ascii="宋体" w:hAnsi="宋体"/>
          <w:color w:val="auto"/>
          <w:highlight w:val="none"/>
        </w:rPr>
      </w:pPr>
      <w:r>
        <w:rPr>
          <w:rFonts w:hint="eastAsia" w:ascii="宋体" w:hAnsi="宋体"/>
          <w:color w:val="auto"/>
          <w:highlight w:val="none"/>
        </w:rPr>
        <w:t>（2）“公路工程专用合同条款”中明确指出“项目专用合同条款”可对“公路工程专用合同条款”进行修改的内容（在“公路工程专用合同条款”中用“除项目专用合同条款另有约定外”“项目专用合同条款可能约定的”“项目专用合同条款约定的其他情形” 等多种文字形式表达）。</w:t>
      </w:r>
    </w:p>
    <w:p w14:paraId="21437BE5">
      <w:pPr>
        <w:widowControl/>
        <w:spacing w:line="360" w:lineRule="auto"/>
        <w:ind w:firstLine="420"/>
        <w:rPr>
          <w:color w:val="auto"/>
          <w:highlight w:val="none"/>
        </w:rPr>
      </w:pPr>
      <w:r>
        <w:rPr>
          <w:rFonts w:hint="eastAsia" w:ascii="宋体" w:hAnsi="宋体"/>
          <w:color w:val="auto"/>
          <w:highlight w:val="none"/>
        </w:rPr>
        <w:t>（</w:t>
      </w:r>
      <w:r>
        <w:rPr>
          <w:rFonts w:ascii="宋体" w:hAnsi="宋体"/>
          <w:color w:val="auto"/>
          <w:highlight w:val="none"/>
        </w:rPr>
        <w:t>3</w:t>
      </w:r>
      <w:r>
        <w:rPr>
          <w:rFonts w:hint="eastAsia" w:ascii="宋体" w:hAnsi="宋体"/>
          <w:color w:val="auto"/>
          <w:highlight w:val="none"/>
        </w:rPr>
        <w:t>）其他需要补充、细化的内容。</w:t>
      </w:r>
    </w:p>
    <w:p w14:paraId="34F4D72F">
      <w:pPr>
        <w:keepNext/>
        <w:keepLines/>
        <w:spacing w:line="360" w:lineRule="auto"/>
        <w:jc w:val="center"/>
        <w:outlineLvl w:val="2"/>
        <w:rPr>
          <w:b/>
          <w:bCs/>
          <w:color w:val="auto"/>
          <w:sz w:val="32"/>
          <w:szCs w:val="32"/>
          <w:highlight w:val="none"/>
        </w:rPr>
      </w:pPr>
      <w:r>
        <w:rPr>
          <w:b/>
          <w:bCs/>
          <w:color w:val="auto"/>
          <w:sz w:val="32"/>
          <w:szCs w:val="32"/>
          <w:highlight w:val="none"/>
        </w:rPr>
        <w:br w:type="page" w:clear="all"/>
      </w:r>
      <w:bookmarkStart w:id="251" w:name="_Toc233964199"/>
      <w:r>
        <w:rPr>
          <w:rFonts w:hint="eastAsia"/>
          <w:b/>
          <w:bCs/>
          <w:color w:val="auto"/>
          <w:sz w:val="32"/>
          <w:szCs w:val="32"/>
          <w:highlight w:val="none"/>
        </w:rPr>
        <w:t>项目专用合同条款数据表</w:t>
      </w:r>
      <w:bookmarkEnd w:id="251"/>
    </w:p>
    <w:p w14:paraId="2FEFFB7E">
      <w:pPr>
        <w:spacing w:line="360" w:lineRule="auto"/>
        <w:ind w:firstLine="480"/>
        <w:rPr>
          <w:color w:val="auto"/>
          <w:highlight w:val="none"/>
        </w:rPr>
      </w:pPr>
      <w:r>
        <w:rPr>
          <w:rFonts w:hint="eastAsia"/>
          <w:color w:val="auto"/>
          <w:highlight w:val="none"/>
        </w:rPr>
        <w:t>说明：本数据表是项目专用合同条款中适用于本项目的信息和数据的归纳与提示， 是项目专用合同条款的组成部分。</w:t>
      </w:r>
    </w:p>
    <w:tbl>
      <w:tblPr>
        <w:tblStyle w:val="44"/>
        <w:tblW w:w="9498" w:type="dxa"/>
        <w:tblInd w:w="-2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0"/>
        <w:gridCol w:w="1275"/>
        <w:gridCol w:w="7513"/>
      </w:tblGrid>
      <w:tr w14:paraId="2E69B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248FED50">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序号</w:t>
            </w:r>
          </w:p>
        </w:tc>
        <w:tc>
          <w:tcPr>
            <w:tcW w:w="1275" w:type="dxa"/>
            <w:tcBorders>
              <w:top w:val="single" w:color="000000" w:sz="4" w:space="0"/>
              <w:left w:val="single" w:color="000000" w:sz="4" w:space="0"/>
              <w:bottom w:val="single" w:color="000000" w:sz="4" w:space="0"/>
              <w:right w:val="single" w:color="000000" w:sz="4" w:space="0"/>
            </w:tcBorders>
            <w:vAlign w:val="center"/>
          </w:tcPr>
          <w:p w14:paraId="408FD60D">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条目号</w:t>
            </w:r>
          </w:p>
        </w:tc>
        <w:tc>
          <w:tcPr>
            <w:tcW w:w="7513" w:type="dxa"/>
            <w:tcBorders>
              <w:top w:val="single" w:color="000000" w:sz="4" w:space="0"/>
              <w:left w:val="single" w:color="000000" w:sz="4" w:space="0"/>
              <w:bottom w:val="single" w:color="000000" w:sz="4" w:space="0"/>
              <w:right w:val="single" w:color="000000" w:sz="4" w:space="0"/>
            </w:tcBorders>
            <w:vAlign w:val="center"/>
          </w:tcPr>
          <w:p w14:paraId="69138F34">
            <w:pPr>
              <w:spacing w:line="360" w:lineRule="auto"/>
              <w:ind w:firstLine="422"/>
              <w:jc w:val="center"/>
              <w:rPr>
                <w:rFonts w:hint="eastAsia" w:ascii="宋体" w:hAnsi="宋体"/>
                <w:b/>
                <w:bCs/>
                <w:color w:val="auto"/>
                <w:szCs w:val="21"/>
                <w:highlight w:val="none"/>
              </w:rPr>
            </w:pPr>
            <w:r>
              <w:rPr>
                <w:rFonts w:hint="eastAsia" w:ascii="宋体" w:hAnsi="宋体"/>
                <w:b/>
                <w:bCs/>
                <w:color w:val="auto"/>
                <w:szCs w:val="21"/>
                <w:highlight w:val="none"/>
              </w:rPr>
              <w:t>信息或数据</w:t>
            </w:r>
          </w:p>
        </w:tc>
      </w:tr>
      <w:tr w14:paraId="0618D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29F64D29">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1</w:t>
            </w:r>
          </w:p>
        </w:tc>
        <w:tc>
          <w:tcPr>
            <w:tcW w:w="1275" w:type="dxa"/>
            <w:tcBorders>
              <w:top w:val="single" w:color="000000" w:sz="4" w:space="0"/>
              <w:left w:val="single" w:color="000000" w:sz="4" w:space="0"/>
              <w:bottom w:val="single" w:color="000000" w:sz="4" w:space="0"/>
              <w:right w:val="single" w:color="000000" w:sz="4" w:space="0"/>
            </w:tcBorders>
            <w:vAlign w:val="center"/>
          </w:tcPr>
          <w:p w14:paraId="68FADCFB">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1.1.2.2</w:t>
            </w:r>
          </w:p>
        </w:tc>
        <w:tc>
          <w:tcPr>
            <w:tcW w:w="7513" w:type="dxa"/>
            <w:tcBorders>
              <w:top w:val="single" w:color="000000" w:sz="4" w:space="0"/>
              <w:left w:val="single" w:color="000000" w:sz="4" w:space="0"/>
              <w:bottom w:val="single" w:color="000000" w:sz="4" w:space="0"/>
              <w:right w:val="single" w:color="000000" w:sz="4" w:space="0"/>
            </w:tcBorders>
            <w:vAlign w:val="center"/>
          </w:tcPr>
          <w:p w14:paraId="7AFC8723">
            <w:pPr>
              <w:spacing w:line="360" w:lineRule="auto"/>
              <w:rPr>
                <w:rFonts w:hint="eastAsia" w:ascii="宋体" w:hAnsi="宋体"/>
                <w:color w:val="auto"/>
                <w:szCs w:val="21"/>
                <w:highlight w:val="none"/>
              </w:rPr>
            </w:pPr>
            <w:r>
              <w:rPr>
                <w:rFonts w:hint="eastAsia" w:ascii="宋体" w:hAnsi="宋体"/>
                <w:color w:val="auto"/>
                <w:szCs w:val="21"/>
                <w:highlight w:val="none"/>
              </w:rPr>
              <w:t>发 包 人：陆川县横山镇人民政府</w:t>
            </w:r>
          </w:p>
          <w:p w14:paraId="44D93084">
            <w:pPr>
              <w:spacing w:line="360" w:lineRule="auto"/>
              <w:rPr>
                <w:rFonts w:hint="eastAsia" w:ascii="宋体" w:hAnsi="宋体"/>
                <w:color w:val="auto"/>
                <w:szCs w:val="21"/>
                <w:highlight w:val="none"/>
              </w:rPr>
            </w:pPr>
            <w:r>
              <w:rPr>
                <w:rFonts w:hint="eastAsia" w:ascii="宋体" w:hAnsi="宋体"/>
                <w:color w:val="auto"/>
                <w:szCs w:val="21"/>
                <w:highlight w:val="none"/>
              </w:rPr>
              <w:t>地</w:t>
            </w:r>
            <w:r>
              <w:rPr>
                <w:rFonts w:hint="eastAsia" w:ascii="宋体" w:hAnsi="宋体"/>
                <w:color w:val="auto"/>
                <w:szCs w:val="21"/>
                <w:highlight w:val="none"/>
              </w:rPr>
              <w:tab/>
            </w:r>
            <w:r>
              <w:rPr>
                <w:rFonts w:hint="eastAsia" w:ascii="宋体" w:hAnsi="宋体"/>
                <w:color w:val="auto"/>
                <w:szCs w:val="21"/>
                <w:highlight w:val="none"/>
              </w:rPr>
              <w:t>址：陆川县横山镇龙兴街4号</w:t>
            </w:r>
            <w:r>
              <w:rPr>
                <w:rFonts w:hint="eastAsia" w:ascii="宋体" w:hAnsi="宋体"/>
                <w:color w:val="auto"/>
                <w:szCs w:val="21"/>
                <w:highlight w:val="none"/>
              </w:rPr>
              <w:tab/>
            </w:r>
          </w:p>
          <w:p w14:paraId="5B2719E2">
            <w:pPr>
              <w:spacing w:line="360" w:lineRule="auto"/>
              <w:rPr>
                <w:rFonts w:hint="eastAsia" w:ascii="宋体" w:hAnsi="宋体"/>
                <w:color w:val="auto"/>
                <w:szCs w:val="21"/>
                <w:highlight w:val="none"/>
              </w:rPr>
            </w:pPr>
            <w:r>
              <w:rPr>
                <w:rFonts w:hint="eastAsia" w:ascii="宋体" w:hAnsi="宋体"/>
                <w:color w:val="auto"/>
                <w:szCs w:val="21"/>
                <w:highlight w:val="none"/>
              </w:rPr>
              <w:t>邮政编码：537700</w:t>
            </w:r>
          </w:p>
        </w:tc>
      </w:tr>
      <w:tr w14:paraId="43C33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02CE1075">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2</w:t>
            </w:r>
          </w:p>
        </w:tc>
        <w:tc>
          <w:tcPr>
            <w:tcW w:w="1275" w:type="dxa"/>
            <w:tcBorders>
              <w:top w:val="single" w:color="000000" w:sz="4" w:space="0"/>
              <w:left w:val="single" w:color="000000" w:sz="4" w:space="0"/>
              <w:bottom w:val="single" w:color="000000" w:sz="4" w:space="0"/>
              <w:right w:val="single" w:color="000000" w:sz="4" w:space="0"/>
            </w:tcBorders>
            <w:vAlign w:val="center"/>
          </w:tcPr>
          <w:p w14:paraId="365A0277">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1.1.2.6</w:t>
            </w:r>
          </w:p>
        </w:tc>
        <w:tc>
          <w:tcPr>
            <w:tcW w:w="7513" w:type="dxa"/>
            <w:tcBorders>
              <w:top w:val="single" w:color="000000" w:sz="4" w:space="0"/>
              <w:left w:val="single" w:color="000000" w:sz="4" w:space="0"/>
              <w:bottom w:val="single" w:color="000000" w:sz="4" w:space="0"/>
              <w:right w:val="single" w:color="000000" w:sz="4" w:space="0"/>
            </w:tcBorders>
            <w:vAlign w:val="center"/>
          </w:tcPr>
          <w:p w14:paraId="361D5E48">
            <w:pPr>
              <w:spacing w:line="360" w:lineRule="auto"/>
              <w:rPr>
                <w:rFonts w:hint="eastAsia" w:ascii="宋体" w:hAnsi="宋体"/>
                <w:color w:val="auto"/>
                <w:szCs w:val="21"/>
                <w:highlight w:val="none"/>
              </w:rPr>
            </w:pPr>
            <w:r>
              <w:rPr>
                <w:rFonts w:hint="eastAsia" w:ascii="宋体" w:hAnsi="宋体"/>
                <w:color w:val="auto"/>
                <w:szCs w:val="21"/>
                <w:highlight w:val="none"/>
              </w:rPr>
              <w:t>监理人：待定</w:t>
            </w:r>
          </w:p>
          <w:p w14:paraId="1FB6D2D7">
            <w:pPr>
              <w:spacing w:line="360" w:lineRule="auto"/>
              <w:rPr>
                <w:rFonts w:hint="eastAsia" w:ascii="宋体" w:hAnsi="宋体"/>
                <w:color w:val="auto"/>
                <w:szCs w:val="21"/>
                <w:highlight w:val="none"/>
              </w:rPr>
            </w:pPr>
            <w:r>
              <w:rPr>
                <w:rFonts w:hint="eastAsia" w:ascii="宋体" w:hAnsi="宋体"/>
                <w:color w:val="auto"/>
                <w:szCs w:val="21"/>
                <w:highlight w:val="none"/>
              </w:rPr>
              <w:t>地址：待定</w:t>
            </w:r>
            <w:r>
              <w:rPr>
                <w:rFonts w:hint="eastAsia" w:ascii="宋体" w:hAnsi="宋体"/>
                <w:color w:val="auto"/>
                <w:szCs w:val="21"/>
                <w:highlight w:val="none"/>
              </w:rPr>
              <w:tab/>
            </w:r>
            <w:r>
              <w:rPr>
                <w:rFonts w:ascii="宋体" w:hAnsi="宋体"/>
                <w:color w:val="auto"/>
                <w:szCs w:val="21"/>
                <w:highlight w:val="none"/>
              </w:rPr>
              <w:t xml:space="preserve">     </w:t>
            </w:r>
            <w:r>
              <w:rPr>
                <w:rFonts w:hint="eastAsia" w:ascii="宋体" w:hAnsi="宋体"/>
                <w:color w:val="auto"/>
                <w:szCs w:val="21"/>
                <w:highlight w:val="none"/>
              </w:rPr>
              <w:t>邮政编码：待定</w:t>
            </w:r>
          </w:p>
        </w:tc>
      </w:tr>
      <w:tr w14:paraId="5F611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34303830">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3</w:t>
            </w:r>
          </w:p>
        </w:tc>
        <w:tc>
          <w:tcPr>
            <w:tcW w:w="1275" w:type="dxa"/>
            <w:tcBorders>
              <w:top w:val="single" w:color="000000" w:sz="4" w:space="0"/>
              <w:left w:val="single" w:color="000000" w:sz="4" w:space="0"/>
              <w:bottom w:val="single" w:color="000000" w:sz="4" w:space="0"/>
              <w:right w:val="single" w:color="000000" w:sz="4" w:space="0"/>
            </w:tcBorders>
            <w:vAlign w:val="center"/>
          </w:tcPr>
          <w:p w14:paraId="38E85D82">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1.1.4.5</w:t>
            </w:r>
          </w:p>
        </w:tc>
        <w:tc>
          <w:tcPr>
            <w:tcW w:w="7513" w:type="dxa"/>
            <w:tcBorders>
              <w:top w:val="single" w:color="000000" w:sz="4" w:space="0"/>
              <w:left w:val="single" w:color="000000" w:sz="4" w:space="0"/>
              <w:bottom w:val="single" w:color="000000" w:sz="4" w:space="0"/>
              <w:right w:val="single" w:color="000000" w:sz="4" w:space="0"/>
            </w:tcBorders>
            <w:vAlign w:val="center"/>
          </w:tcPr>
          <w:p w14:paraId="4558166C">
            <w:pPr>
              <w:spacing w:line="360" w:lineRule="auto"/>
              <w:rPr>
                <w:rFonts w:hint="eastAsia" w:ascii="宋体" w:hAnsi="宋体"/>
                <w:color w:val="auto"/>
                <w:szCs w:val="21"/>
                <w:highlight w:val="none"/>
              </w:rPr>
            </w:pPr>
            <w:r>
              <w:rPr>
                <w:rFonts w:hint="eastAsia" w:ascii="宋体" w:hAnsi="宋体"/>
                <w:color w:val="auto"/>
                <w:szCs w:val="21"/>
                <w:highlight w:val="none"/>
              </w:rPr>
              <w:t>缺陷责任期：自实际交工日期起计算</w:t>
            </w:r>
            <w:r>
              <w:rPr>
                <w:rFonts w:ascii="宋体" w:hAnsi="宋体"/>
                <w:color w:val="auto"/>
                <w:szCs w:val="21"/>
                <w:highlight w:val="none"/>
                <w:u w:val="single"/>
              </w:rPr>
              <w:t>1</w:t>
            </w:r>
            <w:r>
              <w:rPr>
                <w:rFonts w:hint="eastAsia" w:ascii="宋体" w:hAnsi="宋体"/>
                <w:color w:val="auto"/>
                <w:szCs w:val="21"/>
                <w:highlight w:val="none"/>
              </w:rPr>
              <w:t>年</w:t>
            </w:r>
            <w:r>
              <w:rPr>
                <w:rFonts w:ascii="宋体" w:hAnsi="宋体"/>
                <w:color w:val="auto"/>
                <w:szCs w:val="21"/>
                <w:highlight w:val="none"/>
                <w:vertAlign w:val="superscript"/>
              </w:rPr>
              <w:footnoteReference w:id="2"/>
            </w:r>
          </w:p>
        </w:tc>
      </w:tr>
      <w:tr w14:paraId="2A6C3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29D78460">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4</w:t>
            </w:r>
          </w:p>
        </w:tc>
        <w:tc>
          <w:tcPr>
            <w:tcW w:w="1275" w:type="dxa"/>
            <w:tcBorders>
              <w:top w:val="single" w:color="000000" w:sz="4" w:space="0"/>
              <w:left w:val="single" w:color="000000" w:sz="4" w:space="0"/>
              <w:bottom w:val="single" w:color="000000" w:sz="4" w:space="0"/>
              <w:right w:val="single" w:color="000000" w:sz="4" w:space="0"/>
            </w:tcBorders>
            <w:vAlign w:val="center"/>
          </w:tcPr>
          <w:p w14:paraId="4BFE2540">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5.2.1</w:t>
            </w:r>
          </w:p>
        </w:tc>
        <w:tc>
          <w:tcPr>
            <w:tcW w:w="7513" w:type="dxa"/>
            <w:tcBorders>
              <w:top w:val="single" w:color="000000" w:sz="4" w:space="0"/>
              <w:left w:val="single" w:color="000000" w:sz="4" w:space="0"/>
              <w:bottom w:val="single" w:color="000000" w:sz="4" w:space="0"/>
              <w:right w:val="single" w:color="000000" w:sz="4" w:space="0"/>
            </w:tcBorders>
            <w:vAlign w:val="center"/>
          </w:tcPr>
          <w:p w14:paraId="6FE7E1F0">
            <w:pPr>
              <w:spacing w:line="360" w:lineRule="auto"/>
              <w:rPr>
                <w:rFonts w:hint="eastAsia" w:ascii="宋体" w:hAnsi="宋体"/>
                <w:color w:val="auto"/>
                <w:szCs w:val="21"/>
                <w:highlight w:val="none"/>
              </w:rPr>
            </w:pPr>
            <w:r>
              <w:rPr>
                <w:rFonts w:hint="eastAsia" w:ascii="宋体" w:hAnsi="宋体"/>
                <w:color w:val="auto"/>
                <w:szCs w:val="21"/>
                <w:highlight w:val="none"/>
              </w:rPr>
              <w:t>发包人是否提供材料或工程设备：否</w:t>
            </w:r>
          </w:p>
          <w:p w14:paraId="2DD39E4A">
            <w:pPr>
              <w:spacing w:line="360" w:lineRule="auto"/>
              <w:rPr>
                <w:rFonts w:hint="eastAsia" w:ascii="宋体" w:hAnsi="宋体"/>
                <w:color w:val="auto"/>
                <w:szCs w:val="21"/>
                <w:highlight w:val="none"/>
              </w:rPr>
            </w:pPr>
            <w:r>
              <w:rPr>
                <w:rFonts w:hint="eastAsia" w:ascii="宋体" w:hAnsi="宋体"/>
                <w:color w:val="auto"/>
                <w:szCs w:val="21"/>
                <w:highlight w:val="none"/>
              </w:rPr>
              <w:t>如发包人负责提供部分材料或工程设备，相关规定如下：否</w:t>
            </w:r>
          </w:p>
        </w:tc>
      </w:tr>
      <w:tr w14:paraId="3B1B7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14B2FDA6">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5</w:t>
            </w:r>
          </w:p>
        </w:tc>
        <w:tc>
          <w:tcPr>
            <w:tcW w:w="1275" w:type="dxa"/>
            <w:tcBorders>
              <w:top w:val="single" w:color="000000" w:sz="4" w:space="0"/>
              <w:left w:val="single" w:color="000000" w:sz="4" w:space="0"/>
              <w:bottom w:val="single" w:color="000000" w:sz="4" w:space="0"/>
              <w:right w:val="single" w:color="000000" w:sz="4" w:space="0"/>
            </w:tcBorders>
            <w:vAlign w:val="center"/>
          </w:tcPr>
          <w:p w14:paraId="31B975BD">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6.2</w:t>
            </w:r>
          </w:p>
        </w:tc>
        <w:tc>
          <w:tcPr>
            <w:tcW w:w="7513" w:type="dxa"/>
            <w:tcBorders>
              <w:top w:val="single" w:color="000000" w:sz="4" w:space="0"/>
              <w:left w:val="single" w:color="000000" w:sz="4" w:space="0"/>
              <w:bottom w:val="single" w:color="000000" w:sz="4" w:space="0"/>
              <w:right w:val="single" w:color="000000" w:sz="4" w:space="0"/>
            </w:tcBorders>
            <w:vAlign w:val="center"/>
          </w:tcPr>
          <w:p w14:paraId="32E6A27C">
            <w:pPr>
              <w:spacing w:line="360" w:lineRule="auto"/>
              <w:rPr>
                <w:rFonts w:hint="eastAsia" w:ascii="宋体" w:hAnsi="宋体"/>
                <w:color w:val="auto"/>
                <w:szCs w:val="21"/>
                <w:highlight w:val="none"/>
              </w:rPr>
            </w:pPr>
            <w:r>
              <w:rPr>
                <w:rFonts w:hint="eastAsia" w:ascii="宋体" w:hAnsi="宋体"/>
                <w:color w:val="auto"/>
                <w:szCs w:val="21"/>
                <w:highlight w:val="none"/>
              </w:rPr>
              <w:t>发包人是否提供施工设备和临时设施：否</w:t>
            </w:r>
          </w:p>
          <w:p w14:paraId="54F44C2F">
            <w:pPr>
              <w:spacing w:line="360" w:lineRule="auto"/>
              <w:rPr>
                <w:rFonts w:hint="eastAsia" w:ascii="宋体" w:hAnsi="宋体"/>
                <w:color w:val="auto"/>
                <w:szCs w:val="21"/>
                <w:highlight w:val="none"/>
              </w:rPr>
            </w:pPr>
            <w:r>
              <w:rPr>
                <w:rFonts w:hint="eastAsia" w:ascii="宋体" w:hAnsi="宋体"/>
                <w:color w:val="auto"/>
                <w:szCs w:val="21"/>
                <w:highlight w:val="none"/>
              </w:rPr>
              <w:t>如发包人负责提供部分施工设备和临时设施，相关规定如下：否</w:t>
            </w:r>
          </w:p>
        </w:tc>
      </w:tr>
      <w:tr w14:paraId="07E7A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27E8914C">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6</w:t>
            </w:r>
          </w:p>
        </w:tc>
        <w:tc>
          <w:tcPr>
            <w:tcW w:w="1275" w:type="dxa"/>
            <w:tcBorders>
              <w:top w:val="single" w:color="000000" w:sz="4" w:space="0"/>
              <w:left w:val="single" w:color="000000" w:sz="4" w:space="0"/>
              <w:bottom w:val="single" w:color="000000" w:sz="4" w:space="0"/>
              <w:right w:val="single" w:color="000000" w:sz="4" w:space="0"/>
            </w:tcBorders>
            <w:vAlign w:val="center"/>
          </w:tcPr>
          <w:p w14:paraId="201AC8F5">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11.5（3）</w:t>
            </w:r>
          </w:p>
        </w:tc>
        <w:tc>
          <w:tcPr>
            <w:tcW w:w="7513" w:type="dxa"/>
            <w:tcBorders>
              <w:top w:val="single" w:color="000000" w:sz="4" w:space="0"/>
              <w:left w:val="single" w:color="000000" w:sz="4" w:space="0"/>
              <w:bottom w:val="single" w:color="000000" w:sz="4" w:space="0"/>
              <w:right w:val="single" w:color="000000" w:sz="4" w:space="0"/>
            </w:tcBorders>
            <w:vAlign w:val="center"/>
          </w:tcPr>
          <w:p w14:paraId="3E9C2942">
            <w:pPr>
              <w:spacing w:line="360" w:lineRule="auto"/>
              <w:rPr>
                <w:rFonts w:hint="eastAsia" w:ascii="宋体" w:hAnsi="宋体"/>
                <w:color w:val="auto"/>
                <w:szCs w:val="21"/>
                <w:highlight w:val="none"/>
              </w:rPr>
            </w:pPr>
            <w:r>
              <w:rPr>
                <w:rFonts w:hint="eastAsia" w:ascii="宋体" w:hAnsi="宋体"/>
                <w:color w:val="auto"/>
                <w:szCs w:val="21"/>
                <w:highlight w:val="none"/>
              </w:rPr>
              <w:t>逾期交工违约金：</w:t>
            </w:r>
            <w:r>
              <w:rPr>
                <w:rFonts w:ascii="宋体" w:hAnsi="宋体"/>
                <w:color w:val="auto"/>
                <w:szCs w:val="21"/>
                <w:highlight w:val="none"/>
              </w:rPr>
              <w:t>300</w:t>
            </w:r>
            <w:r>
              <w:rPr>
                <w:rFonts w:hint="eastAsia" w:ascii="宋体" w:hAnsi="宋体"/>
                <w:color w:val="auto"/>
                <w:szCs w:val="21"/>
                <w:highlight w:val="none"/>
              </w:rPr>
              <w:t>元/天</w:t>
            </w:r>
          </w:p>
        </w:tc>
      </w:tr>
      <w:tr w14:paraId="3574D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5C669D35">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7</w:t>
            </w:r>
          </w:p>
        </w:tc>
        <w:tc>
          <w:tcPr>
            <w:tcW w:w="1275" w:type="dxa"/>
            <w:tcBorders>
              <w:top w:val="single" w:color="000000" w:sz="4" w:space="0"/>
              <w:left w:val="single" w:color="000000" w:sz="4" w:space="0"/>
              <w:bottom w:val="single" w:color="000000" w:sz="4" w:space="0"/>
              <w:right w:val="single" w:color="000000" w:sz="4" w:space="0"/>
            </w:tcBorders>
            <w:vAlign w:val="center"/>
          </w:tcPr>
          <w:p w14:paraId="67A9EDA4">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11.5（3）</w:t>
            </w:r>
          </w:p>
        </w:tc>
        <w:tc>
          <w:tcPr>
            <w:tcW w:w="7513" w:type="dxa"/>
            <w:tcBorders>
              <w:top w:val="single" w:color="000000" w:sz="4" w:space="0"/>
              <w:left w:val="single" w:color="000000" w:sz="4" w:space="0"/>
              <w:bottom w:val="single" w:color="000000" w:sz="4" w:space="0"/>
              <w:right w:val="single" w:color="000000" w:sz="4" w:space="0"/>
            </w:tcBorders>
            <w:vAlign w:val="center"/>
          </w:tcPr>
          <w:p w14:paraId="7D0EA249">
            <w:pPr>
              <w:spacing w:line="360" w:lineRule="auto"/>
              <w:rPr>
                <w:rFonts w:hint="eastAsia" w:ascii="宋体" w:hAnsi="宋体"/>
                <w:color w:val="auto"/>
                <w:szCs w:val="21"/>
                <w:highlight w:val="none"/>
              </w:rPr>
            </w:pPr>
            <w:r>
              <w:rPr>
                <w:rFonts w:hint="eastAsia" w:ascii="宋体" w:hAnsi="宋体"/>
                <w:color w:val="auto"/>
                <w:szCs w:val="21"/>
                <w:highlight w:val="none"/>
              </w:rPr>
              <w:t>逾期交工违约金限额：</w:t>
            </w:r>
            <w:r>
              <w:rPr>
                <w:rFonts w:ascii="宋体" w:hAnsi="宋体"/>
                <w:color w:val="auto"/>
                <w:szCs w:val="21"/>
                <w:highlight w:val="none"/>
              </w:rPr>
              <w:t>10</w:t>
            </w:r>
            <w:r>
              <w:rPr>
                <w:rFonts w:hint="eastAsia" w:ascii="宋体" w:hAnsi="宋体"/>
                <w:color w:val="auto"/>
                <w:szCs w:val="21"/>
                <w:highlight w:val="none"/>
              </w:rPr>
              <w:t>%签约合同价</w:t>
            </w:r>
            <w:r>
              <w:rPr>
                <w:rFonts w:ascii="宋体" w:hAnsi="宋体"/>
                <w:color w:val="auto"/>
                <w:szCs w:val="21"/>
                <w:highlight w:val="none"/>
                <w:vertAlign w:val="superscript"/>
              </w:rPr>
              <w:footnoteReference w:id="3"/>
            </w:r>
          </w:p>
        </w:tc>
      </w:tr>
      <w:tr w14:paraId="1170D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5E9FF55C">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8</w:t>
            </w:r>
          </w:p>
        </w:tc>
        <w:tc>
          <w:tcPr>
            <w:tcW w:w="1275" w:type="dxa"/>
            <w:tcBorders>
              <w:top w:val="single" w:color="000000" w:sz="4" w:space="0"/>
              <w:left w:val="single" w:color="000000" w:sz="4" w:space="0"/>
              <w:bottom w:val="single" w:color="000000" w:sz="4" w:space="0"/>
              <w:right w:val="single" w:color="000000" w:sz="4" w:space="0"/>
            </w:tcBorders>
            <w:vAlign w:val="center"/>
          </w:tcPr>
          <w:p w14:paraId="3994BEDC">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11.6</w:t>
            </w:r>
          </w:p>
        </w:tc>
        <w:tc>
          <w:tcPr>
            <w:tcW w:w="7513" w:type="dxa"/>
            <w:tcBorders>
              <w:top w:val="single" w:color="000000" w:sz="4" w:space="0"/>
              <w:left w:val="single" w:color="000000" w:sz="4" w:space="0"/>
              <w:bottom w:val="single" w:color="000000" w:sz="4" w:space="0"/>
              <w:right w:val="single" w:color="000000" w:sz="4" w:space="0"/>
            </w:tcBorders>
            <w:vAlign w:val="center"/>
          </w:tcPr>
          <w:p w14:paraId="1A6AE21B">
            <w:pPr>
              <w:spacing w:line="360" w:lineRule="auto"/>
              <w:rPr>
                <w:rFonts w:hint="eastAsia" w:ascii="宋体" w:hAnsi="宋体"/>
                <w:color w:val="auto"/>
                <w:szCs w:val="21"/>
                <w:highlight w:val="none"/>
              </w:rPr>
            </w:pPr>
            <w:r>
              <w:rPr>
                <w:rFonts w:hint="eastAsia" w:ascii="宋体" w:hAnsi="宋体"/>
                <w:color w:val="auto"/>
                <w:szCs w:val="21"/>
                <w:highlight w:val="none"/>
              </w:rPr>
              <w:t>提前交工的奖金：无</w:t>
            </w:r>
          </w:p>
        </w:tc>
      </w:tr>
      <w:tr w14:paraId="7962F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307500E4">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9</w:t>
            </w:r>
          </w:p>
        </w:tc>
        <w:tc>
          <w:tcPr>
            <w:tcW w:w="1275" w:type="dxa"/>
            <w:tcBorders>
              <w:top w:val="single" w:color="000000" w:sz="4" w:space="0"/>
              <w:left w:val="single" w:color="000000" w:sz="4" w:space="0"/>
              <w:bottom w:val="single" w:color="000000" w:sz="4" w:space="0"/>
              <w:right w:val="single" w:color="000000" w:sz="4" w:space="0"/>
            </w:tcBorders>
            <w:vAlign w:val="center"/>
          </w:tcPr>
          <w:p w14:paraId="13B00665">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11.6</w:t>
            </w:r>
          </w:p>
        </w:tc>
        <w:tc>
          <w:tcPr>
            <w:tcW w:w="7513" w:type="dxa"/>
            <w:tcBorders>
              <w:top w:val="single" w:color="000000" w:sz="4" w:space="0"/>
              <w:left w:val="single" w:color="000000" w:sz="4" w:space="0"/>
              <w:bottom w:val="single" w:color="000000" w:sz="4" w:space="0"/>
              <w:right w:val="single" w:color="000000" w:sz="4" w:space="0"/>
            </w:tcBorders>
            <w:vAlign w:val="center"/>
          </w:tcPr>
          <w:p w14:paraId="62F202D1">
            <w:pPr>
              <w:spacing w:line="360" w:lineRule="auto"/>
              <w:rPr>
                <w:rFonts w:hint="eastAsia" w:ascii="宋体" w:hAnsi="宋体"/>
                <w:color w:val="auto"/>
                <w:szCs w:val="21"/>
                <w:highlight w:val="none"/>
              </w:rPr>
            </w:pPr>
            <w:r>
              <w:rPr>
                <w:rFonts w:hint="eastAsia" w:ascii="宋体" w:hAnsi="宋体"/>
                <w:color w:val="auto"/>
                <w:szCs w:val="21"/>
                <w:highlight w:val="none"/>
              </w:rPr>
              <w:t>提前交工的奖金限额：无</w:t>
            </w:r>
          </w:p>
        </w:tc>
      </w:tr>
      <w:tr w14:paraId="49C91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650F1F9A">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1</w:t>
            </w:r>
            <w:r>
              <w:rPr>
                <w:rFonts w:ascii="宋体" w:hAnsi="宋体"/>
                <w:bCs/>
                <w:color w:val="auto"/>
                <w:szCs w:val="21"/>
                <w:highlight w:val="none"/>
              </w:rPr>
              <w:t>0</w:t>
            </w:r>
          </w:p>
        </w:tc>
        <w:tc>
          <w:tcPr>
            <w:tcW w:w="1275" w:type="dxa"/>
            <w:tcBorders>
              <w:top w:val="single" w:color="000000" w:sz="4" w:space="0"/>
              <w:left w:val="single" w:color="000000" w:sz="4" w:space="0"/>
              <w:bottom w:val="single" w:color="000000" w:sz="4" w:space="0"/>
              <w:right w:val="single" w:color="000000" w:sz="4" w:space="0"/>
            </w:tcBorders>
            <w:vAlign w:val="center"/>
          </w:tcPr>
          <w:p w14:paraId="103C44DE">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16.1</w:t>
            </w:r>
          </w:p>
        </w:tc>
        <w:tc>
          <w:tcPr>
            <w:tcW w:w="7513" w:type="dxa"/>
            <w:tcBorders>
              <w:top w:val="single" w:color="000000" w:sz="4" w:space="0"/>
              <w:left w:val="single" w:color="000000" w:sz="4" w:space="0"/>
              <w:bottom w:val="single" w:color="000000" w:sz="4" w:space="0"/>
              <w:right w:val="single" w:color="000000" w:sz="4" w:space="0"/>
            </w:tcBorders>
            <w:vAlign w:val="center"/>
          </w:tcPr>
          <w:p w14:paraId="732ABE07">
            <w:pPr>
              <w:spacing w:line="360" w:lineRule="auto"/>
              <w:rPr>
                <w:rFonts w:hint="eastAsia" w:ascii="宋体" w:hAnsi="宋体"/>
                <w:color w:val="auto"/>
                <w:szCs w:val="21"/>
                <w:highlight w:val="none"/>
              </w:rPr>
            </w:pPr>
            <w:r>
              <w:rPr>
                <w:rFonts w:hint="eastAsia" w:ascii="宋体" w:hAnsi="宋体"/>
                <w:color w:val="auto"/>
                <w:szCs w:val="21"/>
                <w:highlight w:val="none"/>
              </w:rPr>
              <w:t>合同期内不调价</w:t>
            </w:r>
            <w:r>
              <w:rPr>
                <w:rFonts w:ascii="宋体" w:hAnsi="宋体"/>
                <w:color w:val="auto"/>
                <w:szCs w:val="21"/>
                <w:highlight w:val="none"/>
                <w:vertAlign w:val="superscript"/>
              </w:rPr>
              <w:footnoteReference w:id="4"/>
            </w:r>
          </w:p>
        </w:tc>
      </w:tr>
      <w:tr w14:paraId="0AC99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43062DF1">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w:t>
            </w:r>
          </w:p>
        </w:tc>
        <w:tc>
          <w:tcPr>
            <w:tcW w:w="1275" w:type="dxa"/>
            <w:tcBorders>
              <w:top w:val="single" w:color="000000" w:sz="4" w:space="0"/>
              <w:left w:val="single" w:color="000000" w:sz="4" w:space="0"/>
              <w:bottom w:val="single" w:color="000000" w:sz="4" w:space="0"/>
              <w:right w:val="single" w:color="000000" w:sz="4" w:space="0"/>
            </w:tcBorders>
            <w:vAlign w:val="center"/>
          </w:tcPr>
          <w:p w14:paraId="5F1D588E">
            <w:pPr>
              <w:spacing w:line="360" w:lineRule="auto"/>
              <w:jc w:val="center"/>
              <w:rPr>
                <w:rFonts w:hint="eastAsia" w:ascii="宋体" w:hAnsi="宋体"/>
                <w:color w:val="auto"/>
                <w:szCs w:val="21"/>
                <w:highlight w:val="none"/>
              </w:rPr>
            </w:pPr>
            <w:r>
              <w:rPr>
                <w:rFonts w:hint="eastAsia" w:ascii="宋体" w:hAnsi="宋体"/>
                <w:color w:val="auto"/>
                <w:szCs w:val="21"/>
                <w:highlight w:val="none"/>
              </w:rPr>
              <w:t>17.2.1（1）</w:t>
            </w:r>
          </w:p>
        </w:tc>
        <w:tc>
          <w:tcPr>
            <w:tcW w:w="7513" w:type="dxa"/>
            <w:tcBorders>
              <w:top w:val="single" w:color="000000" w:sz="4" w:space="0"/>
              <w:left w:val="single" w:color="000000" w:sz="4" w:space="0"/>
              <w:bottom w:val="single" w:color="000000" w:sz="4" w:space="0"/>
              <w:right w:val="single" w:color="000000" w:sz="4" w:space="0"/>
            </w:tcBorders>
            <w:vAlign w:val="center"/>
          </w:tcPr>
          <w:p w14:paraId="03DB2FE8">
            <w:pPr>
              <w:spacing w:line="360" w:lineRule="auto"/>
              <w:rPr>
                <w:rFonts w:hint="eastAsia" w:ascii="宋体" w:hAnsi="宋体"/>
                <w:color w:val="auto"/>
                <w:szCs w:val="21"/>
                <w:highlight w:val="none"/>
              </w:rPr>
            </w:pPr>
            <w:r>
              <w:rPr>
                <w:rFonts w:hint="eastAsia" w:ascii="宋体" w:hAnsi="宋体"/>
                <w:color w:val="auto"/>
                <w:szCs w:val="21"/>
                <w:highlight w:val="none"/>
              </w:rPr>
              <w:t>开工预付款金额：3</w:t>
            </w:r>
            <w:r>
              <w:rPr>
                <w:rFonts w:ascii="宋体" w:hAnsi="宋体"/>
                <w:color w:val="auto"/>
                <w:szCs w:val="21"/>
                <w:highlight w:val="none"/>
              </w:rPr>
              <w:t>0</w:t>
            </w:r>
            <w:r>
              <w:rPr>
                <w:rFonts w:hint="eastAsia" w:ascii="宋体" w:hAnsi="宋体"/>
                <w:color w:val="auto"/>
                <w:szCs w:val="21"/>
                <w:highlight w:val="none"/>
              </w:rPr>
              <w:t>%签约合同价</w:t>
            </w:r>
            <w:r>
              <w:rPr>
                <w:rFonts w:ascii="宋体" w:hAnsi="宋体"/>
                <w:color w:val="auto"/>
                <w:szCs w:val="21"/>
                <w:highlight w:val="none"/>
                <w:vertAlign w:val="superscript"/>
              </w:rPr>
              <w:footnoteReference w:id="5"/>
            </w:r>
            <w:r>
              <w:rPr>
                <w:rFonts w:hint="eastAsia" w:ascii="宋体" w:hAnsi="宋体" w:cs="宋体"/>
                <w:b/>
                <w:bCs/>
                <w:color w:val="auto"/>
                <w:szCs w:val="21"/>
                <w:highlight w:val="none"/>
              </w:rPr>
              <w:t>。</w:t>
            </w:r>
          </w:p>
        </w:tc>
      </w:tr>
      <w:tr w14:paraId="22CAF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727813A7">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w:t>
            </w:r>
          </w:p>
        </w:tc>
        <w:tc>
          <w:tcPr>
            <w:tcW w:w="1275" w:type="dxa"/>
            <w:tcBorders>
              <w:top w:val="single" w:color="000000" w:sz="4" w:space="0"/>
              <w:left w:val="single" w:color="000000" w:sz="4" w:space="0"/>
              <w:bottom w:val="single" w:color="000000" w:sz="4" w:space="0"/>
              <w:right w:val="single" w:color="000000" w:sz="4" w:space="0"/>
            </w:tcBorders>
            <w:vAlign w:val="center"/>
          </w:tcPr>
          <w:p w14:paraId="0396DF90">
            <w:pPr>
              <w:spacing w:line="360" w:lineRule="auto"/>
              <w:jc w:val="center"/>
              <w:rPr>
                <w:rFonts w:hint="eastAsia" w:ascii="宋体" w:hAnsi="宋体"/>
                <w:color w:val="auto"/>
                <w:szCs w:val="21"/>
                <w:highlight w:val="none"/>
              </w:rPr>
            </w:pPr>
            <w:r>
              <w:rPr>
                <w:rFonts w:hint="eastAsia" w:ascii="宋体" w:hAnsi="宋体"/>
                <w:color w:val="auto"/>
                <w:szCs w:val="21"/>
                <w:highlight w:val="none"/>
              </w:rPr>
              <w:t>17.2.1（2）</w:t>
            </w:r>
          </w:p>
        </w:tc>
        <w:tc>
          <w:tcPr>
            <w:tcW w:w="7513" w:type="dxa"/>
            <w:tcBorders>
              <w:top w:val="single" w:color="000000" w:sz="4" w:space="0"/>
              <w:left w:val="single" w:color="000000" w:sz="4" w:space="0"/>
              <w:bottom w:val="single" w:color="000000" w:sz="4" w:space="0"/>
              <w:right w:val="single" w:color="000000" w:sz="4" w:space="0"/>
            </w:tcBorders>
            <w:vAlign w:val="center"/>
          </w:tcPr>
          <w:p w14:paraId="4E0B4E62">
            <w:pPr>
              <w:spacing w:line="360" w:lineRule="auto"/>
              <w:rPr>
                <w:rFonts w:hint="eastAsia" w:ascii="宋体" w:hAnsi="宋体"/>
                <w:color w:val="auto"/>
                <w:szCs w:val="21"/>
                <w:highlight w:val="none"/>
              </w:rPr>
            </w:pPr>
            <w:r>
              <w:rPr>
                <w:rFonts w:hint="eastAsia" w:ascii="宋体" w:hAnsi="宋体"/>
                <w:color w:val="auto"/>
                <w:szCs w:val="21"/>
                <w:highlight w:val="none"/>
              </w:rPr>
              <w:t>材料、设备预付款比例：等主要材料、设备单据所列费用的</w:t>
            </w:r>
            <w:r>
              <w:rPr>
                <w:rFonts w:ascii="宋体" w:hAnsi="宋体"/>
                <w:color w:val="auto"/>
                <w:szCs w:val="21"/>
                <w:highlight w:val="none"/>
              </w:rPr>
              <w:t>0</w:t>
            </w:r>
            <w:r>
              <w:rPr>
                <w:rFonts w:hint="eastAsia" w:ascii="宋体" w:hAnsi="宋体"/>
                <w:color w:val="auto"/>
                <w:szCs w:val="21"/>
                <w:highlight w:val="none"/>
              </w:rPr>
              <w:t>%</w:t>
            </w:r>
            <w:r>
              <w:rPr>
                <w:rFonts w:ascii="宋体" w:hAnsi="宋体"/>
                <w:color w:val="auto"/>
                <w:szCs w:val="21"/>
                <w:highlight w:val="none"/>
                <w:vertAlign w:val="superscript"/>
              </w:rPr>
              <w:footnoteReference w:id="6"/>
            </w:r>
          </w:p>
        </w:tc>
      </w:tr>
      <w:tr w14:paraId="1B351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5ED3423A">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3</w:t>
            </w:r>
          </w:p>
        </w:tc>
        <w:tc>
          <w:tcPr>
            <w:tcW w:w="1275" w:type="dxa"/>
            <w:tcBorders>
              <w:top w:val="single" w:color="000000" w:sz="4" w:space="0"/>
              <w:left w:val="single" w:color="000000" w:sz="4" w:space="0"/>
              <w:bottom w:val="single" w:color="000000" w:sz="4" w:space="0"/>
              <w:right w:val="single" w:color="000000" w:sz="4" w:space="0"/>
            </w:tcBorders>
            <w:vAlign w:val="center"/>
          </w:tcPr>
          <w:p w14:paraId="69A08B47">
            <w:pPr>
              <w:spacing w:line="360" w:lineRule="auto"/>
              <w:jc w:val="center"/>
              <w:rPr>
                <w:rFonts w:hint="eastAsia" w:ascii="宋体" w:hAnsi="宋体"/>
                <w:color w:val="auto"/>
                <w:szCs w:val="21"/>
                <w:highlight w:val="none"/>
              </w:rPr>
            </w:pPr>
            <w:r>
              <w:rPr>
                <w:rFonts w:hint="eastAsia" w:ascii="宋体" w:hAnsi="宋体" w:cs="宋体"/>
                <w:color w:val="auto"/>
                <w:szCs w:val="21"/>
                <w:highlight w:val="none"/>
                <w:lang w:val="zh-TW" w:eastAsia="zh-TW" w:bidi="zh-TW"/>
              </w:rPr>
              <w:t>17.2.3</w:t>
            </w:r>
          </w:p>
        </w:tc>
        <w:tc>
          <w:tcPr>
            <w:tcW w:w="7513" w:type="dxa"/>
            <w:tcBorders>
              <w:top w:val="single" w:color="000000" w:sz="4" w:space="0"/>
              <w:left w:val="single" w:color="000000" w:sz="4" w:space="0"/>
              <w:bottom w:val="single" w:color="000000" w:sz="4" w:space="0"/>
              <w:right w:val="single" w:color="000000" w:sz="4" w:space="0"/>
            </w:tcBorders>
            <w:vAlign w:val="center"/>
          </w:tcPr>
          <w:p w14:paraId="4F0C0553">
            <w:pPr>
              <w:spacing w:line="360" w:lineRule="auto"/>
              <w:rPr>
                <w:rFonts w:hint="eastAsia" w:ascii="宋体" w:hAnsi="宋体"/>
                <w:color w:val="auto"/>
                <w:szCs w:val="21"/>
                <w:highlight w:val="none"/>
              </w:rPr>
            </w:pPr>
            <w:r>
              <w:rPr>
                <w:rFonts w:hint="eastAsia" w:ascii="宋体" w:hAnsi="宋体" w:cs="宋体"/>
                <w:color w:val="auto"/>
                <w:szCs w:val="21"/>
                <w:highlight w:val="none"/>
                <w:lang w:val="zh-TW" w:eastAsia="zh-TW" w:bidi="zh-TW"/>
              </w:rPr>
              <w:t>材料预付款的扣回与还清：</w:t>
            </w:r>
            <w:r>
              <w:rPr>
                <w:rFonts w:hint="eastAsia" w:ascii="宋体" w:hAnsi="宋体" w:cs="宋体"/>
                <w:color w:val="auto"/>
                <w:szCs w:val="21"/>
                <w:highlight w:val="none"/>
                <w:u w:val="single"/>
                <w:lang w:val="zh-TW" w:eastAsia="zh-TW" w:bidi="zh-TW"/>
              </w:rPr>
              <w:t>当材料、设备已用于或安装在永久工程之中时，材料、设备预付款应从进度付款证书中扣回，扣回期不超过3个月。已经支付材料、设备预付款的材料、设备的所有权应属于发包人</w:t>
            </w:r>
            <w:r>
              <w:rPr>
                <w:rFonts w:hint="eastAsia" w:ascii="宋体" w:hAnsi="宋体" w:cs="宋体"/>
                <w:color w:val="auto"/>
                <w:szCs w:val="21"/>
                <w:highlight w:val="none"/>
                <w:u w:val="single"/>
                <w:lang w:bidi="zh-TW"/>
              </w:rPr>
              <w:t>。</w:t>
            </w:r>
          </w:p>
        </w:tc>
      </w:tr>
      <w:tr w14:paraId="7F6E2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5E877D62">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4</w:t>
            </w:r>
          </w:p>
        </w:tc>
        <w:tc>
          <w:tcPr>
            <w:tcW w:w="1275" w:type="dxa"/>
            <w:tcBorders>
              <w:top w:val="single" w:color="000000" w:sz="4" w:space="0"/>
              <w:left w:val="single" w:color="000000" w:sz="4" w:space="0"/>
              <w:bottom w:val="single" w:color="000000" w:sz="4" w:space="0"/>
              <w:right w:val="single" w:color="000000" w:sz="4" w:space="0"/>
            </w:tcBorders>
            <w:vAlign w:val="center"/>
          </w:tcPr>
          <w:p w14:paraId="0EE2124A">
            <w:pPr>
              <w:spacing w:line="360" w:lineRule="auto"/>
              <w:jc w:val="center"/>
              <w:rPr>
                <w:rFonts w:hint="eastAsia" w:ascii="宋体" w:hAnsi="宋体"/>
                <w:color w:val="auto"/>
                <w:szCs w:val="21"/>
                <w:highlight w:val="none"/>
              </w:rPr>
            </w:pPr>
            <w:r>
              <w:rPr>
                <w:rFonts w:hint="eastAsia" w:ascii="宋体" w:hAnsi="宋体"/>
                <w:color w:val="auto"/>
                <w:szCs w:val="21"/>
                <w:highlight w:val="none"/>
              </w:rPr>
              <w:t>17.3.2</w:t>
            </w:r>
          </w:p>
        </w:tc>
        <w:tc>
          <w:tcPr>
            <w:tcW w:w="7513" w:type="dxa"/>
            <w:tcBorders>
              <w:top w:val="single" w:color="000000" w:sz="4" w:space="0"/>
              <w:left w:val="single" w:color="000000" w:sz="4" w:space="0"/>
              <w:bottom w:val="single" w:color="000000" w:sz="4" w:space="0"/>
              <w:right w:val="single" w:color="000000" w:sz="4" w:space="0"/>
            </w:tcBorders>
            <w:vAlign w:val="center"/>
          </w:tcPr>
          <w:p w14:paraId="11E453C3">
            <w:pPr>
              <w:spacing w:line="360" w:lineRule="auto"/>
              <w:rPr>
                <w:rFonts w:hint="eastAsia" w:ascii="宋体" w:hAnsi="宋体"/>
                <w:color w:val="auto"/>
                <w:szCs w:val="21"/>
                <w:highlight w:val="none"/>
              </w:rPr>
            </w:pPr>
            <w:r>
              <w:rPr>
                <w:rFonts w:hint="eastAsia" w:ascii="宋体" w:hAnsi="宋体"/>
                <w:color w:val="auto"/>
                <w:szCs w:val="21"/>
                <w:highlight w:val="none"/>
              </w:rPr>
              <w:t>承包人在每个付款周期末向监理人提交进度付款申请单的份数：</w:t>
            </w:r>
            <w:r>
              <w:rPr>
                <w:rFonts w:ascii="宋体" w:hAnsi="宋体"/>
                <w:color w:val="auto"/>
                <w:szCs w:val="21"/>
                <w:highlight w:val="none"/>
              </w:rPr>
              <w:t>4</w:t>
            </w:r>
            <w:r>
              <w:rPr>
                <w:rFonts w:hint="eastAsia" w:ascii="宋体" w:hAnsi="宋体"/>
                <w:color w:val="auto"/>
                <w:szCs w:val="21"/>
                <w:highlight w:val="none"/>
              </w:rPr>
              <w:t>份</w:t>
            </w:r>
          </w:p>
        </w:tc>
      </w:tr>
      <w:tr w14:paraId="794DF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3ED365FC">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5</w:t>
            </w:r>
          </w:p>
        </w:tc>
        <w:tc>
          <w:tcPr>
            <w:tcW w:w="1275" w:type="dxa"/>
            <w:tcBorders>
              <w:top w:val="single" w:color="000000" w:sz="4" w:space="0"/>
              <w:left w:val="single" w:color="000000" w:sz="4" w:space="0"/>
              <w:bottom w:val="single" w:color="000000" w:sz="4" w:space="0"/>
              <w:right w:val="single" w:color="000000" w:sz="4" w:space="0"/>
            </w:tcBorders>
            <w:vAlign w:val="center"/>
          </w:tcPr>
          <w:p w14:paraId="4EFC3FD9">
            <w:pPr>
              <w:spacing w:line="360" w:lineRule="auto"/>
              <w:jc w:val="center"/>
              <w:rPr>
                <w:rFonts w:hint="eastAsia" w:ascii="宋体" w:hAnsi="宋体"/>
                <w:color w:val="auto"/>
                <w:szCs w:val="21"/>
                <w:highlight w:val="none"/>
              </w:rPr>
            </w:pPr>
            <w:r>
              <w:rPr>
                <w:rFonts w:hint="eastAsia" w:ascii="宋体" w:hAnsi="宋体"/>
                <w:color w:val="auto"/>
                <w:szCs w:val="21"/>
                <w:highlight w:val="none"/>
              </w:rPr>
              <w:t>17.5.1</w:t>
            </w:r>
          </w:p>
        </w:tc>
        <w:tc>
          <w:tcPr>
            <w:tcW w:w="7513" w:type="dxa"/>
            <w:tcBorders>
              <w:top w:val="single" w:color="000000" w:sz="4" w:space="0"/>
              <w:left w:val="single" w:color="000000" w:sz="4" w:space="0"/>
              <w:bottom w:val="single" w:color="000000" w:sz="4" w:space="0"/>
              <w:right w:val="single" w:color="000000" w:sz="4" w:space="0"/>
            </w:tcBorders>
            <w:vAlign w:val="center"/>
          </w:tcPr>
          <w:p w14:paraId="3E2A56BA">
            <w:pPr>
              <w:spacing w:line="360" w:lineRule="auto"/>
              <w:rPr>
                <w:rFonts w:hint="eastAsia" w:ascii="宋体" w:hAnsi="宋体"/>
                <w:color w:val="auto"/>
                <w:szCs w:val="21"/>
                <w:highlight w:val="none"/>
              </w:rPr>
            </w:pPr>
            <w:r>
              <w:rPr>
                <w:rFonts w:hint="eastAsia" w:ascii="宋体" w:hAnsi="宋体"/>
                <w:color w:val="auto"/>
                <w:szCs w:val="21"/>
                <w:highlight w:val="none"/>
              </w:rPr>
              <w:t>承包人向监理人提交交工付款申请单（包括相关证明材料）的份数：</w:t>
            </w:r>
            <w:r>
              <w:rPr>
                <w:rFonts w:hint="eastAsia" w:ascii="宋体" w:hAnsi="宋体"/>
                <w:color w:val="auto"/>
                <w:szCs w:val="21"/>
                <w:highlight w:val="none"/>
                <w:u w:val="single"/>
              </w:rPr>
              <w:t>5份</w:t>
            </w:r>
          </w:p>
        </w:tc>
      </w:tr>
      <w:tr w14:paraId="16695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3E1C5433">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6</w:t>
            </w:r>
          </w:p>
        </w:tc>
        <w:tc>
          <w:tcPr>
            <w:tcW w:w="1275" w:type="dxa"/>
            <w:tcBorders>
              <w:top w:val="single" w:color="000000" w:sz="4" w:space="0"/>
              <w:left w:val="single" w:color="000000" w:sz="4" w:space="0"/>
              <w:bottom w:val="single" w:color="000000" w:sz="4" w:space="0"/>
              <w:right w:val="single" w:color="000000" w:sz="4" w:space="0"/>
            </w:tcBorders>
            <w:vAlign w:val="center"/>
          </w:tcPr>
          <w:p w14:paraId="5FD6ED16">
            <w:pPr>
              <w:spacing w:line="360" w:lineRule="auto"/>
              <w:jc w:val="center"/>
              <w:rPr>
                <w:rFonts w:hint="eastAsia" w:ascii="宋体" w:hAnsi="宋体"/>
                <w:color w:val="auto"/>
                <w:szCs w:val="21"/>
                <w:highlight w:val="none"/>
              </w:rPr>
            </w:pPr>
            <w:r>
              <w:rPr>
                <w:rFonts w:hint="eastAsia" w:ascii="宋体" w:hAnsi="宋体"/>
                <w:color w:val="auto"/>
                <w:szCs w:val="21"/>
                <w:highlight w:val="none"/>
              </w:rPr>
              <w:t>17.6.1</w:t>
            </w:r>
          </w:p>
        </w:tc>
        <w:tc>
          <w:tcPr>
            <w:tcW w:w="7513" w:type="dxa"/>
            <w:tcBorders>
              <w:top w:val="single" w:color="000000" w:sz="4" w:space="0"/>
              <w:left w:val="single" w:color="000000" w:sz="4" w:space="0"/>
              <w:bottom w:val="single" w:color="000000" w:sz="4" w:space="0"/>
              <w:right w:val="single" w:color="000000" w:sz="4" w:space="0"/>
            </w:tcBorders>
            <w:vAlign w:val="center"/>
          </w:tcPr>
          <w:p w14:paraId="5352468C">
            <w:pPr>
              <w:spacing w:line="360" w:lineRule="auto"/>
              <w:rPr>
                <w:rFonts w:hint="eastAsia" w:ascii="宋体" w:hAnsi="宋体"/>
                <w:color w:val="auto"/>
                <w:szCs w:val="21"/>
                <w:highlight w:val="none"/>
              </w:rPr>
            </w:pPr>
            <w:r>
              <w:rPr>
                <w:rFonts w:hint="eastAsia" w:ascii="宋体" w:hAnsi="宋体"/>
                <w:color w:val="auto"/>
                <w:szCs w:val="21"/>
                <w:highlight w:val="none"/>
              </w:rPr>
              <w:t>承包人向监理人提交最终结清申请单（包括相关证明材料）的份数：</w:t>
            </w:r>
            <w:r>
              <w:rPr>
                <w:rFonts w:hint="eastAsia" w:ascii="宋体" w:hAnsi="宋体"/>
                <w:color w:val="auto"/>
                <w:szCs w:val="21"/>
                <w:highlight w:val="none"/>
                <w:u w:val="single"/>
              </w:rPr>
              <w:t>5份</w:t>
            </w:r>
          </w:p>
        </w:tc>
      </w:tr>
      <w:tr w14:paraId="518F7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620ABDD9">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7</w:t>
            </w:r>
          </w:p>
        </w:tc>
        <w:tc>
          <w:tcPr>
            <w:tcW w:w="1275" w:type="dxa"/>
            <w:tcBorders>
              <w:top w:val="single" w:color="000000" w:sz="4" w:space="0"/>
              <w:left w:val="single" w:color="000000" w:sz="4" w:space="0"/>
              <w:bottom w:val="single" w:color="000000" w:sz="4" w:space="0"/>
              <w:right w:val="single" w:color="000000" w:sz="4" w:space="0"/>
            </w:tcBorders>
            <w:vAlign w:val="center"/>
          </w:tcPr>
          <w:p w14:paraId="512222A5">
            <w:pPr>
              <w:spacing w:line="360" w:lineRule="auto"/>
              <w:jc w:val="center"/>
              <w:rPr>
                <w:rFonts w:hint="eastAsia" w:ascii="宋体" w:hAnsi="宋体"/>
                <w:color w:val="auto"/>
                <w:szCs w:val="21"/>
                <w:highlight w:val="none"/>
              </w:rPr>
            </w:pPr>
            <w:r>
              <w:rPr>
                <w:rFonts w:hint="eastAsia" w:ascii="宋体" w:hAnsi="宋体"/>
                <w:color w:val="auto"/>
                <w:szCs w:val="21"/>
                <w:highlight w:val="none"/>
              </w:rPr>
              <w:t>18.2</w:t>
            </w:r>
          </w:p>
        </w:tc>
        <w:tc>
          <w:tcPr>
            <w:tcW w:w="7513" w:type="dxa"/>
            <w:tcBorders>
              <w:top w:val="single" w:color="000000" w:sz="4" w:space="0"/>
              <w:left w:val="single" w:color="000000" w:sz="4" w:space="0"/>
              <w:bottom w:val="single" w:color="000000" w:sz="4" w:space="0"/>
              <w:right w:val="single" w:color="000000" w:sz="4" w:space="0"/>
            </w:tcBorders>
            <w:vAlign w:val="center"/>
          </w:tcPr>
          <w:p w14:paraId="2597F49A">
            <w:pPr>
              <w:spacing w:line="360" w:lineRule="auto"/>
              <w:rPr>
                <w:rFonts w:hint="eastAsia" w:ascii="宋体" w:hAnsi="宋体"/>
                <w:color w:val="auto"/>
                <w:szCs w:val="21"/>
                <w:highlight w:val="none"/>
              </w:rPr>
            </w:pPr>
            <w:r>
              <w:rPr>
                <w:rFonts w:hint="eastAsia" w:ascii="宋体" w:hAnsi="宋体"/>
                <w:color w:val="auto"/>
                <w:szCs w:val="21"/>
                <w:highlight w:val="none"/>
              </w:rPr>
              <w:t>竣工资料的份数：</w:t>
            </w:r>
            <w:r>
              <w:rPr>
                <w:rFonts w:hint="eastAsia" w:ascii="宋体" w:hAnsi="宋体"/>
                <w:color w:val="auto"/>
                <w:szCs w:val="21"/>
                <w:highlight w:val="none"/>
                <w:u w:val="single"/>
              </w:rPr>
              <w:t xml:space="preserve"> 3份 </w:t>
            </w:r>
          </w:p>
        </w:tc>
      </w:tr>
      <w:tr w14:paraId="5FEBB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07EA8AF6">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8</w:t>
            </w:r>
          </w:p>
        </w:tc>
        <w:tc>
          <w:tcPr>
            <w:tcW w:w="1275" w:type="dxa"/>
            <w:tcBorders>
              <w:top w:val="single" w:color="000000" w:sz="4" w:space="0"/>
              <w:left w:val="single" w:color="000000" w:sz="4" w:space="0"/>
              <w:bottom w:val="single" w:color="000000" w:sz="4" w:space="0"/>
              <w:right w:val="single" w:color="000000" w:sz="4" w:space="0"/>
            </w:tcBorders>
            <w:vAlign w:val="center"/>
          </w:tcPr>
          <w:p w14:paraId="4BE1A2F5">
            <w:pPr>
              <w:spacing w:line="360" w:lineRule="auto"/>
              <w:jc w:val="center"/>
              <w:rPr>
                <w:rFonts w:hint="eastAsia" w:ascii="宋体" w:hAnsi="宋体"/>
                <w:color w:val="auto"/>
                <w:szCs w:val="21"/>
                <w:highlight w:val="none"/>
              </w:rPr>
            </w:pPr>
            <w:r>
              <w:rPr>
                <w:rFonts w:hint="eastAsia" w:ascii="宋体" w:hAnsi="宋体"/>
                <w:color w:val="auto"/>
                <w:szCs w:val="21"/>
                <w:highlight w:val="none"/>
              </w:rPr>
              <w:t>17.3.3（1）</w:t>
            </w:r>
          </w:p>
        </w:tc>
        <w:tc>
          <w:tcPr>
            <w:tcW w:w="7513" w:type="dxa"/>
            <w:tcBorders>
              <w:top w:val="single" w:color="000000" w:sz="4" w:space="0"/>
              <w:left w:val="single" w:color="000000" w:sz="4" w:space="0"/>
              <w:bottom w:val="single" w:color="000000" w:sz="4" w:space="0"/>
              <w:right w:val="single" w:color="000000" w:sz="4" w:space="0"/>
            </w:tcBorders>
            <w:vAlign w:val="center"/>
          </w:tcPr>
          <w:p w14:paraId="2A35758F">
            <w:pPr>
              <w:spacing w:line="360" w:lineRule="auto"/>
              <w:rPr>
                <w:rFonts w:hint="eastAsia" w:ascii="宋体" w:hAnsi="宋体"/>
                <w:color w:val="auto"/>
                <w:szCs w:val="21"/>
                <w:highlight w:val="none"/>
              </w:rPr>
            </w:pPr>
            <w:r>
              <w:rPr>
                <w:rFonts w:hint="eastAsia" w:ascii="宋体" w:hAnsi="宋体"/>
                <w:color w:val="auto"/>
                <w:szCs w:val="21"/>
                <w:highlight w:val="none"/>
              </w:rPr>
              <w:t>进度付款证书最低限额：</w:t>
            </w:r>
            <w:r>
              <w:rPr>
                <w:rFonts w:ascii="宋体" w:hAnsi="宋体"/>
                <w:color w:val="auto"/>
                <w:szCs w:val="21"/>
                <w:highlight w:val="none"/>
              </w:rPr>
              <w:t>30</w:t>
            </w:r>
            <w:r>
              <w:rPr>
                <w:rFonts w:hint="eastAsia" w:ascii="宋体" w:hAnsi="宋体"/>
                <w:color w:val="auto"/>
                <w:szCs w:val="21"/>
                <w:highlight w:val="none"/>
              </w:rPr>
              <w:t xml:space="preserve">%签约合同价或 </w:t>
            </w:r>
            <w:r>
              <w:rPr>
                <w:rFonts w:ascii="宋体" w:hAnsi="宋体"/>
                <w:color w:val="auto"/>
                <w:szCs w:val="21"/>
                <w:highlight w:val="none"/>
              </w:rPr>
              <w:t>/</w:t>
            </w:r>
            <w:r>
              <w:rPr>
                <w:rFonts w:hint="eastAsia" w:ascii="宋体" w:hAnsi="宋体"/>
                <w:color w:val="auto"/>
                <w:szCs w:val="21"/>
                <w:highlight w:val="none"/>
              </w:rPr>
              <w:t xml:space="preserve"> 万元</w:t>
            </w:r>
            <w:r>
              <w:rPr>
                <w:rFonts w:ascii="宋体" w:hAnsi="宋体"/>
                <w:color w:val="auto"/>
                <w:szCs w:val="21"/>
                <w:highlight w:val="none"/>
                <w:vertAlign w:val="superscript"/>
              </w:rPr>
              <w:footnoteReference w:id="7"/>
            </w:r>
          </w:p>
        </w:tc>
      </w:tr>
      <w:tr w14:paraId="1338B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72240ED4">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9</w:t>
            </w:r>
          </w:p>
        </w:tc>
        <w:tc>
          <w:tcPr>
            <w:tcW w:w="1275" w:type="dxa"/>
            <w:tcBorders>
              <w:top w:val="single" w:color="000000" w:sz="4" w:space="0"/>
              <w:left w:val="single" w:color="000000" w:sz="4" w:space="0"/>
              <w:bottom w:val="single" w:color="000000" w:sz="4" w:space="0"/>
              <w:right w:val="single" w:color="000000" w:sz="4" w:space="0"/>
            </w:tcBorders>
            <w:vAlign w:val="center"/>
          </w:tcPr>
          <w:p w14:paraId="6C59DED0">
            <w:pPr>
              <w:spacing w:line="360" w:lineRule="auto"/>
              <w:jc w:val="center"/>
              <w:rPr>
                <w:rFonts w:hint="eastAsia" w:ascii="宋体" w:hAnsi="宋体"/>
                <w:color w:val="auto"/>
                <w:szCs w:val="21"/>
                <w:highlight w:val="none"/>
              </w:rPr>
            </w:pPr>
            <w:r>
              <w:rPr>
                <w:rFonts w:hint="eastAsia" w:ascii="宋体" w:hAnsi="宋体"/>
                <w:color w:val="auto"/>
                <w:szCs w:val="21"/>
                <w:highlight w:val="none"/>
              </w:rPr>
              <w:t>17.3.3（2）</w:t>
            </w:r>
          </w:p>
        </w:tc>
        <w:tc>
          <w:tcPr>
            <w:tcW w:w="7513" w:type="dxa"/>
            <w:tcBorders>
              <w:top w:val="single" w:color="000000" w:sz="4" w:space="0"/>
              <w:left w:val="single" w:color="000000" w:sz="4" w:space="0"/>
              <w:bottom w:val="single" w:color="000000" w:sz="4" w:space="0"/>
              <w:right w:val="single" w:color="000000" w:sz="4" w:space="0"/>
            </w:tcBorders>
            <w:vAlign w:val="center"/>
          </w:tcPr>
          <w:p w14:paraId="4EC5BEE2">
            <w:pPr>
              <w:spacing w:line="360" w:lineRule="auto"/>
              <w:rPr>
                <w:rFonts w:hint="eastAsia" w:ascii="宋体" w:hAnsi="宋体"/>
                <w:color w:val="auto"/>
                <w:szCs w:val="21"/>
                <w:highlight w:val="none"/>
              </w:rPr>
            </w:pPr>
            <w:r>
              <w:rPr>
                <w:rFonts w:hint="eastAsia" w:ascii="宋体" w:hAnsi="宋体"/>
                <w:color w:val="auto"/>
                <w:szCs w:val="21"/>
                <w:highlight w:val="none"/>
              </w:rPr>
              <w:t>逾期付款违约金的利率：银行同期利率</w:t>
            </w:r>
          </w:p>
        </w:tc>
      </w:tr>
      <w:tr w14:paraId="29BA2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02F29731">
            <w:pPr>
              <w:spacing w:line="360" w:lineRule="auto"/>
              <w:jc w:val="center"/>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0</w:t>
            </w:r>
          </w:p>
        </w:tc>
        <w:tc>
          <w:tcPr>
            <w:tcW w:w="1275" w:type="dxa"/>
            <w:tcBorders>
              <w:top w:val="single" w:color="000000" w:sz="4" w:space="0"/>
              <w:left w:val="single" w:color="000000" w:sz="4" w:space="0"/>
              <w:bottom w:val="single" w:color="000000" w:sz="4" w:space="0"/>
              <w:right w:val="single" w:color="000000" w:sz="4" w:space="0"/>
            </w:tcBorders>
            <w:vAlign w:val="center"/>
          </w:tcPr>
          <w:p w14:paraId="2F9EEB39">
            <w:pPr>
              <w:spacing w:line="360" w:lineRule="auto"/>
              <w:jc w:val="center"/>
              <w:rPr>
                <w:rFonts w:hint="eastAsia" w:ascii="宋体" w:hAnsi="宋体"/>
                <w:color w:val="auto"/>
                <w:szCs w:val="21"/>
                <w:highlight w:val="none"/>
              </w:rPr>
            </w:pPr>
            <w:r>
              <w:rPr>
                <w:rFonts w:hint="eastAsia" w:ascii="宋体" w:hAnsi="宋体"/>
                <w:color w:val="auto"/>
                <w:szCs w:val="21"/>
                <w:highlight w:val="none"/>
              </w:rPr>
              <w:t>17.4.1</w:t>
            </w:r>
          </w:p>
        </w:tc>
        <w:tc>
          <w:tcPr>
            <w:tcW w:w="7513" w:type="dxa"/>
            <w:tcBorders>
              <w:top w:val="single" w:color="000000" w:sz="4" w:space="0"/>
              <w:left w:val="single" w:color="000000" w:sz="4" w:space="0"/>
              <w:bottom w:val="single" w:color="000000" w:sz="4" w:space="0"/>
              <w:right w:val="single" w:color="000000" w:sz="4" w:space="0"/>
            </w:tcBorders>
            <w:vAlign w:val="center"/>
          </w:tcPr>
          <w:p w14:paraId="7EB2BAEE">
            <w:pPr>
              <w:spacing w:line="360" w:lineRule="auto"/>
              <w:ind w:firstLine="480"/>
              <w:rPr>
                <w:rFonts w:hint="eastAsia" w:ascii="宋体" w:hAnsi="宋体"/>
                <w:color w:val="auto"/>
                <w:szCs w:val="21"/>
                <w:highlight w:val="none"/>
              </w:rPr>
            </w:pPr>
            <w:r>
              <w:rPr>
                <w:rFonts w:hint="eastAsia" w:ascii="宋体" w:hAnsi="宋体"/>
                <w:color w:val="auto"/>
                <w:szCs w:val="21"/>
                <w:highlight w:val="none"/>
              </w:rPr>
              <w:t>质量保证金金额：</w:t>
            </w:r>
            <w:r>
              <w:rPr>
                <w:rFonts w:ascii="宋体" w:hAnsi="宋体"/>
                <w:color w:val="auto"/>
                <w:szCs w:val="21"/>
                <w:highlight w:val="none"/>
              </w:rPr>
              <w:t>3</w:t>
            </w:r>
            <w:r>
              <w:rPr>
                <w:rFonts w:hint="eastAsia" w:ascii="宋体" w:hAnsi="宋体"/>
                <w:color w:val="auto"/>
                <w:szCs w:val="21"/>
                <w:highlight w:val="none"/>
              </w:rPr>
              <w:t>%合同价格</w:t>
            </w:r>
            <w:r>
              <w:rPr>
                <w:rFonts w:ascii="宋体" w:hAnsi="宋体"/>
                <w:color w:val="auto"/>
                <w:szCs w:val="21"/>
                <w:highlight w:val="none"/>
                <w:vertAlign w:val="superscript"/>
              </w:rPr>
              <w:footnoteReference w:id="8"/>
            </w:r>
            <w:r>
              <w:rPr>
                <w:rFonts w:hint="eastAsia" w:ascii="宋体" w:hAnsi="宋体"/>
                <w:color w:val="auto"/>
                <w:szCs w:val="21"/>
                <w:highlight w:val="none"/>
              </w:rPr>
              <w:t>，若交工验收时承包人具备被采购项目所在地省级交通运输主管部门评定的最高信用等级，发包人给予</w:t>
            </w:r>
            <w:r>
              <w:rPr>
                <w:rFonts w:ascii="宋体" w:hAnsi="宋体"/>
                <w:color w:val="auto"/>
                <w:szCs w:val="21"/>
                <w:highlight w:val="none"/>
                <w:u w:val="single"/>
              </w:rPr>
              <w:t xml:space="preserve"> / </w:t>
            </w:r>
            <w:r>
              <w:rPr>
                <w:rFonts w:hint="eastAsia" w:ascii="宋体" w:hAnsi="宋体"/>
                <w:color w:val="auto"/>
                <w:szCs w:val="21"/>
                <w:highlight w:val="none"/>
              </w:rPr>
              <w:t>%合同价格质量保证金的优惠。</w:t>
            </w:r>
            <w:r>
              <w:rPr>
                <w:rFonts w:ascii="宋体" w:hAnsi="宋体"/>
                <w:color w:val="auto"/>
                <w:szCs w:val="21"/>
                <w:highlight w:val="none"/>
                <w:vertAlign w:val="superscript"/>
              </w:rPr>
              <w:footnoteReference w:id="9"/>
            </w:r>
          </w:p>
        </w:tc>
      </w:tr>
      <w:tr w14:paraId="5928A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65D358D0">
            <w:pPr>
              <w:spacing w:line="360" w:lineRule="auto"/>
              <w:jc w:val="center"/>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1</w:t>
            </w:r>
          </w:p>
        </w:tc>
        <w:tc>
          <w:tcPr>
            <w:tcW w:w="1275" w:type="dxa"/>
            <w:tcBorders>
              <w:top w:val="single" w:color="000000" w:sz="4" w:space="0"/>
              <w:left w:val="single" w:color="000000" w:sz="4" w:space="0"/>
              <w:bottom w:val="single" w:color="000000" w:sz="4" w:space="0"/>
              <w:right w:val="single" w:color="000000" w:sz="4" w:space="0"/>
            </w:tcBorders>
            <w:vAlign w:val="center"/>
          </w:tcPr>
          <w:p w14:paraId="78032230">
            <w:pPr>
              <w:spacing w:line="360" w:lineRule="auto"/>
              <w:jc w:val="center"/>
              <w:rPr>
                <w:rFonts w:hint="eastAsia" w:ascii="宋体" w:hAnsi="宋体"/>
                <w:color w:val="auto"/>
                <w:szCs w:val="21"/>
                <w:highlight w:val="none"/>
              </w:rPr>
            </w:pPr>
            <w:r>
              <w:rPr>
                <w:rFonts w:hint="eastAsia" w:ascii="宋体" w:hAnsi="宋体"/>
                <w:color w:val="auto"/>
                <w:szCs w:val="21"/>
                <w:highlight w:val="none"/>
              </w:rPr>
              <w:t>19.7（1）</w:t>
            </w:r>
          </w:p>
        </w:tc>
        <w:tc>
          <w:tcPr>
            <w:tcW w:w="7513" w:type="dxa"/>
            <w:tcBorders>
              <w:top w:val="single" w:color="000000" w:sz="4" w:space="0"/>
              <w:left w:val="single" w:color="000000" w:sz="4" w:space="0"/>
              <w:bottom w:val="single" w:color="000000" w:sz="4" w:space="0"/>
              <w:right w:val="single" w:color="000000" w:sz="4" w:space="0"/>
            </w:tcBorders>
            <w:vAlign w:val="center"/>
          </w:tcPr>
          <w:p w14:paraId="2B438A98">
            <w:pPr>
              <w:spacing w:line="360" w:lineRule="auto"/>
              <w:rPr>
                <w:rFonts w:hint="eastAsia" w:ascii="宋体" w:hAnsi="宋体"/>
                <w:color w:val="auto"/>
                <w:szCs w:val="21"/>
                <w:highlight w:val="none"/>
              </w:rPr>
            </w:pPr>
            <w:r>
              <w:rPr>
                <w:rFonts w:hint="eastAsia" w:ascii="宋体" w:hAnsi="宋体"/>
                <w:color w:val="auto"/>
                <w:szCs w:val="21"/>
                <w:highlight w:val="none"/>
              </w:rPr>
              <w:t>保修期：自实际交工日期起计算1年</w:t>
            </w:r>
            <w:r>
              <w:rPr>
                <w:rFonts w:ascii="宋体" w:hAnsi="宋体"/>
                <w:color w:val="auto"/>
                <w:szCs w:val="21"/>
                <w:highlight w:val="none"/>
                <w:vertAlign w:val="superscript"/>
              </w:rPr>
              <w:footnoteReference w:id="10"/>
            </w:r>
          </w:p>
        </w:tc>
      </w:tr>
      <w:tr w14:paraId="105E6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5"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077A5A0B">
            <w:pPr>
              <w:spacing w:line="360" w:lineRule="auto"/>
              <w:jc w:val="center"/>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2</w:t>
            </w:r>
          </w:p>
        </w:tc>
        <w:tc>
          <w:tcPr>
            <w:tcW w:w="1275" w:type="dxa"/>
            <w:tcBorders>
              <w:top w:val="single" w:color="000000" w:sz="4" w:space="0"/>
              <w:left w:val="single" w:color="000000" w:sz="4" w:space="0"/>
              <w:bottom w:val="single" w:color="000000" w:sz="4" w:space="0"/>
              <w:right w:val="single" w:color="000000" w:sz="4" w:space="0"/>
            </w:tcBorders>
            <w:vAlign w:val="center"/>
          </w:tcPr>
          <w:p w14:paraId="7BDD1CDA">
            <w:pPr>
              <w:spacing w:line="360" w:lineRule="auto"/>
              <w:jc w:val="center"/>
              <w:rPr>
                <w:rFonts w:hint="eastAsia" w:ascii="宋体" w:hAnsi="宋体"/>
                <w:color w:val="auto"/>
                <w:szCs w:val="21"/>
                <w:highlight w:val="none"/>
              </w:rPr>
            </w:pPr>
            <w:r>
              <w:rPr>
                <w:rFonts w:hint="eastAsia" w:ascii="宋体" w:hAnsi="宋体"/>
                <w:color w:val="auto"/>
                <w:szCs w:val="21"/>
                <w:highlight w:val="none"/>
              </w:rPr>
              <w:t>20.1</w:t>
            </w:r>
          </w:p>
        </w:tc>
        <w:tc>
          <w:tcPr>
            <w:tcW w:w="7513" w:type="dxa"/>
            <w:tcBorders>
              <w:top w:val="single" w:color="000000" w:sz="4" w:space="0"/>
              <w:left w:val="single" w:color="000000" w:sz="4" w:space="0"/>
              <w:bottom w:val="single" w:color="000000" w:sz="4" w:space="0"/>
              <w:right w:val="single" w:color="000000" w:sz="4" w:space="0"/>
            </w:tcBorders>
            <w:vAlign w:val="center"/>
          </w:tcPr>
          <w:p w14:paraId="6CA8D49F">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建筑工程一切险：工程一切险由承包人承担并支付，承包人应在所报的单价或总额价中对该保险费予以考虑，业主不单独进行计量与支付。</w:t>
            </w:r>
          </w:p>
          <w:p w14:paraId="23F1DAAA">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保险范围：由承包人与业主协商，根据采购文件和工程实际情况确定。</w:t>
            </w:r>
          </w:p>
        </w:tc>
      </w:tr>
      <w:tr w14:paraId="74BE8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115B3CBF">
            <w:pPr>
              <w:spacing w:line="360" w:lineRule="auto"/>
              <w:jc w:val="center"/>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3</w:t>
            </w:r>
          </w:p>
        </w:tc>
        <w:tc>
          <w:tcPr>
            <w:tcW w:w="1275" w:type="dxa"/>
            <w:tcBorders>
              <w:top w:val="single" w:color="000000" w:sz="4" w:space="0"/>
              <w:left w:val="single" w:color="000000" w:sz="4" w:space="0"/>
              <w:bottom w:val="single" w:color="000000" w:sz="4" w:space="0"/>
              <w:right w:val="single" w:color="000000" w:sz="4" w:space="0"/>
            </w:tcBorders>
            <w:vAlign w:val="center"/>
          </w:tcPr>
          <w:p w14:paraId="74361C9D">
            <w:pPr>
              <w:spacing w:line="360" w:lineRule="auto"/>
              <w:jc w:val="center"/>
              <w:rPr>
                <w:rFonts w:hint="eastAsia" w:ascii="宋体" w:hAnsi="宋体"/>
                <w:color w:val="auto"/>
                <w:szCs w:val="21"/>
                <w:highlight w:val="none"/>
              </w:rPr>
            </w:pPr>
            <w:r>
              <w:rPr>
                <w:rFonts w:hint="eastAsia" w:ascii="宋体" w:hAnsi="宋体"/>
                <w:color w:val="auto"/>
                <w:szCs w:val="21"/>
                <w:highlight w:val="none"/>
              </w:rPr>
              <w:t>20.4.2</w:t>
            </w:r>
          </w:p>
        </w:tc>
        <w:tc>
          <w:tcPr>
            <w:tcW w:w="7513" w:type="dxa"/>
            <w:tcBorders>
              <w:top w:val="single" w:color="000000" w:sz="4" w:space="0"/>
              <w:left w:val="single" w:color="000000" w:sz="4" w:space="0"/>
              <w:bottom w:val="single" w:color="000000" w:sz="4" w:space="0"/>
              <w:right w:val="single" w:color="000000" w:sz="4" w:space="0"/>
            </w:tcBorders>
            <w:vAlign w:val="center"/>
          </w:tcPr>
          <w:p w14:paraId="5AF499D6">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第三者责任险由承包人以承包人与项目法人的名义联名投保，保险费由承包人承担并支付，承包人应在所报的单价或总额价中对该保险费予以考虑，项目法人不单独进行计量与支付。</w:t>
            </w:r>
          </w:p>
        </w:tc>
      </w:tr>
      <w:tr w14:paraId="131EE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4C8E17D5">
            <w:pPr>
              <w:spacing w:line="360" w:lineRule="auto"/>
              <w:jc w:val="center"/>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4</w:t>
            </w:r>
          </w:p>
        </w:tc>
        <w:tc>
          <w:tcPr>
            <w:tcW w:w="1275" w:type="dxa"/>
            <w:tcBorders>
              <w:top w:val="single" w:color="000000" w:sz="4" w:space="0"/>
              <w:left w:val="single" w:color="000000" w:sz="4" w:space="0"/>
              <w:bottom w:val="single" w:color="000000" w:sz="4" w:space="0"/>
              <w:right w:val="single" w:color="000000" w:sz="4" w:space="0"/>
            </w:tcBorders>
            <w:vAlign w:val="center"/>
          </w:tcPr>
          <w:p w14:paraId="02352F35">
            <w:pPr>
              <w:spacing w:line="360" w:lineRule="auto"/>
              <w:jc w:val="center"/>
              <w:rPr>
                <w:rFonts w:hint="eastAsia" w:ascii="宋体" w:hAnsi="宋体"/>
                <w:color w:val="auto"/>
                <w:szCs w:val="21"/>
                <w:highlight w:val="none"/>
              </w:rPr>
            </w:pPr>
            <w:r>
              <w:rPr>
                <w:rFonts w:hint="eastAsia" w:ascii="宋体" w:hAnsi="宋体"/>
                <w:color w:val="auto"/>
                <w:szCs w:val="21"/>
                <w:highlight w:val="none"/>
              </w:rPr>
              <w:t>24.1</w:t>
            </w:r>
          </w:p>
        </w:tc>
        <w:tc>
          <w:tcPr>
            <w:tcW w:w="7513" w:type="dxa"/>
            <w:tcBorders>
              <w:top w:val="single" w:color="000000" w:sz="4" w:space="0"/>
              <w:left w:val="single" w:color="000000" w:sz="4" w:space="0"/>
              <w:bottom w:val="single" w:color="000000" w:sz="4" w:space="0"/>
              <w:right w:val="single" w:color="000000" w:sz="4" w:space="0"/>
            </w:tcBorders>
            <w:vAlign w:val="center"/>
          </w:tcPr>
          <w:p w14:paraId="4D60BC26">
            <w:pPr>
              <w:spacing w:line="360" w:lineRule="exact"/>
              <w:rPr>
                <w:rFonts w:hint="eastAsia" w:ascii="宋体" w:hAnsi="宋体"/>
                <w:color w:val="auto"/>
                <w:szCs w:val="21"/>
                <w:highlight w:val="none"/>
              </w:rPr>
            </w:pPr>
            <w:r>
              <w:rPr>
                <w:rFonts w:hint="eastAsia" w:ascii="宋体" w:hAnsi="宋体"/>
                <w:color w:val="auto"/>
                <w:szCs w:val="21"/>
                <w:highlight w:val="none"/>
              </w:rPr>
              <w:t>争议的最终解决方式：</w:t>
            </w:r>
            <w:r>
              <w:rPr>
                <w:rFonts w:hint="eastAsia" w:ascii="宋体" w:hAnsi="宋体" w:cs="宋体"/>
                <w:color w:val="auto"/>
                <w:szCs w:val="21"/>
                <w:highlight w:val="none"/>
                <w:u w:val="single"/>
                <w:lang w:val="zh-TW" w:bidi="zh-TW"/>
              </w:rPr>
              <w:t>陆川县</w:t>
            </w:r>
            <w:r>
              <w:rPr>
                <w:rFonts w:hint="eastAsia" w:ascii="宋体" w:hAnsi="宋体" w:cs="宋体"/>
                <w:color w:val="auto"/>
                <w:szCs w:val="21"/>
                <w:highlight w:val="none"/>
                <w:u w:val="single"/>
                <w:lang w:val="zh-TW" w:eastAsia="zh-TW" w:bidi="zh-TW"/>
              </w:rPr>
              <w:t>人民法院提起诉讼</w:t>
            </w:r>
          </w:p>
        </w:tc>
      </w:tr>
      <w:tr w14:paraId="0702F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7"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24295C41">
            <w:pPr>
              <w:spacing w:line="360" w:lineRule="auto"/>
              <w:jc w:val="center"/>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5</w:t>
            </w:r>
          </w:p>
        </w:tc>
        <w:tc>
          <w:tcPr>
            <w:tcW w:w="1275" w:type="dxa"/>
            <w:tcBorders>
              <w:top w:val="single" w:color="000000" w:sz="4" w:space="0"/>
              <w:left w:val="single" w:color="000000" w:sz="4" w:space="0"/>
              <w:bottom w:val="single" w:color="000000" w:sz="4" w:space="0"/>
              <w:right w:val="single" w:color="000000" w:sz="4" w:space="0"/>
            </w:tcBorders>
            <w:vAlign w:val="center"/>
          </w:tcPr>
          <w:p w14:paraId="61C4DE83">
            <w:pPr>
              <w:spacing w:line="360" w:lineRule="auto"/>
              <w:jc w:val="center"/>
              <w:rPr>
                <w:rFonts w:hint="eastAsia" w:ascii="宋体" w:hAnsi="宋体"/>
                <w:color w:val="auto"/>
                <w:szCs w:val="21"/>
                <w:highlight w:val="none"/>
              </w:rPr>
            </w:pPr>
          </w:p>
        </w:tc>
        <w:tc>
          <w:tcPr>
            <w:tcW w:w="7513" w:type="dxa"/>
            <w:tcBorders>
              <w:top w:val="single" w:color="000000" w:sz="4" w:space="0"/>
              <w:left w:val="single" w:color="000000" w:sz="4" w:space="0"/>
              <w:bottom w:val="single" w:color="000000" w:sz="4" w:space="0"/>
              <w:right w:val="single" w:color="000000" w:sz="4" w:space="0"/>
            </w:tcBorders>
            <w:vAlign w:val="center"/>
          </w:tcPr>
          <w:p w14:paraId="58992A9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履约农民工工资保证金参照《广西壮族自治区人力资源和社会保障厅 广西壮族自治区住房和城乡建设厅 广西壮族自治区交通运输厅广西壮族自治区水利厅 中国银行保险监督管理委员会广西监管局关于印发广西壮族自治区工程建设领域农民工工资保证金规定实施办法的通知》桂人社规[2021]16 号文件执行。</w:t>
            </w:r>
          </w:p>
        </w:tc>
      </w:tr>
    </w:tbl>
    <w:p w14:paraId="185E78E8">
      <w:pPr>
        <w:widowControl/>
        <w:spacing w:line="360" w:lineRule="auto"/>
        <w:rPr>
          <w:rFonts w:hint="eastAsia" w:ascii="宋体" w:hAnsi="宋体" w:cs="宋体"/>
          <w:color w:val="auto"/>
          <w:sz w:val="24"/>
          <w:highlight w:val="none"/>
        </w:rPr>
      </w:pPr>
    </w:p>
    <w:p w14:paraId="7B510B7C">
      <w:pPr>
        <w:keepNext/>
        <w:keepLines/>
        <w:spacing w:line="360" w:lineRule="auto"/>
        <w:jc w:val="center"/>
        <w:outlineLvl w:val="1"/>
        <w:rPr>
          <w:rFonts w:ascii="Cambria" w:hAnsi="Cambria"/>
          <w:b/>
          <w:bCs/>
          <w:color w:val="auto"/>
          <w:sz w:val="32"/>
          <w:szCs w:val="32"/>
          <w:highlight w:val="none"/>
        </w:rPr>
      </w:pPr>
      <w:r>
        <w:rPr>
          <w:rFonts w:ascii="宋体" w:hAnsi="宋体" w:cs="宋体"/>
          <w:b/>
          <w:bCs/>
          <w:color w:val="auto"/>
          <w:sz w:val="24"/>
          <w:szCs w:val="32"/>
          <w:highlight w:val="none"/>
        </w:rPr>
        <w:br w:type="page" w:clear="all"/>
      </w:r>
      <w:bookmarkStart w:id="252" w:name="_Toc233964200"/>
      <w:r>
        <w:rPr>
          <w:rFonts w:hint="eastAsia" w:ascii="Cambria" w:hAnsi="Cambria"/>
          <w:b/>
          <w:bCs/>
          <w:color w:val="auto"/>
          <w:sz w:val="32"/>
          <w:szCs w:val="32"/>
          <w:highlight w:val="none"/>
        </w:rPr>
        <w:t>项目专用合同条款</w:t>
      </w:r>
      <w:bookmarkEnd w:id="252"/>
    </w:p>
    <w:p w14:paraId="6F327E84">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说明：本部分所列的项目专用合同条款是对“公路工程专用合同条款”中规定必须在项目专用合同条款中明确的内容的集中，采购人编制的“项目专用合同条款”不限于本部分所列内容。</w:t>
      </w:r>
    </w:p>
    <w:p w14:paraId="7F2C927F">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4.1承包人的一般义务</w:t>
      </w:r>
    </w:p>
    <w:p w14:paraId="6BFD1EC6">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4.1.10 其他义务</w:t>
      </w:r>
    </w:p>
    <w:p w14:paraId="68928FE2">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（4）承包人应履行的其他义务：</w:t>
      </w:r>
    </w:p>
    <w:p w14:paraId="59A6B7FA">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 1 \* GB3 </w:instrText>
      </w:r>
      <w:r>
        <w:rPr>
          <w:rFonts w:hint="eastAsia" w:ascii="宋体" w:hAnsi="宋体"/>
          <w:color w:val="auto"/>
          <w:szCs w:val="21"/>
          <w:highlight w:val="none"/>
        </w:rPr>
        <w:fldChar w:fldCharType="separate"/>
      </w:r>
      <w:r>
        <w:rPr>
          <w:rFonts w:hint="eastAsia" w:ascii="宋体" w:hAnsi="宋体"/>
          <w:color w:val="auto"/>
          <w:szCs w:val="21"/>
          <w:highlight w:val="none"/>
        </w:rPr>
        <w:t>①</w:t>
      </w:r>
      <w:r>
        <w:rPr>
          <w:rFonts w:hint="eastAsia" w:ascii="宋体" w:hAnsi="宋体"/>
          <w:color w:val="auto"/>
          <w:szCs w:val="21"/>
          <w:highlight w:val="none"/>
        </w:rPr>
        <w:fldChar w:fldCharType="end"/>
      </w:r>
      <w:r>
        <w:rPr>
          <w:rFonts w:hint="eastAsia" w:ascii="宋体" w:hAnsi="宋体"/>
          <w:color w:val="auto"/>
          <w:szCs w:val="21"/>
          <w:highlight w:val="none"/>
        </w:rPr>
        <w:t>落实质量责任制和健全质量保证体系</w:t>
      </w:r>
    </w:p>
    <w:p w14:paraId="6BECDAB8">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a.分项施工现场应实行标示牌管理，写明作业内容、项目质量管理责任人(施工作业管理专业工程师、试验、测量、质检工程师、总工、项目经理及监理工程师及现场监理)和质量管理举报电话；</w:t>
      </w:r>
    </w:p>
    <w:p w14:paraId="788FAA12">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b.认真执行三检制度：</w:t>
      </w:r>
    </w:p>
    <w:p w14:paraId="3A7C5DAA">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施工作业管理的专业工程师在测量、试验工程师配合下完成施工自检并作施工记录（工艺及原材料使用等）；</w:t>
      </w:r>
    </w:p>
    <w:p w14:paraId="5022169A">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质检工程师在测量、试验工程师配合下加强中间质量检测，严格控制工序质量，及时完成工序、分项完工检验并提交质量检验记录，收集工序、分项资料与检验申请经项目总工签认后报送监理工程师。</w:t>
      </w:r>
    </w:p>
    <w:p w14:paraId="46C9F59A">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试验、测量工程师根据施工质检需要完成试验与测量作业并及时交检验结果报告专业工程师、质检工程师。</w:t>
      </w:r>
    </w:p>
    <w:p w14:paraId="4CDFDEC0">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为保证质量责任制的落实，必须做到“三个到位”、“三个同时”，即：质量管理人员到位，检测工具到位，记录表格到位；施工作业与专业工程师质量检查、检验同时，承包人质量检验工程师、监理的检验与施工作业同时，检查、检验与记录同时。</w:t>
      </w:r>
    </w:p>
    <w:p w14:paraId="4371425E">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质量管理记录的原始记录包括作业记录、测量记录、试验记录、检验记录及验收记录，地基、基础、填挖交界碾压，墙台背回填等隐蔽工程应摄象或照相作为现场记录保存。</w:t>
      </w:r>
    </w:p>
    <w:p w14:paraId="6B0BE916">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c.加强对质量通病的预防与治理，减少工程质量隐患。</w:t>
      </w:r>
    </w:p>
    <w:p w14:paraId="42F9E222">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d.承包人应加强工程进度计划管理，努力实现均衡组织施工的目标。</w:t>
      </w:r>
    </w:p>
    <w:p w14:paraId="076516FC">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 2 \* GB3 </w:instrText>
      </w:r>
      <w:r>
        <w:rPr>
          <w:rFonts w:hint="eastAsia" w:ascii="宋体" w:hAnsi="宋体"/>
          <w:color w:val="auto"/>
          <w:szCs w:val="21"/>
          <w:highlight w:val="none"/>
        </w:rPr>
        <w:fldChar w:fldCharType="separate"/>
      </w:r>
      <w:r>
        <w:rPr>
          <w:rFonts w:hint="eastAsia" w:ascii="宋体" w:hAnsi="宋体"/>
          <w:color w:val="auto"/>
          <w:szCs w:val="21"/>
          <w:highlight w:val="none"/>
        </w:rPr>
        <w:t>②</w:t>
      </w:r>
      <w:r>
        <w:rPr>
          <w:rFonts w:hint="eastAsia" w:ascii="宋体" w:hAnsi="宋体"/>
          <w:color w:val="auto"/>
          <w:szCs w:val="21"/>
          <w:highlight w:val="none"/>
        </w:rPr>
        <w:fldChar w:fldCharType="end"/>
      </w:r>
      <w:r>
        <w:rPr>
          <w:rFonts w:hint="eastAsia" w:ascii="宋体" w:hAnsi="宋体"/>
          <w:color w:val="auto"/>
          <w:szCs w:val="21"/>
          <w:highlight w:val="none"/>
        </w:rPr>
        <w:t>旧路改建工程或施工影响原有道路交通的，应根据施工必须保证交通通畅的特点，科学合理安排施工时间，采取妥当的施工方法，避免在雨季破坏旧路利用新路基维持交通，对破坏旧路的路段应及时安排路面施工，确保不影响道路交通畅通。关键工程及分项应有独立详细的施工组织设计，并采取措施确保落实。</w:t>
      </w:r>
    </w:p>
    <w:p w14:paraId="4C2F72D9">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 3 \* GB3 </w:instrText>
      </w:r>
      <w:r>
        <w:rPr>
          <w:rFonts w:hint="eastAsia" w:ascii="宋体" w:hAnsi="宋体"/>
          <w:color w:val="auto"/>
          <w:szCs w:val="21"/>
          <w:highlight w:val="none"/>
        </w:rPr>
        <w:fldChar w:fldCharType="separate"/>
      </w:r>
      <w:r>
        <w:rPr>
          <w:rFonts w:hint="eastAsia" w:ascii="宋体" w:hAnsi="宋体"/>
          <w:color w:val="auto"/>
          <w:szCs w:val="21"/>
          <w:highlight w:val="none"/>
        </w:rPr>
        <w:t>③</w:t>
      </w:r>
      <w:r>
        <w:rPr>
          <w:rFonts w:hint="eastAsia" w:ascii="宋体" w:hAnsi="宋体"/>
          <w:color w:val="auto"/>
          <w:szCs w:val="21"/>
          <w:highlight w:val="none"/>
        </w:rPr>
        <w:fldChar w:fldCharType="end"/>
      </w:r>
      <w:r>
        <w:rPr>
          <w:rFonts w:hint="eastAsia" w:ascii="宋体" w:hAnsi="宋体"/>
          <w:color w:val="auto"/>
          <w:szCs w:val="21"/>
          <w:highlight w:val="none"/>
        </w:rPr>
        <w:t>承包人应加强文明施工，保障道路通畅的管理</w:t>
      </w:r>
    </w:p>
    <w:p w14:paraId="5355DC9A">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a.承包人在施工期内应按国家、交通主管部门与公路管理机构文明施工，保障畅通的有关规定组织施工，对出现的交通堵塞无条件地采取措施进行疏通。</w:t>
      </w:r>
    </w:p>
    <w:p w14:paraId="1FFCDDC2">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b.工程施工过程中不得在道路上堆放材料或占道施工影响交通。</w:t>
      </w:r>
    </w:p>
    <w:p w14:paraId="42D41ED6">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承包人应自觉接受交通主管部门、质量监督单位、公路管理机构的监督，对指出的问题进行认真的整改，及时报告处理结果。</w:t>
      </w:r>
    </w:p>
    <w:p w14:paraId="5EAFDCE5">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 4 \* GB3 </w:instrText>
      </w:r>
      <w:r>
        <w:rPr>
          <w:rFonts w:hint="eastAsia" w:ascii="宋体" w:hAnsi="宋体"/>
          <w:color w:val="auto"/>
          <w:szCs w:val="21"/>
          <w:highlight w:val="none"/>
        </w:rPr>
        <w:fldChar w:fldCharType="separate"/>
      </w:r>
      <w:r>
        <w:rPr>
          <w:rFonts w:hint="eastAsia" w:ascii="宋体" w:hAnsi="宋体"/>
          <w:color w:val="auto"/>
          <w:szCs w:val="21"/>
          <w:highlight w:val="none"/>
        </w:rPr>
        <w:t>④</w:t>
      </w:r>
      <w:r>
        <w:rPr>
          <w:rFonts w:hint="eastAsia" w:ascii="宋体" w:hAnsi="宋体"/>
          <w:color w:val="auto"/>
          <w:szCs w:val="21"/>
          <w:highlight w:val="none"/>
        </w:rPr>
        <w:fldChar w:fldCharType="end"/>
      </w:r>
      <w:r>
        <w:rPr>
          <w:rFonts w:hint="eastAsia" w:ascii="宋体" w:hAnsi="宋体"/>
          <w:color w:val="auto"/>
          <w:szCs w:val="21"/>
          <w:highlight w:val="none"/>
        </w:rPr>
        <w:t>在整个施工过程中，监理工程师、业主对承包人履行责任有权进行监督，并向承包人提出整改要求。承包人应认真履行责任，执行业主、监理工程师的指令，否则将按第22.1款视为承包人违约。</w:t>
      </w:r>
    </w:p>
    <w:p w14:paraId="1BBA1F46">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4.11不利物质条件</w:t>
      </w:r>
    </w:p>
    <w:p w14:paraId="4E4E915A">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4.11.1不利物质条件的范围：按通用条款内容</w:t>
      </w:r>
    </w:p>
    <w:p w14:paraId="372B0A21">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8.3 合同文件的差错（增加）</w:t>
      </w:r>
    </w:p>
    <w:p w14:paraId="09306510">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承包人有责任复核合同文件,在复核或工程施工过程中发现有关工程设计差错、遗漏及在执行规范中的疑问,应立即通知监理工程师,并应按监理工程师的指令办理，否则承包人应承担全部责任。</w:t>
      </w:r>
    </w:p>
    <w:p w14:paraId="20A1DED2">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8.4承包人工程资金的管理</w:t>
      </w:r>
    </w:p>
    <w:p w14:paraId="7CEDE71E">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在原条款末增加：工程进度款等为本工程的专款专用资金，承包人违反下述规定的，业主将中止其任何款项的支付。</w:t>
      </w:r>
    </w:p>
    <w:p w14:paraId="4DC85904">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（1）各承包人及其内部核算单位必须在业主指定的银行开立结算</w:t>
      </w:r>
      <w:r>
        <w:rPr>
          <w:rFonts w:hint="eastAsia" w:ascii="宋体" w:hAnsi="宋体" w:cs="宋体"/>
          <w:color w:val="auto"/>
          <w:szCs w:val="21"/>
          <w:highlight w:val="none"/>
        </w:rPr>
        <w:t>账</w:t>
      </w:r>
      <w:r>
        <w:rPr>
          <w:rFonts w:hint="eastAsia" w:ascii="宋体" w:hAnsi="宋体"/>
          <w:color w:val="auto"/>
          <w:szCs w:val="21"/>
          <w:highlight w:val="none"/>
        </w:rPr>
        <w:t>户。凡不在业主指定银行开户的承包人，业主将不对其支付任何款项。</w:t>
      </w:r>
    </w:p>
    <w:p w14:paraId="1A0BD6AE">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（2）根据中国人民银行有关规定，每个承包人只能在一个银行开立一个结算</w:t>
      </w:r>
      <w:r>
        <w:rPr>
          <w:rFonts w:hint="eastAsia" w:ascii="宋体" w:hAnsi="宋体" w:cs="宋体"/>
          <w:color w:val="auto"/>
          <w:szCs w:val="21"/>
          <w:highlight w:val="none"/>
        </w:rPr>
        <w:t>账</w:t>
      </w:r>
      <w:r>
        <w:rPr>
          <w:rFonts w:hint="eastAsia" w:ascii="宋体" w:hAnsi="宋体"/>
          <w:color w:val="auto"/>
          <w:szCs w:val="21"/>
          <w:highlight w:val="none"/>
        </w:rPr>
        <w:t>户，不允许多头开户。业主按合同条款规定对承包人支付的款项，只对合同规定的法人或者法人代表的授权代理人支付，不对其内部独立核算单位直接支付（合同有专项规定者除外）。</w:t>
      </w:r>
    </w:p>
    <w:p w14:paraId="53379E16">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（3）在合同执行期间，必要时业主有权监督和检查承包人的财务开支和资金流向，并委托各承包人的开户银行协办。承包人必须接受业主的监督与检查。</w:t>
      </w:r>
    </w:p>
    <w:p w14:paraId="17B899C5">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4）在合同执行期间，承包人购买用于本工程的各种材料、施工机械设备、配件等，凡是每次支付的货款金额在贰万元以上、拾万元以下者，须凭购货发票或购（订）货合同协议，每次汇付金额在拾万元以上，须经业主批准，承包人的开户银行才给予受理转</w:t>
      </w:r>
      <w:r>
        <w:rPr>
          <w:rFonts w:hint="eastAsia" w:ascii="宋体" w:hAnsi="宋体" w:cs="宋体"/>
          <w:color w:val="auto"/>
          <w:szCs w:val="21"/>
          <w:highlight w:val="none"/>
        </w:rPr>
        <w:t>账</w:t>
      </w:r>
      <w:r>
        <w:rPr>
          <w:rFonts w:hint="eastAsia" w:ascii="宋体" w:hAnsi="宋体"/>
          <w:color w:val="auto"/>
          <w:szCs w:val="21"/>
          <w:highlight w:val="none"/>
        </w:rPr>
        <w:t>或汇款。</w:t>
      </w:r>
    </w:p>
    <w:p w14:paraId="1FEFE400">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5）在合同执行期间，承包人必须保证业主按合同规定支付的各项工程建设资金专款专用，不允许挪作它用或私自调走资金，承包人收到业主支付的款项后，必须优先支付工人特别是农民工的工资，其次是材料价款以及工程建设直接的成本。承包人凡是汇往其上级主管部门、基地或其所属的部门、单位的款项，不管其以任何理由、用途和采取何方式，都必须经业主批准后，各承包人的开户银行才给予受理。承包人按合同规定按期按质按量完成工程施工，并交工验收后，承包人结存的资金，任由承包人调度。</w:t>
      </w:r>
    </w:p>
    <w:p w14:paraId="510A87C6">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（6）业主有权监督承包人对其雇员的工资发放。</w:t>
      </w:r>
    </w:p>
    <w:p w14:paraId="1C07A47A">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工程通过交工验收后，由业主对承包人支付农民工工资等内容进行公示，公示期不少于15天。公示期结束后，经全部农民工签字确认证实承包人不存在损害农民工合法权益、拖欠农民工工资等情况后由业主一次性返还给承包人。对承包人拖欠的农民工工资，凭农民工提供的有效证明由业主代承包人直接从该部分费用中支付给农民工。</w:t>
      </w:r>
    </w:p>
    <w:p w14:paraId="6C3DA539">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业主支付的计量支付款，首先应支付民工工资，并做好记录备案。</w:t>
      </w:r>
    </w:p>
    <w:p w14:paraId="13F871CC">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10.1 合同进度计划</w:t>
      </w:r>
    </w:p>
    <w:p w14:paraId="3D325CC7">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承包人编制施工方案的内容：</w:t>
      </w:r>
    </w:p>
    <w:p w14:paraId="501E0493">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11.4异常恶劣的气候条件</w:t>
      </w:r>
    </w:p>
    <w:p w14:paraId="2AA263C7">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异常恶劣的气候条件的范围：异常恶劣的气候条件，对本项目而言，指发生烈度7度（含7度）以上地震、龙卷风、施工场地受淹超过业主提供的设计图纸指明的设计洪水水位引起的延误的情况。</w:t>
      </w:r>
    </w:p>
    <w:p w14:paraId="32DAA41B">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12.1承包人暂停施工的责任</w:t>
      </w:r>
    </w:p>
    <w:p w14:paraId="08D67F59">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12.1（6）由承包人承担的其他暂停施工：</w:t>
      </w:r>
    </w:p>
    <w:p w14:paraId="27E01D26">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14.1 工程进度计划的提交</w:t>
      </w:r>
    </w:p>
    <w:p w14:paraId="5BCB0DE6">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在原条款末增加：工程进度计划应按照业主的进度要求，达到实现均衡组织施工的目标。</w:t>
      </w:r>
    </w:p>
    <w:p w14:paraId="17E11B41">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15.1  承包人对合同工程管理</w:t>
      </w:r>
    </w:p>
    <w:p w14:paraId="31DF5944">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在原条款末尾增加：</w:t>
      </w:r>
    </w:p>
    <w:p w14:paraId="60705892">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承包人投入的人员必须满足响应文件要求，在开工时未能按时进场到位，不论何种原因均视为承包人违约，除非监理工程师同意并报经业主批准。</w:t>
      </w:r>
    </w:p>
    <w:p w14:paraId="5102D532">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19．1  安全、保卫与环境保护</w:t>
      </w:r>
    </w:p>
    <w:p w14:paraId="74B9B82D">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在⑵子款后增加：“安全防护设施费用由承包人在工程量清单报价中综合考虑，不单独计列”。承包人必须按《道路交通安全法》、《安全生产法》的规定，设置施工标志和安全标志等，同时确保足够的安全生产经费和人员的投入，杜绝重大伤亡事故的发生；承包人不执行有关规定由业主设置相应施工标志和安全标志产生的费用由承包人承担。</w:t>
      </w:r>
    </w:p>
    <w:p w14:paraId="13DB8E76">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20.1 工程保险</w:t>
      </w:r>
    </w:p>
    <w:p w14:paraId="68F4FEEF">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工程一切险由承包人承担并支付，承包人应在所报的单价或总额价中对该保险费予以考虑，业主不单独进行计量与支付。</w:t>
      </w:r>
    </w:p>
    <w:p w14:paraId="19E50E43">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20.2 人员工伤事故的保险</w:t>
      </w:r>
    </w:p>
    <w:p w14:paraId="0360E85A">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20.2.1 承包人员工伤事故的保险</w:t>
      </w:r>
    </w:p>
    <w:p w14:paraId="37BE672A">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增加内容：</w:t>
      </w:r>
    </w:p>
    <w:p w14:paraId="1E887F04">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办理保险的一切费用均由承包人承担，并包括在工程量清单的单价及总额价中，发包人不单独支付。</w:t>
      </w:r>
    </w:p>
    <w:p w14:paraId="757D7E3D">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20.3 人身意外伤害险</w:t>
      </w:r>
    </w:p>
    <w:p w14:paraId="6A60D66E">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20.3.2 承包人应在整个施工期间为其现场机构雇用的全部人员，投保人身意外伤害险，缴纳保险费，并要求其分包人也进行此项保险。办理保险的一切费用均由承包人承担，并包括在工程量清单的单价及总额价中，发包人不单独支付。</w:t>
      </w:r>
    </w:p>
    <w:p w14:paraId="200F25EF">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其中：人身意外伤害险每位被保险人的最低保险金额为10万元人民币，附加意外伤害险医疗险的保险金额为2万元人民币，每合同段的人身意外伤害险和附加意外伤害医疗险保险费按合同价（不含该保险费）的3‰计列。人身意外伤害险和附加意外伤害医疗险的保险对象为建筑施工企业参加基建项目建设施工现场从事施工作业和管理的人员。时间上涵盖施工全过程的任一时段，在保险范围上覆盖所有参加工程建设的管理人员、施工人员（含农民工）。保险期限为自施工队伍进场之日起至工程通过竣工验收时止。</w:t>
      </w:r>
    </w:p>
    <w:p w14:paraId="002F11DA">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施工合同签订后工程开工前15日，承包人必须按有关规定与保险公司签订人身意外伤害险和附加意外伤害医疗险以及其他需要投保的保险的保险合同。</w:t>
      </w:r>
    </w:p>
    <w:p w14:paraId="28CC8B60">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20.4  第三者责任险</w:t>
      </w:r>
    </w:p>
    <w:p w14:paraId="4A0B97AD">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修改20.4.2款为：第三者责任险由承包人以承包人与项目法人的名义联名投保，保险费由承包人承担并支付，承包人应在所报的单价或总额价中对该保险费予以考虑，发包人不单独进行计量与支付。</w:t>
      </w:r>
    </w:p>
    <w:p w14:paraId="39C699BF">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21.2不可抗力的确认</w:t>
      </w:r>
    </w:p>
    <w:p w14:paraId="1304FC52">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公路工程专用合同条款21. 1款</w:t>
      </w:r>
    </w:p>
    <w:p w14:paraId="415097A7">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 xml:space="preserve">21.1.1  (6）项目专用合同条款约定的其他情形：   /  </w:t>
      </w:r>
    </w:p>
    <w:p w14:paraId="4BD6AE8B">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22.1承包人违约</w:t>
      </w:r>
    </w:p>
    <w:p w14:paraId="05F2F247">
      <w:pPr>
        <w:spacing w:line="440" w:lineRule="exact"/>
        <w:ind w:firstLine="424"/>
        <w:rPr>
          <w:rFonts w:hint="eastAsia" w:ascii="宋体" w:hAnsi="宋体"/>
          <w:color w:val="auto"/>
          <w:szCs w:val="21"/>
          <w:highlight w:val="none"/>
        </w:rPr>
      </w:pPr>
      <w:r>
        <w:rPr>
          <w:rFonts w:ascii="宋体" w:hAnsi="宋体"/>
          <w:color w:val="auto"/>
          <w:szCs w:val="21"/>
          <w:highlight w:val="none"/>
        </w:rPr>
        <w:t>22.1.2</w:t>
      </w:r>
      <w:r>
        <w:rPr>
          <w:rFonts w:hint="eastAsia" w:ascii="宋体" w:hAnsi="宋体"/>
          <w:color w:val="auto"/>
          <w:szCs w:val="21"/>
          <w:highlight w:val="none"/>
        </w:rPr>
        <w:t>当承包人发生第</w:t>
      </w:r>
      <w:r>
        <w:rPr>
          <w:rFonts w:ascii="宋体" w:hAnsi="宋体"/>
          <w:color w:val="auto"/>
          <w:szCs w:val="21"/>
          <w:highlight w:val="none"/>
        </w:rPr>
        <w:t>22.1.1</w:t>
      </w:r>
      <w:r>
        <w:rPr>
          <w:rFonts w:hint="eastAsia" w:ascii="宋体" w:hAnsi="宋体"/>
          <w:color w:val="auto"/>
          <w:szCs w:val="21"/>
          <w:highlight w:val="none"/>
        </w:rPr>
        <w:t>项约定的违约情况时，发包人有权向承包人课以违约金，具体约定如下：违约金处理：</w:t>
      </w:r>
    </w:p>
    <w:p w14:paraId="544530DC">
      <w:pPr>
        <w:spacing w:line="440" w:lineRule="exact"/>
        <w:ind w:firstLine="424"/>
        <w:rPr>
          <w:rFonts w:hint="eastAsia" w:ascii="宋体" w:hAnsi="宋体"/>
          <w:color w:val="auto"/>
          <w:szCs w:val="21"/>
          <w:highlight w:val="none"/>
        </w:rPr>
      </w:pPr>
      <w:r>
        <w:rPr>
          <w:rFonts w:ascii="宋体" w:hAnsi="宋体"/>
          <w:color w:val="auto"/>
          <w:szCs w:val="21"/>
          <w:highlight w:val="none"/>
        </w:rPr>
        <w:t>22.1.2.1</w:t>
      </w:r>
      <w:r>
        <w:rPr>
          <w:rFonts w:hint="eastAsia" w:ascii="宋体" w:hAnsi="宋体"/>
          <w:color w:val="auto"/>
          <w:szCs w:val="21"/>
          <w:highlight w:val="none"/>
        </w:rPr>
        <w:t>有本项（</w:t>
      </w:r>
      <w:r>
        <w:rPr>
          <w:rFonts w:ascii="宋体" w:hAnsi="宋体"/>
          <w:color w:val="auto"/>
          <w:szCs w:val="21"/>
          <w:highlight w:val="none"/>
        </w:rPr>
        <w:t>1</w:t>
      </w:r>
      <w:r>
        <w:rPr>
          <w:rFonts w:hint="eastAsia" w:ascii="宋体" w:hAnsi="宋体"/>
          <w:color w:val="auto"/>
          <w:szCs w:val="21"/>
          <w:highlight w:val="none"/>
        </w:rPr>
        <w:t>）目行为的，可对承包人处以以下的违约金。</w:t>
      </w:r>
    </w:p>
    <w:p w14:paraId="7D70420F">
      <w:pPr>
        <w:spacing w:line="440" w:lineRule="exact"/>
        <w:ind w:firstLine="424"/>
        <w:rPr>
          <w:rFonts w:hint="eastAsia" w:ascii="宋体" w:hAnsi="宋体"/>
          <w:color w:val="auto"/>
          <w:szCs w:val="21"/>
          <w:highlight w:val="none"/>
        </w:rPr>
      </w:pPr>
      <w:r>
        <w:rPr>
          <w:rFonts w:ascii="宋体" w:hAnsi="宋体"/>
          <w:color w:val="auto"/>
          <w:szCs w:val="21"/>
          <w:highlight w:val="none"/>
        </w:rPr>
        <w:t>a</w:t>
      </w:r>
      <w:r>
        <w:rPr>
          <w:rFonts w:hint="eastAsia" w:ascii="宋体" w:hAnsi="宋体"/>
          <w:color w:val="auto"/>
          <w:szCs w:val="21"/>
          <w:highlight w:val="none"/>
        </w:rPr>
        <w:t>．由于承包人没有履行合同规定的义务与责任，同类事件第一次被监理工程师、业主工作指令整改的处</w:t>
      </w:r>
      <w:r>
        <w:rPr>
          <w:rFonts w:ascii="宋体" w:hAnsi="宋体"/>
          <w:color w:val="auto"/>
          <w:szCs w:val="21"/>
          <w:highlight w:val="none"/>
        </w:rPr>
        <w:t>500</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次；第二次出现指令整改的处</w:t>
      </w:r>
      <w:r>
        <w:rPr>
          <w:rFonts w:ascii="宋体" w:hAnsi="宋体"/>
          <w:color w:val="auto"/>
          <w:szCs w:val="21"/>
          <w:highlight w:val="none"/>
        </w:rPr>
        <w:t>1000</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次；多次重复出现被责令整改的处</w:t>
      </w:r>
      <w:r>
        <w:rPr>
          <w:rFonts w:ascii="宋体" w:hAnsi="宋体"/>
          <w:color w:val="auto"/>
          <w:szCs w:val="21"/>
          <w:highlight w:val="none"/>
        </w:rPr>
        <w:t>5000</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次。</w:t>
      </w:r>
    </w:p>
    <w:p w14:paraId="56A326FE">
      <w:pPr>
        <w:spacing w:line="440" w:lineRule="exact"/>
        <w:ind w:firstLine="424"/>
        <w:rPr>
          <w:rFonts w:hint="eastAsia" w:ascii="宋体" w:hAnsi="宋体"/>
          <w:color w:val="auto"/>
          <w:szCs w:val="21"/>
          <w:highlight w:val="none"/>
        </w:rPr>
      </w:pPr>
      <w:r>
        <w:rPr>
          <w:rFonts w:ascii="宋体" w:hAnsi="宋体"/>
          <w:color w:val="auto"/>
          <w:szCs w:val="21"/>
          <w:highlight w:val="none"/>
        </w:rPr>
        <w:t>b</w:t>
      </w:r>
      <w:r>
        <w:rPr>
          <w:rFonts w:hint="eastAsia" w:ascii="宋体" w:hAnsi="宋体"/>
          <w:color w:val="auto"/>
          <w:szCs w:val="21"/>
          <w:highlight w:val="none"/>
        </w:rPr>
        <w:t>．在指令规定时间内拒不整改的同一事件被第二次及以上责令整改的处</w:t>
      </w:r>
      <w:r>
        <w:rPr>
          <w:rFonts w:ascii="宋体" w:hAnsi="宋体"/>
          <w:color w:val="auto"/>
          <w:szCs w:val="21"/>
          <w:highlight w:val="none"/>
        </w:rPr>
        <w:t>2000</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次。</w:t>
      </w:r>
    </w:p>
    <w:p w14:paraId="4C1BCDB1">
      <w:pPr>
        <w:spacing w:line="440" w:lineRule="exact"/>
        <w:ind w:firstLine="424"/>
        <w:rPr>
          <w:rFonts w:hint="eastAsia" w:ascii="宋体" w:hAnsi="宋体"/>
          <w:color w:val="auto"/>
          <w:szCs w:val="21"/>
          <w:highlight w:val="none"/>
        </w:rPr>
      </w:pPr>
      <w:r>
        <w:rPr>
          <w:rFonts w:ascii="宋体" w:hAnsi="宋体"/>
          <w:color w:val="auto"/>
          <w:szCs w:val="21"/>
          <w:highlight w:val="none"/>
        </w:rPr>
        <w:t>22.1.2.2</w:t>
      </w:r>
      <w:r>
        <w:rPr>
          <w:rFonts w:hint="eastAsia" w:ascii="宋体" w:hAnsi="宋体"/>
          <w:color w:val="auto"/>
          <w:szCs w:val="21"/>
          <w:highlight w:val="none"/>
        </w:rPr>
        <w:t>有本项（</w:t>
      </w:r>
      <w:r>
        <w:rPr>
          <w:rFonts w:ascii="宋体" w:hAnsi="宋体"/>
          <w:color w:val="auto"/>
          <w:szCs w:val="21"/>
          <w:highlight w:val="none"/>
        </w:rPr>
        <w:t>2</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w:t>
      </w:r>
      <w:r>
        <w:rPr>
          <w:rFonts w:ascii="宋体" w:hAnsi="宋体"/>
          <w:color w:val="auto"/>
          <w:szCs w:val="21"/>
          <w:highlight w:val="none"/>
        </w:rPr>
        <w:t>5</w:t>
      </w:r>
      <w:r>
        <w:rPr>
          <w:rFonts w:hint="eastAsia" w:ascii="宋体" w:hAnsi="宋体"/>
          <w:color w:val="auto"/>
          <w:szCs w:val="21"/>
          <w:highlight w:val="none"/>
        </w:rPr>
        <w:t>）、（</w:t>
      </w:r>
      <w:r>
        <w:rPr>
          <w:rFonts w:ascii="宋体" w:hAnsi="宋体"/>
          <w:color w:val="auto"/>
          <w:szCs w:val="21"/>
          <w:highlight w:val="none"/>
        </w:rPr>
        <w:t>6</w:t>
      </w:r>
      <w:r>
        <w:rPr>
          <w:rFonts w:hint="eastAsia" w:ascii="宋体" w:hAnsi="宋体"/>
          <w:color w:val="auto"/>
          <w:szCs w:val="21"/>
          <w:highlight w:val="none"/>
        </w:rPr>
        <w:t>）目行为的，除按合同相关条款处理外，由监理工程师发出整改工作指令，按</w:t>
      </w:r>
      <w:r>
        <w:rPr>
          <w:rFonts w:ascii="宋体" w:hAnsi="宋体"/>
          <w:color w:val="auto"/>
          <w:szCs w:val="21"/>
          <w:highlight w:val="none"/>
        </w:rPr>
        <w:t>22.1.2.1</w:t>
      </w:r>
      <w:r>
        <w:rPr>
          <w:rFonts w:hint="eastAsia" w:ascii="宋体" w:hAnsi="宋体"/>
          <w:color w:val="auto"/>
          <w:szCs w:val="21"/>
          <w:highlight w:val="none"/>
        </w:rPr>
        <w:t>对承包人处以违约金。</w:t>
      </w:r>
    </w:p>
    <w:p w14:paraId="61AEDCF6">
      <w:pPr>
        <w:spacing w:line="440" w:lineRule="exact"/>
        <w:ind w:firstLine="424"/>
        <w:rPr>
          <w:rFonts w:hint="eastAsia" w:ascii="宋体" w:hAnsi="宋体"/>
          <w:color w:val="auto"/>
          <w:szCs w:val="21"/>
          <w:highlight w:val="none"/>
        </w:rPr>
      </w:pPr>
      <w:r>
        <w:rPr>
          <w:rFonts w:ascii="宋体" w:hAnsi="宋体"/>
          <w:color w:val="auto"/>
          <w:szCs w:val="21"/>
          <w:highlight w:val="none"/>
        </w:rPr>
        <w:t>22.1.2.3</w:t>
      </w:r>
      <w:r>
        <w:rPr>
          <w:rFonts w:hint="eastAsia" w:ascii="宋体" w:hAnsi="宋体"/>
          <w:color w:val="auto"/>
          <w:szCs w:val="21"/>
          <w:highlight w:val="none"/>
        </w:rPr>
        <w:t>有本项（</w:t>
      </w:r>
      <w:r>
        <w:rPr>
          <w:rFonts w:ascii="宋体" w:hAnsi="宋体"/>
          <w:color w:val="auto"/>
          <w:szCs w:val="21"/>
          <w:highlight w:val="none"/>
        </w:rPr>
        <w:t>4</w:t>
      </w:r>
      <w:r>
        <w:rPr>
          <w:rFonts w:hint="eastAsia" w:ascii="宋体" w:hAnsi="宋体"/>
          <w:color w:val="auto"/>
          <w:szCs w:val="21"/>
          <w:highlight w:val="none"/>
        </w:rPr>
        <w:t>）、（</w:t>
      </w:r>
      <w:r>
        <w:rPr>
          <w:rFonts w:ascii="宋体" w:hAnsi="宋体"/>
          <w:color w:val="auto"/>
          <w:szCs w:val="21"/>
          <w:highlight w:val="none"/>
        </w:rPr>
        <w:t>7</w:t>
      </w:r>
      <w:r>
        <w:rPr>
          <w:rFonts w:hint="eastAsia" w:ascii="宋体" w:hAnsi="宋体"/>
          <w:color w:val="auto"/>
          <w:szCs w:val="21"/>
          <w:highlight w:val="none"/>
        </w:rPr>
        <w:t>）目行为的，可对承包人处以以下的违约金。</w:t>
      </w:r>
    </w:p>
    <w:p w14:paraId="0C5FA528">
      <w:pPr>
        <w:spacing w:line="440" w:lineRule="exact"/>
        <w:ind w:firstLine="424"/>
        <w:rPr>
          <w:rFonts w:hint="eastAsia" w:ascii="宋体" w:hAnsi="宋体"/>
          <w:color w:val="auto"/>
          <w:szCs w:val="21"/>
          <w:highlight w:val="none"/>
        </w:rPr>
      </w:pPr>
      <w:r>
        <w:rPr>
          <w:rFonts w:ascii="宋体" w:hAnsi="宋体"/>
          <w:color w:val="auto"/>
          <w:szCs w:val="21"/>
          <w:highlight w:val="none"/>
        </w:rPr>
        <w:t>a</w:t>
      </w:r>
      <w:r>
        <w:rPr>
          <w:rFonts w:hint="eastAsia" w:ascii="宋体" w:hAnsi="宋体"/>
          <w:color w:val="auto"/>
          <w:szCs w:val="21"/>
          <w:highlight w:val="none"/>
        </w:rPr>
        <w:t>．未按规定开工的，可处以</w:t>
      </w:r>
      <w:r>
        <w:rPr>
          <w:rFonts w:ascii="宋体" w:hAnsi="宋体"/>
          <w:color w:val="auto"/>
          <w:szCs w:val="21"/>
          <w:highlight w:val="none"/>
        </w:rPr>
        <w:t>1000</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天的业主延期损失偿金。</w:t>
      </w:r>
    </w:p>
    <w:p w14:paraId="4C4FB690">
      <w:pPr>
        <w:spacing w:line="440" w:lineRule="exact"/>
        <w:ind w:firstLine="424"/>
        <w:rPr>
          <w:rFonts w:hint="eastAsia" w:ascii="宋体" w:hAnsi="宋体"/>
          <w:color w:val="auto"/>
          <w:szCs w:val="21"/>
          <w:highlight w:val="none"/>
        </w:rPr>
      </w:pPr>
      <w:r>
        <w:rPr>
          <w:rFonts w:ascii="宋体" w:hAnsi="宋体"/>
          <w:color w:val="auto"/>
          <w:szCs w:val="21"/>
          <w:highlight w:val="none"/>
        </w:rPr>
        <w:t>b</w:t>
      </w:r>
      <w:r>
        <w:rPr>
          <w:rFonts w:hint="eastAsia" w:ascii="宋体" w:hAnsi="宋体"/>
          <w:color w:val="auto"/>
          <w:szCs w:val="21"/>
          <w:highlight w:val="none"/>
        </w:rPr>
        <w:t>．未按指令采取措施加快进行本工程或其关键部分的施工，可处以</w:t>
      </w:r>
      <w:r>
        <w:rPr>
          <w:rFonts w:ascii="宋体" w:hAnsi="宋体"/>
          <w:color w:val="auto"/>
          <w:szCs w:val="21"/>
          <w:highlight w:val="none"/>
        </w:rPr>
        <w:t>1000</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天的业主延期损失偿金。</w:t>
      </w:r>
    </w:p>
    <w:p w14:paraId="291B93A5">
      <w:pPr>
        <w:spacing w:line="440" w:lineRule="exact"/>
        <w:ind w:firstLine="424"/>
        <w:rPr>
          <w:rFonts w:hint="eastAsia" w:ascii="宋体" w:hAnsi="宋体"/>
          <w:color w:val="auto"/>
          <w:szCs w:val="21"/>
          <w:highlight w:val="none"/>
        </w:rPr>
      </w:pPr>
      <w:r>
        <w:rPr>
          <w:rFonts w:ascii="宋体" w:hAnsi="宋体"/>
          <w:color w:val="auto"/>
          <w:szCs w:val="21"/>
          <w:highlight w:val="none"/>
        </w:rPr>
        <w:t>c</w:t>
      </w:r>
      <w:r>
        <w:rPr>
          <w:rFonts w:hint="eastAsia" w:ascii="宋体" w:hAnsi="宋体"/>
          <w:color w:val="auto"/>
          <w:szCs w:val="21"/>
          <w:highlight w:val="none"/>
        </w:rPr>
        <w:t>．未按均衡组织施工要求组织施工的，处每项</w:t>
      </w:r>
      <w:r>
        <w:rPr>
          <w:rFonts w:ascii="宋体" w:hAnsi="宋体"/>
          <w:color w:val="auto"/>
          <w:szCs w:val="21"/>
          <w:highlight w:val="none"/>
        </w:rPr>
        <w:t>1000</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月次。</w:t>
      </w:r>
    </w:p>
    <w:p w14:paraId="21FBF8E9">
      <w:pPr>
        <w:spacing w:line="440" w:lineRule="exact"/>
        <w:ind w:firstLine="424"/>
        <w:rPr>
          <w:rFonts w:hint="eastAsia" w:ascii="宋体" w:hAnsi="宋体"/>
          <w:color w:val="auto"/>
          <w:szCs w:val="21"/>
          <w:highlight w:val="none"/>
        </w:rPr>
      </w:pPr>
      <w:r>
        <w:rPr>
          <w:rFonts w:ascii="宋体" w:hAnsi="宋体"/>
          <w:color w:val="auto"/>
          <w:szCs w:val="21"/>
          <w:highlight w:val="none"/>
        </w:rPr>
        <w:t>22.1.2.4</w:t>
      </w:r>
      <w:r>
        <w:rPr>
          <w:rFonts w:hint="eastAsia" w:ascii="宋体" w:hAnsi="宋体"/>
          <w:color w:val="auto"/>
          <w:szCs w:val="21"/>
          <w:highlight w:val="none"/>
        </w:rPr>
        <w:t>有本项（</w:t>
      </w:r>
      <w:r>
        <w:rPr>
          <w:rFonts w:ascii="宋体" w:hAnsi="宋体"/>
          <w:color w:val="auto"/>
          <w:szCs w:val="21"/>
          <w:highlight w:val="none"/>
        </w:rPr>
        <w:t>8</w:t>
      </w:r>
      <w:r>
        <w:rPr>
          <w:rFonts w:hint="eastAsia" w:ascii="宋体" w:hAnsi="宋体"/>
          <w:color w:val="auto"/>
          <w:szCs w:val="21"/>
          <w:highlight w:val="none"/>
        </w:rPr>
        <w:t>）目行为的，可对承包人按以下处以违约金。</w:t>
      </w:r>
    </w:p>
    <w:p w14:paraId="5A88BF8F">
      <w:pPr>
        <w:spacing w:line="440" w:lineRule="exact"/>
        <w:ind w:firstLine="424"/>
        <w:rPr>
          <w:rFonts w:hint="eastAsia" w:ascii="宋体" w:hAnsi="宋体"/>
          <w:color w:val="auto"/>
          <w:szCs w:val="21"/>
          <w:highlight w:val="none"/>
        </w:rPr>
      </w:pPr>
      <w:r>
        <w:rPr>
          <w:rFonts w:ascii="宋体" w:hAnsi="宋体"/>
          <w:color w:val="auto"/>
          <w:szCs w:val="21"/>
          <w:highlight w:val="none"/>
        </w:rPr>
        <w:t>a.</w:t>
      </w:r>
      <w:r>
        <w:rPr>
          <w:rFonts w:hint="eastAsia" w:ascii="宋体" w:hAnsi="宋体"/>
          <w:color w:val="auto"/>
          <w:szCs w:val="21"/>
          <w:highlight w:val="none"/>
        </w:rPr>
        <w:t>承包人未经业主、监理工程师同意更换人员，项目经理处</w:t>
      </w:r>
      <w:r>
        <w:rPr>
          <w:rFonts w:ascii="宋体" w:hAnsi="宋体"/>
          <w:color w:val="auto"/>
          <w:szCs w:val="21"/>
          <w:highlight w:val="none"/>
        </w:rPr>
        <w:t>2</w:t>
      </w:r>
      <w:r>
        <w:rPr>
          <w:rFonts w:hint="eastAsia" w:ascii="宋体" w:hAnsi="宋体"/>
          <w:color w:val="auto"/>
          <w:szCs w:val="21"/>
          <w:highlight w:val="none"/>
        </w:rPr>
        <w:t>万元</w:t>
      </w:r>
      <w:r>
        <w:rPr>
          <w:rFonts w:ascii="宋体" w:hAnsi="宋体"/>
          <w:color w:val="auto"/>
          <w:szCs w:val="21"/>
          <w:highlight w:val="none"/>
        </w:rPr>
        <w:t>/</w:t>
      </w:r>
      <w:r>
        <w:rPr>
          <w:rFonts w:hint="eastAsia" w:ascii="宋体" w:hAnsi="宋体"/>
          <w:color w:val="auto"/>
          <w:szCs w:val="21"/>
          <w:highlight w:val="none"/>
        </w:rPr>
        <w:t>次，总工（或技术负责人）处</w:t>
      </w:r>
      <w:r>
        <w:rPr>
          <w:rFonts w:ascii="宋体" w:hAnsi="宋体"/>
          <w:color w:val="auto"/>
          <w:szCs w:val="21"/>
          <w:highlight w:val="none"/>
        </w:rPr>
        <w:t>1</w:t>
      </w:r>
      <w:r>
        <w:rPr>
          <w:rFonts w:hint="eastAsia" w:ascii="宋体" w:hAnsi="宋体"/>
          <w:color w:val="auto"/>
          <w:szCs w:val="21"/>
          <w:highlight w:val="none"/>
        </w:rPr>
        <w:t>万元</w:t>
      </w:r>
      <w:r>
        <w:rPr>
          <w:rFonts w:ascii="宋体" w:hAnsi="宋体"/>
          <w:color w:val="auto"/>
          <w:szCs w:val="21"/>
          <w:highlight w:val="none"/>
        </w:rPr>
        <w:t>/</w:t>
      </w:r>
      <w:r>
        <w:rPr>
          <w:rFonts w:hint="eastAsia" w:ascii="宋体" w:hAnsi="宋体"/>
          <w:color w:val="auto"/>
          <w:szCs w:val="21"/>
          <w:highlight w:val="none"/>
        </w:rPr>
        <w:t>次。</w:t>
      </w:r>
    </w:p>
    <w:p w14:paraId="4B29C4A3">
      <w:pPr>
        <w:spacing w:line="440" w:lineRule="exact"/>
        <w:ind w:firstLine="424"/>
        <w:rPr>
          <w:rFonts w:hint="eastAsia" w:ascii="宋体" w:hAnsi="宋体"/>
          <w:color w:val="auto"/>
          <w:szCs w:val="21"/>
          <w:highlight w:val="none"/>
        </w:rPr>
      </w:pPr>
      <w:r>
        <w:rPr>
          <w:rFonts w:ascii="宋体" w:hAnsi="宋体"/>
          <w:color w:val="auto"/>
          <w:szCs w:val="21"/>
          <w:highlight w:val="none"/>
        </w:rPr>
        <w:t>b.</w:t>
      </w:r>
      <w:r>
        <w:rPr>
          <w:rFonts w:hint="eastAsia" w:ascii="宋体" w:hAnsi="宋体"/>
          <w:color w:val="auto"/>
          <w:szCs w:val="21"/>
          <w:highlight w:val="none"/>
        </w:rPr>
        <w:t>项目经理、总工驻工地不满</w:t>
      </w:r>
      <w:r>
        <w:rPr>
          <w:rFonts w:ascii="宋体" w:hAnsi="宋体"/>
          <w:color w:val="auto"/>
          <w:szCs w:val="21"/>
          <w:highlight w:val="none"/>
        </w:rPr>
        <w:t>60</w:t>
      </w:r>
      <w:r>
        <w:rPr>
          <w:rFonts w:hint="eastAsia" w:ascii="宋体" w:hAnsi="宋体"/>
          <w:color w:val="auto"/>
          <w:szCs w:val="21"/>
          <w:highlight w:val="none"/>
        </w:rPr>
        <w:t>天，处</w:t>
      </w:r>
      <w:r>
        <w:rPr>
          <w:rFonts w:ascii="宋体" w:hAnsi="宋体"/>
          <w:color w:val="auto"/>
          <w:szCs w:val="21"/>
          <w:highlight w:val="none"/>
        </w:rPr>
        <w:t>2000</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人，其他主要人员处</w:t>
      </w:r>
      <w:r>
        <w:rPr>
          <w:rFonts w:ascii="宋体" w:hAnsi="宋体"/>
          <w:color w:val="auto"/>
          <w:szCs w:val="21"/>
          <w:highlight w:val="none"/>
        </w:rPr>
        <w:t>800</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人。</w:t>
      </w:r>
    </w:p>
    <w:p w14:paraId="1C698C71">
      <w:pPr>
        <w:spacing w:line="440" w:lineRule="exact"/>
        <w:ind w:firstLine="424"/>
        <w:rPr>
          <w:rFonts w:hint="eastAsia" w:ascii="宋体" w:hAnsi="宋体"/>
          <w:color w:val="auto"/>
          <w:szCs w:val="21"/>
          <w:highlight w:val="none"/>
        </w:rPr>
      </w:pPr>
      <w:r>
        <w:rPr>
          <w:rFonts w:ascii="宋体" w:hAnsi="宋体"/>
          <w:color w:val="auto"/>
          <w:szCs w:val="21"/>
          <w:highlight w:val="none"/>
        </w:rPr>
        <w:t>c.</w:t>
      </w:r>
      <w:r>
        <w:rPr>
          <w:rFonts w:hint="eastAsia" w:ascii="宋体" w:hAnsi="宋体"/>
          <w:color w:val="auto"/>
          <w:szCs w:val="21"/>
          <w:highlight w:val="none"/>
        </w:rPr>
        <w:t>未经请假准允离开工地，经理、总工处</w:t>
      </w:r>
      <w:r>
        <w:rPr>
          <w:rFonts w:ascii="宋体" w:hAnsi="宋体"/>
          <w:color w:val="auto"/>
          <w:szCs w:val="21"/>
          <w:highlight w:val="none"/>
        </w:rPr>
        <w:t>500</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人·日，其他主要人员处</w:t>
      </w:r>
      <w:r>
        <w:rPr>
          <w:rFonts w:ascii="宋体" w:hAnsi="宋体"/>
          <w:color w:val="auto"/>
          <w:szCs w:val="21"/>
          <w:highlight w:val="none"/>
        </w:rPr>
        <w:t>100</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人·日。</w:t>
      </w:r>
    </w:p>
    <w:p w14:paraId="183D7BC2">
      <w:pPr>
        <w:spacing w:line="440" w:lineRule="exact"/>
        <w:ind w:firstLine="424"/>
        <w:rPr>
          <w:rFonts w:hint="eastAsia" w:ascii="宋体" w:hAnsi="宋体"/>
          <w:color w:val="auto"/>
          <w:szCs w:val="21"/>
          <w:highlight w:val="none"/>
        </w:rPr>
      </w:pPr>
      <w:r>
        <w:rPr>
          <w:rFonts w:ascii="宋体" w:hAnsi="宋体"/>
          <w:color w:val="auto"/>
          <w:szCs w:val="21"/>
          <w:highlight w:val="none"/>
        </w:rPr>
        <w:t>d.</w:t>
      </w:r>
      <w:r>
        <w:rPr>
          <w:rFonts w:hint="eastAsia" w:ascii="宋体" w:hAnsi="宋体"/>
          <w:color w:val="auto"/>
          <w:szCs w:val="21"/>
          <w:highlight w:val="none"/>
        </w:rPr>
        <w:t>主要设备没有按承诺进场的处</w:t>
      </w:r>
      <w:r>
        <w:rPr>
          <w:rFonts w:ascii="宋体" w:hAnsi="宋体"/>
          <w:color w:val="auto"/>
          <w:szCs w:val="21"/>
          <w:highlight w:val="none"/>
        </w:rPr>
        <w:t>500</w:t>
      </w:r>
      <w:r>
        <w:rPr>
          <w:rFonts w:hint="eastAsia" w:ascii="宋体" w:hAnsi="宋体"/>
          <w:color w:val="auto"/>
          <w:szCs w:val="21"/>
          <w:highlight w:val="none"/>
        </w:rPr>
        <w:t>元台</w:t>
      </w:r>
      <w:r>
        <w:rPr>
          <w:rFonts w:ascii="宋体" w:hAnsi="宋体"/>
          <w:color w:val="auto"/>
          <w:szCs w:val="21"/>
          <w:highlight w:val="none"/>
        </w:rPr>
        <w:t>/</w:t>
      </w:r>
      <w:r>
        <w:rPr>
          <w:rFonts w:hint="eastAsia" w:ascii="宋体" w:hAnsi="宋体"/>
          <w:color w:val="auto"/>
          <w:szCs w:val="21"/>
          <w:highlight w:val="none"/>
        </w:rPr>
        <w:t>日。</w:t>
      </w:r>
    </w:p>
    <w:p w14:paraId="09C17781">
      <w:pPr>
        <w:spacing w:line="440" w:lineRule="exact"/>
        <w:ind w:firstLine="424"/>
        <w:rPr>
          <w:rFonts w:hint="eastAsia" w:ascii="宋体" w:hAnsi="宋体"/>
          <w:color w:val="auto"/>
          <w:szCs w:val="21"/>
          <w:highlight w:val="none"/>
        </w:rPr>
      </w:pPr>
      <w:r>
        <w:rPr>
          <w:rFonts w:ascii="宋体" w:hAnsi="宋体"/>
          <w:color w:val="auto"/>
          <w:szCs w:val="21"/>
          <w:highlight w:val="none"/>
        </w:rPr>
        <w:t>22.1.2.4</w:t>
      </w:r>
      <w:r>
        <w:rPr>
          <w:rFonts w:hint="eastAsia" w:ascii="宋体" w:hAnsi="宋体"/>
          <w:color w:val="auto"/>
          <w:szCs w:val="21"/>
          <w:highlight w:val="none"/>
        </w:rPr>
        <w:t>有本项（</w:t>
      </w:r>
      <w:r>
        <w:rPr>
          <w:rFonts w:ascii="宋体" w:hAnsi="宋体"/>
          <w:color w:val="auto"/>
          <w:szCs w:val="21"/>
          <w:highlight w:val="none"/>
        </w:rPr>
        <w:t>9</w:t>
      </w:r>
      <w:r>
        <w:rPr>
          <w:rFonts w:hint="eastAsia" w:ascii="宋体" w:hAnsi="宋体"/>
          <w:color w:val="auto"/>
          <w:szCs w:val="21"/>
          <w:highlight w:val="none"/>
        </w:rPr>
        <w:t>）目行为的，可对承包人处以以下的违约金。</w:t>
      </w:r>
    </w:p>
    <w:p w14:paraId="5E1241EA">
      <w:pPr>
        <w:spacing w:line="440" w:lineRule="exact"/>
        <w:ind w:firstLine="424"/>
        <w:rPr>
          <w:rFonts w:hint="eastAsia" w:ascii="宋体" w:hAnsi="宋体"/>
          <w:color w:val="auto"/>
          <w:szCs w:val="21"/>
          <w:highlight w:val="none"/>
        </w:rPr>
      </w:pPr>
      <w:r>
        <w:rPr>
          <w:rFonts w:ascii="宋体" w:hAnsi="宋体"/>
          <w:color w:val="auto"/>
          <w:szCs w:val="21"/>
          <w:highlight w:val="none"/>
        </w:rPr>
        <w:t>a</w:t>
      </w:r>
      <w:r>
        <w:rPr>
          <w:rFonts w:hint="eastAsia" w:ascii="宋体" w:hAnsi="宋体"/>
          <w:color w:val="auto"/>
          <w:szCs w:val="21"/>
          <w:highlight w:val="none"/>
        </w:rPr>
        <w:t>．安全生产管理</w:t>
      </w:r>
    </w:p>
    <w:p w14:paraId="7D7794BB">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a</w:t>
      </w:r>
      <w:r>
        <w:rPr>
          <w:rFonts w:hint="eastAsia" w:ascii="宋体" w:hAnsi="宋体"/>
          <w:color w:val="auto"/>
          <w:szCs w:val="21"/>
          <w:highlight w:val="none"/>
        </w:rPr>
        <w:t>）出现下列行为之一可处</w:t>
      </w:r>
      <w:r>
        <w:rPr>
          <w:rFonts w:ascii="宋体" w:hAnsi="宋体"/>
          <w:color w:val="auto"/>
          <w:szCs w:val="21"/>
          <w:highlight w:val="none"/>
        </w:rPr>
        <w:t>100</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（人）次。</w:t>
      </w:r>
    </w:p>
    <w:p w14:paraId="6F91CB42">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Ⅰ需持证上岗人员无证上岗的；</w:t>
      </w:r>
    </w:p>
    <w:p w14:paraId="472F9099">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Ⅱ需配戴安全防护用具作业的；</w:t>
      </w:r>
    </w:p>
    <w:p w14:paraId="06CB0D89">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Ⅲ未经登记、安全培训教育上岗的。</w:t>
      </w:r>
    </w:p>
    <w:p w14:paraId="36D2ECFA">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b</w:t>
      </w:r>
      <w:r>
        <w:rPr>
          <w:rFonts w:hint="eastAsia" w:ascii="宋体" w:hAnsi="宋体"/>
          <w:color w:val="auto"/>
          <w:szCs w:val="21"/>
          <w:highlight w:val="none"/>
        </w:rPr>
        <w:t>）出现下列行为之一可处</w:t>
      </w:r>
      <w:r>
        <w:rPr>
          <w:rFonts w:ascii="宋体" w:hAnsi="宋体"/>
          <w:color w:val="auto"/>
          <w:szCs w:val="21"/>
          <w:highlight w:val="none"/>
        </w:rPr>
        <w:t>300</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处次。</w:t>
      </w:r>
    </w:p>
    <w:p w14:paraId="54DA131A">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Ⅰ　无专职安全检查人员；</w:t>
      </w:r>
    </w:p>
    <w:p w14:paraId="4D1BB5F2">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Ⅱ　无安全生产检查日志；</w:t>
      </w:r>
    </w:p>
    <w:p w14:paraId="3B1FD52A">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Ⅲ　作业点或危险施工路段安全标志不全；</w:t>
      </w:r>
    </w:p>
    <w:p w14:paraId="4F417457">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Ⅳ　安全标志（牌）、线（绳）不符国家规定的；</w:t>
      </w:r>
    </w:p>
    <w:p w14:paraId="1D18FD68">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Ⅴ　易燃易爆物品管理不符合管理要求。</w:t>
      </w:r>
    </w:p>
    <w:p w14:paraId="62BE436A">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c</w:t>
      </w:r>
      <w:r>
        <w:rPr>
          <w:rFonts w:hint="eastAsia" w:ascii="宋体" w:hAnsi="宋体"/>
          <w:color w:val="auto"/>
          <w:szCs w:val="21"/>
          <w:highlight w:val="none"/>
        </w:rPr>
        <w:t>）出现下列行为之一可处</w:t>
      </w:r>
      <w:r>
        <w:rPr>
          <w:rFonts w:ascii="宋体" w:hAnsi="宋体"/>
          <w:color w:val="auto"/>
          <w:szCs w:val="21"/>
          <w:highlight w:val="none"/>
        </w:rPr>
        <w:t>500</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处次。</w:t>
      </w:r>
    </w:p>
    <w:p w14:paraId="382D2209">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Ⅰ　施工作业点或施工形成的危险路段无规定的安全标志；</w:t>
      </w:r>
    </w:p>
    <w:p w14:paraId="367F75A8">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Ⅱ　需设安全防护设施的未按规定设置；</w:t>
      </w:r>
    </w:p>
    <w:p w14:paraId="52D18552">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Ⅲ　出现一般安全生事故负有责任的；</w:t>
      </w:r>
    </w:p>
    <w:p w14:paraId="4AF48C15">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Ⅳ　发生重大安全事故不按规定报告的。</w:t>
      </w:r>
    </w:p>
    <w:p w14:paraId="22AECDAF">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d</w:t>
      </w:r>
      <w:r>
        <w:rPr>
          <w:rFonts w:hint="eastAsia" w:ascii="宋体" w:hAnsi="宋体"/>
          <w:color w:val="auto"/>
          <w:szCs w:val="21"/>
          <w:highlight w:val="none"/>
        </w:rPr>
        <w:t>）出现下列行为之一可处</w:t>
      </w:r>
      <w:r>
        <w:rPr>
          <w:rFonts w:ascii="宋体" w:hAnsi="宋体"/>
          <w:color w:val="auto"/>
          <w:szCs w:val="21"/>
          <w:highlight w:val="none"/>
        </w:rPr>
        <w:t>5000</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处次。</w:t>
      </w:r>
    </w:p>
    <w:p w14:paraId="27157410">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出现重大安全生产事故负有责任的。</w:t>
      </w:r>
    </w:p>
    <w:p w14:paraId="7D125A35">
      <w:pPr>
        <w:spacing w:line="440" w:lineRule="exact"/>
        <w:ind w:firstLine="424"/>
        <w:rPr>
          <w:rFonts w:hint="eastAsia" w:ascii="宋体" w:hAnsi="宋体"/>
          <w:color w:val="auto"/>
          <w:szCs w:val="21"/>
          <w:highlight w:val="none"/>
        </w:rPr>
      </w:pPr>
      <w:r>
        <w:rPr>
          <w:rFonts w:ascii="宋体" w:hAnsi="宋体"/>
          <w:color w:val="auto"/>
          <w:szCs w:val="21"/>
          <w:highlight w:val="none"/>
        </w:rPr>
        <w:t>22.1.2.5</w:t>
      </w:r>
      <w:r>
        <w:rPr>
          <w:rFonts w:hint="eastAsia" w:ascii="宋体" w:hAnsi="宋体"/>
          <w:color w:val="auto"/>
          <w:szCs w:val="21"/>
          <w:highlight w:val="none"/>
        </w:rPr>
        <w:t>有本项（</w:t>
      </w:r>
      <w:r>
        <w:rPr>
          <w:rFonts w:ascii="宋体" w:hAnsi="宋体"/>
          <w:color w:val="auto"/>
          <w:szCs w:val="21"/>
          <w:highlight w:val="none"/>
        </w:rPr>
        <w:t>10</w:t>
      </w:r>
      <w:r>
        <w:rPr>
          <w:rFonts w:hint="eastAsia" w:ascii="宋体" w:hAnsi="宋体"/>
          <w:color w:val="auto"/>
          <w:szCs w:val="21"/>
          <w:highlight w:val="none"/>
        </w:rPr>
        <w:t>）目违反合同专用条款规定的其他重要规定，可对承包人处以以下的违约金。</w:t>
      </w:r>
    </w:p>
    <w:p w14:paraId="441B9FA3">
      <w:pPr>
        <w:spacing w:line="440" w:lineRule="exact"/>
        <w:ind w:firstLine="424"/>
        <w:rPr>
          <w:rFonts w:hint="eastAsia" w:ascii="宋体" w:hAnsi="宋体"/>
          <w:color w:val="auto"/>
          <w:szCs w:val="21"/>
          <w:highlight w:val="none"/>
        </w:rPr>
      </w:pPr>
      <w:r>
        <w:rPr>
          <w:rFonts w:ascii="宋体" w:hAnsi="宋体"/>
          <w:color w:val="auto"/>
          <w:szCs w:val="21"/>
          <w:highlight w:val="none"/>
        </w:rPr>
        <w:t>a.</w:t>
      </w:r>
      <w:r>
        <w:rPr>
          <w:rFonts w:hint="eastAsia" w:ascii="宋体" w:hAnsi="宋体"/>
          <w:color w:val="auto"/>
          <w:szCs w:val="21"/>
          <w:highlight w:val="none"/>
        </w:rPr>
        <w:t>质量管理</w:t>
      </w:r>
    </w:p>
    <w:p w14:paraId="72C7F7C5">
      <w:pPr>
        <w:spacing w:line="440" w:lineRule="exact"/>
        <w:ind w:firstLine="424"/>
        <w:rPr>
          <w:rFonts w:hint="eastAsia" w:ascii="宋体" w:hAnsi="宋体"/>
          <w:color w:val="auto"/>
          <w:szCs w:val="21"/>
          <w:highlight w:val="none"/>
        </w:rPr>
      </w:pPr>
      <w:r>
        <w:rPr>
          <w:rFonts w:ascii="宋体" w:hAnsi="宋体"/>
          <w:color w:val="auto"/>
          <w:szCs w:val="21"/>
          <w:highlight w:val="none"/>
        </w:rPr>
        <w:t>(a)</w:t>
      </w:r>
      <w:r>
        <w:rPr>
          <w:rFonts w:hint="eastAsia" w:ascii="宋体" w:hAnsi="宋体"/>
          <w:color w:val="auto"/>
          <w:szCs w:val="21"/>
          <w:highlight w:val="none"/>
        </w:rPr>
        <w:t>出现下列行为之一可处</w:t>
      </w:r>
      <w:r>
        <w:rPr>
          <w:rFonts w:ascii="宋体" w:hAnsi="宋体"/>
          <w:color w:val="auto"/>
          <w:szCs w:val="21"/>
          <w:highlight w:val="none"/>
        </w:rPr>
        <w:t>100</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（人）次。</w:t>
      </w:r>
    </w:p>
    <w:p w14:paraId="7C792C4F">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Ⅰ分项工程施工现场无合格的施工责任牌；</w:t>
      </w:r>
    </w:p>
    <w:p w14:paraId="4FA5DAB2">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Ⅱ分项工程施工现场无其相关责任人；</w:t>
      </w:r>
    </w:p>
    <w:p w14:paraId="28C3AC37">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Ⅲ施工现场无基本的检测检验工具；</w:t>
      </w:r>
    </w:p>
    <w:p w14:paraId="75B293BE">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Ⅳ施工现场相关责任人无检查检验记录表；</w:t>
      </w:r>
    </w:p>
    <w:p w14:paraId="5EDAD117">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Ⅴ现场已完成工作无检查记录。</w:t>
      </w:r>
    </w:p>
    <w:p w14:paraId="0B943CF2">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b</w:t>
      </w:r>
      <w:r>
        <w:rPr>
          <w:rFonts w:hint="eastAsia" w:ascii="宋体" w:hAnsi="宋体"/>
          <w:color w:val="auto"/>
          <w:szCs w:val="21"/>
          <w:highlight w:val="none"/>
        </w:rPr>
        <w:t>）出现以下行为之一，可处</w:t>
      </w:r>
      <w:r>
        <w:rPr>
          <w:rFonts w:ascii="宋体" w:hAnsi="宋体"/>
          <w:color w:val="auto"/>
          <w:szCs w:val="21"/>
          <w:highlight w:val="none"/>
        </w:rPr>
        <w:t>500</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次。</w:t>
      </w:r>
    </w:p>
    <w:p w14:paraId="50F2BE5E">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Ⅰ　未按工序申请检验进入下一道工序的；</w:t>
      </w:r>
    </w:p>
    <w:p w14:paraId="0B7E0DAB">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Ⅱ　隐蔽工程记录文件不全；</w:t>
      </w:r>
    </w:p>
    <w:p w14:paraId="7DDF13B6">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Ⅲ　施工试验检验频率不符合施工规范规定；</w:t>
      </w:r>
    </w:p>
    <w:p w14:paraId="72042EF7">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Ⅳ　分项工程质量自检验收检验频率不符合质量评定标准规定的。</w:t>
      </w:r>
    </w:p>
    <w:p w14:paraId="258AB1B1">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c</w:t>
      </w:r>
      <w:r>
        <w:rPr>
          <w:rFonts w:hint="eastAsia" w:ascii="宋体" w:hAnsi="宋体"/>
          <w:color w:val="auto"/>
          <w:szCs w:val="21"/>
          <w:highlight w:val="none"/>
        </w:rPr>
        <w:t>）出现以下行为之一，可处</w:t>
      </w:r>
      <w:r>
        <w:rPr>
          <w:rFonts w:ascii="宋体" w:hAnsi="宋体"/>
          <w:color w:val="auto"/>
          <w:szCs w:val="21"/>
          <w:highlight w:val="none"/>
        </w:rPr>
        <w:t>1000</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次。</w:t>
      </w:r>
    </w:p>
    <w:p w14:paraId="54CFA5CC">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Ⅰ　出现质量问题，且承包人负有直接责任的，或不能证明其履行其职责的。</w:t>
      </w:r>
    </w:p>
    <w:p w14:paraId="3D185C6D">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Ⅱ　发生质量事故，未按有关规定和时间向有关部门报告的；</w:t>
      </w:r>
    </w:p>
    <w:p w14:paraId="6A9E88DA">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Ⅲ　已经施工完成的工程没有按竣工文件收集归档管理办法要求依分项工程、工序将施工作业记录、测量记录、试验检测记录及工序报验审批记录等收集归档。</w:t>
      </w:r>
    </w:p>
    <w:p w14:paraId="5EF5096E">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 xml:space="preserve">d </w:t>
      </w:r>
      <w:r>
        <w:rPr>
          <w:rFonts w:hint="eastAsia" w:ascii="宋体" w:hAnsi="宋体"/>
          <w:color w:val="auto"/>
          <w:szCs w:val="21"/>
          <w:highlight w:val="none"/>
        </w:rPr>
        <w:t>）出现以下行为之一，可处</w:t>
      </w:r>
      <w:r>
        <w:rPr>
          <w:rFonts w:ascii="宋体" w:hAnsi="宋体"/>
          <w:color w:val="auto"/>
          <w:szCs w:val="21"/>
          <w:highlight w:val="none"/>
        </w:rPr>
        <w:t>3000</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次。</w:t>
      </w:r>
    </w:p>
    <w:p w14:paraId="7977B2EC">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Ⅰ　施工单位不接受质监机构监督；</w:t>
      </w:r>
    </w:p>
    <w:p w14:paraId="00181281">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Ⅱ　出现二、三级一般质量事故，且承包人负有直接责任，或不能证明其履行其职责的；</w:t>
      </w:r>
    </w:p>
    <w:p w14:paraId="368AA1A0">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Ⅲ构造物、中小型预制构件等一次单点实体抽查合格率为</w:t>
      </w:r>
      <w:r>
        <w:rPr>
          <w:rFonts w:ascii="宋体" w:hAnsi="宋体"/>
          <w:color w:val="auto"/>
          <w:szCs w:val="21"/>
          <w:highlight w:val="none"/>
        </w:rPr>
        <w:t>50%—75%</w:t>
      </w:r>
      <w:r>
        <w:rPr>
          <w:rFonts w:hint="eastAsia" w:ascii="宋体" w:hAnsi="宋体"/>
          <w:color w:val="auto"/>
          <w:szCs w:val="21"/>
          <w:highlight w:val="none"/>
        </w:rPr>
        <w:t>的；</w:t>
      </w:r>
    </w:p>
    <w:p w14:paraId="7F674AE5">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Ⅳ　使用主要材料（钢筋、水泥、沥青、碎石、砂、砂砾等）不合格的。</w:t>
      </w:r>
    </w:p>
    <w:p w14:paraId="38B11D84">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Ⅴ　已经施工完成的工程无法提供按竣工文件收集归档管理办法要求应收集的分项工程、工序的施工作业记录、测量记录、试验检测记录及工序报验审批记录等质量管理文件的。</w:t>
      </w:r>
    </w:p>
    <w:p w14:paraId="7DC62133">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e</w:t>
      </w:r>
      <w:r>
        <w:rPr>
          <w:rFonts w:hint="eastAsia" w:ascii="宋体" w:hAnsi="宋体"/>
          <w:color w:val="auto"/>
          <w:szCs w:val="21"/>
          <w:highlight w:val="none"/>
        </w:rPr>
        <w:t>）出现以下行为之一，可处</w:t>
      </w:r>
      <w:r>
        <w:rPr>
          <w:rFonts w:ascii="宋体" w:hAnsi="宋体"/>
          <w:color w:val="auto"/>
          <w:szCs w:val="21"/>
          <w:highlight w:val="none"/>
        </w:rPr>
        <w:t>5000</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次。</w:t>
      </w:r>
    </w:p>
    <w:p w14:paraId="34F48FF9">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Ⅰ发生一级一般质量事故或重大质量事故，且承包人负有直接责任，或不能证明其履行其职责的；或</w:t>
      </w:r>
    </w:p>
    <w:p w14:paraId="25441368">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Ⅱ构造物、中小型预制构件等一次单点实体抽查合格率小于</w:t>
      </w:r>
      <w:r>
        <w:rPr>
          <w:rFonts w:ascii="宋体" w:hAnsi="宋体"/>
          <w:color w:val="auto"/>
          <w:szCs w:val="21"/>
          <w:highlight w:val="none"/>
        </w:rPr>
        <w:t>50%</w:t>
      </w:r>
      <w:r>
        <w:rPr>
          <w:rFonts w:hint="eastAsia" w:ascii="宋体" w:hAnsi="宋体"/>
          <w:color w:val="auto"/>
          <w:szCs w:val="21"/>
          <w:highlight w:val="none"/>
        </w:rPr>
        <w:t>的；</w:t>
      </w:r>
    </w:p>
    <w:p w14:paraId="3FA94F5A">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Ⅲ未按要求进行自检，弄虚作假、捏造数据、伪造试验报告的。</w:t>
      </w:r>
    </w:p>
    <w:p w14:paraId="5D560FFA">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f</w:t>
      </w:r>
      <w:r>
        <w:rPr>
          <w:rFonts w:hint="eastAsia" w:ascii="宋体" w:hAnsi="宋体"/>
          <w:color w:val="auto"/>
          <w:szCs w:val="21"/>
          <w:highlight w:val="none"/>
        </w:rPr>
        <w:t>）因质量问题被地市级及以上交通主管部门、质量监督单位、公路管理机构通报（批评）的，可对承包人处以</w:t>
      </w:r>
      <w:r>
        <w:rPr>
          <w:rFonts w:ascii="宋体" w:hAnsi="宋体"/>
          <w:color w:val="auto"/>
          <w:szCs w:val="21"/>
          <w:highlight w:val="none"/>
        </w:rPr>
        <w:t>10000</w:t>
      </w:r>
      <w:r>
        <w:rPr>
          <w:rFonts w:hint="eastAsia" w:ascii="宋体" w:hAnsi="宋体"/>
          <w:color w:val="auto"/>
          <w:szCs w:val="21"/>
          <w:highlight w:val="none"/>
        </w:rPr>
        <w:t>元违约金，红牌警告</w:t>
      </w:r>
      <w:r>
        <w:rPr>
          <w:rFonts w:ascii="宋体" w:hAnsi="宋体"/>
          <w:color w:val="auto"/>
          <w:szCs w:val="21"/>
          <w:highlight w:val="none"/>
        </w:rPr>
        <w:t>5000</w:t>
      </w:r>
      <w:r>
        <w:rPr>
          <w:rFonts w:hint="eastAsia" w:ascii="宋体" w:hAnsi="宋体"/>
          <w:color w:val="auto"/>
          <w:szCs w:val="21"/>
          <w:highlight w:val="none"/>
        </w:rPr>
        <w:t>元，黄牌警告</w:t>
      </w:r>
      <w:r>
        <w:rPr>
          <w:rFonts w:ascii="宋体" w:hAnsi="宋体"/>
          <w:color w:val="auto"/>
          <w:szCs w:val="21"/>
          <w:highlight w:val="none"/>
        </w:rPr>
        <w:t>3000</w:t>
      </w:r>
      <w:r>
        <w:rPr>
          <w:rFonts w:hint="eastAsia" w:ascii="宋体" w:hAnsi="宋体"/>
          <w:color w:val="auto"/>
          <w:szCs w:val="21"/>
          <w:highlight w:val="none"/>
        </w:rPr>
        <w:t>元。</w:t>
      </w:r>
    </w:p>
    <w:p w14:paraId="49AFD352">
      <w:pPr>
        <w:spacing w:line="440" w:lineRule="exact"/>
        <w:ind w:firstLine="424"/>
        <w:rPr>
          <w:rFonts w:hint="eastAsia" w:ascii="宋体" w:hAnsi="宋体"/>
          <w:color w:val="auto"/>
          <w:szCs w:val="21"/>
          <w:highlight w:val="none"/>
        </w:rPr>
      </w:pPr>
      <w:r>
        <w:rPr>
          <w:rFonts w:ascii="宋体" w:hAnsi="宋体"/>
          <w:color w:val="auto"/>
          <w:szCs w:val="21"/>
          <w:highlight w:val="none"/>
        </w:rPr>
        <w:t>b</w:t>
      </w:r>
      <w:r>
        <w:rPr>
          <w:rFonts w:hint="eastAsia" w:ascii="宋体" w:hAnsi="宋体"/>
          <w:color w:val="auto"/>
          <w:szCs w:val="21"/>
          <w:highlight w:val="none"/>
        </w:rPr>
        <w:t>．文明施工与环境保护，交通通畅</w:t>
      </w:r>
    </w:p>
    <w:p w14:paraId="794AC109">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a</w:t>
      </w:r>
      <w:r>
        <w:rPr>
          <w:rFonts w:hint="eastAsia" w:ascii="宋体" w:hAnsi="宋体"/>
          <w:color w:val="auto"/>
          <w:szCs w:val="21"/>
          <w:highlight w:val="none"/>
        </w:rPr>
        <w:t>）由于施工原因造成污染、破坏被群众向政府、主管单位投诉或被环保、水利部门责令整改的，处</w:t>
      </w:r>
      <w:r>
        <w:rPr>
          <w:rFonts w:ascii="宋体" w:hAnsi="宋体"/>
          <w:color w:val="auto"/>
          <w:szCs w:val="21"/>
          <w:highlight w:val="none"/>
        </w:rPr>
        <w:t>1000</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次。</w:t>
      </w:r>
    </w:p>
    <w:p w14:paraId="43DC64B7">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b</w:t>
      </w:r>
      <w:r>
        <w:rPr>
          <w:rFonts w:hint="eastAsia" w:ascii="宋体" w:hAnsi="宋体"/>
          <w:color w:val="auto"/>
          <w:szCs w:val="21"/>
          <w:highlight w:val="none"/>
        </w:rPr>
        <w:t>）其他重要规定违约处理</w:t>
      </w:r>
    </w:p>
    <w:p w14:paraId="7910906D">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　有下列行为之一的处</w:t>
      </w:r>
      <w:r>
        <w:rPr>
          <w:rFonts w:ascii="宋体" w:hAnsi="宋体"/>
          <w:color w:val="auto"/>
          <w:szCs w:val="21"/>
          <w:highlight w:val="none"/>
        </w:rPr>
        <w:t>500</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人次违约金并责令承包人进行整改。</w:t>
      </w:r>
    </w:p>
    <w:p w14:paraId="0B819E89">
      <w:pPr>
        <w:spacing w:line="440" w:lineRule="exact"/>
        <w:ind w:firstLine="424"/>
        <w:rPr>
          <w:rFonts w:hint="eastAsia" w:ascii="宋体" w:hAnsi="宋体"/>
          <w:color w:val="auto"/>
          <w:szCs w:val="21"/>
          <w:highlight w:val="none"/>
        </w:rPr>
      </w:pPr>
      <w:r>
        <w:rPr>
          <w:rFonts w:ascii="宋体" w:hAnsi="宋体"/>
          <w:color w:val="auto"/>
          <w:szCs w:val="21"/>
          <w:highlight w:val="none"/>
        </w:rPr>
        <w:t>a)</w:t>
      </w:r>
      <w:r>
        <w:rPr>
          <w:rFonts w:hint="eastAsia" w:ascii="宋体" w:hAnsi="宋体"/>
          <w:color w:val="auto"/>
          <w:szCs w:val="21"/>
          <w:highlight w:val="none"/>
        </w:rPr>
        <w:t>、劳务人员未按规定签订聘用合同并向业主、监理工程师报备；</w:t>
      </w:r>
    </w:p>
    <w:p w14:paraId="06ABA7D8">
      <w:pPr>
        <w:spacing w:line="440" w:lineRule="exact"/>
        <w:ind w:firstLine="424"/>
        <w:rPr>
          <w:rFonts w:hint="eastAsia" w:ascii="宋体" w:hAnsi="宋体"/>
          <w:color w:val="auto"/>
          <w:szCs w:val="21"/>
          <w:highlight w:val="none"/>
        </w:rPr>
      </w:pPr>
      <w:r>
        <w:rPr>
          <w:rFonts w:ascii="宋体" w:hAnsi="宋体"/>
          <w:color w:val="auto"/>
          <w:szCs w:val="21"/>
          <w:highlight w:val="none"/>
        </w:rPr>
        <w:t>b)</w:t>
      </w:r>
      <w:r>
        <w:rPr>
          <w:rFonts w:hint="eastAsia" w:ascii="宋体" w:hAnsi="宋体"/>
          <w:color w:val="auto"/>
          <w:szCs w:val="21"/>
          <w:highlight w:val="none"/>
        </w:rPr>
        <w:t>、签订的劳务合同不符合劳动法等法规要求；</w:t>
      </w:r>
    </w:p>
    <w:p w14:paraId="0252B42F">
      <w:pPr>
        <w:spacing w:line="440" w:lineRule="exact"/>
        <w:ind w:firstLine="424"/>
        <w:rPr>
          <w:rFonts w:hint="eastAsia" w:ascii="宋体" w:hAnsi="宋体"/>
          <w:color w:val="auto"/>
          <w:szCs w:val="21"/>
          <w:highlight w:val="none"/>
        </w:rPr>
      </w:pPr>
      <w:r>
        <w:rPr>
          <w:rFonts w:ascii="宋体" w:hAnsi="宋体"/>
          <w:color w:val="auto"/>
          <w:szCs w:val="21"/>
          <w:highlight w:val="none"/>
        </w:rPr>
        <w:t>c)</w:t>
      </w:r>
      <w:r>
        <w:rPr>
          <w:rFonts w:hint="eastAsia" w:ascii="宋体" w:hAnsi="宋体"/>
          <w:color w:val="auto"/>
          <w:szCs w:val="21"/>
          <w:highlight w:val="none"/>
        </w:rPr>
        <w:t>、劳务人员未编入承包人施工班组，并持项目经理签发的劳务上岗证上岗。</w:t>
      </w:r>
    </w:p>
    <w:p w14:paraId="39D710B8">
      <w:pPr>
        <w:spacing w:line="440" w:lineRule="exact"/>
        <w:ind w:firstLine="424"/>
        <w:rPr>
          <w:rFonts w:hint="eastAsia" w:ascii="宋体" w:hAnsi="宋体"/>
          <w:color w:val="auto"/>
          <w:szCs w:val="21"/>
          <w:highlight w:val="none"/>
        </w:rPr>
      </w:pPr>
      <w:r>
        <w:rPr>
          <w:rFonts w:ascii="宋体" w:hAnsi="宋体"/>
          <w:color w:val="auto"/>
          <w:szCs w:val="21"/>
          <w:highlight w:val="none"/>
        </w:rPr>
        <w:t>22.1.3</w:t>
      </w:r>
      <w:r>
        <w:rPr>
          <w:rFonts w:hint="eastAsia" w:ascii="宋体" w:hAnsi="宋体"/>
          <w:color w:val="auto"/>
          <w:szCs w:val="21"/>
          <w:highlight w:val="none"/>
        </w:rPr>
        <w:t>上述被处的违约金在计量支付时从履约担保金中扣除，当扣除额达履约担保金总额</w:t>
      </w:r>
      <w:r>
        <w:rPr>
          <w:rFonts w:ascii="宋体" w:hAnsi="宋体"/>
          <w:color w:val="auto"/>
          <w:szCs w:val="21"/>
          <w:highlight w:val="none"/>
        </w:rPr>
        <w:t>30%</w:t>
      </w:r>
      <w:r>
        <w:rPr>
          <w:rFonts w:hint="eastAsia" w:ascii="宋体" w:hAnsi="宋体"/>
          <w:color w:val="auto"/>
          <w:szCs w:val="21"/>
          <w:highlight w:val="none"/>
        </w:rPr>
        <w:t>时，承包人无条件进行足额补充。</w:t>
      </w:r>
    </w:p>
    <w:p w14:paraId="0AA92BAE">
      <w:pPr>
        <w:spacing w:line="440" w:lineRule="exact"/>
        <w:ind w:firstLine="424"/>
        <w:rPr>
          <w:rFonts w:hint="eastAsia" w:ascii="宋体" w:hAnsi="宋体"/>
          <w:color w:val="auto"/>
          <w:szCs w:val="21"/>
          <w:highlight w:val="none"/>
        </w:rPr>
      </w:pPr>
      <w:r>
        <w:rPr>
          <w:rFonts w:ascii="宋体" w:hAnsi="宋体"/>
          <w:color w:val="auto"/>
          <w:szCs w:val="21"/>
          <w:highlight w:val="none"/>
        </w:rPr>
        <w:t>22.1.4</w:t>
      </w:r>
      <w:r>
        <w:rPr>
          <w:rFonts w:hint="eastAsia" w:ascii="宋体" w:hAnsi="宋体"/>
          <w:color w:val="auto"/>
          <w:szCs w:val="21"/>
          <w:highlight w:val="none"/>
        </w:rPr>
        <w:t>业主（项目法人）按合同进行违约处理后，并不解除承包人按照国家法规与合同应承担的责任与义务。</w:t>
      </w:r>
    </w:p>
    <w:p w14:paraId="16FD6B9C">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25.其它（增加）</w:t>
      </w:r>
    </w:p>
    <w:p w14:paraId="1315F865">
      <w:pPr>
        <w:spacing w:line="440" w:lineRule="exact"/>
        <w:ind w:firstLine="424"/>
        <w:rPr>
          <w:rFonts w:hint="eastAsia" w:ascii="宋体" w:hAnsi="宋体"/>
          <w:color w:val="auto"/>
          <w:szCs w:val="21"/>
          <w:highlight w:val="none"/>
        </w:rPr>
      </w:pPr>
      <w:r>
        <w:rPr>
          <w:rFonts w:hint="eastAsia" w:ascii="宋体" w:hAnsi="宋体"/>
          <w:color w:val="auto"/>
          <w:szCs w:val="21"/>
          <w:highlight w:val="none"/>
        </w:rPr>
        <w:t>25.1（增加）承包人应严格按照《中华人民共和国农业法》《中华人民共和国土地管理法》《基本农田保护条例》等的规定占用或使用土地，切实保护耕地，承包人的临时用地应作好复耕、绿化、地质灾害防护或恢复至使用状态。同时，在工程施工中，依据国家和地方有关环境的法律法规和文件、环境影响报告书、有关技术规范及设计文件等，在生态保护、水土保持、地质灾害防治、绿化、污染物防治等方面执行有关环境规定。对承包人违反耕地保护和环境保护的相关规定的，监理工程师有权作出指令要求承包人进行整改或修复并监理工程师满意，若承包人不执行监理工程师指令的，监理工程师有权中止支付或另行处理，所发生费用由承包人承担。</w:t>
      </w:r>
    </w:p>
    <w:p w14:paraId="40AECACA">
      <w:pPr>
        <w:widowControl/>
        <w:spacing w:before="100" w:after="100" w:line="360" w:lineRule="auto"/>
        <w:ind w:firstLine="960"/>
        <w:jc w:val="center"/>
        <w:rPr>
          <w:rFonts w:hint="eastAsia" w:ascii="宋体" w:hAnsi="宋体" w:cs="宋体"/>
          <w:color w:val="auto"/>
          <w:sz w:val="28"/>
          <w:szCs w:val="28"/>
          <w:highlight w:val="none"/>
        </w:rPr>
      </w:pPr>
    </w:p>
    <w:sectPr>
      <w:footerReference r:id="rId9" w:type="first"/>
      <w:footerReference r:id="rId8" w:type="default"/>
      <w:pgSz w:w="11906" w:h="16838"/>
      <w:pgMar w:top="1440" w:right="1440" w:bottom="1440" w:left="1587" w:header="851" w:footer="992" w:gutter="0"/>
      <w:cols w:space="1701"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Times New Roma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宋体正文">
    <w:altName w:val="宋体"/>
    <w:panose1 w:val="00000000000000000000"/>
    <w:charset w:val="00"/>
    <w:family w:val="auto"/>
    <w:pitch w:val="default"/>
    <w:sig w:usb0="00000000" w:usb1="00000000" w:usb2="00000000" w:usb3="00000000" w:csb0="00000000" w:csb1="00000000"/>
  </w:font>
  <w:font w:name="MingLiU">
    <w:panose1 w:val="02020309000000000000"/>
    <w:charset w:val="88"/>
    <w:family w:val="modern"/>
    <w:pitch w:val="default"/>
    <w:sig w:usb0="00000003" w:usb1="082E0000" w:usb2="00000016" w:usb3="00000000" w:csb0="00100001" w:csb1="00000000"/>
  </w:font>
  <w:font w:name="方正小标宋简体">
    <w:panose1 w:val="03000509000000000000"/>
    <w:charset w:val="86"/>
    <w:family w:val="script"/>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楷体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56578">
    <w:pPr>
      <w:pStyle w:val="247"/>
      <w:tabs>
        <w:tab w:val="center" w:pos="4439"/>
      </w:tabs>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232720696" name="文本框 7"/>
              <wp:cNvGraphicFramePr/>
              <a:graphic xmlns:a="http://schemas.openxmlformats.org/drawingml/2006/main">
                <a:graphicData uri="http://schemas.microsoft.com/office/word/2010/wordprocessingShape">
                  <wps:wsp>
                    <wps:cNvSpPr txBox="1"/>
                    <wps:spPr bwMode="auto">
                      <a:xfrm>
                        <a:off x="0" y="0"/>
                        <a:ext cx="57785" cy="131445"/>
                      </a:xfrm>
                      <a:prstGeom prst="rect">
                        <a:avLst/>
                      </a:prstGeom>
                      <a:noFill/>
                      <a:ln>
                        <a:noFill/>
                      </a:ln>
                    </wps:spPr>
                    <wps:txbx>
                      <w:txbxContent>
                        <w:p w14:paraId="36847789">
                          <w:pPr>
                            <w:pStyle w:val="247"/>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7"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L3UTQAAAAAgEAAA8AAAAAAAAA&#10;AQAgAAAAIgAAAGRycy9kb3ducmV2LnhtbFBLAQIUABQAAAAIAIdO4kCH0sep4AEAAKwDAAAOAAAA&#10;AAAAAAEAIAAAAB8BAABkcnMvZTJvRG9jLnhtbFBLBQYAAAAABgAGAFkBAABxBQAAAAA=&#10;">
              <v:fill on="f" focussize="0,0"/>
              <v:stroke on="f"/>
              <v:imagedata o:title=""/>
              <o:lock v:ext="edit" aspectratio="f"/>
              <v:textbox inset="0mm,0mm,0mm,0mm" style="mso-fit-shape-to-text:t;">
                <w:txbxContent>
                  <w:p w14:paraId="36847789">
                    <w:pPr>
                      <w:pStyle w:val="247"/>
                    </w:pPr>
                    <w:r>
                      <w:fldChar w:fldCharType="begin"/>
                    </w:r>
                    <w:r>
                      <w:instrText xml:space="preserve"> PAGE  \* MERGEFORMAT </w:instrText>
                    </w:r>
                    <w:r>
                      <w:fldChar w:fldCharType="separate"/>
                    </w:r>
                    <w:r>
                      <w:t>1</w:t>
                    </w:r>
                    <w:r>
                      <w:fldChar w:fldCharType="end"/>
                    </w:r>
                  </w:p>
                </w:txbxContent>
              </v:textbox>
            </v:shape>
          </w:pict>
        </mc:Fallback>
      </mc:AlternateContent>
    </w:r>
  </w:p>
  <w:p w14:paraId="3D2283F6">
    <w:pPr>
      <w:pStyle w:val="24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EF525">
    <w:pPr>
      <w:pStyle w:val="247"/>
      <w:tabs>
        <w:tab w:val="center" w:pos="4439"/>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3035"/>
              <wp:effectExtent l="0" t="0" r="0" b="0"/>
              <wp:wrapNone/>
              <wp:docPr id="1093611130" name="文本框 5"/>
              <wp:cNvGraphicFramePr/>
              <a:graphic xmlns:a="http://schemas.openxmlformats.org/drawingml/2006/main">
                <a:graphicData uri="http://schemas.microsoft.com/office/word/2010/wordprocessingShape">
                  <wps:wsp>
                    <wps:cNvSpPr txBox="1"/>
                    <wps:spPr bwMode="auto">
                      <a:xfrm>
                        <a:off x="0" y="0"/>
                        <a:ext cx="114935" cy="153035"/>
                      </a:xfrm>
                      <a:prstGeom prst="rect">
                        <a:avLst/>
                      </a:prstGeom>
                      <a:noFill/>
                      <a:ln>
                        <a:noFill/>
                      </a:ln>
                    </wps:spPr>
                    <wps:txbx>
                      <w:txbxContent>
                        <w:p w14:paraId="446AD0CD"/>
                      </w:txbxContent>
                    </wps:txbx>
                    <wps:bodyPr wrap="none" lIns="0" tIns="0" rIns="0" bIns="0" upright="1">
                      <a:spAutoFit/>
                    </wps:bodyPr>
                  </wps:wsp>
                </a:graphicData>
              </a:graphic>
            </wp:anchor>
          </w:drawing>
        </mc:Choice>
        <mc:Fallback>
          <w:pict>
            <v:shape id="文本框 5" o:spid="_x0000_s1026" o:spt="202" type="#_x0000_t202"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JBU+a0AAAAAMBAAAPAAAAAAAAAAEA&#10;IAAAACIAAABkcnMvZG93bnJldi54bWxQSwECFAAUAAAACACHTuJAI8pw5d4BAACuAwAADgAAAAAA&#10;AAABACAAAAAfAQAAZHJzL2Uyb0RvYy54bWxQSwUGAAAAAAYABgBZAQAAbwUAAAAA&#10;">
              <v:fill on="f" focussize="0,0"/>
              <v:stroke on="f"/>
              <v:imagedata o:title=""/>
              <o:lock v:ext="edit" aspectratio="f"/>
              <v:textbox inset="0mm,0mm,0mm,0mm" style="mso-fit-shape-to-text:t;">
                <w:txbxContent>
                  <w:p w14:paraId="446AD0CD"/>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A93FE">
    <w:pPr>
      <w:pStyle w:val="24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780684231" name="文本框 3"/>
              <wp:cNvGraphicFramePr/>
              <a:graphic xmlns:a="http://schemas.openxmlformats.org/drawingml/2006/main">
                <a:graphicData uri="http://schemas.microsoft.com/office/word/2010/wordprocessingShape">
                  <wps:wsp>
                    <wps:cNvSpPr txBox="1"/>
                    <wps:spPr bwMode="auto">
                      <a:xfrm>
                        <a:off x="0" y="0"/>
                        <a:ext cx="57785" cy="131445"/>
                      </a:xfrm>
                      <a:prstGeom prst="rect">
                        <a:avLst/>
                      </a:prstGeom>
                      <a:noFill/>
                      <a:ln>
                        <a:noFill/>
                      </a:ln>
                    </wps:spPr>
                    <wps:txbx>
                      <w:txbxContent>
                        <w:p w14:paraId="6B143B9F">
                          <w:pPr>
                            <w:pStyle w:val="247"/>
                            <w:jc w:val="center"/>
                          </w:pPr>
                          <w:r>
                            <w:fldChar w:fldCharType="begin"/>
                          </w:r>
                          <w:r>
                            <w:instrText xml:space="preserve"> PAGE  \* MERGEFORMAT </w:instrText>
                          </w:r>
                          <w:r>
                            <w:fldChar w:fldCharType="separate"/>
                          </w:r>
                          <w:r>
                            <w:t>111</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4vdRNAAAAACAQAADwAAAAAAAAAB&#10;ACAAAAAiAAAAZHJzL2Rvd25yZXYueG1sUEsBAhQAFAAAAAgAh07iQNIKHzPfAQAArQMAAA4AAAAA&#10;AAAAAQAgAAAAHwEAAGRycy9lMm9Eb2MueG1sUEsFBgAAAAAGAAYAWQEAAHAFAAAAAA==&#10;">
              <v:fill on="f" focussize="0,0"/>
              <v:stroke on="f"/>
              <v:imagedata o:title=""/>
              <o:lock v:ext="edit" aspectratio="f"/>
              <v:textbox inset="0mm,0mm,0mm,0mm" style="mso-fit-shape-to-text:t;">
                <w:txbxContent>
                  <w:p w14:paraId="6B143B9F">
                    <w:pPr>
                      <w:pStyle w:val="247"/>
                      <w:jc w:val="center"/>
                    </w:pPr>
                    <w:r>
                      <w:fldChar w:fldCharType="begin"/>
                    </w:r>
                    <w:r>
                      <w:instrText xml:space="preserve"> PAGE  \* MERGEFORMAT </w:instrText>
                    </w:r>
                    <w:r>
                      <w:fldChar w:fldCharType="separate"/>
                    </w:r>
                    <w:r>
                      <w:t>111</w:t>
                    </w:r>
                    <w:r>
                      <w:fldChar w:fldCharType="end"/>
                    </w:r>
                  </w:p>
                </w:txbxContent>
              </v:textbox>
            </v:shape>
          </w:pict>
        </mc:Fallback>
      </mc:AlternateContent>
    </w:r>
  </w:p>
  <w:p w14:paraId="56BC396D">
    <w:pPr>
      <w:pStyle w:val="24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27EFA">
    <w:pPr>
      <w:pStyle w:val="247"/>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31445"/>
              <wp:effectExtent l="0" t="0" r="0" b="0"/>
              <wp:wrapNone/>
              <wp:docPr id="2132871652" name="文本框 1"/>
              <wp:cNvGraphicFramePr/>
              <a:graphic xmlns:a="http://schemas.openxmlformats.org/drawingml/2006/main">
                <a:graphicData uri="http://schemas.microsoft.com/office/word/2010/wordprocessingShape">
                  <wps:wsp>
                    <wps:cNvSpPr txBox="1"/>
                    <wps:spPr bwMode="auto">
                      <a:xfrm>
                        <a:off x="0" y="0"/>
                        <a:ext cx="57785" cy="131445"/>
                      </a:xfrm>
                      <a:prstGeom prst="rect">
                        <a:avLst/>
                      </a:prstGeom>
                      <a:noFill/>
                      <a:ln>
                        <a:noFill/>
                      </a:ln>
                    </wps:spPr>
                    <wps:txbx>
                      <w:txbxContent>
                        <w:p w14:paraId="4BCF1221">
                          <w:pPr>
                            <w:pStyle w:val="247"/>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0.35pt;width:4.55pt;mso-position-horizontal:center;mso-position-horizontal-relative:margin;mso-wrap-style:none;z-index:251662336;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L3UTQAAAAAgEAAA8AAAAAAAAA&#10;AQAgAAAAIgAAAGRycy9kb3ducmV2LnhtbFBLAQIUABQAAAAIAIdO4kCC77Di4AEAAK0DAAAOAAAA&#10;AAAAAAEAIAAAAB8BAABkcnMvZTJvRG9jLnhtbFBLBQYAAAAABgAGAFkBAABxBQAAAAA=&#10;">
              <v:fill on="f" focussize="0,0"/>
              <v:stroke on="f"/>
              <v:imagedata o:title=""/>
              <o:lock v:ext="edit" aspectratio="f"/>
              <v:textbox inset="0mm,0mm,0mm,0mm" style="mso-fit-shape-to-text:t;">
                <w:txbxContent>
                  <w:p w14:paraId="4BCF1221">
                    <w:pPr>
                      <w:pStyle w:val="247"/>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2">
    <w:p>
      <w:r>
        <w:separator/>
      </w:r>
    </w:p>
  </w:footnote>
  <w:footnote w:type="continuationSeparator" w:id="23">
    <w:p>
      <w:r>
        <w:continuationSeparator/>
      </w:r>
    </w:p>
  </w:footnote>
  <w:footnote w:id="0">
    <w:p w14:paraId="552E780E">
      <w:pPr>
        <w:pStyle w:val="35"/>
      </w:pPr>
    </w:p>
  </w:footnote>
  <w:footnote w:id="1">
    <w:p w14:paraId="72C09988">
      <w:pPr>
        <w:pStyle w:val="35"/>
        <w:ind w:firstLine="360"/>
      </w:pPr>
      <w:r>
        <w:rPr>
          <w:rStyle w:val="54"/>
        </w:rPr>
        <w:footnoteRef/>
      </w:r>
      <w:r>
        <w:rPr>
          <w:rFonts w:hint="eastAsia"/>
        </w:rPr>
        <w:t>如果在招标阶段，招标人在图纸中直接指定了取土场和弃土场位置，且作为供应商报价的依据，则招标人应在项目专用合同条款中对本项规定进行调整。</w:t>
      </w:r>
    </w:p>
  </w:footnote>
  <w:footnote w:id="2">
    <w:p w14:paraId="61CEFE8D">
      <w:pPr>
        <w:pStyle w:val="35"/>
        <w:ind w:firstLine="480"/>
      </w:pPr>
      <w:r>
        <w:rPr>
          <w:rStyle w:val="54"/>
        </w:rPr>
        <w:footnoteRef/>
      </w:r>
      <w:r>
        <w:rPr>
          <w:rFonts w:hint="eastAsia"/>
        </w:rPr>
        <w:t>缺陷责任期一般为自实际交工日期起计算 1 年，最长不超过 2 年。</w:t>
      </w:r>
    </w:p>
  </w:footnote>
  <w:footnote w:id="3">
    <w:p w14:paraId="5D0842B5">
      <w:pPr>
        <w:pStyle w:val="35"/>
        <w:ind w:firstLine="480"/>
      </w:pPr>
      <w:r>
        <w:rPr>
          <w:rStyle w:val="54"/>
        </w:rPr>
        <w:footnoteRef/>
      </w:r>
      <w:r>
        <w:rPr>
          <w:rFonts w:hint="eastAsia"/>
        </w:rPr>
        <w:t>逾期交工违约金限额一般应为 10%签约合同价。</w:t>
      </w:r>
    </w:p>
  </w:footnote>
  <w:footnote w:id="4">
    <w:p w14:paraId="20F411A4">
      <w:pPr>
        <w:pStyle w:val="35"/>
        <w:ind w:firstLine="480"/>
      </w:pPr>
      <w:r>
        <w:rPr>
          <w:rStyle w:val="54"/>
        </w:rPr>
        <w:footnoteRef/>
      </w:r>
      <w:r>
        <w:rPr>
          <w:rFonts w:hint="eastAsia"/>
        </w:rPr>
        <w:t>对于工程规模不大、工期较短的工程（例如工期不超过 12 个月的），可以不进行调价。</w:t>
      </w:r>
    </w:p>
  </w:footnote>
  <w:footnote w:id="5">
    <w:p w14:paraId="4E558C08">
      <w:pPr>
        <w:pStyle w:val="35"/>
        <w:ind w:firstLine="480"/>
      </w:pPr>
      <w:r>
        <w:rPr>
          <w:rStyle w:val="54"/>
        </w:rPr>
        <w:footnoteRef/>
      </w:r>
      <w:r>
        <w:rPr>
          <w:rFonts w:hint="eastAsia"/>
        </w:rPr>
        <w:t>开工预付款金额一般应为 10％签约合同价。</w:t>
      </w:r>
    </w:p>
  </w:footnote>
  <w:footnote w:id="6">
    <w:p w14:paraId="42E9E560">
      <w:pPr>
        <w:pStyle w:val="35"/>
        <w:ind w:firstLine="480"/>
      </w:pPr>
      <w:r>
        <w:rPr>
          <w:rStyle w:val="54"/>
        </w:rPr>
        <w:footnoteRef/>
      </w:r>
      <w:r>
        <w:rPr>
          <w:rFonts w:hint="eastAsia"/>
        </w:rPr>
        <w:t>指主要材料，一般应为 70%～75%，最低不少于 60%。</w:t>
      </w:r>
    </w:p>
  </w:footnote>
  <w:footnote w:id="7">
    <w:p w14:paraId="22115EE1">
      <w:pPr>
        <w:pStyle w:val="35"/>
        <w:ind w:firstLine="480"/>
      </w:pPr>
      <w:r>
        <w:rPr>
          <w:rStyle w:val="54"/>
        </w:rPr>
        <w:footnoteRef/>
      </w:r>
      <w:r>
        <w:rPr>
          <w:rFonts w:hint="eastAsia"/>
        </w:rPr>
        <w:t>国际上一般按月平均支付额的 0.3～0.5 倍计算，我国可按 0.2～0.3 倍计，以利承包人资金周转。</w:t>
      </w:r>
    </w:p>
  </w:footnote>
  <w:footnote w:id="8">
    <w:p w14:paraId="0F71B0C3">
      <w:pPr>
        <w:pStyle w:val="35"/>
        <w:ind w:firstLine="480"/>
      </w:pPr>
      <w:r>
        <w:rPr>
          <w:rStyle w:val="54"/>
        </w:rPr>
        <w:footnoteRef/>
      </w:r>
      <w:r>
        <w:rPr>
          <w:rFonts w:hint="eastAsia"/>
        </w:rPr>
        <w:t>质量保证金最高不超过合同价格的 3%。</w:t>
      </w:r>
    </w:p>
  </w:footnote>
  <w:footnote w:id="9">
    <w:p w14:paraId="1796E635">
      <w:pPr>
        <w:pStyle w:val="35"/>
        <w:ind w:firstLine="480"/>
      </w:pPr>
      <w:r>
        <w:rPr>
          <w:rStyle w:val="54"/>
        </w:rPr>
        <w:footnoteRef/>
      </w:r>
      <w:r>
        <w:rPr>
          <w:rFonts w:hint="eastAsia"/>
        </w:rPr>
        <w:t>若交工验收时承包人具备被竞标项目所在地省级交通运输主管部门评定的最高信用等级，发包人可在质量保证金方面给予一定的优惠奖励，例如发包人可给予承包人 2%合同价格质量保证金的优惠，具体优惠幅度由发包人自行确定。</w:t>
      </w:r>
    </w:p>
  </w:footnote>
  <w:footnote w:id="10">
    <w:p w14:paraId="130A5008">
      <w:pPr>
        <w:pStyle w:val="35"/>
        <w:ind w:firstLine="480"/>
      </w:pPr>
      <w:r>
        <w:rPr>
          <w:rStyle w:val="54"/>
        </w:rPr>
        <w:footnoteRef/>
      </w:r>
      <w:r>
        <w:rPr>
          <w:rFonts w:hint="eastAsia"/>
        </w:rPr>
        <w:t>保修期一般应为自实际交工日期起计算 5 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3EA32">
    <w:pPr>
      <w:pStyle w:val="249"/>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D66A3">
    <w:pPr>
      <w:pStyle w:val="249"/>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8860E8"/>
    <w:multiLevelType w:val="multi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position w:val="0"/>
        <w:sz w:val="20"/>
        <w:szCs w:val="20"/>
        <w:u w:val="none"/>
        <w:shd w:val="clear" w:color="auto" w:fill="auto"/>
        <w:lang w:val="en-US" w:eastAsia="en-US" w:bidi="en-US"/>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5B39FDE6"/>
    <w:multiLevelType w:val="multilevel"/>
    <w:tmpl w:val="5B39FDE6"/>
    <w:lvl w:ilvl="0" w:tentative="0">
      <w:start w:val="1"/>
      <w:numFmt w:val="decimal"/>
      <w:suff w:val="nothing"/>
      <w:lvlText w:val="（%1）"/>
      <w:lvlJc w:val="left"/>
      <w:pPr>
        <w:ind w:left="0" w:firstLine="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0"/>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forms" w:enforcement="1" w:cryptProviderType="rsaFull" w:cryptAlgorithmClass="hash" w:cryptAlgorithmType="typeAny" w:cryptAlgorithmSid="4" w:cryptSpinCount="0" w:hash="jgogfP1ESUigtI+2AY5x5Imv3Ts=" w:salt="zbd9A6ydohfT57Q+Ct0NVw=="/>
  <w:defaultTabStop w:val="420"/>
  <w:characterSpacingControl w:val="doNotCompress"/>
  <w:footnotePr>
    <w:footnote w:id="22"/>
    <w:footnote w:id="23"/>
  </w:footnotePr>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10A"/>
    <w:rsid w:val="000B25B4"/>
    <w:rsid w:val="002A02EC"/>
    <w:rsid w:val="003F0891"/>
    <w:rsid w:val="005743E1"/>
    <w:rsid w:val="00580AC5"/>
    <w:rsid w:val="00601F52"/>
    <w:rsid w:val="006506CB"/>
    <w:rsid w:val="006930D8"/>
    <w:rsid w:val="006A34E4"/>
    <w:rsid w:val="008616A3"/>
    <w:rsid w:val="00A41807"/>
    <w:rsid w:val="00DF110A"/>
    <w:rsid w:val="00DF79CF"/>
    <w:rsid w:val="00E821AC"/>
    <w:rsid w:val="062A343F"/>
    <w:rsid w:val="092646F0"/>
    <w:rsid w:val="139F1EF3"/>
    <w:rsid w:val="16823E53"/>
    <w:rsid w:val="17FE59D9"/>
    <w:rsid w:val="1F5E5F16"/>
    <w:rsid w:val="21A405E2"/>
    <w:rsid w:val="22061727"/>
    <w:rsid w:val="237D4E22"/>
    <w:rsid w:val="2CE51B8E"/>
    <w:rsid w:val="32793675"/>
    <w:rsid w:val="3E2E4C57"/>
    <w:rsid w:val="402A7DD5"/>
    <w:rsid w:val="41650ACC"/>
    <w:rsid w:val="41F72AD3"/>
    <w:rsid w:val="4B5300A9"/>
    <w:rsid w:val="4E48466E"/>
    <w:rsid w:val="55DA554D"/>
    <w:rsid w:val="5EA50949"/>
    <w:rsid w:val="69761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9" w:semiHidden="0" w:name="heading 4"/>
    <w:lsdException w:qFormat="1" w:uiPriority="99" w:semiHidden="0" w:name="heading 5"/>
    <w:lsdException w:qFormat="1" w:uiPriority="9" w:semiHidden="0" w:name="heading 6"/>
    <w:lsdException w:qFormat="1" w:uiPriority="0" w:semiHidden="0" w:name="heading 7"/>
    <w:lsdException w:qFormat="1" w:uiPriority="9" w:semiHidden="0" w:name="heading 8"/>
    <w:lsdException w:qFormat="1" w:uiPriority="0" w:semiHidden="0" w:name="heading 9"/>
    <w:lsdException w:uiPriority="99" w:name="index 1"/>
    <w:lsdException w:uiPriority="99" w:name="index 2"/>
    <w:lsdException w:uiPriority="99" w:name="index 3"/>
    <w:lsdException w:qFormat="1" w:unhideWhenUsed="0"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iPriority="0" w:semiHidden="0"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99" w:semiHidden="0" w:name="caption"/>
    <w:lsdException w:qFormat="1" w:uiPriority="99" w:semiHidden="0"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uiPriority="99" w:name="line number"/>
    <w:lsdException w:qFormat="1" w:unhideWhenUsed="0" w:uiPriority="99" w:semiHidden="0" w:name="page number"/>
    <w:lsdException w:qFormat="1" w:uiPriority="99" w:semiHidden="0"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paragraph" w:styleId="2">
    <w:name w:val="heading 1"/>
    <w:basedOn w:val="1"/>
    <w:next w:val="1"/>
    <w:link w:val="417"/>
    <w:qFormat/>
    <w:uiPriority w:val="0"/>
    <w:pPr>
      <w:keepNext/>
      <w:keepLines/>
      <w:spacing w:before="360" w:after="80"/>
      <w:outlineLvl w:val="0"/>
    </w:pPr>
    <w:rPr>
      <w:rFonts w:ascii="Arial" w:hAnsi="Arial" w:eastAsia="Arial" w:cs="Arial"/>
      <w:color w:val="365F91"/>
      <w:sz w:val="40"/>
      <w:szCs w:val="40"/>
    </w:rPr>
  </w:style>
  <w:style w:type="paragraph" w:styleId="3">
    <w:name w:val="heading 2"/>
    <w:basedOn w:val="1"/>
    <w:next w:val="1"/>
    <w:link w:val="418"/>
    <w:unhideWhenUsed/>
    <w:qFormat/>
    <w:uiPriority w:val="9"/>
    <w:pPr>
      <w:keepNext/>
      <w:keepLines/>
      <w:spacing w:before="160" w:after="80"/>
      <w:outlineLvl w:val="1"/>
    </w:pPr>
    <w:rPr>
      <w:rFonts w:ascii="Arial" w:hAnsi="Arial" w:eastAsia="Arial" w:cs="Arial"/>
      <w:color w:val="365F91"/>
      <w:sz w:val="32"/>
      <w:szCs w:val="32"/>
    </w:rPr>
  </w:style>
  <w:style w:type="paragraph" w:styleId="4">
    <w:name w:val="heading 3"/>
    <w:basedOn w:val="1"/>
    <w:next w:val="1"/>
    <w:link w:val="419"/>
    <w:unhideWhenUsed/>
    <w:qFormat/>
    <w:uiPriority w:val="0"/>
    <w:pPr>
      <w:keepNext/>
      <w:keepLines/>
      <w:spacing w:before="160" w:after="80"/>
      <w:outlineLvl w:val="2"/>
    </w:pPr>
    <w:rPr>
      <w:rFonts w:ascii="Arial" w:hAnsi="Arial" w:eastAsia="Arial" w:cs="Arial"/>
      <w:color w:val="365F91"/>
      <w:sz w:val="28"/>
      <w:szCs w:val="28"/>
    </w:rPr>
  </w:style>
  <w:style w:type="paragraph" w:styleId="5">
    <w:name w:val="heading 4"/>
    <w:basedOn w:val="1"/>
    <w:next w:val="1"/>
    <w:link w:val="420"/>
    <w:unhideWhenUsed/>
    <w:qFormat/>
    <w:uiPriority w:val="9"/>
    <w:pPr>
      <w:keepNext/>
      <w:keepLines/>
      <w:spacing w:before="80" w:after="40"/>
      <w:outlineLvl w:val="3"/>
    </w:pPr>
    <w:rPr>
      <w:rFonts w:ascii="Arial" w:hAnsi="Arial" w:eastAsia="Arial" w:cs="Arial"/>
      <w:i/>
      <w:iCs/>
      <w:color w:val="365F91"/>
    </w:rPr>
  </w:style>
  <w:style w:type="paragraph" w:styleId="6">
    <w:name w:val="heading 5"/>
    <w:basedOn w:val="1"/>
    <w:next w:val="1"/>
    <w:link w:val="421"/>
    <w:unhideWhenUsed/>
    <w:qFormat/>
    <w:uiPriority w:val="99"/>
    <w:pPr>
      <w:keepNext/>
      <w:keepLines/>
      <w:spacing w:before="80" w:after="40"/>
      <w:outlineLvl w:val="4"/>
    </w:pPr>
    <w:rPr>
      <w:rFonts w:ascii="Arial" w:hAnsi="Arial" w:eastAsia="Arial" w:cs="Arial"/>
      <w:color w:val="365F91"/>
    </w:rPr>
  </w:style>
  <w:style w:type="paragraph" w:styleId="7">
    <w:name w:val="heading 6"/>
    <w:basedOn w:val="1"/>
    <w:next w:val="1"/>
    <w:link w:val="180"/>
    <w:unhideWhenUsed/>
    <w:qFormat/>
    <w:uiPriority w:val="9"/>
    <w:pPr>
      <w:keepNext/>
      <w:keepLines/>
      <w:spacing w:before="40"/>
      <w:outlineLvl w:val="5"/>
    </w:pPr>
    <w:rPr>
      <w:rFonts w:ascii="Arial" w:hAnsi="Arial" w:eastAsia="Arial" w:cs="Arial"/>
      <w:i/>
      <w:iCs/>
      <w:color w:val="595959"/>
    </w:rPr>
  </w:style>
  <w:style w:type="paragraph" w:styleId="8">
    <w:name w:val="heading 7"/>
    <w:basedOn w:val="1"/>
    <w:next w:val="1"/>
    <w:link w:val="181"/>
    <w:unhideWhenUsed/>
    <w:qFormat/>
    <w:uiPriority w:val="0"/>
    <w:pPr>
      <w:keepNext/>
      <w:keepLines/>
      <w:spacing w:before="40"/>
      <w:outlineLvl w:val="6"/>
    </w:pPr>
    <w:rPr>
      <w:rFonts w:ascii="Arial" w:hAnsi="Arial" w:eastAsia="Arial" w:cs="Arial"/>
      <w:color w:val="595959"/>
    </w:rPr>
  </w:style>
  <w:style w:type="paragraph" w:styleId="9">
    <w:name w:val="heading 8"/>
    <w:basedOn w:val="1"/>
    <w:next w:val="1"/>
    <w:link w:val="182"/>
    <w:unhideWhenUsed/>
    <w:qFormat/>
    <w:uiPriority w:val="9"/>
    <w:pPr>
      <w:keepNext/>
      <w:keepLines/>
      <w:outlineLvl w:val="7"/>
    </w:pPr>
    <w:rPr>
      <w:rFonts w:ascii="Arial" w:hAnsi="Arial" w:eastAsia="Arial" w:cs="Arial"/>
      <w:i/>
      <w:iCs/>
      <w:color w:val="272727"/>
    </w:rPr>
  </w:style>
  <w:style w:type="paragraph" w:styleId="10">
    <w:name w:val="heading 9"/>
    <w:basedOn w:val="1"/>
    <w:next w:val="1"/>
    <w:link w:val="183"/>
    <w:unhideWhenUsed/>
    <w:qFormat/>
    <w:uiPriority w:val="0"/>
    <w:pPr>
      <w:keepNext/>
      <w:keepLines/>
      <w:outlineLvl w:val="8"/>
    </w:pPr>
    <w:rPr>
      <w:rFonts w:ascii="Arial" w:hAnsi="Arial" w:eastAsia="Arial" w:cs="Arial"/>
      <w:i/>
      <w:iCs/>
      <w:color w:val="272727"/>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100"/>
      <w:ind w:left="1320"/>
    </w:pPr>
  </w:style>
  <w:style w:type="paragraph" w:styleId="12">
    <w:name w:val="List Number"/>
    <w:basedOn w:val="1"/>
    <w:qFormat/>
    <w:uiPriority w:val="0"/>
    <w:pPr>
      <w:widowControl/>
      <w:tabs>
        <w:tab w:val="left" w:pos="454"/>
        <w:tab w:val="left" w:pos="720"/>
        <w:tab w:val="left" w:pos="840"/>
      </w:tabs>
      <w:spacing w:after="50"/>
      <w:ind w:left="454" w:hanging="284"/>
      <w:jc w:val="left"/>
    </w:pPr>
    <w:rPr>
      <w:sz w:val="24"/>
      <w:szCs w:val="20"/>
    </w:rPr>
  </w:style>
  <w:style w:type="paragraph" w:styleId="13">
    <w:name w:val="Normal Indent"/>
    <w:basedOn w:val="1"/>
    <w:link w:val="443"/>
    <w:qFormat/>
    <w:uiPriority w:val="99"/>
    <w:pPr>
      <w:ind w:firstLine="420"/>
    </w:pPr>
    <w:rPr>
      <w:szCs w:val="20"/>
      <w:lang w:eastAsia="en-US"/>
    </w:rPr>
  </w:style>
  <w:style w:type="paragraph" w:styleId="14">
    <w:name w:val="caption"/>
    <w:basedOn w:val="1"/>
    <w:next w:val="1"/>
    <w:unhideWhenUsed/>
    <w:qFormat/>
    <w:uiPriority w:val="99"/>
    <w:pPr>
      <w:spacing w:after="200"/>
    </w:pPr>
    <w:rPr>
      <w:i/>
      <w:iCs/>
      <w:color w:val="1F497D"/>
      <w:sz w:val="18"/>
      <w:szCs w:val="18"/>
    </w:rPr>
  </w:style>
  <w:style w:type="paragraph" w:styleId="15">
    <w:name w:val="Document Map"/>
    <w:basedOn w:val="1"/>
    <w:link w:val="422"/>
    <w:qFormat/>
    <w:uiPriority w:val="0"/>
    <w:pPr>
      <w:shd w:val="clear" w:color="auto" w:fill="000080"/>
    </w:pPr>
    <w:rPr>
      <w:sz w:val="24"/>
      <w:shd w:val="clear" w:color="auto" w:fill="000080"/>
    </w:rPr>
  </w:style>
  <w:style w:type="paragraph" w:styleId="16">
    <w:name w:val="annotation text"/>
    <w:basedOn w:val="1"/>
    <w:link w:val="415"/>
    <w:unhideWhenUsed/>
    <w:qFormat/>
    <w:uiPriority w:val="99"/>
    <w:pPr>
      <w:jc w:val="left"/>
    </w:pPr>
  </w:style>
  <w:style w:type="paragraph" w:styleId="17">
    <w:name w:val="Body Text 3"/>
    <w:basedOn w:val="1"/>
    <w:link w:val="423"/>
    <w:unhideWhenUsed/>
    <w:qFormat/>
    <w:uiPriority w:val="99"/>
    <w:pPr>
      <w:spacing w:after="120"/>
    </w:pPr>
    <w:rPr>
      <w:sz w:val="16"/>
      <w:szCs w:val="16"/>
      <w:lang w:eastAsia="en-US"/>
    </w:rPr>
  </w:style>
  <w:style w:type="paragraph" w:styleId="18">
    <w:name w:val="Body Text"/>
    <w:basedOn w:val="1"/>
    <w:link w:val="424"/>
    <w:unhideWhenUsed/>
    <w:qFormat/>
    <w:uiPriority w:val="99"/>
    <w:pPr>
      <w:spacing w:after="120"/>
    </w:pPr>
    <w:rPr>
      <w:lang w:eastAsia="en-US"/>
    </w:rPr>
  </w:style>
  <w:style w:type="paragraph" w:styleId="19">
    <w:name w:val="Body Text Indent"/>
    <w:basedOn w:val="1"/>
    <w:link w:val="425"/>
    <w:qFormat/>
    <w:uiPriority w:val="99"/>
    <w:pPr>
      <w:ind w:firstLine="830"/>
    </w:pPr>
    <w:rPr>
      <w:rFonts w:ascii="仿宋_GB2312" w:eastAsia="仿宋_GB2312"/>
      <w:sz w:val="32"/>
      <w:szCs w:val="20"/>
      <w:lang w:eastAsia="en-US"/>
    </w:rPr>
  </w:style>
  <w:style w:type="paragraph" w:styleId="20">
    <w:name w:val="List 2"/>
    <w:basedOn w:val="1"/>
    <w:unhideWhenUsed/>
    <w:qFormat/>
    <w:uiPriority w:val="99"/>
    <w:pPr>
      <w:ind w:left="100" w:hanging="200"/>
      <w:contextualSpacing/>
    </w:pPr>
  </w:style>
  <w:style w:type="paragraph" w:styleId="21">
    <w:name w:val="index 4"/>
    <w:basedOn w:val="1"/>
    <w:next w:val="1"/>
    <w:semiHidden/>
    <w:qFormat/>
    <w:uiPriority w:val="99"/>
    <w:pPr>
      <w:ind w:left="600"/>
    </w:pPr>
    <w:rPr>
      <w:szCs w:val="21"/>
    </w:rPr>
  </w:style>
  <w:style w:type="paragraph" w:styleId="22">
    <w:name w:val="toc 5"/>
    <w:basedOn w:val="1"/>
    <w:next w:val="1"/>
    <w:unhideWhenUsed/>
    <w:qFormat/>
    <w:uiPriority w:val="39"/>
    <w:pPr>
      <w:spacing w:after="100"/>
      <w:ind w:left="880"/>
    </w:pPr>
  </w:style>
  <w:style w:type="paragraph" w:styleId="23">
    <w:name w:val="toc 3"/>
    <w:basedOn w:val="1"/>
    <w:next w:val="1"/>
    <w:unhideWhenUsed/>
    <w:qFormat/>
    <w:uiPriority w:val="39"/>
    <w:pPr>
      <w:spacing w:after="100"/>
      <w:ind w:left="440"/>
    </w:pPr>
  </w:style>
  <w:style w:type="paragraph" w:styleId="24">
    <w:name w:val="Plain Text"/>
    <w:basedOn w:val="1"/>
    <w:link w:val="426"/>
    <w:qFormat/>
    <w:uiPriority w:val="99"/>
    <w:rPr>
      <w:rFonts w:ascii="宋体" w:hAnsi="Courier New"/>
      <w:sz w:val="20"/>
      <w:szCs w:val="21"/>
      <w:lang w:eastAsia="en-US"/>
    </w:rPr>
  </w:style>
  <w:style w:type="paragraph" w:styleId="25">
    <w:name w:val="toc 8"/>
    <w:basedOn w:val="1"/>
    <w:next w:val="1"/>
    <w:unhideWhenUsed/>
    <w:qFormat/>
    <w:uiPriority w:val="39"/>
    <w:pPr>
      <w:spacing w:after="100"/>
      <w:ind w:left="1540"/>
    </w:pPr>
  </w:style>
  <w:style w:type="paragraph" w:styleId="26">
    <w:name w:val="Date"/>
    <w:basedOn w:val="1"/>
    <w:next w:val="1"/>
    <w:link w:val="427"/>
    <w:unhideWhenUsed/>
    <w:qFormat/>
    <w:uiPriority w:val="99"/>
    <w:pPr>
      <w:ind w:left="100"/>
    </w:pPr>
    <w:rPr>
      <w:lang w:eastAsia="en-US"/>
    </w:rPr>
  </w:style>
  <w:style w:type="paragraph" w:styleId="27">
    <w:name w:val="Body Text Indent 2"/>
    <w:basedOn w:val="1"/>
    <w:link w:val="428"/>
    <w:qFormat/>
    <w:uiPriority w:val="99"/>
    <w:pPr>
      <w:spacing w:after="120" w:line="480" w:lineRule="auto"/>
      <w:ind w:left="420"/>
    </w:pPr>
    <w:rPr>
      <w:sz w:val="24"/>
    </w:rPr>
  </w:style>
  <w:style w:type="paragraph" w:styleId="28">
    <w:name w:val="endnote text"/>
    <w:basedOn w:val="1"/>
    <w:link w:val="196"/>
    <w:semiHidden/>
    <w:unhideWhenUsed/>
    <w:qFormat/>
    <w:uiPriority w:val="99"/>
    <w:rPr>
      <w:sz w:val="20"/>
      <w:szCs w:val="20"/>
    </w:rPr>
  </w:style>
  <w:style w:type="paragraph" w:styleId="29">
    <w:name w:val="Balloon Text"/>
    <w:basedOn w:val="1"/>
    <w:link w:val="429"/>
    <w:qFormat/>
    <w:uiPriority w:val="0"/>
    <w:rPr>
      <w:sz w:val="18"/>
      <w:szCs w:val="18"/>
      <w:lang w:eastAsia="en-US"/>
    </w:rPr>
  </w:style>
  <w:style w:type="paragraph" w:styleId="30">
    <w:name w:val="footer"/>
    <w:basedOn w:val="1"/>
    <w:link w:val="430"/>
    <w:unhideWhenUsed/>
    <w:qFormat/>
    <w:uiPriority w:val="99"/>
    <w:pPr>
      <w:tabs>
        <w:tab w:val="center" w:pos="4844"/>
        <w:tab w:val="right" w:pos="9689"/>
      </w:tabs>
    </w:pPr>
  </w:style>
  <w:style w:type="paragraph" w:styleId="31">
    <w:name w:val="header"/>
    <w:basedOn w:val="1"/>
    <w:link w:val="431"/>
    <w:unhideWhenUsed/>
    <w:qFormat/>
    <w:uiPriority w:val="0"/>
    <w:pPr>
      <w:tabs>
        <w:tab w:val="center" w:pos="4844"/>
        <w:tab w:val="right" w:pos="9689"/>
      </w:tabs>
    </w:pPr>
  </w:style>
  <w:style w:type="paragraph" w:styleId="32">
    <w:name w:val="toc 1"/>
    <w:basedOn w:val="1"/>
    <w:next w:val="1"/>
    <w:unhideWhenUsed/>
    <w:qFormat/>
    <w:uiPriority w:val="39"/>
    <w:pPr>
      <w:spacing w:after="100"/>
    </w:pPr>
  </w:style>
  <w:style w:type="paragraph" w:styleId="33">
    <w:name w:val="toc 4"/>
    <w:basedOn w:val="1"/>
    <w:next w:val="1"/>
    <w:unhideWhenUsed/>
    <w:qFormat/>
    <w:uiPriority w:val="39"/>
    <w:pPr>
      <w:spacing w:after="100"/>
      <w:ind w:left="660"/>
    </w:pPr>
  </w:style>
  <w:style w:type="paragraph" w:styleId="34">
    <w:name w:val="Subtitle"/>
    <w:basedOn w:val="1"/>
    <w:next w:val="1"/>
    <w:link w:val="184"/>
    <w:qFormat/>
    <w:uiPriority w:val="11"/>
    <w:rPr>
      <w:color w:val="595959"/>
      <w:spacing w:val="15"/>
      <w:sz w:val="28"/>
      <w:szCs w:val="28"/>
    </w:rPr>
  </w:style>
  <w:style w:type="paragraph" w:styleId="35">
    <w:name w:val="footnote text"/>
    <w:basedOn w:val="1"/>
    <w:link w:val="432"/>
    <w:unhideWhenUsed/>
    <w:qFormat/>
    <w:uiPriority w:val="0"/>
    <w:rPr>
      <w:sz w:val="20"/>
      <w:szCs w:val="20"/>
    </w:rPr>
  </w:style>
  <w:style w:type="paragraph" w:styleId="36">
    <w:name w:val="toc 6"/>
    <w:basedOn w:val="1"/>
    <w:next w:val="1"/>
    <w:unhideWhenUsed/>
    <w:qFormat/>
    <w:uiPriority w:val="39"/>
    <w:pPr>
      <w:spacing w:after="100"/>
      <w:ind w:left="1100"/>
    </w:pPr>
  </w:style>
  <w:style w:type="paragraph" w:styleId="37">
    <w:name w:val="table of figures"/>
    <w:basedOn w:val="1"/>
    <w:next w:val="1"/>
    <w:unhideWhenUsed/>
    <w:qFormat/>
    <w:uiPriority w:val="99"/>
  </w:style>
  <w:style w:type="paragraph" w:styleId="38">
    <w:name w:val="toc 2"/>
    <w:basedOn w:val="1"/>
    <w:next w:val="1"/>
    <w:unhideWhenUsed/>
    <w:qFormat/>
    <w:uiPriority w:val="39"/>
    <w:pPr>
      <w:spacing w:after="100"/>
      <w:ind w:left="220"/>
    </w:pPr>
  </w:style>
  <w:style w:type="paragraph" w:styleId="39">
    <w:name w:val="toc 9"/>
    <w:basedOn w:val="1"/>
    <w:next w:val="1"/>
    <w:unhideWhenUsed/>
    <w:qFormat/>
    <w:uiPriority w:val="39"/>
    <w:pPr>
      <w:spacing w:after="100"/>
      <w:ind w:left="1760"/>
    </w:pPr>
  </w:style>
  <w:style w:type="paragraph" w:styleId="40">
    <w:name w:val="HTML Preformatted"/>
    <w:basedOn w:val="1"/>
    <w:link w:val="433"/>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sz w:val="24"/>
    </w:rPr>
  </w:style>
  <w:style w:type="paragraph" w:styleId="41">
    <w:name w:val="Normal (Web)"/>
    <w:basedOn w:val="1"/>
    <w:unhideWhenUsed/>
    <w:qFormat/>
    <w:uiPriority w:val="0"/>
    <w:rPr>
      <w:rFonts w:ascii="Calibri" w:hAnsi="Calibri"/>
      <w:sz w:val="24"/>
    </w:rPr>
  </w:style>
  <w:style w:type="paragraph" w:styleId="42">
    <w:name w:val="Title"/>
    <w:basedOn w:val="1"/>
    <w:next w:val="1"/>
    <w:link w:val="434"/>
    <w:qFormat/>
    <w:uiPriority w:val="0"/>
    <w:pPr>
      <w:spacing w:after="80"/>
      <w:contextualSpacing/>
    </w:pPr>
    <w:rPr>
      <w:rFonts w:ascii="Arial" w:hAnsi="Arial" w:eastAsia="Arial" w:cs="Arial"/>
      <w:spacing w:val="-10"/>
      <w:sz w:val="56"/>
      <w:szCs w:val="56"/>
    </w:rPr>
  </w:style>
  <w:style w:type="paragraph" w:styleId="43">
    <w:name w:val="annotation subject"/>
    <w:basedOn w:val="16"/>
    <w:next w:val="16"/>
    <w:link w:val="416"/>
    <w:unhideWhenUsed/>
    <w:qFormat/>
    <w:uiPriority w:val="0"/>
    <w:rPr>
      <w:b/>
      <w:bCs/>
    </w:rPr>
  </w:style>
  <w:style w:type="table" w:styleId="45">
    <w:name w:val="Table Grid"/>
    <w:basedOn w:val="4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7">
    <w:name w:val="Strong"/>
    <w:qFormat/>
    <w:uiPriority w:val="22"/>
    <w:rPr>
      <w:b/>
      <w:bCs/>
    </w:rPr>
  </w:style>
  <w:style w:type="character" w:styleId="48">
    <w:name w:val="endnote reference"/>
    <w:unhideWhenUsed/>
    <w:qFormat/>
    <w:uiPriority w:val="99"/>
    <w:rPr>
      <w:vertAlign w:val="superscript"/>
    </w:rPr>
  </w:style>
  <w:style w:type="character" w:styleId="49">
    <w:name w:val="page number"/>
    <w:qFormat/>
    <w:uiPriority w:val="99"/>
  </w:style>
  <w:style w:type="character" w:styleId="50">
    <w:name w:val="FollowedHyperlink"/>
    <w:semiHidden/>
    <w:unhideWhenUsed/>
    <w:qFormat/>
    <w:uiPriority w:val="99"/>
    <w:rPr>
      <w:color w:val="800080"/>
      <w:u w:val="single"/>
    </w:rPr>
  </w:style>
  <w:style w:type="character" w:styleId="51">
    <w:name w:val="Emphasis"/>
    <w:qFormat/>
    <w:uiPriority w:val="99"/>
    <w:rPr>
      <w:i/>
      <w:iCs/>
    </w:rPr>
  </w:style>
  <w:style w:type="character" w:styleId="52">
    <w:name w:val="Hyperlink"/>
    <w:unhideWhenUsed/>
    <w:qFormat/>
    <w:uiPriority w:val="99"/>
    <w:rPr>
      <w:color w:val="0000FF"/>
      <w:u w:val="single"/>
    </w:rPr>
  </w:style>
  <w:style w:type="character" w:styleId="53">
    <w:name w:val="annotation reference"/>
    <w:unhideWhenUsed/>
    <w:qFormat/>
    <w:uiPriority w:val="0"/>
    <w:rPr>
      <w:sz w:val="21"/>
      <w:szCs w:val="21"/>
    </w:rPr>
  </w:style>
  <w:style w:type="character" w:styleId="54">
    <w:name w:val="footnote reference"/>
    <w:unhideWhenUsed/>
    <w:qFormat/>
    <w:uiPriority w:val="0"/>
    <w:rPr>
      <w:vertAlign w:val="superscript"/>
    </w:rPr>
  </w:style>
  <w:style w:type="table" w:customStyle="1" w:styleId="55">
    <w:name w:val="Table Grid Light"/>
    <w:basedOn w:val="44"/>
    <w:qForma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customStyle="1" w:styleId="56">
    <w:name w:val="无格式表格 11"/>
    <w:basedOn w:val="44"/>
    <w:qForma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2F2F2" w:fill="F2F2F2"/>
      </w:tcPr>
    </w:tblStylePr>
    <w:tblStylePr w:type="band1Horz">
      <w:tcPr>
        <w:shd w:val="clear" w:color="F2F2F2" w:fill="F2F2F2"/>
      </w:tcPr>
    </w:tblStylePr>
  </w:style>
  <w:style w:type="table" w:customStyle="1" w:styleId="57">
    <w:name w:val="无格式表格 21"/>
    <w:basedOn w:val="44"/>
    <w:qFormat/>
    <w:uiPriority w:val="59"/>
    <w:tblPr>
      <w:tblBorders>
        <w:top w:val="single" w:color="000000" w:sz="4" w:space="0"/>
        <w:left w:val="none" w:color="000000" w:sz="4" w:space="0"/>
        <w:bottom w:val="single" w:color="000000" w:sz="4" w:space="0"/>
        <w:right w:val="none" w:color="000000" w:sz="4" w:space="0"/>
      </w:tblBorders>
    </w:tblPr>
    <w:tblStylePr w:type="firstRow">
      <w:rPr>
        <w:rFonts w:ascii="Arial" w:hAnsi="Arial"/>
        <w:b/>
        <w:color w:val="404040"/>
        <w:sz w:val="22"/>
      </w:rPr>
      <w:tcPr>
        <w:tcBorders>
          <w:top w:val="single" w:color="000000" w:sz="4" w:space="0"/>
          <w:bottom w:val="single" w:color="000000"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style>
  <w:style w:type="table" w:customStyle="1" w:styleId="58">
    <w:name w:val="无格式表格 31"/>
    <w:basedOn w:val="44"/>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2F2F2" w:fill="F2F2F2"/>
      </w:tcPr>
    </w:tblStylePr>
    <w:tblStylePr w:type="band1Horz">
      <w:rPr>
        <w:rFonts w:ascii="Arial" w:hAnsi="Arial"/>
        <w:color w:val="404040"/>
        <w:sz w:val="22"/>
      </w:rPr>
      <w:tcPr>
        <w:shd w:val="clear" w:color="F2F2F2" w:fill="F2F2F2"/>
      </w:tcPr>
    </w:tblStylePr>
  </w:style>
  <w:style w:type="table" w:customStyle="1" w:styleId="59">
    <w:name w:val="无格式表格 41"/>
    <w:basedOn w:val="44"/>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2F2F2" w:fill="F2F2F2"/>
      </w:tcPr>
    </w:tblStylePr>
    <w:tblStylePr w:type="band1Horz">
      <w:rPr>
        <w:rFonts w:ascii="Arial" w:hAnsi="Arial"/>
        <w:color w:val="404040"/>
        <w:sz w:val="22"/>
      </w:rPr>
      <w:tcPr>
        <w:shd w:val="clear" w:color="F2F2F2" w:fill="F2F2F2"/>
      </w:tcPr>
    </w:tblStylePr>
  </w:style>
  <w:style w:type="table" w:customStyle="1" w:styleId="60">
    <w:name w:val="无格式表格 51"/>
    <w:basedOn w:val="44"/>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2F2F2" w:fill="F2F2F2"/>
      </w:tcPr>
    </w:tblStylePr>
    <w:tblStylePr w:type="band1Horz">
      <w:rPr>
        <w:rFonts w:ascii="Arial" w:hAnsi="Arial"/>
        <w:color w:val="404040"/>
        <w:sz w:val="22"/>
      </w:rPr>
      <w:tcPr>
        <w:shd w:val="clear" w:color="F2F2F2" w:fill="F2F2F2"/>
      </w:tcPr>
    </w:tblStylePr>
  </w:style>
  <w:style w:type="table" w:customStyle="1" w:styleId="61">
    <w:name w:val="网格表 1 浅色1"/>
    <w:basedOn w:val="44"/>
    <w:qFormat/>
    <w:uiPriority w:val="99"/>
    <w:tblPr>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firstRow">
      <w:rPr>
        <w:b/>
        <w:color w:val="404040"/>
      </w:rPr>
      <w:tcPr>
        <w:tcBorders>
          <w:bottom w:val="single" w:color="6A6A6A"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style>
  <w:style w:type="table" w:customStyle="1" w:styleId="62">
    <w:name w:val="Grid Table 1 Light - Accent 1"/>
    <w:basedOn w:val="44"/>
    <w:qFormat/>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Pr>
    <w:tblStylePr w:type="firstRow">
      <w:rPr>
        <w:b/>
        <w:color w:val="404040"/>
      </w:rPr>
      <w:tcPr>
        <w:tcBorders>
          <w:bottom w:val="single" w:color="97B4D8"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BE4" w:sz="4" w:space="0"/>
          <w:left w:val="single" w:color="B7CBE4" w:sz="4" w:space="0"/>
          <w:bottom w:val="single" w:color="B7CBE4" w:sz="4" w:space="0"/>
          <w:right w:val="single" w:color="B7CBE4" w:sz="4" w:space="0"/>
        </w:tcBorders>
      </w:tcPr>
    </w:tblStylePr>
  </w:style>
  <w:style w:type="table" w:customStyle="1" w:styleId="63">
    <w:name w:val="Grid Table 1 Light - Accent 2"/>
    <w:basedOn w:val="44"/>
    <w:qFormat/>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Pr>
    <w:tblStylePr w:type="firstRow">
      <w:rPr>
        <w:b/>
        <w:color w:val="404040"/>
      </w:rPr>
      <w:tcPr>
        <w:tcBorders>
          <w:bottom w:val="single" w:color="DA9896"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7B6" w:sz="4" w:space="0"/>
          <w:left w:val="single" w:color="E5B7B6" w:sz="4" w:space="0"/>
          <w:bottom w:val="single" w:color="E5B7B6" w:sz="4" w:space="0"/>
          <w:right w:val="single" w:color="E5B7B6" w:sz="4" w:space="0"/>
        </w:tcBorders>
      </w:tcPr>
    </w:tblStylePr>
  </w:style>
  <w:style w:type="table" w:customStyle="1" w:styleId="64">
    <w:name w:val="Grid Table 1 Light - Accent 3"/>
    <w:basedOn w:val="44"/>
    <w:qFormat/>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b/>
        <w:color w:val="404040"/>
      </w:rPr>
      <w:tcPr>
        <w:tcBorders>
          <w:bottom w:val="single" w:color="C4D79D"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style>
  <w:style w:type="table" w:customStyle="1" w:styleId="65">
    <w:name w:val="Grid Table 1 Light - Accent 4"/>
    <w:basedOn w:val="44"/>
    <w:qFormat/>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b/>
        <w:color w:val="404040"/>
      </w:rPr>
      <w:tcPr>
        <w:tcBorders>
          <w:bottom w:val="single" w:color="B4A4C8"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style>
  <w:style w:type="table" w:customStyle="1" w:styleId="66">
    <w:name w:val="Grid Table 1 Light - Accent 5"/>
    <w:basedOn w:val="44"/>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Pr>
    <w:tblStylePr w:type="firstRow">
      <w:rPr>
        <w:b/>
        <w:color w:val="404040"/>
      </w:rPr>
      <w:tcPr>
        <w:tcBorders>
          <w:bottom w:val="single" w:color="95CEDD"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8" w:sz="4" w:space="0"/>
          <w:left w:val="single" w:color="B6DDE8" w:sz="4" w:space="0"/>
          <w:bottom w:val="single" w:color="B6DDE8" w:sz="4" w:space="0"/>
          <w:right w:val="single" w:color="B6DDE8" w:sz="4" w:space="0"/>
        </w:tcBorders>
      </w:tcPr>
    </w:tblStylePr>
  </w:style>
  <w:style w:type="table" w:customStyle="1" w:styleId="67">
    <w:name w:val="Grid Table 1 Light - Accent 6"/>
    <w:basedOn w:val="44"/>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b/>
        <w:color w:val="404040"/>
      </w:rPr>
      <w:tcPr>
        <w:tcBorders>
          <w:bottom w:val="single" w:color="FAC192"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style>
  <w:style w:type="table" w:customStyle="1" w:styleId="68">
    <w:name w:val="网格表 21"/>
    <w:basedOn w:val="44"/>
    <w:qFormat/>
    <w:uiPriority w:val="99"/>
    <w:tblPr>
      <w:tblBorders>
        <w:bottom w:val="single" w:color="6A6A6A" w:sz="4" w:space="0"/>
        <w:insideH w:val="single" w:color="6A6A6A" w:sz="4" w:space="0"/>
        <w:insideV w:val="single" w:color="6A6A6A" w:sz="4" w:space="0"/>
      </w:tblBorders>
    </w:tblPr>
    <w:tblStylePr w:type="firstRow">
      <w:rPr>
        <w:b/>
        <w:color w:val="404040"/>
      </w:rPr>
      <w:tcPr>
        <w:tcBorders>
          <w:top w:val="nil"/>
          <w:left w:val="nil"/>
          <w:bottom w:val="single" w:color="6A6A6A" w:sz="12" w:space="0"/>
          <w:right w:val="nil"/>
        </w:tcBorders>
        <w:shd w:val="clear" w:color="FFFFFF" w:fill="auto"/>
      </w:tcPr>
    </w:tblStylePr>
    <w:tblStylePr w:type="lastRow">
      <w:rPr>
        <w:b/>
        <w:color w:val="404040"/>
      </w:rPr>
      <w:tcPr>
        <w:tcBorders>
          <w:top w:val="single" w:color="6A6A6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fill="CBCBCB"/>
      </w:tcPr>
    </w:tblStylePr>
    <w:tblStylePr w:type="band1Horz">
      <w:rPr>
        <w:rFonts w:ascii="Arial" w:hAnsi="Arial"/>
        <w:color w:val="404040"/>
        <w:sz w:val="22"/>
      </w:rPr>
      <w:tcPr>
        <w:shd w:val="clear" w:color="CBCBCB" w:fill="CBCBCB"/>
      </w:tcPr>
    </w:tblStylePr>
  </w:style>
  <w:style w:type="table" w:customStyle="1" w:styleId="69">
    <w:name w:val="Grid Table 2 - Accent 1"/>
    <w:basedOn w:val="44"/>
    <w:qFormat/>
    <w:uiPriority w:val="99"/>
    <w:tblPr>
      <w:tblBorders>
        <w:bottom w:val="single" w:color="5D8AC2" w:sz="4" w:space="0"/>
        <w:insideH w:val="single" w:color="5D8AC2" w:sz="4" w:space="0"/>
        <w:insideV w:val="single" w:color="5D8AC2" w:sz="4" w:space="0"/>
      </w:tblBorders>
    </w:tblPr>
    <w:tblStylePr w:type="firstRow">
      <w:rPr>
        <w:b/>
        <w:color w:val="404040"/>
      </w:rPr>
      <w:tcPr>
        <w:tcBorders>
          <w:top w:val="nil"/>
          <w:left w:val="nil"/>
          <w:bottom w:val="single" w:color="5D8AC2" w:sz="12" w:space="0"/>
          <w:right w:val="nil"/>
        </w:tcBorders>
        <w:shd w:val="clear" w:color="FFFFFF" w:fill="auto"/>
      </w:tcPr>
    </w:tblStylePr>
    <w:tblStylePr w:type="lastRow">
      <w:rPr>
        <w:b/>
        <w:color w:val="404040"/>
      </w:rPr>
      <w:tcPr>
        <w:tcBorders>
          <w:top w:val="single" w:color="5D8AC2"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5F1" w:fill="DAE5F1"/>
      </w:tcPr>
    </w:tblStylePr>
    <w:tblStylePr w:type="band1Horz">
      <w:rPr>
        <w:rFonts w:ascii="Arial" w:hAnsi="Arial"/>
        <w:color w:val="404040"/>
        <w:sz w:val="22"/>
      </w:rPr>
      <w:tcPr>
        <w:shd w:val="clear" w:color="DAE5F1" w:fill="DAE5F1"/>
      </w:tcPr>
    </w:tblStylePr>
  </w:style>
  <w:style w:type="table" w:customStyle="1" w:styleId="70">
    <w:name w:val="Grid Table 2 - Accent 2"/>
    <w:basedOn w:val="44"/>
    <w:qFormat/>
    <w:uiPriority w:val="99"/>
    <w:tblPr>
      <w:tblBorders>
        <w:bottom w:val="single" w:color="D99695" w:sz="4" w:space="0"/>
        <w:insideH w:val="single" w:color="D99695" w:sz="4" w:space="0"/>
        <w:insideV w:val="single" w:color="D99695" w:sz="4" w:space="0"/>
      </w:tblBorders>
    </w:tblPr>
    <w:tblStylePr w:type="firstRow">
      <w:rPr>
        <w:b/>
        <w:color w:val="404040"/>
      </w:rPr>
      <w:tcPr>
        <w:tcBorders>
          <w:top w:val="nil"/>
          <w:left w:val="nil"/>
          <w:bottom w:val="single" w:color="D99695" w:sz="12" w:space="0"/>
          <w:right w:val="nil"/>
        </w:tcBorders>
        <w:shd w:val="clear" w:color="FFFFFF" w:fill="auto"/>
      </w:tcPr>
    </w:tblStylePr>
    <w:tblStylePr w:type="lastRow">
      <w:rPr>
        <w:b/>
        <w:color w:val="404040"/>
      </w:rPr>
      <w:tcPr>
        <w:tcBorders>
          <w:top w:val="single" w:color="D996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1Horz">
      <w:rPr>
        <w:rFonts w:ascii="Arial" w:hAnsi="Arial"/>
        <w:color w:val="404040"/>
        <w:sz w:val="22"/>
      </w:rPr>
      <w:tcPr>
        <w:shd w:val="clear" w:color="F2DCDC" w:fill="F2DCDC"/>
      </w:tcPr>
    </w:tblStylePr>
  </w:style>
  <w:style w:type="table" w:customStyle="1" w:styleId="71">
    <w:name w:val="Grid Table 2 - Accent 3"/>
    <w:basedOn w:val="44"/>
    <w:qFormat/>
    <w:uiPriority w:val="99"/>
    <w:tblPr>
      <w:tblBorders>
        <w:bottom w:val="single" w:color="9ABB59" w:sz="4" w:space="0"/>
        <w:insideH w:val="single" w:color="9ABB59" w:sz="4" w:space="0"/>
        <w:insideV w:val="single" w:color="9ABB59" w:sz="4" w:space="0"/>
      </w:tblBorders>
    </w:tblPr>
    <w:tblStylePr w:type="firstRow">
      <w:rPr>
        <w:b/>
        <w:color w:val="404040"/>
      </w:rPr>
      <w:tcPr>
        <w:tcBorders>
          <w:top w:val="nil"/>
          <w:left w:val="nil"/>
          <w:bottom w:val="single" w:color="9ABB59" w:sz="12" w:space="0"/>
          <w:right w:val="nil"/>
        </w:tcBorders>
        <w:shd w:val="clear" w:color="FFFFFF" w:fill="auto"/>
      </w:tcPr>
    </w:tblStylePr>
    <w:tblStylePr w:type="lastRow">
      <w:rPr>
        <w:b/>
        <w:color w:val="404040"/>
      </w:rPr>
      <w:tcPr>
        <w:tcBorders>
          <w:top w:val="single" w:color="9ABB5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C" w:fill="EAF1DC"/>
      </w:tcPr>
    </w:tblStylePr>
    <w:tblStylePr w:type="band1Horz">
      <w:rPr>
        <w:rFonts w:ascii="Arial" w:hAnsi="Arial"/>
        <w:color w:val="404040"/>
        <w:sz w:val="22"/>
      </w:rPr>
      <w:tcPr>
        <w:shd w:val="clear" w:color="EAF1DC" w:fill="EAF1DC"/>
      </w:tcPr>
    </w:tblStylePr>
  </w:style>
  <w:style w:type="table" w:customStyle="1" w:styleId="72">
    <w:name w:val="Grid Table 2 - Accent 4"/>
    <w:basedOn w:val="44"/>
    <w:qFormat/>
    <w:uiPriority w:val="99"/>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single" w:color="B2A1C6" w:sz="12" w:space="0"/>
          <w:right w:val="nil"/>
        </w:tcBorders>
        <w:shd w:val="clear" w:color="FFFFFF" w:fill="auto"/>
      </w:tcPr>
    </w:tblStylePr>
    <w:tblStylePr w:type="lastRow">
      <w:rPr>
        <w:b/>
        <w:color w:val="404040"/>
      </w:rPr>
      <w:tcPr>
        <w:tcBorders>
          <w:top w:val="single" w:color="B2A1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1Horz">
      <w:rPr>
        <w:rFonts w:ascii="Arial" w:hAnsi="Arial"/>
        <w:color w:val="404040"/>
        <w:sz w:val="22"/>
      </w:rPr>
      <w:tcPr>
        <w:shd w:val="clear" w:color="E5DFEC" w:fill="E5DFEC"/>
      </w:tcPr>
    </w:tblStylePr>
  </w:style>
  <w:style w:type="table" w:customStyle="1" w:styleId="73">
    <w:name w:val="Grid Table 2 - Accent 5"/>
    <w:basedOn w:val="44"/>
    <w:qFormat/>
    <w:uiPriority w:val="99"/>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single" w:color="4BACC6" w:sz="12" w:space="0"/>
          <w:right w:val="nil"/>
        </w:tcBorders>
        <w:shd w:val="clear" w:color="FFFFFF" w:fill="auto"/>
      </w:tcPr>
    </w:tblStylePr>
    <w:tblStylePr w:type="lastRow">
      <w:rPr>
        <w:b/>
        <w:color w:val="404040"/>
      </w:rPr>
      <w:tcPr>
        <w:tcBorders>
          <w:top w:val="single" w:color="4BAC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1Horz">
      <w:rPr>
        <w:rFonts w:ascii="Arial" w:hAnsi="Arial"/>
        <w:color w:val="404040"/>
        <w:sz w:val="22"/>
      </w:rPr>
      <w:tcPr>
        <w:shd w:val="clear" w:color="DAEEF3" w:fill="DAEEF3"/>
      </w:tcPr>
    </w:tblStylePr>
  </w:style>
  <w:style w:type="table" w:customStyle="1" w:styleId="74">
    <w:name w:val="Grid Table 2 - Accent 6"/>
    <w:basedOn w:val="44"/>
    <w:qFormat/>
    <w:uiPriority w:val="99"/>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single" w:color="F79646" w:sz="12" w:space="0"/>
          <w:right w:val="nil"/>
        </w:tcBorders>
        <w:shd w:val="clear" w:color="FFFFFF" w:fill="auto"/>
      </w:tcPr>
    </w:tblStylePr>
    <w:tblStylePr w:type="lastRow">
      <w:rPr>
        <w:b/>
        <w:color w:val="404040"/>
      </w:rPr>
      <w:tcPr>
        <w:tcBorders>
          <w:top w:val="single" w:color="F7964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8" w:fill="FDE9D8"/>
      </w:tcPr>
    </w:tblStylePr>
    <w:tblStylePr w:type="band1Horz">
      <w:rPr>
        <w:rFonts w:ascii="Arial" w:hAnsi="Arial"/>
        <w:color w:val="404040"/>
        <w:sz w:val="22"/>
      </w:rPr>
      <w:tcPr>
        <w:shd w:val="clear" w:color="FDE9D8" w:fill="FDE9D8"/>
      </w:tcPr>
    </w:tblStylePr>
  </w:style>
  <w:style w:type="table" w:customStyle="1" w:styleId="75">
    <w:name w:val="网格表 31"/>
    <w:basedOn w:val="44"/>
    <w:qFormat/>
    <w:uiPriority w:val="99"/>
    <w:tblPr>
      <w:tblBorders>
        <w:bottom w:val="single" w:color="6A6A6A" w:sz="4" w:space="0"/>
        <w:insideH w:val="single" w:color="6A6A6A" w:sz="4" w:space="0"/>
        <w:insideV w:val="single" w:color="6A6A6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BCBCB" w:fill="CBCBCB"/>
      </w:tcPr>
    </w:tblStylePr>
    <w:tblStylePr w:type="band1Horz">
      <w:rPr>
        <w:rFonts w:ascii="Arial" w:hAnsi="Arial"/>
        <w:color w:val="404040"/>
        <w:sz w:val="22"/>
      </w:rPr>
      <w:tcPr>
        <w:shd w:val="clear" w:color="CBCBCB" w:fill="CBCBCB"/>
      </w:tcPr>
    </w:tblStylePr>
  </w:style>
  <w:style w:type="table" w:customStyle="1" w:styleId="76">
    <w:name w:val="Grid Table 3 - Accent 1"/>
    <w:basedOn w:val="44"/>
    <w:qFormat/>
    <w:uiPriority w:val="99"/>
    <w:tblPr>
      <w:tblBorders>
        <w:bottom w:val="single" w:color="5D8AC2" w:sz="4" w:space="0"/>
        <w:insideH w:val="single" w:color="5D8AC2" w:sz="4" w:space="0"/>
        <w:insideV w:val="single" w:color="5D8AC2"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5F1" w:fill="DAE5F1"/>
      </w:tcPr>
    </w:tblStylePr>
    <w:tblStylePr w:type="band1Horz">
      <w:rPr>
        <w:rFonts w:ascii="Arial" w:hAnsi="Arial"/>
        <w:color w:val="404040"/>
        <w:sz w:val="22"/>
      </w:rPr>
      <w:tcPr>
        <w:shd w:val="clear" w:color="DAE5F1" w:fill="DAE5F1"/>
      </w:tcPr>
    </w:tblStylePr>
  </w:style>
  <w:style w:type="table" w:customStyle="1" w:styleId="77">
    <w:name w:val="Grid Table 3 - Accent 2"/>
    <w:basedOn w:val="44"/>
    <w:qFormat/>
    <w:uiPriority w:val="99"/>
    <w:tblPr>
      <w:tblBorders>
        <w:bottom w:val="single" w:color="D99695" w:sz="4" w:space="0"/>
        <w:insideH w:val="single" w:color="D99695" w:sz="4" w:space="0"/>
        <w:insideV w:val="single" w:color="D996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fill="F2DCDC"/>
      </w:tcPr>
    </w:tblStylePr>
    <w:tblStylePr w:type="band1Horz">
      <w:rPr>
        <w:rFonts w:ascii="Arial" w:hAnsi="Arial"/>
        <w:color w:val="404040"/>
        <w:sz w:val="22"/>
      </w:rPr>
      <w:tcPr>
        <w:shd w:val="clear" w:color="F2DCDC" w:fill="F2DCDC"/>
      </w:tcPr>
    </w:tblStylePr>
  </w:style>
  <w:style w:type="table" w:customStyle="1" w:styleId="78">
    <w:name w:val="Grid Table 3 - Accent 3"/>
    <w:basedOn w:val="44"/>
    <w:qFormat/>
    <w:uiPriority w:val="99"/>
    <w:tblPr>
      <w:tblBorders>
        <w:bottom w:val="single" w:color="9ABB59" w:sz="4" w:space="0"/>
        <w:insideH w:val="single" w:color="9ABB59" w:sz="4" w:space="0"/>
        <w:insideV w:val="single" w:color="9ABB59"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C" w:fill="EAF1DC"/>
      </w:tcPr>
    </w:tblStylePr>
    <w:tblStylePr w:type="band1Horz">
      <w:rPr>
        <w:rFonts w:ascii="Arial" w:hAnsi="Arial"/>
        <w:color w:val="404040"/>
        <w:sz w:val="22"/>
      </w:rPr>
      <w:tcPr>
        <w:shd w:val="clear" w:color="EAF1DC" w:fill="EAF1DC"/>
      </w:tcPr>
    </w:tblStylePr>
  </w:style>
  <w:style w:type="table" w:customStyle="1" w:styleId="79">
    <w:name w:val="Grid Table 3 - Accent 4"/>
    <w:basedOn w:val="44"/>
    <w:qFormat/>
    <w:uiPriority w:val="99"/>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fill="E5DFEC"/>
      </w:tcPr>
    </w:tblStylePr>
    <w:tblStylePr w:type="band1Horz">
      <w:rPr>
        <w:rFonts w:ascii="Arial" w:hAnsi="Arial"/>
        <w:color w:val="404040"/>
        <w:sz w:val="22"/>
      </w:rPr>
      <w:tcPr>
        <w:shd w:val="clear" w:color="E5DFEC" w:fill="E5DFEC"/>
      </w:tcPr>
    </w:tblStylePr>
  </w:style>
  <w:style w:type="table" w:customStyle="1" w:styleId="80">
    <w:name w:val="Grid Table 3 - Accent 5"/>
    <w:basedOn w:val="44"/>
    <w:qFormat/>
    <w:uiPriority w:val="99"/>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fill="DAEEF3"/>
      </w:tcPr>
    </w:tblStylePr>
    <w:tblStylePr w:type="band1Horz">
      <w:rPr>
        <w:rFonts w:ascii="Arial" w:hAnsi="Arial"/>
        <w:color w:val="404040"/>
        <w:sz w:val="22"/>
      </w:rPr>
      <w:tcPr>
        <w:shd w:val="clear" w:color="DAEEF3" w:fill="DAEEF3"/>
      </w:tcPr>
    </w:tblStylePr>
  </w:style>
  <w:style w:type="table" w:customStyle="1" w:styleId="81">
    <w:name w:val="Grid Table 3 - Accent 6"/>
    <w:basedOn w:val="44"/>
    <w:qFormat/>
    <w:uiPriority w:val="99"/>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8" w:fill="FDE9D8"/>
      </w:tcPr>
    </w:tblStylePr>
    <w:tblStylePr w:type="band1Horz">
      <w:rPr>
        <w:rFonts w:ascii="Arial" w:hAnsi="Arial"/>
        <w:color w:val="404040"/>
        <w:sz w:val="22"/>
      </w:rPr>
      <w:tcPr>
        <w:shd w:val="clear" w:color="FDE9D8" w:fill="FDE9D8"/>
      </w:tcPr>
    </w:tblStylePr>
  </w:style>
  <w:style w:type="table" w:customStyle="1" w:styleId="82">
    <w:name w:val="网格表 41"/>
    <w:basedOn w:val="44"/>
    <w:qFormat/>
    <w:uiPriority w:val="59"/>
    <w:tblPr>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firstRow">
      <w:rPr>
        <w:rFonts w:ascii="Arial" w:hAnsi="Arial"/>
        <w:b/>
        <w:color w:val="FFFFFF"/>
        <w:sz w:val="22"/>
      </w:r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Row">
      <w:rPr>
        <w:b/>
        <w:color w:val="404040"/>
      </w:rPr>
      <w:tcPr>
        <w:tcBorders>
          <w:top w:val="single" w:color="000000"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fill="CBCBCB"/>
      </w:tcPr>
    </w:tblStylePr>
    <w:tblStylePr w:type="band1Horz">
      <w:rPr>
        <w:rFonts w:ascii="Arial" w:hAnsi="Arial"/>
        <w:color w:val="404040"/>
        <w:sz w:val="22"/>
      </w:rPr>
      <w:tcPr>
        <w:shd w:val="clear" w:color="CBCBCB" w:fill="CBCBCB"/>
      </w:tcPr>
    </w:tblStylePr>
  </w:style>
  <w:style w:type="table" w:customStyle="1" w:styleId="83">
    <w:name w:val="Grid Table 4 - Accent 1"/>
    <w:basedOn w:val="44"/>
    <w:qFormat/>
    <w:uiPriority w:val="59"/>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Pr>
    <w:tblStylePr w:type="firstRow">
      <w:rPr>
        <w:rFonts w:ascii="Arial" w:hAnsi="Arial"/>
        <w:b/>
        <w:color w:val="FFFFFF"/>
        <w:sz w:val="22"/>
      </w:rPr>
      <w:tcPr>
        <w:tcBorders>
          <w:top w:val="single" w:color="5D8AC2" w:sz="4" w:space="0"/>
          <w:left w:val="single" w:color="5D8AC2" w:sz="4" w:space="0"/>
          <w:bottom w:val="single" w:color="5D8AC2" w:sz="4" w:space="0"/>
          <w:right w:val="single" w:color="5D8AC2" w:sz="4" w:space="0"/>
        </w:tcBorders>
        <w:shd w:val="clear" w:color="5D8AC2" w:fill="5D8AC2"/>
      </w:tcPr>
    </w:tblStylePr>
    <w:tblStylePr w:type="lastRow">
      <w:rPr>
        <w:b/>
        <w:color w:val="404040"/>
      </w:rPr>
      <w:tcPr>
        <w:tcBorders>
          <w:top w:val="single" w:color="5D8AC2"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fill="DCE6F2"/>
      </w:tcPr>
    </w:tblStylePr>
    <w:tblStylePr w:type="band1Horz">
      <w:rPr>
        <w:rFonts w:ascii="Arial" w:hAnsi="Arial"/>
        <w:color w:val="404040"/>
        <w:sz w:val="22"/>
      </w:rPr>
      <w:tcPr>
        <w:shd w:val="clear" w:color="DCE6F2" w:fill="DCE6F2"/>
      </w:tcPr>
    </w:tblStylePr>
  </w:style>
  <w:style w:type="table" w:customStyle="1" w:styleId="84">
    <w:name w:val="Grid Table 4 - Accent 2"/>
    <w:basedOn w:val="44"/>
    <w:qFormat/>
    <w:uiPriority w:val="59"/>
    <w:tblPr>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Pr>
    <w:tblStylePr w:type="firstRow">
      <w:rPr>
        <w:rFonts w:ascii="Arial" w:hAnsi="Arial"/>
        <w:b/>
        <w:color w:val="FFFFFF"/>
        <w:sz w:val="22"/>
      </w:rPr>
      <w:tcPr>
        <w:tcBorders>
          <w:top w:val="single" w:color="D99695" w:sz="4" w:space="0"/>
          <w:left w:val="single" w:color="D99695" w:sz="4" w:space="0"/>
          <w:bottom w:val="single" w:color="D99695" w:sz="4" w:space="0"/>
          <w:right w:val="single" w:color="D99695" w:sz="4" w:space="0"/>
        </w:tcBorders>
        <w:shd w:val="clear" w:color="D99695" w:fill="D99695"/>
      </w:tcPr>
    </w:tblStylePr>
    <w:tblStylePr w:type="lastRow">
      <w:rPr>
        <w:b/>
        <w:color w:val="404040"/>
      </w:rPr>
      <w:tcPr>
        <w:tcBorders>
          <w:top w:val="single" w:color="D9969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1Horz">
      <w:rPr>
        <w:rFonts w:ascii="Arial" w:hAnsi="Arial"/>
        <w:color w:val="404040"/>
        <w:sz w:val="22"/>
      </w:rPr>
      <w:tcPr>
        <w:shd w:val="clear" w:color="F2DCDC" w:fill="F2DCDC"/>
      </w:tcPr>
    </w:tblStylePr>
  </w:style>
  <w:style w:type="table" w:customStyle="1" w:styleId="85">
    <w:name w:val="Grid Table 4 - Accent 3"/>
    <w:basedOn w:val="44"/>
    <w:qFormat/>
    <w:uiPriority w:val="59"/>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Pr>
    <w:tblStylePr w:type="firstRow">
      <w:rPr>
        <w:rFonts w:ascii="Arial" w:hAnsi="Arial"/>
        <w:b/>
        <w:color w:val="FFFFFF"/>
        <w:sz w:val="22"/>
      </w:rPr>
      <w:tcPr>
        <w:tcBorders>
          <w:top w:val="single" w:color="9ABB59" w:sz="4" w:space="0"/>
          <w:left w:val="single" w:color="9ABB59" w:sz="4" w:space="0"/>
          <w:bottom w:val="single" w:color="9ABB59" w:sz="4" w:space="0"/>
          <w:right w:val="single" w:color="9ABB59" w:sz="4" w:space="0"/>
        </w:tcBorders>
        <w:shd w:val="clear" w:color="9ABB59" w:fill="9ABB59"/>
      </w:tcPr>
    </w:tblStylePr>
    <w:tblStylePr w:type="lastRow">
      <w:rPr>
        <w:b/>
        <w:color w:val="404040"/>
      </w:rPr>
      <w:tcPr>
        <w:tcBorders>
          <w:top w:val="single" w:color="9ABB59"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C" w:fill="EAF1DC"/>
      </w:tcPr>
    </w:tblStylePr>
    <w:tblStylePr w:type="band1Horz">
      <w:rPr>
        <w:rFonts w:ascii="Arial" w:hAnsi="Arial"/>
        <w:color w:val="404040"/>
        <w:sz w:val="22"/>
      </w:rPr>
      <w:tcPr>
        <w:shd w:val="clear" w:color="EAF1DC" w:fill="EAF1DC"/>
      </w:tcPr>
    </w:tblStylePr>
  </w:style>
  <w:style w:type="table" w:customStyle="1" w:styleId="86">
    <w:name w:val="Grid Table 4 - Accent 4"/>
    <w:basedOn w:val="44"/>
    <w:qFormat/>
    <w:uiPriority w:val="59"/>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Pr>
    <w:tblStylePr w:type="firstRow">
      <w:rPr>
        <w:rFonts w:ascii="Arial" w:hAnsi="Arial"/>
        <w:b/>
        <w:color w:val="FFFFFF"/>
        <w:sz w:val="22"/>
      </w:rPr>
      <w:tcPr>
        <w:tcBorders>
          <w:top w:val="single" w:color="B2A1C6" w:sz="4" w:space="0"/>
          <w:left w:val="single" w:color="B2A1C6" w:sz="4" w:space="0"/>
          <w:bottom w:val="single" w:color="B2A1C6" w:sz="4" w:space="0"/>
          <w:right w:val="single" w:color="B2A1C6" w:sz="4" w:space="0"/>
        </w:tcBorders>
        <w:shd w:val="clear" w:color="B2A1C6" w:fill="B2A1C6"/>
      </w:tcPr>
    </w:tblStylePr>
    <w:tblStylePr w:type="lastRow">
      <w:rPr>
        <w:b/>
        <w:color w:val="404040"/>
      </w:rPr>
      <w:tcPr>
        <w:tcBorders>
          <w:top w:val="single" w:color="B2A1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1Horz">
      <w:rPr>
        <w:rFonts w:ascii="Arial" w:hAnsi="Arial"/>
        <w:color w:val="404040"/>
        <w:sz w:val="22"/>
      </w:rPr>
      <w:tcPr>
        <w:shd w:val="clear" w:color="E5DFEC" w:fill="E5DFEC"/>
      </w:tcPr>
    </w:tblStylePr>
  </w:style>
  <w:style w:type="table" w:customStyle="1" w:styleId="87">
    <w:name w:val="Grid Table 4 - Accent 5"/>
    <w:basedOn w:val="44"/>
    <w:qFormat/>
    <w:uiPriority w:val="59"/>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Pr>
    <w:tblStylePr w:type="firstRow">
      <w:rPr>
        <w:rFonts w:ascii="Arial" w:hAnsi="Arial"/>
        <w:b/>
        <w:color w:val="FFFFFF"/>
        <w:sz w:val="22"/>
      </w:rPr>
      <w:tcPr>
        <w:tcBorders>
          <w:top w:val="single" w:color="4BACC6" w:sz="4" w:space="0"/>
          <w:left w:val="single" w:color="4BACC6" w:sz="4" w:space="0"/>
          <w:bottom w:val="single" w:color="4BACC6" w:sz="4" w:space="0"/>
          <w:right w:val="single" w:color="4BACC6" w:sz="4" w:space="0"/>
        </w:tcBorders>
        <w:shd w:val="clear" w:color="4BACC6" w:fill="4BACC6"/>
      </w:tcPr>
    </w:tblStylePr>
    <w:tblStylePr w:type="lastRow">
      <w:rPr>
        <w:b/>
        <w:color w:val="404040"/>
      </w:rPr>
      <w:tcPr>
        <w:tcBorders>
          <w:top w:val="single" w:color="4BAC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1Horz">
      <w:rPr>
        <w:rFonts w:ascii="Arial" w:hAnsi="Arial"/>
        <w:color w:val="404040"/>
        <w:sz w:val="22"/>
      </w:rPr>
      <w:tcPr>
        <w:shd w:val="clear" w:color="DAEEF3" w:fill="DAEEF3"/>
      </w:tcPr>
    </w:tblStylePr>
  </w:style>
  <w:style w:type="table" w:customStyle="1" w:styleId="88">
    <w:name w:val="Grid Table 4 - Accent 6"/>
    <w:basedOn w:val="44"/>
    <w:qFormat/>
    <w:uiPriority w:val="59"/>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Pr>
    <w:tblStylePr w:type="firstRow">
      <w:rPr>
        <w:rFonts w:ascii="Arial" w:hAnsi="Arial"/>
        <w:b/>
        <w:color w:val="FFFFFF"/>
        <w:sz w:val="22"/>
      </w:rPr>
      <w:tcPr>
        <w:tcBorders>
          <w:top w:val="single" w:color="F79646" w:sz="4" w:space="0"/>
          <w:left w:val="single" w:color="F79646" w:sz="4" w:space="0"/>
          <w:bottom w:val="single" w:color="F79646" w:sz="4" w:space="0"/>
          <w:right w:val="single" w:color="F79646" w:sz="4" w:space="0"/>
        </w:tcBorders>
        <w:shd w:val="clear" w:color="F79646" w:fill="F79646"/>
      </w:tcPr>
    </w:tblStylePr>
    <w:tblStylePr w:type="lastRow">
      <w:rPr>
        <w:b/>
        <w:color w:val="404040"/>
      </w:rPr>
      <w:tcPr>
        <w:tcBorders>
          <w:top w:val="single" w:color="F7964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8" w:fill="FDE9D8"/>
      </w:tcPr>
    </w:tblStylePr>
    <w:tblStylePr w:type="band1Horz">
      <w:rPr>
        <w:rFonts w:ascii="Arial" w:hAnsi="Arial"/>
        <w:color w:val="404040"/>
        <w:sz w:val="22"/>
      </w:rPr>
      <w:tcPr>
        <w:shd w:val="clear" w:color="FDE9D8" w:fill="FDE9D8"/>
      </w:tcPr>
    </w:tblStylePr>
  </w:style>
  <w:style w:type="table" w:customStyle="1" w:styleId="89">
    <w:name w:val="网格表 5 深色1"/>
    <w:basedOn w:val="4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000000" w:fill="000000"/>
      </w:tcPr>
    </w:tblStylePr>
    <w:tblStylePr w:type="lastRow">
      <w:rPr>
        <w:rFonts w:ascii="Arial" w:hAnsi="Arial"/>
        <w:b/>
        <w:color w:val="FFFFFF"/>
        <w:sz w:val="22"/>
      </w:rPr>
      <w:tcPr>
        <w:tcBorders>
          <w:top w:val="single" w:color="FFFFFF" w:sz="4" w:space="0"/>
        </w:tcBorders>
        <w:shd w:val="clear" w:color="000000" w:fill="000000"/>
      </w:tcPr>
    </w:tblStylePr>
    <w:tblStylePr w:type="firstCol">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band1Vert">
      <w:tcPr>
        <w:shd w:val="clear" w:color="8A8A8A" w:fill="8A8A8A"/>
      </w:tcPr>
    </w:tblStylePr>
    <w:tblStylePr w:type="band1Horz">
      <w:tcPr>
        <w:shd w:val="clear" w:color="8A8A8A" w:fill="8A8A8A"/>
      </w:tcPr>
    </w:tblStylePr>
  </w:style>
  <w:style w:type="table" w:customStyle="1" w:styleId="90">
    <w:name w:val="Grid Table 5 Dark- Accent 1"/>
    <w:basedOn w:val="4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F81BD" w:fill="4F81BD"/>
      </w:tcPr>
    </w:tblStylePr>
    <w:tblStylePr w:type="lastRow">
      <w:rPr>
        <w:rFonts w:ascii="Arial" w:hAnsi="Arial"/>
        <w:b/>
        <w:color w:val="FFFFFF"/>
        <w:sz w:val="22"/>
      </w:rPr>
      <w:tcPr>
        <w:tcBorders>
          <w:top w:val="single" w:color="FFFFFF" w:sz="4" w:space="0"/>
        </w:tcBorders>
        <w:shd w:val="clear" w:color="4F81BD" w:fill="4F81BD"/>
      </w:tcPr>
    </w:tblStylePr>
    <w:tblStylePr w:type="firstCol">
      <w:rPr>
        <w:rFonts w:ascii="Arial" w:hAnsi="Arial"/>
        <w:b/>
        <w:color w:val="FFFFFF"/>
        <w:sz w:val="22"/>
      </w:rPr>
      <w:tcPr>
        <w:shd w:val="clear" w:color="4F81BD" w:fill="4F81BD"/>
      </w:tcPr>
    </w:tblStylePr>
    <w:tblStylePr w:type="lastCol">
      <w:rPr>
        <w:rFonts w:ascii="Arial" w:hAnsi="Arial"/>
        <w:b/>
        <w:color w:val="FFFFFF"/>
        <w:sz w:val="22"/>
      </w:rPr>
      <w:tcPr>
        <w:shd w:val="clear" w:color="4F81BD" w:fill="4F81BD"/>
      </w:tcPr>
    </w:tblStylePr>
    <w:tblStylePr w:type="band1Vert">
      <w:tcPr>
        <w:shd w:val="clear" w:color="AEC4E0" w:fill="AEC4E0"/>
      </w:tcPr>
    </w:tblStylePr>
    <w:tblStylePr w:type="band1Horz">
      <w:tcPr>
        <w:shd w:val="clear" w:color="AEC4E0" w:fill="AEC4E0"/>
      </w:tcPr>
    </w:tblStylePr>
  </w:style>
  <w:style w:type="table" w:customStyle="1" w:styleId="91">
    <w:name w:val="Grid Table 5 Dark - Accent 2"/>
    <w:basedOn w:val="4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C0504D" w:fill="C0504D"/>
      </w:tcPr>
    </w:tblStylePr>
    <w:tblStylePr w:type="lastRow">
      <w:rPr>
        <w:rFonts w:ascii="Arial" w:hAnsi="Arial"/>
        <w:b/>
        <w:color w:val="FFFFFF"/>
        <w:sz w:val="22"/>
      </w:rPr>
      <w:tcPr>
        <w:tcBorders>
          <w:top w:val="single" w:color="FFFFFF" w:sz="4" w:space="0"/>
        </w:tcBorders>
        <w:shd w:val="clear" w:color="C0504D" w:fill="C0504D"/>
      </w:tcPr>
    </w:tblStylePr>
    <w:tblStylePr w:type="firstCol">
      <w:rPr>
        <w:rFonts w:ascii="Arial" w:hAnsi="Arial"/>
        <w:b/>
        <w:color w:val="FFFFFF"/>
        <w:sz w:val="22"/>
      </w:rPr>
      <w:tcPr>
        <w:shd w:val="clear" w:color="C0504D" w:fill="C0504D"/>
      </w:tcPr>
    </w:tblStylePr>
    <w:tblStylePr w:type="lastCol">
      <w:rPr>
        <w:rFonts w:ascii="Arial" w:hAnsi="Arial"/>
        <w:b/>
        <w:color w:val="FFFFFF"/>
        <w:sz w:val="22"/>
      </w:rPr>
      <w:tcPr>
        <w:shd w:val="clear" w:color="C0504D" w:fill="C0504D"/>
      </w:tcPr>
    </w:tblStylePr>
    <w:tblStylePr w:type="band1Vert">
      <w:tcPr>
        <w:shd w:val="clear" w:color="E2AEAD" w:fill="E2AEAD"/>
      </w:tcPr>
    </w:tblStylePr>
    <w:tblStylePr w:type="band1Horz">
      <w:tcPr>
        <w:shd w:val="clear" w:color="E2AEAD" w:fill="E2AEAD"/>
      </w:tcPr>
    </w:tblStylePr>
  </w:style>
  <w:style w:type="table" w:customStyle="1" w:styleId="92">
    <w:name w:val="Grid Table 5 Dark - Accent 3"/>
    <w:basedOn w:val="4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9BBB59" w:fill="9BBB59"/>
      </w:tcPr>
    </w:tblStylePr>
    <w:tblStylePr w:type="lastRow">
      <w:rPr>
        <w:rFonts w:ascii="Arial" w:hAnsi="Arial"/>
        <w:b/>
        <w:color w:val="FFFFFF"/>
        <w:sz w:val="22"/>
      </w:rPr>
      <w:tcPr>
        <w:tcBorders>
          <w:top w:val="single" w:color="FFFFFF" w:sz="4" w:space="0"/>
        </w:tcBorders>
        <w:shd w:val="clear" w:color="9BBB59" w:fill="9BBB59"/>
      </w:tcPr>
    </w:tblStylePr>
    <w:tblStylePr w:type="firstCol">
      <w:rPr>
        <w:rFonts w:ascii="Arial" w:hAnsi="Arial"/>
        <w:b/>
        <w:color w:val="FFFFFF"/>
        <w:sz w:val="22"/>
      </w:rPr>
      <w:tcPr>
        <w:shd w:val="clear" w:color="9BBB59" w:fill="9BBB59"/>
      </w:tcPr>
    </w:tblStylePr>
    <w:tblStylePr w:type="lastCol">
      <w:rPr>
        <w:rFonts w:ascii="Arial" w:hAnsi="Arial"/>
        <w:b/>
        <w:color w:val="FFFFFF"/>
        <w:sz w:val="22"/>
      </w:rPr>
      <w:tcPr>
        <w:shd w:val="clear" w:color="9BBB59" w:fill="9BBB59"/>
      </w:tcPr>
    </w:tblStylePr>
    <w:tblStylePr w:type="band1Vert">
      <w:tcPr>
        <w:shd w:val="clear" w:color="D0DFB2" w:fill="D0DFB2"/>
      </w:tcPr>
    </w:tblStylePr>
    <w:tblStylePr w:type="band1Horz">
      <w:tcPr>
        <w:shd w:val="clear" w:color="D0DFB2" w:fill="D0DFB2"/>
      </w:tcPr>
    </w:tblStylePr>
  </w:style>
  <w:style w:type="table" w:customStyle="1" w:styleId="93">
    <w:name w:val="Grid Table 5 Dark- Accent 4"/>
    <w:basedOn w:val="4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8064A2" w:fill="8064A2"/>
      </w:tcPr>
    </w:tblStylePr>
    <w:tblStylePr w:type="lastRow">
      <w:rPr>
        <w:rFonts w:ascii="Arial" w:hAnsi="Arial"/>
        <w:b/>
        <w:color w:val="FFFFFF"/>
        <w:sz w:val="22"/>
      </w:rPr>
      <w:tcPr>
        <w:tcBorders>
          <w:top w:val="single" w:color="FFFFFF" w:sz="4" w:space="0"/>
        </w:tcBorders>
        <w:shd w:val="clear" w:color="8064A2" w:fill="8064A2"/>
      </w:tcPr>
    </w:tblStylePr>
    <w:tblStylePr w:type="firstCol">
      <w:rPr>
        <w:rFonts w:ascii="Arial" w:hAnsi="Arial"/>
        <w:b/>
        <w:color w:val="FFFFFF"/>
        <w:sz w:val="22"/>
      </w:rPr>
      <w:tcPr>
        <w:shd w:val="clear" w:color="8064A2" w:fill="8064A2"/>
      </w:tcPr>
    </w:tblStylePr>
    <w:tblStylePr w:type="lastCol">
      <w:rPr>
        <w:rFonts w:ascii="Arial" w:hAnsi="Arial"/>
        <w:b/>
        <w:color w:val="FFFFFF"/>
        <w:sz w:val="22"/>
      </w:rPr>
      <w:tcPr>
        <w:shd w:val="clear" w:color="8064A2" w:fill="8064A2"/>
      </w:tcPr>
    </w:tblStylePr>
    <w:tblStylePr w:type="band1Vert">
      <w:tcPr>
        <w:shd w:val="clear" w:color="C4B7D4" w:fill="C4B7D4"/>
      </w:tcPr>
    </w:tblStylePr>
    <w:tblStylePr w:type="band1Horz">
      <w:tcPr>
        <w:shd w:val="clear" w:color="C4B7D4" w:fill="C4B7D4"/>
      </w:tcPr>
    </w:tblStylePr>
  </w:style>
  <w:style w:type="table" w:customStyle="1" w:styleId="94">
    <w:name w:val="Grid Table 5 Dark - Accent 5"/>
    <w:basedOn w:val="4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BACC6" w:fill="4BACC6"/>
      </w:tcPr>
    </w:tblStylePr>
    <w:tblStylePr w:type="lastRow">
      <w:rPr>
        <w:rFonts w:ascii="Arial" w:hAnsi="Arial"/>
        <w:b/>
        <w:color w:val="FFFFFF"/>
        <w:sz w:val="22"/>
      </w:rPr>
      <w:tcPr>
        <w:tcBorders>
          <w:top w:val="single" w:color="FFFFFF" w:sz="4" w:space="0"/>
        </w:tcBorders>
        <w:shd w:val="clear" w:color="4BACC6" w:fill="4BACC6"/>
      </w:tcPr>
    </w:tblStylePr>
    <w:tblStylePr w:type="firstCol">
      <w:rPr>
        <w:rFonts w:ascii="Arial" w:hAnsi="Arial"/>
        <w:b/>
        <w:color w:val="FFFFFF"/>
        <w:sz w:val="22"/>
      </w:rPr>
      <w:tcPr>
        <w:shd w:val="clear" w:color="4BACC6" w:fill="4BACC6"/>
      </w:tcPr>
    </w:tblStylePr>
    <w:tblStylePr w:type="lastCol">
      <w:rPr>
        <w:rFonts w:ascii="Arial" w:hAnsi="Arial"/>
        <w:b/>
        <w:color w:val="FFFFFF"/>
        <w:sz w:val="22"/>
      </w:rPr>
      <w:tcPr>
        <w:shd w:val="clear" w:color="4BACC6" w:fill="4BACC6"/>
      </w:tcPr>
    </w:tblStylePr>
    <w:tblStylePr w:type="band1Vert">
      <w:tcPr>
        <w:shd w:val="clear" w:color="ACD8E4" w:fill="ACD8E4"/>
      </w:tcPr>
    </w:tblStylePr>
    <w:tblStylePr w:type="band1Horz">
      <w:tcPr>
        <w:shd w:val="clear" w:color="ACD8E4" w:fill="ACD8E4"/>
      </w:tcPr>
    </w:tblStylePr>
  </w:style>
  <w:style w:type="table" w:customStyle="1" w:styleId="95">
    <w:name w:val="Grid Table 5 Dark - Accent 6"/>
    <w:basedOn w:val="4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F79646" w:fill="F79646"/>
      </w:tcPr>
    </w:tblStylePr>
    <w:tblStylePr w:type="lastRow">
      <w:rPr>
        <w:rFonts w:ascii="Arial" w:hAnsi="Arial"/>
        <w:b/>
        <w:color w:val="FFFFFF"/>
        <w:sz w:val="22"/>
      </w:rPr>
      <w:tcPr>
        <w:tcBorders>
          <w:top w:val="single" w:color="FFFFFF" w:sz="4" w:space="0"/>
        </w:tcBorders>
        <w:shd w:val="clear" w:color="F79646" w:fill="F79646"/>
      </w:tcPr>
    </w:tblStylePr>
    <w:tblStylePr w:type="firstCol">
      <w:rPr>
        <w:rFonts w:ascii="Arial" w:hAnsi="Arial"/>
        <w:b/>
        <w:color w:val="FFFFFF"/>
        <w:sz w:val="22"/>
      </w:rPr>
      <w:tcPr>
        <w:shd w:val="clear" w:color="F79646" w:fill="F79646"/>
      </w:tcPr>
    </w:tblStylePr>
    <w:tblStylePr w:type="lastCol">
      <w:rPr>
        <w:rFonts w:ascii="Arial" w:hAnsi="Arial"/>
        <w:b/>
        <w:color w:val="FFFFFF"/>
        <w:sz w:val="22"/>
      </w:rPr>
      <w:tcPr>
        <w:shd w:val="clear" w:color="F79646" w:fill="F79646"/>
      </w:tcPr>
    </w:tblStylePr>
    <w:tblStylePr w:type="band1Vert">
      <w:tcPr>
        <w:shd w:val="clear" w:color="FBCEAA" w:fill="FBCEAA"/>
      </w:tcPr>
    </w:tblStylePr>
    <w:tblStylePr w:type="band1Horz">
      <w:tcPr>
        <w:shd w:val="clear" w:color="FBCEAA" w:fill="FBCEAA"/>
      </w:tcPr>
    </w:tblStylePr>
  </w:style>
  <w:style w:type="table" w:customStyle="1" w:styleId="96">
    <w:name w:val="网格表 6 彩色1"/>
    <w:basedOn w:val="44"/>
    <w:qFormat/>
    <w:uiPriority w:val="99"/>
    <w:tblPr>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firstRow">
      <w:rPr>
        <w:b/>
        <w:color w:val="7F7F7F"/>
      </w:rPr>
      <w:tcPr>
        <w:tcBorders>
          <w:bottom w:val="single" w:color="7F7F7F" w:sz="12" w:space="0"/>
        </w:tcBorders>
      </w:tcPr>
    </w:tblStylePr>
    <w:tblStylePr w:type="lastRow">
      <w:rPr>
        <w:b/>
        <w:color w:val="7F7F7F"/>
      </w:rPr>
    </w:tblStylePr>
    <w:tblStylePr w:type="firstCol">
      <w:rPr>
        <w:b/>
        <w:color w:val="7F7F7F"/>
      </w:rPr>
    </w:tblStylePr>
    <w:tblStylePr w:type="lastCol">
      <w:rPr>
        <w:b/>
        <w:color w:val="7F7F7F"/>
      </w:rPr>
    </w:tblStylePr>
    <w:tblStylePr w:type="band1Vert">
      <w:tcPr>
        <w:shd w:val="clear" w:color="CBCBCB" w:fill="CBCBCB"/>
      </w:tcPr>
    </w:tblStylePr>
    <w:tblStylePr w:type="band1Horz">
      <w:rPr>
        <w:rFonts w:ascii="Arial" w:hAnsi="Arial"/>
        <w:color w:val="7F7F7F"/>
        <w:sz w:val="22"/>
      </w:rPr>
      <w:tcPr>
        <w:shd w:val="clear" w:color="CBCBCB" w:fill="CBCBCB"/>
      </w:tcPr>
    </w:tblStylePr>
    <w:tblStylePr w:type="band2Horz">
      <w:rPr>
        <w:rFonts w:ascii="Arial" w:hAnsi="Arial"/>
        <w:color w:val="7F7F7F"/>
        <w:sz w:val="22"/>
      </w:rPr>
    </w:tblStylePr>
  </w:style>
  <w:style w:type="table" w:customStyle="1" w:styleId="97">
    <w:name w:val="Grid Table 6 Colorful - Accent 1"/>
    <w:basedOn w:val="44"/>
    <w:qFormat/>
    <w:uiPriority w:val="99"/>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Pr>
    <w:tblStylePr w:type="firstRow">
      <w:rPr>
        <w:b/>
        <w:color w:val="A6BFDD"/>
      </w:rPr>
      <w:tcPr>
        <w:tcBorders>
          <w:bottom w:val="single" w:color="A6BFDD" w:sz="12" w:space="0"/>
        </w:tcBorders>
      </w:tcPr>
    </w:tblStylePr>
    <w:tblStylePr w:type="lastRow">
      <w:rPr>
        <w:b/>
        <w:color w:val="A6BFDD"/>
      </w:rPr>
    </w:tblStylePr>
    <w:tblStylePr w:type="firstCol">
      <w:rPr>
        <w:b/>
        <w:color w:val="A6BFDD"/>
      </w:rPr>
    </w:tblStylePr>
    <w:tblStylePr w:type="lastCol">
      <w:rPr>
        <w:b/>
        <w:color w:val="A6BFDD"/>
      </w:rPr>
    </w:tblStylePr>
    <w:tblStylePr w:type="band1Vert">
      <w:tcPr>
        <w:shd w:val="clear" w:color="DAE5F1" w:fill="DAE5F1"/>
      </w:tcPr>
    </w:tblStylePr>
    <w:tblStylePr w:type="band1Horz">
      <w:rPr>
        <w:rFonts w:ascii="Arial" w:hAnsi="Arial"/>
        <w:color w:val="A6BFDD"/>
        <w:sz w:val="22"/>
      </w:rPr>
      <w:tcPr>
        <w:shd w:val="clear" w:color="DAE5F1" w:fill="DAE5F1"/>
      </w:tcPr>
    </w:tblStylePr>
    <w:tblStylePr w:type="band2Horz">
      <w:rPr>
        <w:rFonts w:ascii="Arial" w:hAnsi="Arial"/>
        <w:color w:val="A6BFDD"/>
        <w:sz w:val="22"/>
      </w:rPr>
    </w:tblStylePr>
  </w:style>
  <w:style w:type="table" w:customStyle="1" w:styleId="98">
    <w:name w:val="Grid Table 6 Colorful - Accent 2"/>
    <w:basedOn w:val="44"/>
    <w:qFormat/>
    <w:uiPriority w:val="99"/>
    <w:tblPr>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Pr>
    <w:tblStylePr w:type="firstRow">
      <w:rPr>
        <w:b/>
        <w:color w:val="D99695"/>
      </w:rPr>
      <w:tcPr>
        <w:tcBorders>
          <w:bottom w:val="single" w:color="D99695" w:sz="12" w:space="0"/>
        </w:tcBorders>
      </w:tcPr>
    </w:tblStylePr>
    <w:tblStylePr w:type="lastRow">
      <w:rPr>
        <w:b/>
        <w:color w:val="D99695"/>
      </w:rPr>
    </w:tblStylePr>
    <w:tblStylePr w:type="firstCol">
      <w:rPr>
        <w:b/>
        <w:color w:val="D99695"/>
      </w:rPr>
    </w:tblStylePr>
    <w:tblStylePr w:type="lastCol">
      <w:rPr>
        <w:b/>
        <w:color w:val="D99695"/>
      </w:rPr>
    </w:tblStylePr>
    <w:tblStylePr w:type="band1Vert">
      <w:tcPr>
        <w:shd w:val="clear" w:color="F2DCDC" w:fill="F2DCDC"/>
      </w:tcPr>
    </w:tblStylePr>
    <w:tblStylePr w:type="band1Horz">
      <w:rPr>
        <w:rFonts w:ascii="Arial" w:hAnsi="Arial"/>
        <w:color w:val="D99695"/>
        <w:sz w:val="22"/>
      </w:rPr>
      <w:tcPr>
        <w:shd w:val="clear" w:color="F2DCDC" w:fill="F2DCDC"/>
      </w:tcPr>
    </w:tblStylePr>
    <w:tblStylePr w:type="band2Horz">
      <w:rPr>
        <w:rFonts w:ascii="Arial" w:hAnsi="Arial"/>
        <w:color w:val="D99695"/>
        <w:sz w:val="22"/>
      </w:rPr>
    </w:tblStylePr>
  </w:style>
  <w:style w:type="table" w:customStyle="1" w:styleId="99">
    <w:name w:val="Grid Table 6 Colorful - Accent 3"/>
    <w:basedOn w:val="44"/>
    <w:qFormat/>
    <w:uiPriority w:val="99"/>
    <w:tblPr>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Pr>
    <w:tblStylePr w:type="firstRow">
      <w:rPr>
        <w:b/>
        <w:color w:val="9ABB59"/>
      </w:rPr>
      <w:tcPr>
        <w:tcBorders>
          <w:bottom w:val="single" w:color="9ABB59" w:sz="12" w:space="0"/>
        </w:tcBorders>
      </w:tcPr>
    </w:tblStylePr>
    <w:tblStylePr w:type="lastRow">
      <w:rPr>
        <w:b/>
        <w:color w:val="9ABB59"/>
      </w:rPr>
    </w:tblStylePr>
    <w:tblStylePr w:type="firstCol">
      <w:rPr>
        <w:b/>
        <w:color w:val="9ABB59"/>
      </w:rPr>
    </w:tblStylePr>
    <w:tblStylePr w:type="lastCol">
      <w:rPr>
        <w:b/>
        <w:color w:val="9ABB59"/>
      </w:rPr>
    </w:tblStylePr>
    <w:tblStylePr w:type="band1Vert">
      <w:tcPr>
        <w:shd w:val="clear" w:color="EAF1DC" w:fill="EAF1DC"/>
      </w:tcPr>
    </w:tblStylePr>
    <w:tblStylePr w:type="band1Horz">
      <w:rPr>
        <w:rFonts w:ascii="Arial" w:hAnsi="Arial"/>
        <w:color w:val="9ABB59"/>
        <w:sz w:val="22"/>
      </w:rPr>
      <w:tcPr>
        <w:shd w:val="clear" w:color="EAF1DC" w:fill="EAF1DC"/>
      </w:tcPr>
    </w:tblStylePr>
    <w:tblStylePr w:type="band2Horz">
      <w:rPr>
        <w:rFonts w:ascii="Arial" w:hAnsi="Arial"/>
        <w:color w:val="9ABB59"/>
        <w:sz w:val="22"/>
      </w:rPr>
    </w:tblStylePr>
  </w:style>
  <w:style w:type="table" w:customStyle="1" w:styleId="100">
    <w:name w:val="Grid Table 6 Colorful - Accent 4"/>
    <w:basedOn w:val="44"/>
    <w:qFormat/>
    <w:uiPriority w:val="99"/>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Pr>
    <w:tblStylePr w:type="firstRow">
      <w:rPr>
        <w:b/>
        <w:color w:val="B2A1C6"/>
      </w:rPr>
      <w:tcPr>
        <w:tcBorders>
          <w:bottom w:val="single" w:color="B2A1C6" w:sz="12" w:space="0"/>
        </w:tcBorders>
      </w:tcPr>
    </w:tblStylePr>
    <w:tblStylePr w:type="lastRow">
      <w:rPr>
        <w:b/>
        <w:color w:val="B2A1C6"/>
      </w:rPr>
    </w:tblStylePr>
    <w:tblStylePr w:type="firstCol">
      <w:rPr>
        <w:b/>
        <w:color w:val="B2A1C6"/>
      </w:rPr>
    </w:tblStylePr>
    <w:tblStylePr w:type="lastCol">
      <w:rPr>
        <w:b/>
        <w:color w:val="B2A1C6"/>
      </w:rPr>
    </w:tblStylePr>
    <w:tblStylePr w:type="band1Vert">
      <w:tcPr>
        <w:shd w:val="clear" w:color="E5DFEC" w:fill="E5DFEC"/>
      </w:tcPr>
    </w:tblStylePr>
    <w:tblStylePr w:type="band1Horz">
      <w:rPr>
        <w:rFonts w:ascii="Arial" w:hAnsi="Arial"/>
        <w:color w:val="B2A1C6"/>
        <w:sz w:val="22"/>
      </w:rPr>
      <w:tcPr>
        <w:shd w:val="clear" w:color="E5DFEC" w:fill="E5DFEC"/>
      </w:tcPr>
    </w:tblStylePr>
    <w:tblStylePr w:type="band2Horz">
      <w:rPr>
        <w:rFonts w:ascii="Arial" w:hAnsi="Arial"/>
        <w:color w:val="B2A1C6"/>
        <w:sz w:val="22"/>
      </w:rPr>
    </w:tblStylePr>
  </w:style>
  <w:style w:type="table" w:customStyle="1" w:styleId="101">
    <w:name w:val="Grid Table 6 Colorful - Accent 5"/>
    <w:basedOn w:val="44"/>
    <w:qFormat/>
    <w:uiPriority w:val="99"/>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Pr>
    <w:tblStylePr w:type="firstRow">
      <w:rPr>
        <w:b/>
        <w:color w:val="266779"/>
      </w:rPr>
      <w:tcPr>
        <w:tcBorders>
          <w:bottom w:val="single" w:color="4BACC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DAEEF3" w:fill="DAEEF3"/>
      </w:tcPr>
    </w:tblStylePr>
    <w:tblStylePr w:type="band1Horz">
      <w:rPr>
        <w:rFonts w:ascii="Arial" w:hAnsi="Arial"/>
        <w:color w:val="266779"/>
        <w:sz w:val="22"/>
      </w:rPr>
      <w:tcPr>
        <w:shd w:val="clear" w:color="DAEEF3" w:fill="DAEEF3"/>
      </w:tcPr>
    </w:tblStylePr>
    <w:tblStylePr w:type="band2Horz">
      <w:rPr>
        <w:rFonts w:ascii="Arial" w:hAnsi="Arial"/>
        <w:color w:val="266779"/>
        <w:sz w:val="22"/>
      </w:rPr>
    </w:tblStylePr>
  </w:style>
  <w:style w:type="table" w:customStyle="1" w:styleId="102">
    <w:name w:val="Grid Table 6 Colorful - Accent 6"/>
    <w:basedOn w:val="44"/>
    <w:qFormat/>
    <w:uiPriority w:val="99"/>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Pr>
    <w:tblStylePr w:type="firstRow">
      <w:rPr>
        <w:b/>
        <w:color w:val="266779"/>
      </w:rPr>
      <w:tcPr>
        <w:tcBorders>
          <w:bottom w:val="single" w:color="F7964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FDE9D8" w:fill="FDE9D8"/>
      </w:tcPr>
    </w:tblStylePr>
    <w:tblStylePr w:type="band1Horz">
      <w:rPr>
        <w:rFonts w:ascii="Arial" w:hAnsi="Arial"/>
        <w:color w:val="266779"/>
        <w:sz w:val="22"/>
      </w:rPr>
      <w:tcPr>
        <w:shd w:val="clear" w:color="FDE9D8" w:fill="FDE9D8"/>
      </w:tcPr>
    </w:tblStylePr>
    <w:tblStylePr w:type="band2Horz">
      <w:rPr>
        <w:rFonts w:ascii="Arial" w:hAnsi="Arial"/>
        <w:color w:val="266779"/>
        <w:sz w:val="22"/>
      </w:rPr>
    </w:tblStylePr>
  </w:style>
  <w:style w:type="table" w:customStyle="1" w:styleId="103">
    <w:name w:val="网格表 7 彩色1"/>
    <w:basedOn w:val="44"/>
    <w:qFormat/>
    <w:uiPriority w:val="99"/>
    <w:tblPr>
      <w:tblBorders>
        <w:bottom w:val="single" w:color="7F7F7F" w:sz="4" w:space="0"/>
        <w:right w:val="single" w:color="7F7F7F" w:sz="4" w:space="0"/>
        <w:insideH w:val="single" w:color="7F7F7F" w:sz="4" w:space="0"/>
        <w:insideV w:val="single" w:color="7F7F7F" w:sz="4" w:space="0"/>
      </w:tblBorders>
    </w:tblPr>
    <w:tblStylePr w:type="firstRow">
      <w:rPr>
        <w:rFonts w:ascii="Arial" w:hAnsi="Arial"/>
        <w:b/>
        <w:color w:val="7F7F7F"/>
        <w:sz w:val="22"/>
      </w:rPr>
      <w:tcPr>
        <w:tcBorders>
          <w:top w:val="nil"/>
          <w:left w:val="nil"/>
          <w:bottom w:val="single" w:color="7F7F7F" w:sz="4" w:space="0"/>
          <w:right w:val="nil"/>
        </w:tcBorders>
        <w:shd w:val="clear" w:color="FFFFFF" w:fill="FFFFFF"/>
      </w:tcPr>
    </w:tblStylePr>
    <w:tblStylePr w:type="lastRow">
      <w:rPr>
        <w:rFonts w:ascii="Arial" w:hAnsi="Arial"/>
        <w:b/>
        <w:color w:val="7F7F7F"/>
        <w:sz w:val="22"/>
      </w:rPr>
      <w:tcPr>
        <w:tcBorders>
          <w:top w:val="single" w:color="7F7F7F" w:sz="4" w:space="0"/>
          <w:left w:val="nil"/>
          <w:bottom w:val="nil"/>
          <w:right w:val="nil"/>
        </w:tcBorders>
        <w:shd w:val="clear" w:color="FFFFFF" w:fill="FFFFFF"/>
      </w:tcPr>
    </w:tblStylePr>
    <w:tblStylePr w:type="firstCol">
      <w:pPr>
        <w:jc w:val="right"/>
      </w:pPr>
      <w:rPr>
        <w:rFonts w:ascii="Arial" w:hAnsi="Arial"/>
        <w:i/>
        <w:color w:val="7F7F7F"/>
        <w:sz w:val="22"/>
      </w:rPr>
      <w:tcPr>
        <w:tcBorders>
          <w:top w:val="nil"/>
          <w:left w:val="nil"/>
          <w:bottom w:val="nil"/>
          <w:right w:val="single" w:color="7F7F7F" w:sz="4" w:space="0"/>
        </w:tcBorders>
        <w:shd w:val="clear" w:color="FFFFFF" w:fill="auto"/>
      </w:tcPr>
    </w:tblStylePr>
    <w:tblStylePr w:type="lastCol">
      <w:rPr>
        <w:rFonts w:ascii="Arial" w:hAnsi="Arial"/>
        <w:i/>
        <w:color w:val="7F7F7F"/>
        <w:sz w:val="22"/>
      </w:rPr>
      <w:tcPr>
        <w:tcBorders>
          <w:top w:val="nil"/>
          <w:left w:val="single" w:color="7F7F7F" w:sz="4" w:space="0"/>
          <w:bottom w:val="nil"/>
          <w:right w:val="nil"/>
        </w:tcBorders>
        <w:shd w:val="clear" w:color="FFFFFF" w:fill="auto"/>
      </w:tcPr>
    </w:tblStylePr>
    <w:tblStylePr w:type="band1Vert">
      <w:tcPr>
        <w:shd w:val="clear" w:color="F2F2F2" w:fill="F2F2F2"/>
      </w:tcPr>
    </w:tblStylePr>
    <w:tblStylePr w:type="band1Horz">
      <w:rPr>
        <w:rFonts w:ascii="Arial" w:hAnsi="Arial"/>
        <w:color w:val="7F7F7F"/>
        <w:sz w:val="22"/>
      </w:rPr>
      <w:tcPr>
        <w:shd w:val="clear" w:color="F2F2F2" w:fill="F2F2F2"/>
      </w:tcPr>
    </w:tblStylePr>
    <w:tblStylePr w:type="band2Horz">
      <w:rPr>
        <w:rFonts w:ascii="Arial" w:hAnsi="Arial"/>
        <w:color w:val="7F7F7F"/>
        <w:sz w:val="22"/>
      </w:rPr>
    </w:tblStylePr>
  </w:style>
  <w:style w:type="table" w:customStyle="1" w:styleId="104">
    <w:name w:val="Grid Table 7 Colorful - Accent 1"/>
    <w:basedOn w:val="44"/>
    <w:qFormat/>
    <w:uiPriority w:val="99"/>
    <w:tblPr>
      <w:tblBorders>
        <w:bottom w:val="single" w:color="A6BFDD" w:sz="4" w:space="0"/>
        <w:right w:val="single" w:color="A6BFDD" w:sz="4" w:space="0"/>
        <w:insideH w:val="single" w:color="A6BFDD" w:sz="4" w:space="0"/>
        <w:insideV w:val="single" w:color="A6BFDD" w:sz="4" w:space="0"/>
      </w:tblBorders>
    </w:tblPr>
    <w:tblStylePr w:type="firstRow">
      <w:rPr>
        <w:rFonts w:ascii="Arial" w:hAnsi="Arial"/>
        <w:b/>
        <w:color w:val="A6BFDD"/>
        <w:sz w:val="22"/>
      </w:rPr>
      <w:tcPr>
        <w:tcBorders>
          <w:top w:val="nil"/>
          <w:left w:val="nil"/>
          <w:bottom w:val="single" w:color="A6BFDD" w:sz="4" w:space="0"/>
          <w:right w:val="nil"/>
        </w:tcBorders>
        <w:shd w:val="clear" w:color="FFFFFF" w:fill="FFFFFF"/>
      </w:tcPr>
    </w:tblStylePr>
    <w:tblStylePr w:type="lastRow">
      <w:rPr>
        <w:rFonts w:ascii="Arial" w:hAnsi="Arial"/>
        <w:b/>
        <w:color w:val="A6BFDD"/>
        <w:sz w:val="22"/>
      </w:rPr>
      <w:tcPr>
        <w:tcBorders>
          <w:top w:val="single" w:color="A6BFDD" w:sz="4" w:space="0"/>
          <w:left w:val="nil"/>
          <w:bottom w:val="nil"/>
          <w:right w:val="nil"/>
        </w:tcBorders>
        <w:shd w:val="clear" w:color="FFFFFF" w:fill="FFFFFF"/>
      </w:tcPr>
    </w:tblStylePr>
    <w:tblStylePr w:type="firstCol">
      <w:pPr>
        <w:jc w:val="right"/>
      </w:pPr>
      <w:rPr>
        <w:rFonts w:ascii="Arial" w:hAnsi="Arial"/>
        <w:i/>
        <w:color w:val="A6BFDD"/>
        <w:sz w:val="22"/>
      </w:rPr>
      <w:tcPr>
        <w:tcBorders>
          <w:top w:val="nil"/>
          <w:left w:val="nil"/>
          <w:bottom w:val="nil"/>
          <w:right w:val="single" w:color="A6BFDD" w:sz="4" w:space="0"/>
        </w:tcBorders>
        <w:shd w:val="clear" w:color="FFFFFF" w:fill="auto"/>
      </w:tcPr>
    </w:tblStylePr>
    <w:tblStylePr w:type="lastCol">
      <w:rPr>
        <w:rFonts w:ascii="Arial" w:hAnsi="Arial"/>
        <w:i/>
        <w:color w:val="A6BFDD"/>
        <w:sz w:val="22"/>
      </w:rPr>
      <w:tcPr>
        <w:tcBorders>
          <w:top w:val="nil"/>
          <w:left w:val="single" w:color="A6BFDD" w:sz="4" w:space="0"/>
          <w:bottom w:val="nil"/>
          <w:right w:val="nil"/>
        </w:tcBorders>
        <w:shd w:val="clear" w:color="FFFFFF" w:fill="auto"/>
      </w:tcPr>
    </w:tblStylePr>
    <w:tblStylePr w:type="band1Vert">
      <w:tcPr>
        <w:shd w:val="clear" w:color="DAE5F1" w:fill="DAE5F1"/>
      </w:tcPr>
    </w:tblStylePr>
    <w:tblStylePr w:type="band1Horz">
      <w:rPr>
        <w:rFonts w:ascii="Arial" w:hAnsi="Arial"/>
        <w:color w:val="A6BFDD"/>
        <w:sz w:val="22"/>
      </w:rPr>
      <w:tcPr>
        <w:shd w:val="clear" w:color="DAE5F1" w:fill="DAE5F1"/>
      </w:tcPr>
    </w:tblStylePr>
    <w:tblStylePr w:type="band2Horz">
      <w:rPr>
        <w:rFonts w:ascii="Arial" w:hAnsi="Arial"/>
        <w:color w:val="A6BFDD"/>
        <w:sz w:val="22"/>
      </w:rPr>
    </w:tblStylePr>
  </w:style>
  <w:style w:type="table" w:customStyle="1" w:styleId="105">
    <w:name w:val="Grid Table 7 Colorful - Accent 2"/>
    <w:basedOn w:val="44"/>
    <w:qFormat/>
    <w:uiPriority w:val="99"/>
    <w:tblPr>
      <w:tblBorders>
        <w:bottom w:val="single" w:color="D99695" w:sz="4" w:space="0"/>
        <w:right w:val="single" w:color="D99695" w:sz="4" w:space="0"/>
        <w:insideH w:val="single" w:color="D99695" w:sz="4" w:space="0"/>
        <w:insideV w:val="single" w:color="D99695" w:sz="4" w:space="0"/>
      </w:tblBorders>
    </w:tblPr>
    <w:tblStylePr w:type="firstRow">
      <w:rPr>
        <w:rFonts w:ascii="Arial" w:hAnsi="Arial"/>
        <w:b/>
        <w:color w:val="D99695"/>
        <w:sz w:val="22"/>
      </w:rPr>
      <w:tcPr>
        <w:tcBorders>
          <w:top w:val="nil"/>
          <w:left w:val="nil"/>
          <w:bottom w:val="single" w:color="D99695" w:sz="4" w:space="0"/>
          <w:right w:val="nil"/>
        </w:tcBorders>
        <w:shd w:val="clear" w:color="FFFFFF" w:fill="FFFFFF"/>
      </w:tcPr>
    </w:tblStylePr>
    <w:tblStylePr w:type="lastRow">
      <w:rPr>
        <w:rFonts w:ascii="Arial" w:hAnsi="Arial"/>
        <w:b/>
        <w:color w:val="D99695"/>
        <w:sz w:val="22"/>
      </w:rPr>
      <w:tcPr>
        <w:tcBorders>
          <w:top w:val="single" w:color="D99695" w:sz="4" w:space="0"/>
          <w:left w:val="nil"/>
          <w:bottom w:val="nil"/>
          <w:right w:val="nil"/>
        </w:tcBorders>
        <w:shd w:val="clear" w:color="FFFFFF" w:fill="FFFFFF"/>
      </w:tcPr>
    </w:tblStylePr>
    <w:tblStylePr w:type="firstCol">
      <w:pPr>
        <w:jc w:val="right"/>
      </w:pPr>
      <w:rPr>
        <w:rFonts w:ascii="Arial" w:hAnsi="Arial"/>
        <w:i/>
        <w:color w:val="D99695"/>
        <w:sz w:val="22"/>
      </w:rPr>
      <w:tcPr>
        <w:tcBorders>
          <w:top w:val="nil"/>
          <w:left w:val="nil"/>
          <w:bottom w:val="nil"/>
          <w:right w:val="single" w:color="D99695" w:sz="4" w:space="0"/>
        </w:tcBorders>
        <w:shd w:val="clear" w:color="FFFFFF" w:fill="auto"/>
      </w:tcPr>
    </w:tblStylePr>
    <w:tblStylePr w:type="lastCol">
      <w:rPr>
        <w:rFonts w:ascii="Arial" w:hAnsi="Arial"/>
        <w:i/>
        <w:color w:val="D99695"/>
        <w:sz w:val="22"/>
      </w:rPr>
      <w:tcPr>
        <w:tcBorders>
          <w:top w:val="nil"/>
          <w:left w:val="single" w:color="D99695" w:sz="4" w:space="0"/>
          <w:bottom w:val="nil"/>
          <w:right w:val="nil"/>
        </w:tcBorders>
        <w:shd w:val="clear" w:color="FFFFFF" w:fill="auto"/>
      </w:tcPr>
    </w:tblStylePr>
    <w:tblStylePr w:type="band1Vert">
      <w:tcPr>
        <w:shd w:val="clear" w:color="F2DCDC" w:fill="F2DCDC"/>
      </w:tcPr>
    </w:tblStylePr>
    <w:tblStylePr w:type="band1Horz">
      <w:rPr>
        <w:rFonts w:ascii="Arial" w:hAnsi="Arial"/>
        <w:color w:val="D99695"/>
        <w:sz w:val="22"/>
      </w:rPr>
      <w:tcPr>
        <w:shd w:val="clear" w:color="F2DCDC" w:fill="F2DCDC"/>
      </w:tcPr>
    </w:tblStylePr>
    <w:tblStylePr w:type="band2Horz">
      <w:rPr>
        <w:rFonts w:ascii="Arial" w:hAnsi="Arial"/>
        <w:color w:val="D99695"/>
        <w:sz w:val="22"/>
      </w:rPr>
    </w:tblStylePr>
  </w:style>
  <w:style w:type="table" w:customStyle="1" w:styleId="106">
    <w:name w:val="Grid Table 7 Colorful - Accent 3"/>
    <w:basedOn w:val="44"/>
    <w:qFormat/>
    <w:uiPriority w:val="99"/>
    <w:tblPr>
      <w:tblBorders>
        <w:bottom w:val="single" w:color="9ABB59" w:sz="4" w:space="0"/>
        <w:right w:val="single" w:color="9ABB59" w:sz="4" w:space="0"/>
        <w:insideH w:val="single" w:color="9ABB59" w:sz="4" w:space="0"/>
        <w:insideV w:val="single" w:color="9ABB59" w:sz="4" w:space="0"/>
      </w:tblBorders>
    </w:tblPr>
    <w:tblStylePr w:type="firstRow">
      <w:rPr>
        <w:rFonts w:ascii="Arial" w:hAnsi="Arial"/>
        <w:b/>
        <w:color w:val="9ABB59"/>
        <w:sz w:val="22"/>
      </w:rPr>
      <w:tcPr>
        <w:tcBorders>
          <w:top w:val="nil"/>
          <w:left w:val="nil"/>
          <w:bottom w:val="single" w:color="9ABB59" w:sz="4" w:space="0"/>
          <w:right w:val="nil"/>
        </w:tcBorders>
        <w:shd w:val="clear" w:color="FFFFFF" w:fill="FFFFFF"/>
      </w:tcPr>
    </w:tblStylePr>
    <w:tblStylePr w:type="lastRow">
      <w:rPr>
        <w:rFonts w:ascii="Arial" w:hAnsi="Arial"/>
        <w:b/>
        <w:color w:val="9ABB59"/>
        <w:sz w:val="22"/>
      </w:rPr>
      <w:tcPr>
        <w:tcBorders>
          <w:top w:val="single" w:color="9ABB59" w:sz="4" w:space="0"/>
          <w:left w:val="nil"/>
          <w:bottom w:val="nil"/>
          <w:right w:val="nil"/>
        </w:tcBorders>
        <w:shd w:val="clear" w:color="FFFFFF" w:fill="FFFFFF"/>
      </w:tcPr>
    </w:tblStylePr>
    <w:tblStylePr w:type="firstCol">
      <w:pPr>
        <w:jc w:val="right"/>
      </w:pPr>
      <w:rPr>
        <w:rFonts w:ascii="Arial" w:hAnsi="Arial"/>
        <w:i/>
        <w:color w:val="9ABB59"/>
        <w:sz w:val="22"/>
      </w:rPr>
      <w:tcPr>
        <w:tcBorders>
          <w:top w:val="nil"/>
          <w:left w:val="nil"/>
          <w:bottom w:val="nil"/>
          <w:right w:val="single" w:color="9ABB59" w:sz="4" w:space="0"/>
        </w:tcBorders>
        <w:shd w:val="clear" w:color="FFFFFF" w:fill="auto"/>
      </w:tcPr>
    </w:tblStylePr>
    <w:tblStylePr w:type="lastCol">
      <w:rPr>
        <w:rFonts w:ascii="Arial" w:hAnsi="Arial"/>
        <w:i/>
        <w:color w:val="9ABB59"/>
        <w:sz w:val="22"/>
      </w:rPr>
      <w:tcPr>
        <w:tcBorders>
          <w:top w:val="nil"/>
          <w:left w:val="single" w:color="9ABB59" w:sz="4" w:space="0"/>
          <w:bottom w:val="nil"/>
          <w:right w:val="nil"/>
        </w:tcBorders>
        <w:shd w:val="clear" w:color="FFFFFF" w:fill="auto"/>
      </w:tcPr>
    </w:tblStylePr>
    <w:tblStylePr w:type="band1Vert">
      <w:tcPr>
        <w:shd w:val="clear" w:color="EAF1DC" w:fill="EAF1DC"/>
      </w:tcPr>
    </w:tblStylePr>
    <w:tblStylePr w:type="band1Horz">
      <w:rPr>
        <w:rFonts w:ascii="Arial" w:hAnsi="Arial"/>
        <w:color w:val="9ABB59"/>
        <w:sz w:val="22"/>
      </w:rPr>
      <w:tcPr>
        <w:shd w:val="clear" w:color="EAF1DC" w:fill="EAF1DC"/>
      </w:tcPr>
    </w:tblStylePr>
    <w:tblStylePr w:type="band2Horz">
      <w:rPr>
        <w:rFonts w:ascii="Arial" w:hAnsi="Arial"/>
        <w:color w:val="9ABB59"/>
        <w:sz w:val="22"/>
      </w:rPr>
    </w:tblStylePr>
  </w:style>
  <w:style w:type="table" w:customStyle="1" w:styleId="107">
    <w:name w:val="Grid Table 7 Colorful - Accent 4"/>
    <w:basedOn w:val="44"/>
    <w:qFormat/>
    <w:uiPriority w:val="99"/>
    <w:tblPr>
      <w:tblBorders>
        <w:bottom w:val="single" w:color="B2A1C6" w:sz="4" w:space="0"/>
        <w:right w:val="single" w:color="B2A1C6" w:sz="4" w:space="0"/>
        <w:insideH w:val="single" w:color="B2A1C6" w:sz="4" w:space="0"/>
        <w:insideV w:val="single" w:color="B2A1C6" w:sz="4" w:space="0"/>
      </w:tblBorders>
    </w:tblPr>
    <w:tblStylePr w:type="firstRow">
      <w:rPr>
        <w:rFonts w:ascii="Arial" w:hAnsi="Arial"/>
        <w:b/>
        <w:color w:val="B2A1C6"/>
        <w:sz w:val="22"/>
      </w:rPr>
      <w:tcPr>
        <w:tcBorders>
          <w:top w:val="nil"/>
          <w:left w:val="nil"/>
          <w:bottom w:val="single" w:color="B2A1C6" w:sz="4" w:space="0"/>
          <w:right w:val="nil"/>
        </w:tcBorders>
        <w:shd w:val="clear" w:color="FFFFFF" w:fill="FFFFFF"/>
      </w:tcPr>
    </w:tblStylePr>
    <w:tblStylePr w:type="lastRow">
      <w:rPr>
        <w:rFonts w:ascii="Arial" w:hAnsi="Arial"/>
        <w:b/>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E5DFEC" w:fill="E5DFEC"/>
      </w:tcPr>
    </w:tblStylePr>
    <w:tblStylePr w:type="band1Horz">
      <w:rPr>
        <w:rFonts w:ascii="Arial" w:hAnsi="Arial"/>
        <w:color w:val="B2A1C6"/>
        <w:sz w:val="22"/>
      </w:rPr>
      <w:tcPr>
        <w:shd w:val="clear" w:color="E5DFEC" w:fill="E5DFEC"/>
      </w:tcPr>
    </w:tblStylePr>
    <w:tblStylePr w:type="band2Horz">
      <w:rPr>
        <w:rFonts w:ascii="Arial" w:hAnsi="Arial"/>
        <w:color w:val="B2A1C6"/>
        <w:sz w:val="22"/>
      </w:rPr>
    </w:tblStylePr>
  </w:style>
  <w:style w:type="table" w:customStyle="1" w:styleId="108">
    <w:name w:val="Grid Table 7 Colorful - Accent 5"/>
    <w:basedOn w:val="44"/>
    <w:qFormat/>
    <w:uiPriority w:val="99"/>
    <w:tblPr>
      <w:tblBorders>
        <w:bottom w:val="single" w:color="99D0DE" w:sz="4" w:space="0"/>
        <w:right w:val="single" w:color="99D0DE" w:sz="4" w:space="0"/>
        <w:insideH w:val="single" w:color="99D0DE" w:sz="4" w:space="0"/>
        <w:insideV w:val="single" w:color="99D0DE" w:sz="4" w:space="0"/>
      </w:tblBorders>
    </w:tblPr>
    <w:tblStylePr w:type="firstRow">
      <w:rPr>
        <w:rFonts w:ascii="Arial" w:hAnsi="Arial"/>
        <w:b/>
        <w:color w:val="266779"/>
        <w:sz w:val="22"/>
      </w:rPr>
      <w:tcPr>
        <w:tcBorders>
          <w:top w:val="nil"/>
          <w:left w:val="nil"/>
          <w:bottom w:val="single" w:color="99D0DE" w:sz="4" w:space="0"/>
          <w:right w:val="nil"/>
        </w:tcBorders>
        <w:shd w:val="clear" w:color="FFFFFF" w:fill="FFFFFF"/>
      </w:tcPr>
    </w:tblStylePr>
    <w:tblStylePr w:type="lastRow">
      <w:rPr>
        <w:rFonts w:ascii="Arial" w:hAnsi="Arial"/>
        <w:b/>
        <w:color w:val="266779"/>
        <w:sz w:val="22"/>
      </w:rPr>
      <w:tcPr>
        <w:tcBorders>
          <w:top w:val="single" w:color="99D0DE" w:sz="4" w:space="0"/>
          <w:left w:val="nil"/>
          <w:bottom w:val="nil"/>
          <w:right w:val="nil"/>
        </w:tcBorders>
        <w:shd w:val="clear" w:color="FFFFFF" w:fill="FFFFFF"/>
      </w:tcPr>
    </w:tblStylePr>
    <w:tblStylePr w:type="firstCol">
      <w:pPr>
        <w:jc w:val="right"/>
      </w:pPr>
      <w:rPr>
        <w:rFonts w:ascii="Arial" w:hAnsi="Arial"/>
        <w:i/>
        <w:color w:val="266779"/>
        <w:sz w:val="22"/>
      </w:rPr>
      <w:tcPr>
        <w:tcBorders>
          <w:top w:val="nil"/>
          <w:left w:val="nil"/>
          <w:bottom w:val="nil"/>
          <w:right w:val="single" w:color="99D0DE" w:sz="4" w:space="0"/>
        </w:tcBorders>
        <w:shd w:val="clear" w:color="FFFFFF" w:fill="auto"/>
      </w:tcPr>
    </w:tblStylePr>
    <w:tblStylePr w:type="lastCol">
      <w:rPr>
        <w:rFonts w:ascii="Arial" w:hAnsi="Arial"/>
        <w:i/>
        <w:color w:val="266779"/>
        <w:sz w:val="22"/>
      </w:rPr>
      <w:tcPr>
        <w:tcBorders>
          <w:top w:val="nil"/>
          <w:left w:val="single" w:color="99D0DE" w:sz="4" w:space="0"/>
          <w:bottom w:val="nil"/>
          <w:right w:val="nil"/>
        </w:tcBorders>
        <w:shd w:val="clear" w:color="FFFFFF" w:fill="auto"/>
      </w:tcPr>
    </w:tblStylePr>
    <w:tblStylePr w:type="band1Vert">
      <w:tcPr>
        <w:shd w:val="clear" w:color="DAEEF3" w:fill="DAEEF3"/>
      </w:tcPr>
    </w:tblStylePr>
    <w:tblStylePr w:type="band1Horz">
      <w:rPr>
        <w:rFonts w:ascii="Arial" w:hAnsi="Arial"/>
        <w:color w:val="266779"/>
        <w:sz w:val="22"/>
      </w:rPr>
      <w:tcPr>
        <w:shd w:val="clear" w:color="DAEEF3" w:fill="DAEEF3"/>
      </w:tcPr>
    </w:tblStylePr>
    <w:tblStylePr w:type="band2Horz">
      <w:rPr>
        <w:rFonts w:ascii="Arial" w:hAnsi="Arial"/>
        <w:color w:val="266779"/>
        <w:sz w:val="22"/>
      </w:rPr>
    </w:tblStylePr>
  </w:style>
  <w:style w:type="table" w:customStyle="1" w:styleId="109">
    <w:name w:val="Grid Table 7 Colorful - Accent 6"/>
    <w:basedOn w:val="44"/>
    <w:qFormat/>
    <w:uiPriority w:val="99"/>
    <w:tblPr>
      <w:tblBorders>
        <w:bottom w:val="single" w:color="FAC396" w:sz="4" w:space="0"/>
        <w:right w:val="single" w:color="FAC396" w:sz="4" w:space="0"/>
        <w:insideH w:val="single" w:color="FAC396" w:sz="4" w:space="0"/>
        <w:insideV w:val="single" w:color="FAC396" w:sz="4" w:space="0"/>
      </w:tblBorders>
    </w:tblPr>
    <w:tblStylePr w:type="firstRow">
      <w:rPr>
        <w:rFonts w:ascii="Arial" w:hAnsi="Arial"/>
        <w:b/>
        <w:color w:val="B15407"/>
        <w:sz w:val="22"/>
      </w:rPr>
      <w:tcPr>
        <w:tcBorders>
          <w:top w:val="nil"/>
          <w:left w:val="nil"/>
          <w:bottom w:val="single" w:color="FAC396" w:sz="4" w:space="0"/>
          <w:right w:val="nil"/>
        </w:tcBorders>
        <w:shd w:val="clear" w:color="FFFFFF" w:fill="FFFFFF"/>
      </w:tcPr>
    </w:tblStylePr>
    <w:tblStylePr w:type="lastRow">
      <w:rPr>
        <w:rFonts w:ascii="Arial" w:hAnsi="Arial"/>
        <w:b/>
        <w:color w:val="B15407"/>
        <w:sz w:val="22"/>
      </w:rPr>
      <w:tcPr>
        <w:tcBorders>
          <w:top w:val="single" w:color="FAC396" w:sz="4" w:space="0"/>
          <w:left w:val="nil"/>
          <w:bottom w:val="nil"/>
          <w:right w:val="nil"/>
        </w:tcBorders>
        <w:shd w:val="clear" w:color="FFFFFF" w:fill="FFFFFF"/>
      </w:tcPr>
    </w:tblStylePr>
    <w:tblStylePr w:type="firstCol">
      <w:pPr>
        <w:jc w:val="right"/>
      </w:pPr>
      <w:rPr>
        <w:rFonts w:ascii="Arial" w:hAnsi="Arial"/>
        <w:i/>
        <w:color w:val="B15407"/>
        <w:sz w:val="22"/>
      </w:rPr>
      <w:tcPr>
        <w:tcBorders>
          <w:top w:val="nil"/>
          <w:left w:val="nil"/>
          <w:bottom w:val="nil"/>
          <w:right w:val="single" w:color="FAC396" w:sz="4" w:space="0"/>
        </w:tcBorders>
        <w:shd w:val="clear" w:color="FFFFFF" w:fill="auto"/>
      </w:tcPr>
    </w:tblStylePr>
    <w:tblStylePr w:type="lastCol">
      <w:rPr>
        <w:rFonts w:ascii="Arial" w:hAnsi="Arial"/>
        <w:i/>
        <w:color w:val="B15407"/>
        <w:sz w:val="22"/>
      </w:rPr>
      <w:tcPr>
        <w:tcBorders>
          <w:top w:val="nil"/>
          <w:left w:val="single" w:color="FAC396" w:sz="4" w:space="0"/>
          <w:bottom w:val="nil"/>
          <w:right w:val="nil"/>
        </w:tcBorders>
        <w:shd w:val="clear" w:color="FFFFFF" w:fill="auto"/>
      </w:tcPr>
    </w:tblStylePr>
    <w:tblStylePr w:type="band1Vert">
      <w:tcPr>
        <w:shd w:val="clear" w:color="FDE9D8" w:fill="FDE9D8"/>
      </w:tcPr>
    </w:tblStylePr>
    <w:tblStylePr w:type="band1Horz">
      <w:rPr>
        <w:rFonts w:ascii="Arial" w:hAnsi="Arial"/>
        <w:color w:val="B15407"/>
        <w:sz w:val="22"/>
      </w:rPr>
      <w:tcPr>
        <w:shd w:val="clear" w:color="FDE9D8" w:fill="FDE9D8"/>
      </w:tcPr>
    </w:tblStylePr>
    <w:tblStylePr w:type="band2Horz">
      <w:rPr>
        <w:rFonts w:ascii="Arial" w:hAnsi="Arial"/>
        <w:color w:val="B15407"/>
        <w:sz w:val="22"/>
      </w:rPr>
    </w:tblStylePr>
  </w:style>
  <w:style w:type="table" w:customStyle="1" w:styleId="110">
    <w:name w:val="清单表 1 浅色1"/>
    <w:basedOn w:val="44"/>
    <w:qFormat/>
    <w:uiPriority w:val="99"/>
    <w:tblStylePr w:type="firstRow">
      <w:rPr>
        <w:b/>
        <w:color w:val="404040"/>
      </w:rPr>
      <w:tcPr>
        <w:tcBorders>
          <w:top w:val="nil"/>
          <w:left w:val="nil"/>
          <w:bottom w:val="single" w:color="000000" w:sz="4" w:space="0"/>
          <w:right w:val="nil"/>
        </w:tcBorders>
      </w:tcPr>
    </w:tblStylePr>
    <w:tblStylePr w:type="lastRow">
      <w:rPr>
        <w:b/>
        <w:color w:val="404040"/>
      </w:rPr>
      <w:tcPr>
        <w:tcBorders>
          <w:top w:val="single" w:color="000000"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FBFBF" w:fill="BFBFBF"/>
      </w:tcPr>
    </w:tblStylePr>
    <w:tblStylePr w:type="band1Horz">
      <w:tcPr>
        <w:shd w:val="clear" w:color="BFBFBF" w:fill="BFBFBF"/>
      </w:tcPr>
    </w:tblStylePr>
  </w:style>
  <w:style w:type="table" w:customStyle="1" w:styleId="111">
    <w:name w:val="List Table 1 Light - Accent 1"/>
    <w:basedOn w:val="44"/>
    <w:qFormat/>
    <w:uiPriority w:val="99"/>
    <w:tblStylePr w:type="firstRow">
      <w:rPr>
        <w:b/>
        <w:color w:val="404040"/>
      </w:rPr>
      <w:tcPr>
        <w:tcBorders>
          <w:top w:val="nil"/>
          <w:left w:val="nil"/>
          <w:bottom w:val="single" w:color="4F81BD" w:sz="4" w:space="0"/>
          <w:right w:val="nil"/>
        </w:tcBorders>
      </w:tcPr>
    </w:tblStylePr>
    <w:tblStylePr w:type="lastRow">
      <w:rPr>
        <w:b/>
        <w:color w:val="404040"/>
      </w:rPr>
      <w:tcPr>
        <w:tcBorders>
          <w:top w:val="single" w:color="4F81B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fill="D2DFEE"/>
      </w:tcPr>
    </w:tblStylePr>
    <w:tblStylePr w:type="band1Horz">
      <w:tcPr>
        <w:shd w:val="clear" w:color="D2DFEE" w:fill="D2DFEE"/>
      </w:tcPr>
    </w:tblStylePr>
  </w:style>
  <w:style w:type="table" w:customStyle="1" w:styleId="112">
    <w:name w:val="List Table 1 Light - Accent 2"/>
    <w:basedOn w:val="44"/>
    <w:qFormat/>
    <w:uiPriority w:val="99"/>
    <w:tblStylePr w:type="firstRow">
      <w:rPr>
        <w:b/>
        <w:color w:val="404040"/>
      </w:rPr>
      <w:tcPr>
        <w:tcBorders>
          <w:top w:val="nil"/>
          <w:left w:val="nil"/>
          <w:bottom w:val="single" w:color="C0504D" w:sz="4" w:space="0"/>
          <w:right w:val="nil"/>
        </w:tcBorders>
      </w:tcPr>
    </w:tblStylePr>
    <w:tblStylePr w:type="lastRow">
      <w:rPr>
        <w:b/>
        <w:color w:val="404040"/>
      </w:rPr>
      <w:tcPr>
        <w:tcBorders>
          <w:top w:val="single" w:color="C0504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2D2" w:fill="EFD2D2"/>
      </w:tcPr>
    </w:tblStylePr>
    <w:tblStylePr w:type="band1Horz">
      <w:tcPr>
        <w:shd w:val="clear" w:color="EFD2D2" w:fill="EFD2D2"/>
      </w:tcPr>
    </w:tblStylePr>
  </w:style>
  <w:style w:type="table" w:customStyle="1" w:styleId="113">
    <w:name w:val="List Table 1 Light - Accent 3"/>
    <w:basedOn w:val="44"/>
    <w:qFormat/>
    <w:uiPriority w:val="99"/>
    <w:tblStylePr w:type="firstRow">
      <w:rPr>
        <w:b/>
        <w:color w:val="404040"/>
      </w:rPr>
      <w:tcPr>
        <w:tcBorders>
          <w:top w:val="nil"/>
          <w:left w:val="nil"/>
          <w:bottom w:val="single" w:color="9BBB59" w:sz="4" w:space="0"/>
          <w:right w:val="nil"/>
        </w:tcBorders>
      </w:tcPr>
    </w:tblStylePr>
    <w:tblStylePr w:type="lastRow">
      <w:rPr>
        <w:b/>
        <w:color w:val="404040"/>
      </w:rPr>
      <w:tcPr>
        <w:tcBorders>
          <w:top w:val="single" w:color="9BBB59"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ED5" w:fill="E5EED5"/>
      </w:tcPr>
    </w:tblStylePr>
    <w:tblStylePr w:type="band1Horz">
      <w:tcPr>
        <w:shd w:val="clear" w:color="E5EED5" w:fill="E5EED5"/>
      </w:tcPr>
    </w:tblStylePr>
  </w:style>
  <w:style w:type="table" w:customStyle="1" w:styleId="114">
    <w:name w:val="List Table 1 Light - Accent 4"/>
    <w:basedOn w:val="44"/>
    <w:qFormat/>
    <w:uiPriority w:val="99"/>
    <w:tblStylePr w:type="firstRow">
      <w:rPr>
        <w:b/>
        <w:color w:val="404040"/>
      </w:rPr>
      <w:tcPr>
        <w:tcBorders>
          <w:top w:val="nil"/>
          <w:left w:val="nil"/>
          <w:bottom w:val="single" w:color="8064A2" w:sz="4" w:space="0"/>
          <w:right w:val="nil"/>
        </w:tcBorders>
      </w:tcPr>
    </w:tblStylePr>
    <w:tblStylePr w:type="lastRow">
      <w:rPr>
        <w:b/>
        <w:color w:val="404040"/>
      </w:rPr>
      <w:tcPr>
        <w:tcBorders>
          <w:top w:val="single" w:color="8064A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fill="DFD8E7"/>
      </w:tcPr>
    </w:tblStylePr>
    <w:tblStylePr w:type="band1Horz">
      <w:tcPr>
        <w:shd w:val="clear" w:color="DFD8E7" w:fill="DFD8E7"/>
      </w:tcPr>
    </w:tblStylePr>
  </w:style>
  <w:style w:type="table" w:customStyle="1" w:styleId="115">
    <w:name w:val="List Table 1 Light - Accent 5"/>
    <w:basedOn w:val="44"/>
    <w:qFormat/>
    <w:uiPriority w:val="99"/>
    <w:tblStylePr w:type="firstRow">
      <w:rPr>
        <w:b/>
        <w:color w:val="404040"/>
      </w:rPr>
      <w:tcPr>
        <w:tcBorders>
          <w:top w:val="nil"/>
          <w:left w:val="nil"/>
          <w:bottom w:val="single" w:color="4BACC6" w:sz="4" w:space="0"/>
          <w:right w:val="nil"/>
        </w:tcBorders>
      </w:tcPr>
    </w:tblStylePr>
    <w:tblStylePr w:type="lastRow">
      <w:rPr>
        <w:b/>
        <w:color w:val="404040"/>
      </w:rPr>
      <w:tcPr>
        <w:tcBorders>
          <w:top w:val="single" w:color="4BACC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fill="D1EAF0"/>
      </w:tcPr>
    </w:tblStylePr>
    <w:tblStylePr w:type="band1Horz">
      <w:tcPr>
        <w:shd w:val="clear" w:color="D1EAF0" w:fill="D1EAF0"/>
      </w:tcPr>
    </w:tblStylePr>
  </w:style>
  <w:style w:type="table" w:customStyle="1" w:styleId="116">
    <w:name w:val="List Table 1 Light - Accent 6"/>
    <w:basedOn w:val="44"/>
    <w:qFormat/>
    <w:uiPriority w:val="99"/>
    <w:tblStylePr w:type="firstRow">
      <w:rPr>
        <w:b/>
        <w:color w:val="404040"/>
      </w:rPr>
      <w:tcPr>
        <w:tcBorders>
          <w:top w:val="nil"/>
          <w:left w:val="nil"/>
          <w:bottom w:val="single" w:color="F79646" w:sz="4" w:space="0"/>
          <w:right w:val="nil"/>
        </w:tcBorders>
      </w:tcPr>
    </w:tblStylePr>
    <w:tblStylePr w:type="lastRow">
      <w:rPr>
        <w:b/>
        <w:color w:val="404040"/>
      </w:rPr>
      <w:tcPr>
        <w:tcBorders>
          <w:top w:val="single" w:color="F7964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DE4D0" w:fill="FDE4D0"/>
      </w:tcPr>
    </w:tblStylePr>
    <w:tblStylePr w:type="band1Horz">
      <w:tcPr>
        <w:shd w:val="clear" w:color="FDE4D0" w:fill="FDE4D0"/>
      </w:tcPr>
    </w:tblStylePr>
  </w:style>
  <w:style w:type="table" w:customStyle="1" w:styleId="117">
    <w:name w:val="清单表 21"/>
    <w:basedOn w:val="44"/>
    <w:qFormat/>
    <w:uiPriority w:val="99"/>
    <w:tblPr>
      <w:tblBorders>
        <w:top w:val="single" w:color="6F6F6F" w:sz="4" w:space="0"/>
        <w:bottom w:val="single" w:color="6F6F6F" w:sz="4" w:space="0"/>
        <w:insideH w:val="single" w:color="6F6F6F" w:sz="4" w:space="0"/>
      </w:tblBorders>
    </w:tblPr>
    <w:tblStylePr w:type="firstRow">
      <w:rPr>
        <w:rFonts w:ascii="Arial" w:hAnsi="Arial"/>
        <w:b/>
        <w:color w:val="404040"/>
        <w:sz w:val="22"/>
      </w:rPr>
      <w:tcPr>
        <w:tcBorders>
          <w:top w:val="single" w:color="6F6F6F" w:sz="4" w:space="0"/>
          <w:left w:val="nil"/>
          <w:bottom w:val="single" w:color="6F6F6F" w:sz="4" w:space="0"/>
          <w:right w:val="nil"/>
        </w:tcBorders>
      </w:tcPr>
    </w:tblStylePr>
    <w:tblStylePr w:type="lastRow">
      <w:rPr>
        <w:rFonts w:ascii="Arial" w:hAnsi="Arial"/>
        <w:b/>
        <w:color w:val="404040"/>
        <w:sz w:val="22"/>
      </w:rPr>
      <w:tcPr>
        <w:tcBorders>
          <w:top w:val="single" w:color="6F6F6F" w:sz="4" w:space="0"/>
          <w:left w:val="nil"/>
          <w:bottom w:val="single" w:color="6F6F6F"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FBFBF" w:fill="BFBFBF"/>
      </w:tcPr>
    </w:tblStylePr>
    <w:tblStylePr w:type="band1Horz">
      <w:rPr>
        <w:rFonts w:ascii="Arial" w:hAnsi="Arial"/>
        <w:color w:val="404040"/>
        <w:sz w:val="22"/>
      </w:rPr>
      <w:tcPr>
        <w:shd w:val="clear" w:color="BFBFBF" w:fill="BFBFBF"/>
      </w:tcPr>
    </w:tblStylePr>
  </w:style>
  <w:style w:type="table" w:customStyle="1" w:styleId="118">
    <w:name w:val="List Table 2 - Accent 1"/>
    <w:basedOn w:val="44"/>
    <w:qFormat/>
    <w:uiPriority w:val="99"/>
    <w:tblPr>
      <w:tblBorders>
        <w:top w:val="single" w:color="9BB7D9" w:sz="4" w:space="0"/>
        <w:bottom w:val="single" w:color="9BB7D9" w:sz="4" w:space="0"/>
        <w:insideH w:val="single" w:color="9BB7D9" w:sz="4" w:space="0"/>
      </w:tblBorders>
    </w:tblPr>
    <w:tblStylePr w:type="firstRow">
      <w:rPr>
        <w:rFonts w:ascii="Arial" w:hAnsi="Arial"/>
        <w:b/>
        <w:color w:val="404040"/>
        <w:sz w:val="22"/>
      </w:rPr>
      <w:tcPr>
        <w:tcBorders>
          <w:top w:val="single" w:color="9BB7D9" w:sz="4" w:space="0"/>
          <w:left w:val="nil"/>
          <w:bottom w:val="single" w:color="9BB7D9" w:sz="4" w:space="0"/>
          <w:right w:val="nil"/>
        </w:tcBorders>
      </w:tcPr>
    </w:tblStylePr>
    <w:tblStylePr w:type="lastRow">
      <w:rPr>
        <w:rFonts w:ascii="Arial" w:hAnsi="Arial"/>
        <w:b/>
        <w:color w:val="404040"/>
        <w:sz w:val="22"/>
      </w:rPr>
      <w:tcPr>
        <w:tcBorders>
          <w:top w:val="single" w:color="9BB7D9" w:sz="4" w:space="0"/>
          <w:left w:val="nil"/>
          <w:bottom w:val="single" w:color="9BB7D9"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fill="D2DFEE"/>
      </w:tcPr>
    </w:tblStylePr>
    <w:tblStylePr w:type="band1Horz">
      <w:rPr>
        <w:rFonts w:ascii="Arial" w:hAnsi="Arial"/>
        <w:color w:val="404040"/>
        <w:sz w:val="22"/>
      </w:rPr>
      <w:tcPr>
        <w:shd w:val="clear" w:color="D2DFEE" w:fill="D2DFEE"/>
      </w:tcPr>
    </w:tblStylePr>
  </w:style>
  <w:style w:type="table" w:customStyle="1" w:styleId="119">
    <w:name w:val="List Table 2 - Accent 2"/>
    <w:basedOn w:val="44"/>
    <w:qFormat/>
    <w:uiPriority w:val="99"/>
    <w:tblPr>
      <w:tblBorders>
        <w:top w:val="single" w:color="DB9B9A" w:sz="4" w:space="0"/>
        <w:bottom w:val="single" w:color="DB9B9A" w:sz="4" w:space="0"/>
        <w:insideH w:val="single" w:color="DB9B9A" w:sz="4" w:space="0"/>
      </w:tblBorders>
    </w:tblPr>
    <w:tblStylePr w:type="firstRow">
      <w:rPr>
        <w:rFonts w:ascii="Arial" w:hAnsi="Arial"/>
        <w:b/>
        <w:color w:val="404040"/>
        <w:sz w:val="22"/>
      </w:rPr>
      <w:tcPr>
        <w:tcBorders>
          <w:top w:val="single" w:color="DB9B9A" w:sz="4" w:space="0"/>
          <w:left w:val="nil"/>
          <w:bottom w:val="single" w:color="DB9B9A" w:sz="4" w:space="0"/>
          <w:right w:val="nil"/>
        </w:tcBorders>
      </w:tcPr>
    </w:tblStylePr>
    <w:tblStylePr w:type="lastRow">
      <w:rPr>
        <w:rFonts w:ascii="Arial" w:hAnsi="Arial"/>
        <w:b/>
        <w:color w:val="404040"/>
        <w:sz w:val="22"/>
      </w:rPr>
      <w:tcPr>
        <w:tcBorders>
          <w:top w:val="single" w:color="DB9B9A" w:sz="4" w:space="0"/>
          <w:left w:val="nil"/>
          <w:bottom w:val="single" w:color="DB9B9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2D2" w:fill="EFD2D2"/>
      </w:tcPr>
    </w:tblStylePr>
    <w:tblStylePr w:type="band1Horz">
      <w:rPr>
        <w:rFonts w:ascii="Arial" w:hAnsi="Arial"/>
        <w:color w:val="404040"/>
        <w:sz w:val="22"/>
      </w:rPr>
      <w:tcPr>
        <w:shd w:val="clear" w:color="EFD2D2" w:fill="EFD2D2"/>
      </w:tcPr>
    </w:tblStylePr>
  </w:style>
  <w:style w:type="table" w:customStyle="1" w:styleId="120">
    <w:name w:val="List Table 2 - Accent 3"/>
    <w:basedOn w:val="44"/>
    <w:qFormat/>
    <w:uiPriority w:val="99"/>
    <w:tblPr>
      <w:tblBorders>
        <w:top w:val="single" w:color="C6D8A1" w:sz="4" w:space="0"/>
        <w:bottom w:val="single" w:color="C6D8A1" w:sz="4" w:space="0"/>
        <w:insideH w:val="single" w:color="C6D8A1" w:sz="4" w:space="0"/>
      </w:tblBorders>
    </w:tblPr>
    <w:tblStylePr w:type="firstRow">
      <w:rPr>
        <w:rFonts w:ascii="Arial" w:hAnsi="Arial"/>
        <w:b/>
        <w:color w:val="404040"/>
        <w:sz w:val="22"/>
      </w:rPr>
      <w:tcPr>
        <w:tcBorders>
          <w:top w:val="single" w:color="C6D8A1" w:sz="4" w:space="0"/>
          <w:left w:val="nil"/>
          <w:bottom w:val="single" w:color="C6D8A1" w:sz="4" w:space="0"/>
          <w:right w:val="nil"/>
        </w:tcBorders>
      </w:tcPr>
    </w:tblStylePr>
    <w:tblStylePr w:type="lastRow">
      <w:rPr>
        <w:rFonts w:ascii="Arial" w:hAnsi="Arial"/>
        <w:b/>
        <w:color w:val="404040"/>
        <w:sz w:val="22"/>
      </w:rPr>
      <w:tcPr>
        <w:tcBorders>
          <w:top w:val="single" w:color="C6D8A1" w:sz="4" w:space="0"/>
          <w:left w:val="nil"/>
          <w:bottom w:val="single" w:color="C6D8A1"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ED5" w:fill="E5EED5"/>
      </w:tcPr>
    </w:tblStylePr>
    <w:tblStylePr w:type="band1Horz">
      <w:rPr>
        <w:rFonts w:ascii="Arial" w:hAnsi="Arial"/>
        <w:color w:val="404040"/>
        <w:sz w:val="22"/>
      </w:rPr>
      <w:tcPr>
        <w:shd w:val="clear" w:color="E5EED5" w:fill="E5EED5"/>
      </w:tcPr>
    </w:tblStylePr>
  </w:style>
  <w:style w:type="table" w:customStyle="1" w:styleId="121">
    <w:name w:val="List Table 2 - Accent 4"/>
    <w:basedOn w:val="44"/>
    <w:qFormat/>
    <w:uiPriority w:val="99"/>
    <w:tblPr>
      <w:tblBorders>
        <w:top w:val="single" w:color="B7A7CA" w:sz="4" w:space="0"/>
        <w:bottom w:val="single" w:color="B7A7CA" w:sz="4" w:space="0"/>
        <w:insideH w:val="single" w:color="B7A7CA" w:sz="4" w:space="0"/>
      </w:tblBorders>
    </w:tblPr>
    <w:tblStylePr w:type="firstRow">
      <w:rPr>
        <w:rFonts w:ascii="Arial" w:hAnsi="Arial"/>
        <w:b/>
        <w:color w:val="404040"/>
        <w:sz w:val="22"/>
      </w:rPr>
      <w:tcPr>
        <w:tcBorders>
          <w:top w:val="single" w:color="B7A7CA" w:sz="4" w:space="0"/>
          <w:left w:val="nil"/>
          <w:bottom w:val="single" w:color="B7A7CA" w:sz="4" w:space="0"/>
          <w:right w:val="nil"/>
        </w:tcBorders>
      </w:tcPr>
    </w:tblStylePr>
    <w:tblStylePr w:type="lastRow">
      <w:rPr>
        <w:rFonts w:ascii="Arial" w:hAnsi="Arial"/>
        <w:b/>
        <w:color w:val="404040"/>
        <w:sz w:val="22"/>
      </w:rPr>
      <w:tcPr>
        <w:tcBorders>
          <w:top w:val="single" w:color="B7A7CA" w:sz="4" w:space="0"/>
          <w:left w:val="nil"/>
          <w:bottom w:val="single" w:color="B7A7C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fill="DFD8E7"/>
      </w:tcPr>
    </w:tblStylePr>
    <w:tblStylePr w:type="band1Horz">
      <w:rPr>
        <w:rFonts w:ascii="Arial" w:hAnsi="Arial"/>
        <w:color w:val="404040"/>
        <w:sz w:val="22"/>
      </w:rPr>
      <w:tcPr>
        <w:shd w:val="clear" w:color="DFD8E7" w:fill="DFD8E7"/>
      </w:tcPr>
    </w:tblStylePr>
  </w:style>
  <w:style w:type="table" w:customStyle="1" w:styleId="122">
    <w:name w:val="List Table 2 - Accent 5"/>
    <w:basedOn w:val="44"/>
    <w:qFormat/>
    <w:uiPriority w:val="99"/>
    <w:tblPr>
      <w:tblBorders>
        <w:top w:val="single" w:color="99D0DE" w:sz="4" w:space="0"/>
        <w:bottom w:val="single" w:color="99D0DE" w:sz="4" w:space="0"/>
        <w:insideH w:val="single" w:color="99D0DE" w:sz="4" w:space="0"/>
      </w:tblBorders>
    </w:tblPr>
    <w:tblStylePr w:type="firstRow">
      <w:rPr>
        <w:rFonts w:ascii="Arial" w:hAnsi="Arial"/>
        <w:b/>
        <w:color w:val="404040"/>
        <w:sz w:val="22"/>
      </w:rPr>
      <w:tcPr>
        <w:tcBorders>
          <w:top w:val="single" w:color="99D0DE" w:sz="4" w:space="0"/>
          <w:left w:val="nil"/>
          <w:bottom w:val="single" w:color="99D0DE" w:sz="4" w:space="0"/>
          <w:right w:val="nil"/>
        </w:tcBorders>
      </w:tcPr>
    </w:tblStylePr>
    <w:tblStylePr w:type="lastRow">
      <w:rPr>
        <w:rFonts w:ascii="Arial" w:hAnsi="Arial"/>
        <w:b/>
        <w:color w:val="404040"/>
        <w:sz w:val="22"/>
      </w:rPr>
      <w:tcPr>
        <w:tcBorders>
          <w:top w:val="single" w:color="99D0DE" w:sz="4" w:space="0"/>
          <w:left w:val="nil"/>
          <w:bottom w:val="single" w:color="99D0D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fill="D1EAF0"/>
      </w:tcPr>
    </w:tblStylePr>
    <w:tblStylePr w:type="band1Horz">
      <w:rPr>
        <w:rFonts w:ascii="Arial" w:hAnsi="Arial"/>
        <w:color w:val="404040"/>
        <w:sz w:val="22"/>
      </w:rPr>
      <w:tcPr>
        <w:shd w:val="clear" w:color="D1EAF0" w:fill="D1EAF0"/>
      </w:tcPr>
    </w:tblStylePr>
  </w:style>
  <w:style w:type="table" w:customStyle="1" w:styleId="123">
    <w:name w:val="List Table 2 - Accent 6"/>
    <w:basedOn w:val="44"/>
    <w:qFormat/>
    <w:uiPriority w:val="99"/>
    <w:tblPr>
      <w:tblBorders>
        <w:top w:val="single" w:color="FAC396" w:sz="4" w:space="0"/>
        <w:bottom w:val="single" w:color="FAC396" w:sz="4" w:space="0"/>
        <w:insideH w:val="single" w:color="FAC396" w:sz="4" w:space="0"/>
      </w:tblBorders>
    </w:tblPr>
    <w:tblStylePr w:type="firstRow">
      <w:rPr>
        <w:rFonts w:ascii="Arial" w:hAnsi="Arial"/>
        <w:b/>
        <w:color w:val="404040"/>
        <w:sz w:val="22"/>
      </w:rPr>
      <w:tcPr>
        <w:tcBorders>
          <w:top w:val="single" w:color="FAC396" w:sz="4" w:space="0"/>
          <w:left w:val="nil"/>
          <w:bottom w:val="single" w:color="FAC396" w:sz="4" w:space="0"/>
          <w:right w:val="nil"/>
        </w:tcBorders>
      </w:tcPr>
    </w:tblStylePr>
    <w:tblStylePr w:type="lastRow">
      <w:rPr>
        <w:rFonts w:ascii="Arial" w:hAnsi="Arial"/>
        <w:b/>
        <w:color w:val="404040"/>
        <w:sz w:val="22"/>
      </w:rPr>
      <w:tcPr>
        <w:tcBorders>
          <w:top w:val="single" w:color="FAC396" w:sz="4" w:space="0"/>
          <w:left w:val="nil"/>
          <w:bottom w:val="single" w:color="FAC396"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DE4D0" w:fill="FDE4D0"/>
      </w:tcPr>
    </w:tblStylePr>
    <w:tblStylePr w:type="band1Horz">
      <w:rPr>
        <w:rFonts w:ascii="Arial" w:hAnsi="Arial"/>
        <w:color w:val="404040"/>
        <w:sz w:val="22"/>
      </w:rPr>
      <w:tcPr>
        <w:shd w:val="clear" w:color="FDE4D0" w:fill="FDE4D0"/>
      </w:tcPr>
    </w:tblStylePr>
  </w:style>
  <w:style w:type="table" w:customStyle="1" w:styleId="124">
    <w:name w:val="清单表 31"/>
    <w:basedOn w:val="44"/>
    <w:qFormat/>
    <w:uiPriority w:val="99"/>
    <w:tblPr>
      <w:tblBorders>
        <w:top w:val="single" w:color="000000" w:sz="4" w:space="0"/>
        <w:left w:val="single" w:color="000000" w:sz="4" w:space="0"/>
        <w:bottom w:val="single" w:color="000000" w:sz="4" w:space="0"/>
        <w:right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sz="4" w:space="0"/>
          <w:right w:val="single" w:color="000000" w:sz="4" w:space="0"/>
        </w:tcBorders>
      </w:tcPr>
    </w:tblStylePr>
    <w:tblStylePr w:type="band1Horz">
      <w:rPr>
        <w:rFonts w:ascii="Arial" w:hAnsi="Arial"/>
        <w:color w:val="404040"/>
        <w:sz w:val="22"/>
      </w:rPr>
      <w:tcPr>
        <w:tcBorders>
          <w:top w:val="single" w:color="000000" w:sz="4" w:space="0"/>
          <w:bottom w:val="single" w:color="000000" w:sz="4" w:space="0"/>
        </w:tcBorders>
      </w:tcPr>
    </w:tblStylePr>
  </w:style>
  <w:style w:type="table" w:customStyle="1" w:styleId="125">
    <w:name w:val="List Table 3 - Accent 1"/>
    <w:basedOn w:val="44"/>
    <w:qFormat/>
    <w:uiPriority w:val="99"/>
    <w:tblPr>
      <w:tblBorders>
        <w:top w:val="single" w:color="4F81BD" w:sz="4" w:space="0"/>
        <w:left w:val="single" w:color="4F81BD" w:sz="4" w:space="0"/>
        <w:bottom w:val="single" w:color="4F81BD" w:sz="4" w:space="0"/>
        <w:right w:val="single" w:color="4F81BD"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sz="4" w:space="0"/>
          <w:right w:val="single" w:color="4F81BD" w:sz="4" w:space="0"/>
        </w:tcBorders>
      </w:tcPr>
    </w:tblStylePr>
    <w:tblStylePr w:type="band1Horz">
      <w:rPr>
        <w:rFonts w:ascii="Arial" w:hAnsi="Arial"/>
        <w:color w:val="404040"/>
        <w:sz w:val="22"/>
      </w:rPr>
      <w:tcPr>
        <w:tcBorders>
          <w:top w:val="single" w:color="4F81BD" w:sz="4" w:space="0"/>
          <w:bottom w:val="single" w:color="4F81BD" w:sz="4" w:space="0"/>
        </w:tcBorders>
      </w:tcPr>
    </w:tblStylePr>
  </w:style>
  <w:style w:type="table" w:customStyle="1" w:styleId="126">
    <w:name w:val="List Table 3 - Accent 2"/>
    <w:basedOn w:val="44"/>
    <w:qFormat/>
    <w:uiPriority w:val="99"/>
    <w:tblPr>
      <w:tblBorders>
        <w:top w:val="single" w:color="D99695" w:sz="4" w:space="0"/>
        <w:left w:val="single" w:color="D99695" w:sz="4" w:space="0"/>
        <w:bottom w:val="single" w:color="D99695" w:sz="4" w:space="0"/>
        <w:right w:val="single" w:color="D99695" w:sz="4" w:space="0"/>
      </w:tblBorders>
    </w:tblPr>
    <w:tblStylePr w:type="firstRow">
      <w:rPr>
        <w:rFonts w:ascii="Arial" w:hAnsi="Arial"/>
        <w:b/>
        <w:color w:val="FFFFFF"/>
        <w:sz w:val="22"/>
      </w:r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695" w:sz="4" w:space="0"/>
          <w:right w:val="single" w:color="D99695" w:sz="4" w:space="0"/>
        </w:tcBorders>
      </w:tcPr>
    </w:tblStylePr>
    <w:tblStylePr w:type="band1Horz">
      <w:rPr>
        <w:rFonts w:ascii="Arial" w:hAnsi="Arial"/>
        <w:color w:val="404040"/>
        <w:sz w:val="22"/>
      </w:rPr>
      <w:tcPr>
        <w:tcBorders>
          <w:top w:val="single" w:color="D99695" w:sz="4" w:space="0"/>
          <w:bottom w:val="single" w:color="D99695" w:sz="4" w:space="0"/>
        </w:tcBorders>
      </w:tcPr>
    </w:tblStylePr>
  </w:style>
  <w:style w:type="table" w:customStyle="1" w:styleId="127">
    <w:name w:val="List Table 3 - Accent 3"/>
    <w:basedOn w:val="44"/>
    <w:qFormat/>
    <w:uiPriority w:val="99"/>
    <w:tblPr>
      <w:tblBorders>
        <w:top w:val="single" w:color="C3D69B" w:sz="4" w:space="0"/>
        <w:left w:val="single" w:color="C3D69B" w:sz="4" w:space="0"/>
        <w:bottom w:val="single" w:color="C3D69B" w:sz="4" w:space="0"/>
        <w:right w:val="single" w:color="C3D69B" w:sz="4" w:space="0"/>
      </w:tblBorders>
    </w:tblPr>
    <w:tblStylePr w:type="firstRow">
      <w:rPr>
        <w:rFonts w:ascii="Arial" w:hAnsi="Arial"/>
        <w:b/>
        <w:color w:val="FFFFFF"/>
        <w:sz w:val="22"/>
      </w:r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B" w:sz="4" w:space="0"/>
          <w:right w:val="single" w:color="C3D69B" w:sz="4" w:space="0"/>
        </w:tcBorders>
      </w:tcPr>
    </w:tblStylePr>
    <w:tblStylePr w:type="band1Horz">
      <w:rPr>
        <w:rFonts w:ascii="Arial" w:hAnsi="Arial"/>
        <w:color w:val="404040"/>
        <w:sz w:val="22"/>
      </w:rPr>
      <w:tcPr>
        <w:tcBorders>
          <w:top w:val="single" w:color="C3D69B" w:sz="4" w:space="0"/>
          <w:bottom w:val="single" w:color="C3D69B" w:sz="4" w:space="0"/>
        </w:tcBorders>
      </w:tcPr>
    </w:tblStylePr>
  </w:style>
  <w:style w:type="table" w:customStyle="1" w:styleId="128">
    <w:name w:val="List Table 3 - Accent 4"/>
    <w:basedOn w:val="44"/>
    <w:qFormat/>
    <w:uiPriority w:val="99"/>
    <w:tblPr>
      <w:tblBorders>
        <w:top w:val="single" w:color="B2A1C6" w:sz="4" w:space="0"/>
        <w:left w:val="single" w:color="B2A1C6" w:sz="4" w:space="0"/>
        <w:bottom w:val="single" w:color="B2A1C6" w:sz="4" w:space="0"/>
        <w:right w:val="single" w:color="B2A1C6" w:sz="4" w:space="0"/>
      </w:tblBorders>
    </w:tblPr>
    <w:tblStylePr w:type="firstRow">
      <w:rPr>
        <w:rFonts w:ascii="Arial" w:hAnsi="Arial"/>
        <w:b/>
        <w:color w:val="FFFFFF"/>
        <w:sz w:val="22"/>
      </w:r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sz="4" w:space="0"/>
          <w:right w:val="single" w:color="B2A1C6" w:sz="4" w:space="0"/>
        </w:tcBorders>
      </w:tcPr>
    </w:tblStylePr>
    <w:tblStylePr w:type="band1Horz">
      <w:rPr>
        <w:rFonts w:ascii="Arial" w:hAnsi="Arial"/>
        <w:color w:val="404040"/>
        <w:sz w:val="22"/>
      </w:rPr>
      <w:tcPr>
        <w:tcBorders>
          <w:top w:val="single" w:color="B2A1C6" w:sz="4" w:space="0"/>
          <w:bottom w:val="single" w:color="B2A1C6" w:sz="4" w:space="0"/>
        </w:tcBorders>
      </w:tcPr>
    </w:tblStylePr>
  </w:style>
  <w:style w:type="table" w:customStyle="1" w:styleId="129">
    <w:name w:val="List Table 3 - Accent 5"/>
    <w:basedOn w:val="44"/>
    <w:qFormat/>
    <w:uiPriority w:val="99"/>
    <w:tblPr>
      <w:tblBorders>
        <w:top w:val="single" w:color="92CCDC" w:sz="4" w:space="0"/>
        <w:left w:val="single" w:color="92CCDC" w:sz="4" w:space="0"/>
        <w:bottom w:val="single" w:color="92CCDC" w:sz="4" w:space="0"/>
        <w:right w:val="single" w:color="92CCDC" w:sz="4" w:space="0"/>
      </w:tblBorders>
    </w:tblPr>
    <w:tblStylePr w:type="firstRow">
      <w:rPr>
        <w:rFonts w:ascii="Arial" w:hAnsi="Arial"/>
        <w:b/>
        <w:color w:val="FFFFFF"/>
        <w:sz w:val="22"/>
      </w:r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sz="4" w:space="0"/>
          <w:right w:val="single" w:color="92CCDC" w:sz="4" w:space="0"/>
        </w:tcBorders>
      </w:tcPr>
    </w:tblStylePr>
    <w:tblStylePr w:type="band1Horz">
      <w:rPr>
        <w:rFonts w:ascii="Arial" w:hAnsi="Arial"/>
        <w:color w:val="404040"/>
        <w:sz w:val="22"/>
      </w:rPr>
      <w:tcPr>
        <w:tcBorders>
          <w:top w:val="single" w:color="92CCDC" w:sz="4" w:space="0"/>
          <w:bottom w:val="single" w:color="92CCDC" w:sz="4" w:space="0"/>
        </w:tcBorders>
      </w:tcPr>
    </w:tblStylePr>
  </w:style>
  <w:style w:type="table" w:customStyle="1" w:styleId="130">
    <w:name w:val="List Table 3 - Accent 6"/>
    <w:basedOn w:val="44"/>
    <w:qFormat/>
    <w:uiPriority w:val="99"/>
    <w:tblPr>
      <w:tblBorders>
        <w:top w:val="single" w:color="FAC090" w:sz="4" w:space="0"/>
        <w:left w:val="single" w:color="FAC090" w:sz="4" w:space="0"/>
        <w:bottom w:val="single" w:color="FAC090" w:sz="4" w:space="0"/>
        <w:right w:val="single" w:color="FAC090" w:sz="4" w:space="0"/>
      </w:tblBorders>
    </w:tblPr>
    <w:tblStylePr w:type="firstRow">
      <w:rPr>
        <w:rFonts w:ascii="Arial" w:hAnsi="Arial"/>
        <w:b/>
        <w:color w:val="FFFFFF"/>
        <w:sz w:val="22"/>
      </w:r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sz="4" w:space="0"/>
          <w:right w:val="single" w:color="FAC090" w:sz="4" w:space="0"/>
        </w:tcBorders>
      </w:tcPr>
    </w:tblStylePr>
    <w:tblStylePr w:type="band1Horz">
      <w:rPr>
        <w:rFonts w:ascii="Arial" w:hAnsi="Arial"/>
        <w:color w:val="404040"/>
        <w:sz w:val="22"/>
      </w:rPr>
      <w:tcPr>
        <w:tcBorders>
          <w:top w:val="single" w:color="FAC090" w:sz="4" w:space="0"/>
          <w:bottom w:val="single" w:color="FAC090" w:sz="4" w:space="0"/>
        </w:tcBorders>
      </w:tcPr>
    </w:tblStylePr>
  </w:style>
  <w:style w:type="table" w:customStyle="1" w:styleId="131">
    <w:name w:val="清单表 41"/>
    <w:basedOn w:val="44"/>
    <w:qFormat/>
    <w:uiPriority w:val="99"/>
    <w:tblPr>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FBFBF" w:fill="BFBFBF"/>
      </w:tcPr>
    </w:tblStylePr>
    <w:tblStylePr w:type="band1Horz">
      <w:rPr>
        <w:rFonts w:ascii="Arial" w:hAnsi="Arial"/>
        <w:color w:val="404040"/>
        <w:sz w:val="22"/>
      </w:rPr>
      <w:tcPr>
        <w:shd w:val="clear" w:color="BFBFBF" w:fill="BFBFBF"/>
      </w:tcPr>
    </w:tblStylePr>
  </w:style>
  <w:style w:type="table" w:customStyle="1" w:styleId="132">
    <w:name w:val="List Table 4 - Accent 1"/>
    <w:basedOn w:val="44"/>
    <w:qFormat/>
    <w:uiPriority w:val="99"/>
    <w:tblPr>
      <w:tblBorders>
        <w:top w:val="single" w:color="9BB7D9" w:sz="4" w:space="0"/>
        <w:left w:val="single" w:color="9BB7D9" w:sz="4" w:space="0"/>
        <w:bottom w:val="single" w:color="9BB7D9" w:sz="4" w:space="0"/>
        <w:right w:val="single" w:color="9BB7D9" w:sz="4" w:space="0"/>
        <w:insideH w:val="single" w:color="9BB7D9"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fill="D2DFEE"/>
      </w:tcPr>
    </w:tblStylePr>
    <w:tblStylePr w:type="band1Horz">
      <w:rPr>
        <w:rFonts w:ascii="Arial" w:hAnsi="Arial"/>
        <w:color w:val="404040"/>
        <w:sz w:val="22"/>
      </w:rPr>
      <w:tcPr>
        <w:shd w:val="clear" w:color="D2DFEE" w:fill="D2DFEE"/>
      </w:tcPr>
    </w:tblStylePr>
  </w:style>
  <w:style w:type="table" w:customStyle="1" w:styleId="133">
    <w:name w:val="List Table 4 - Accent 2"/>
    <w:basedOn w:val="44"/>
    <w:qFormat/>
    <w:uiPriority w:val="99"/>
    <w:tblPr>
      <w:tblBorders>
        <w:top w:val="single" w:color="DB9B9A" w:sz="4" w:space="0"/>
        <w:left w:val="single" w:color="DB9B9A" w:sz="4" w:space="0"/>
        <w:bottom w:val="single" w:color="DB9B9A" w:sz="4" w:space="0"/>
        <w:right w:val="single" w:color="DB9B9A" w:sz="4" w:space="0"/>
        <w:insideH w:val="single" w:color="DB9B9A" w:sz="4" w:space="0"/>
      </w:tblBorders>
    </w:tblPr>
    <w:tblStylePr w:type="firstRow">
      <w:rPr>
        <w:rFonts w:ascii="Arial" w:hAnsi="Arial"/>
        <w:b/>
        <w:color w:val="FFFFFF"/>
        <w:sz w:val="22"/>
      </w:r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2D2" w:fill="EFD2D2"/>
      </w:tcPr>
    </w:tblStylePr>
    <w:tblStylePr w:type="band1Horz">
      <w:rPr>
        <w:rFonts w:ascii="Arial" w:hAnsi="Arial"/>
        <w:color w:val="404040"/>
        <w:sz w:val="22"/>
      </w:rPr>
      <w:tcPr>
        <w:shd w:val="clear" w:color="EFD2D2" w:fill="EFD2D2"/>
      </w:tcPr>
    </w:tblStylePr>
  </w:style>
  <w:style w:type="table" w:customStyle="1" w:styleId="134">
    <w:name w:val="List Table 4 - Accent 3"/>
    <w:basedOn w:val="44"/>
    <w:qFormat/>
    <w:uiPriority w:val="99"/>
    <w:tblPr>
      <w:tblBorders>
        <w:top w:val="single" w:color="C6D8A1" w:sz="4" w:space="0"/>
        <w:left w:val="single" w:color="C6D8A1" w:sz="4" w:space="0"/>
        <w:bottom w:val="single" w:color="C6D8A1" w:sz="4" w:space="0"/>
        <w:right w:val="single" w:color="C6D8A1" w:sz="4" w:space="0"/>
        <w:insideH w:val="single" w:color="C6D8A1" w:sz="4" w:space="0"/>
      </w:tblBorders>
    </w:tblPr>
    <w:tblStylePr w:type="firstRow">
      <w:rPr>
        <w:rFonts w:ascii="Arial" w:hAnsi="Arial"/>
        <w:b/>
        <w:color w:val="FFFFFF"/>
        <w:sz w:val="22"/>
      </w:r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ED5" w:fill="E5EED5"/>
      </w:tcPr>
    </w:tblStylePr>
    <w:tblStylePr w:type="band1Horz">
      <w:rPr>
        <w:rFonts w:ascii="Arial" w:hAnsi="Arial"/>
        <w:color w:val="404040"/>
        <w:sz w:val="22"/>
      </w:rPr>
      <w:tcPr>
        <w:shd w:val="clear" w:color="E5EED5" w:fill="E5EED5"/>
      </w:tcPr>
    </w:tblStylePr>
  </w:style>
  <w:style w:type="table" w:customStyle="1" w:styleId="135">
    <w:name w:val="List Table 4 - Accent 4"/>
    <w:basedOn w:val="44"/>
    <w:qFormat/>
    <w:uiPriority w:val="99"/>
    <w:tblPr>
      <w:tblBorders>
        <w:top w:val="single" w:color="B7A7CA" w:sz="4" w:space="0"/>
        <w:left w:val="single" w:color="B7A7CA" w:sz="4" w:space="0"/>
        <w:bottom w:val="single" w:color="B7A7CA" w:sz="4" w:space="0"/>
        <w:right w:val="single" w:color="B7A7CA" w:sz="4" w:space="0"/>
        <w:insideH w:val="single" w:color="B7A7CA" w:sz="4" w:space="0"/>
      </w:tblBorders>
    </w:tblPr>
    <w:tblStylePr w:type="firstRow">
      <w:rPr>
        <w:rFonts w:ascii="Arial" w:hAnsi="Arial"/>
        <w:b/>
        <w:color w:val="FFFFFF"/>
        <w:sz w:val="22"/>
      </w:r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fill="DFD8E7"/>
      </w:tcPr>
    </w:tblStylePr>
    <w:tblStylePr w:type="band1Horz">
      <w:rPr>
        <w:rFonts w:ascii="Arial" w:hAnsi="Arial"/>
        <w:color w:val="404040"/>
        <w:sz w:val="22"/>
      </w:rPr>
      <w:tcPr>
        <w:shd w:val="clear" w:color="DFD8E7" w:fill="DFD8E7"/>
      </w:tcPr>
    </w:tblStylePr>
  </w:style>
  <w:style w:type="table" w:customStyle="1" w:styleId="136">
    <w:name w:val="List Table 4 - Accent 5"/>
    <w:basedOn w:val="44"/>
    <w:qFormat/>
    <w:uiPriority w:val="99"/>
    <w:tblPr>
      <w:tblBorders>
        <w:top w:val="single" w:color="99D0DE" w:sz="4" w:space="0"/>
        <w:left w:val="single" w:color="99D0DE" w:sz="4" w:space="0"/>
        <w:bottom w:val="single" w:color="99D0DE" w:sz="4" w:space="0"/>
        <w:right w:val="single" w:color="99D0DE" w:sz="4" w:space="0"/>
        <w:insideH w:val="single" w:color="99D0DE" w:sz="4" w:space="0"/>
      </w:tblBorders>
    </w:tblPr>
    <w:tblStylePr w:type="firstRow">
      <w:rPr>
        <w:rFonts w:ascii="Arial" w:hAnsi="Arial"/>
        <w:b/>
        <w:color w:val="FFFFFF"/>
        <w:sz w:val="22"/>
      </w:r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fill="D1EAF0"/>
      </w:tcPr>
    </w:tblStylePr>
    <w:tblStylePr w:type="band1Horz">
      <w:rPr>
        <w:rFonts w:ascii="Arial" w:hAnsi="Arial"/>
        <w:color w:val="404040"/>
        <w:sz w:val="22"/>
      </w:rPr>
      <w:tcPr>
        <w:shd w:val="clear" w:color="D1EAF0" w:fill="D1EAF0"/>
      </w:tcPr>
    </w:tblStylePr>
  </w:style>
  <w:style w:type="table" w:customStyle="1" w:styleId="137">
    <w:name w:val="List Table 4 - Accent 6"/>
    <w:basedOn w:val="44"/>
    <w:qFormat/>
    <w:uiPriority w:val="99"/>
    <w:tblPr>
      <w:tblBorders>
        <w:top w:val="single" w:color="FAC396" w:sz="4" w:space="0"/>
        <w:left w:val="single" w:color="FAC396" w:sz="4" w:space="0"/>
        <w:bottom w:val="single" w:color="FAC396" w:sz="4" w:space="0"/>
        <w:right w:val="single" w:color="FAC396" w:sz="4" w:space="0"/>
        <w:insideH w:val="single" w:color="FAC396" w:sz="4" w:space="0"/>
      </w:tblBorders>
    </w:tblPr>
    <w:tblStylePr w:type="firstRow">
      <w:rPr>
        <w:rFonts w:ascii="Arial" w:hAnsi="Arial"/>
        <w:b/>
        <w:color w:val="FFFFFF"/>
        <w:sz w:val="22"/>
      </w:r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4D0" w:fill="FDE4D0"/>
      </w:tcPr>
    </w:tblStylePr>
    <w:tblStylePr w:type="band1Horz">
      <w:rPr>
        <w:rFonts w:ascii="Arial" w:hAnsi="Arial"/>
        <w:color w:val="404040"/>
        <w:sz w:val="22"/>
      </w:rPr>
      <w:tcPr>
        <w:shd w:val="clear" w:color="FDE4D0" w:fill="FDE4D0"/>
      </w:tcPr>
    </w:tblStylePr>
  </w:style>
  <w:style w:type="table" w:customStyle="1" w:styleId="138">
    <w:name w:val="清单表 5 深色1"/>
    <w:basedOn w:val="44"/>
    <w:qFormat/>
    <w:uiPriority w:val="99"/>
    <w:tblPr>
      <w:tblBorders>
        <w:top w:val="single" w:color="7F7F7F" w:sz="32" w:space="0"/>
        <w:left w:val="single" w:color="7F7F7F" w:sz="32" w:space="0"/>
        <w:bottom w:val="single" w:color="7F7F7F" w:sz="32" w:space="0"/>
        <w:right w:val="single" w:color="7F7F7F" w:sz="32" w:space="0"/>
      </w:tblBorders>
    </w:tblPr>
    <w:tblStylePr w:type="firstRow">
      <w:rPr>
        <w:rFonts w:ascii="Arial" w:hAnsi="Arial"/>
        <w:b/>
        <w:color w:val="FFFFFF"/>
        <w:sz w:val="22"/>
      </w:rPr>
      <w:tcPr>
        <w:tcBorders>
          <w:top w:val="single" w:color="7F7F7F" w:sz="32" w:space="0"/>
          <w:bottom w:val="single" w:color="FFFFFF" w:sz="12" w:space="0"/>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cPr>
        <w:tcBorders>
          <w:left w:val="single" w:color="7F7F7F" w:sz="32" w:space="0"/>
          <w:right w:val="single" w:color="FFFFFF" w:sz="4" w:space="0"/>
        </w:tcBorders>
      </w:tcPr>
    </w:tblStylePr>
    <w:tblStylePr w:type="lastCol">
      <w:tcPr>
        <w:tcBorders>
          <w:left w:val="single" w:color="FFFFFF" w:sz="4" w:space="0"/>
          <w:right w:val="single" w:color="7F7F7F" w:sz="32" w:space="0"/>
        </w:tcBorders>
      </w:tcPr>
    </w:tblStylePr>
    <w:tblStylePr w:type="band1Vert">
      <w:tcPr>
        <w:tcBorders>
          <w:left w:val="single" w:color="FFFFFF" w:sz="4" w:space="0"/>
          <w:right w:val="single" w:color="FFFFFF" w:sz="4" w:space="0"/>
        </w:tcBorders>
        <w:shd w:val="clear" w:color="7F7F7F" w:fill="7F7F7F"/>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7F7F7F" w:fill="7F7F7F"/>
      </w:tcPr>
    </w:tblStylePr>
    <w:tblStylePr w:type="band2Horz">
      <w:tcPr>
        <w:tcBorders>
          <w:top w:val="single" w:color="FFFFFF" w:sz="4" w:space="0"/>
          <w:bottom w:val="single" w:color="FFFFFF" w:sz="4" w:space="0"/>
        </w:tcBorders>
        <w:shd w:val="clear" w:color="7F7F7F" w:fill="7F7F7F"/>
      </w:tcPr>
    </w:tblStylePr>
  </w:style>
  <w:style w:type="table" w:customStyle="1" w:styleId="139">
    <w:name w:val="List Table 5 Dark - Accent 1"/>
    <w:basedOn w:val="44"/>
    <w:qFormat/>
    <w:uiPriority w:val="99"/>
    <w:tblPr>
      <w:tblBorders>
        <w:top w:val="single" w:color="4F81BD" w:sz="32" w:space="0"/>
        <w:left w:val="single" w:color="4F81BD" w:sz="32" w:space="0"/>
        <w:bottom w:val="single" w:color="4F81BD" w:sz="32" w:space="0"/>
        <w:right w:val="single" w:color="4F81BD" w:sz="32" w:space="0"/>
      </w:tblBorders>
    </w:tblPr>
    <w:tblStylePr w:type="firstRow">
      <w:rPr>
        <w:rFonts w:ascii="Arial" w:hAnsi="Arial"/>
        <w:b/>
        <w:color w:val="FFFFFF"/>
        <w:sz w:val="22"/>
      </w:rPr>
      <w:tcPr>
        <w:tcBorders>
          <w:top w:val="single" w:color="4F81BD" w:sz="32" w:space="0"/>
          <w:bottom w:val="single" w:color="FFFFFF" w:sz="12" w:space="0"/>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clear" w:color="4F81BD" w:fill="4F81BD"/>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4F81BD" w:fill="4F81BD"/>
      </w:tcPr>
    </w:tblStylePr>
    <w:tblStylePr w:type="band2Horz">
      <w:tcPr>
        <w:tcBorders>
          <w:top w:val="single" w:color="FFFFFF" w:sz="4" w:space="0"/>
          <w:bottom w:val="single" w:color="FFFFFF" w:sz="4" w:space="0"/>
        </w:tcBorders>
        <w:shd w:val="clear" w:color="4F81BD" w:fill="4F81BD"/>
      </w:tcPr>
    </w:tblStylePr>
  </w:style>
  <w:style w:type="table" w:customStyle="1" w:styleId="140">
    <w:name w:val="List Table 5 Dark - Accent 2"/>
    <w:basedOn w:val="44"/>
    <w:qFormat/>
    <w:uiPriority w:val="99"/>
    <w:tblPr>
      <w:tblBorders>
        <w:top w:val="single" w:color="D99695" w:sz="32" w:space="0"/>
        <w:left w:val="single" w:color="D99695" w:sz="32" w:space="0"/>
        <w:bottom w:val="single" w:color="D99695" w:sz="32" w:space="0"/>
        <w:right w:val="single" w:color="D99695" w:sz="32" w:space="0"/>
      </w:tblBorders>
    </w:tblPr>
    <w:tblStylePr w:type="firstRow">
      <w:rPr>
        <w:rFonts w:ascii="Arial" w:hAnsi="Arial"/>
        <w:b/>
        <w:color w:val="FFFFFF"/>
        <w:sz w:val="22"/>
      </w:rPr>
      <w:tcPr>
        <w:tcBorders>
          <w:top w:val="single" w:color="D99695" w:sz="32" w:space="0"/>
          <w:bottom w:val="single" w:color="FFFFFF" w:sz="12" w:space="0"/>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cPr>
        <w:tcBorders>
          <w:left w:val="single" w:color="D99695" w:sz="32" w:space="0"/>
          <w:right w:val="single" w:color="FFFFFF" w:sz="4" w:space="0"/>
        </w:tcBorders>
      </w:tcPr>
    </w:tblStylePr>
    <w:tblStylePr w:type="lastCol">
      <w:tcPr>
        <w:tcBorders>
          <w:left w:val="single" w:color="FFFFFF" w:sz="4" w:space="0"/>
          <w:right w:val="single" w:color="D99695" w:sz="32" w:space="0"/>
        </w:tcBorders>
      </w:tcPr>
    </w:tblStylePr>
    <w:tblStylePr w:type="band1Vert">
      <w:tcPr>
        <w:tcBorders>
          <w:left w:val="single" w:color="FFFFFF" w:sz="4" w:space="0"/>
          <w:right w:val="single" w:color="FFFFFF" w:sz="4" w:space="0"/>
        </w:tcBorders>
        <w:shd w:val="clear" w:color="D99695" w:fill="D99695"/>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D99695" w:fill="D99695"/>
      </w:tcPr>
    </w:tblStylePr>
    <w:tblStylePr w:type="band2Horz">
      <w:tcPr>
        <w:tcBorders>
          <w:top w:val="single" w:color="FFFFFF" w:sz="4" w:space="0"/>
          <w:bottom w:val="single" w:color="FFFFFF" w:sz="4" w:space="0"/>
        </w:tcBorders>
        <w:shd w:val="clear" w:color="D99695" w:fill="D99695"/>
      </w:tcPr>
    </w:tblStylePr>
  </w:style>
  <w:style w:type="table" w:customStyle="1" w:styleId="141">
    <w:name w:val="List Table 5 Dark - Accent 3"/>
    <w:basedOn w:val="44"/>
    <w:qFormat/>
    <w:uiPriority w:val="99"/>
    <w:tblPr>
      <w:tblBorders>
        <w:top w:val="single" w:color="C3D69B" w:sz="32" w:space="0"/>
        <w:left w:val="single" w:color="C3D69B" w:sz="32" w:space="0"/>
        <w:bottom w:val="single" w:color="C3D69B" w:sz="32" w:space="0"/>
        <w:right w:val="single" w:color="C3D69B" w:sz="32" w:space="0"/>
      </w:tblBorders>
    </w:tblPr>
    <w:tblStylePr w:type="firstRow">
      <w:rPr>
        <w:rFonts w:ascii="Arial" w:hAnsi="Arial"/>
        <w:b/>
        <w:color w:val="FFFFFF"/>
        <w:sz w:val="22"/>
      </w:rPr>
      <w:tcPr>
        <w:tcBorders>
          <w:top w:val="single" w:color="C3D69B" w:sz="32" w:space="0"/>
          <w:bottom w:val="single" w:color="FFFFFF" w:sz="12" w:space="0"/>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cPr>
        <w:tcBorders>
          <w:left w:val="single" w:color="C3D69B" w:sz="32" w:space="0"/>
          <w:right w:val="single" w:color="FFFFFF" w:sz="4" w:space="0"/>
        </w:tcBorders>
      </w:tcPr>
    </w:tblStylePr>
    <w:tblStylePr w:type="lastCol">
      <w:tcPr>
        <w:tcBorders>
          <w:left w:val="single" w:color="FFFFFF" w:sz="4" w:space="0"/>
          <w:right w:val="single" w:color="C3D69B" w:sz="32" w:space="0"/>
        </w:tcBorders>
      </w:tcPr>
    </w:tblStylePr>
    <w:tblStylePr w:type="band1Vert">
      <w:tcPr>
        <w:tcBorders>
          <w:left w:val="single" w:color="FFFFFF" w:sz="4" w:space="0"/>
          <w:right w:val="single" w:color="FFFFFF" w:sz="4" w:space="0"/>
        </w:tcBorders>
        <w:shd w:val="clear" w:color="C3D69B" w:fill="C3D69B"/>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C3D69B" w:fill="C3D69B"/>
      </w:tcPr>
    </w:tblStylePr>
    <w:tblStylePr w:type="band2Horz">
      <w:tcPr>
        <w:tcBorders>
          <w:top w:val="single" w:color="FFFFFF" w:sz="4" w:space="0"/>
          <w:bottom w:val="single" w:color="FFFFFF" w:sz="4" w:space="0"/>
        </w:tcBorders>
        <w:shd w:val="clear" w:color="C3D69B" w:fill="C3D69B"/>
      </w:tcPr>
    </w:tblStylePr>
  </w:style>
  <w:style w:type="table" w:customStyle="1" w:styleId="142">
    <w:name w:val="List Table 5 Dark - Accent 4"/>
    <w:basedOn w:val="44"/>
    <w:qFormat/>
    <w:uiPriority w:val="99"/>
    <w:tblPr>
      <w:tblBorders>
        <w:top w:val="single" w:color="B2A1C6" w:sz="32" w:space="0"/>
        <w:left w:val="single" w:color="B2A1C6" w:sz="32" w:space="0"/>
        <w:bottom w:val="single" w:color="B2A1C6" w:sz="32" w:space="0"/>
        <w:right w:val="single" w:color="B2A1C6" w:sz="32" w:space="0"/>
      </w:tblBorders>
    </w:tblPr>
    <w:tblStylePr w:type="firstRow">
      <w:rPr>
        <w:rFonts w:ascii="Arial" w:hAnsi="Arial"/>
        <w:b/>
        <w:color w:val="FFFFFF"/>
        <w:sz w:val="22"/>
      </w:rPr>
      <w:tcPr>
        <w:tcBorders>
          <w:top w:val="single" w:color="B2A1C6" w:sz="32" w:space="0"/>
          <w:bottom w:val="single" w:color="FFFFFF" w:sz="12" w:space="0"/>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clear" w:color="B2A1C6" w:fill="B2A1C6"/>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B2A1C6" w:fill="B2A1C6"/>
      </w:tcPr>
    </w:tblStylePr>
    <w:tblStylePr w:type="band2Horz">
      <w:tcPr>
        <w:tcBorders>
          <w:top w:val="single" w:color="FFFFFF" w:sz="4" w:space="0"/>
          <w:bottom w:val="single" w:color="FFFFFF" w:sz="4" w:space="0"/>
        </w:tcBorders>
        <w:shd w:val="clear" w:color="B2A1C6" w:fill="B2A1C6"/>
      </w:tcPr>
    </w:tblStylePr>
  </w:style>
  <w:style w:type="table" w:customStyle="1" w:styleId="143">
    <w:name w:val="List Table 5 Dark - Accent 5"/>
    <w:basedOn w:val="44"/>
    <w:qFormat/>
    <w:uiPriority w:val="99"/>
    <w:tblPr>
      <w:tblBorders>
        <w:top w:val="single" w:color="92CCDC" w:sz="32" w:space="0"/>
        <w:left w:val="single" w:color="92CCDC" w:sz="32" w:space="0"/>
        <w:bottom w:val="single" w:color="92CCDC" w:sz="32" w:space="0"/>
        <w:right w:val="single" w:color="92CCDC" w:sz="32" w:space="0"/>
      </w:tblBorders>
    </w:tblPr>
    <w:tblStylePr w:type="firstRow">
      <w:rPr>
        <w:rFonts w:ascii="Arial" w:hAnsi="Arial"/>
        <w:b/>
        <w:color w:val="FFFFFF"/>
        <w:sz w:val="22"/>
      </w:rPr>
      <w:tcPr>
        <w:tcBorders>
          <w:top w:val="single" w:color="92CCDC" w:sz="32" w:space="0"/>
          <w:bottom w:val="single" w:color="FFFFFF" w:sz="12" w:space="0"/>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clear" w:color="92CCDC" w:fill="92CCD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92CCDC" w:fill="92CCDC"/>
      </w:tcPr>
    </w:tblStylePr>
    <w:tblStylePr w:type="band2Horz">
      <w:tcPr>
        <w:tcBorders>
          <w:top w:val="single" w:color="FFFFFF" w:sz="4" w:space="0"/>
          <w:bottom w:val="single" w:color="FFFFFF" w:sz="4" w:space="0"/>
        </w:tcBorders>
        <w:shd w:val="clear" w:color="92CCDC" w:fill="92CCDC"/>
      </w:tcPr>
    </w:tblStylePr>
  </w:style>
  <w:style w:type="table" w:customStyle="1" w:styleId="144">
    <w:name w:val="List Table 5 Dark - Accent 6"/>
    <w:basedOn w:val="44"/>
    <w:qFormat/>
    <w:uiPriority w:val="99"/>
    <w:tblPr>
      <w:tblBorders>
        <w:top w:val="single" w:color="FAC090" w:sz="32" w:space="0"/>
        <w:left w:val="single" w:color="FAC090" w:sz="32" w:space="0"/>
        <w:bottom w:val="single" w:color="FAC090" w:sz="32" w:space="0"/>
        <w:right w:val="single" w:color="FAC090" w:sz="32" w:space="0"/>
      </w:tblBorders>
    </w:tblPr>
    <w:tblStylePr w:type="firstRow">
      <w:rPr>
        <w:rFonts w:ascii="Arial" w:hAnsi="Arial"/>
        <w:b/>
        <w:color w:val="FFFFFF"/>
        <w:sz w:val="22"/>
      </w:rPr>
      <w:tcPr>
        <w:tcBorders>
          <w:top w:val="single" w:color="FAC090" w:sz="32" w:space="0"/>
          <w:bottom w:val="single" w:color="FFFFFF" w:sz="12" w:space="0"/>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clear" w:color="FAC090" w:fill="FAC090"/>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FAC090" w:fill="FAC090"/>
      </w:tcPr>
    </w:tblStylePr>
    <w:tblStylePr w:type="band2Horz">
      <w:tcPr>
        <w:tcBorders>
          <w:top w:val="single" w:color="FFFFFF" w:sz="4" w:space="0"/>
          <w:bottom w:val="single" w:color="FFFFFF" w:sz="4" w:space="0"/>
        </w:tcBorders>
        <w:shd w:val="clear" w:color="FAC090" w:fill="FAC090"/>
      </w:tcPr>
    </w:tblStylePr>
  </w:style>
  <w:style w:type="table" w:customStyle="1" w:styleId="145">
    <w:name w:val="清单表 6 彩色1"/>
    <w:basedOn w:val="44"/>
    <w:qFormat/>
    <w:uiPriority w:val="99"/>
    <w:tblPr>
      <w:tblBorders>
        <w:top w:val="single" w:color="7F7F7F" w:sz="4" w:space="0"/>
        <w:bottom w:val="single" w:color="7F7F7F" w:sz="4" w:space="0"/>
      </w:tblBorders>
    </w:tblPr>
    <w:tblStylePr w:type="firstRow">
      <w:rPr>
        <w:b/>
        <w:color w:val="000000"/>
      </w:rPr>
      <w:tcPr>
        <w:tcBorders>
          <w:bottom w:val="single" w:color="7F7F7F" w:sz="4" w:space="0"/>
        </w:tcBorders>
      </w:tcPr>
    </w:tblStylePr>
    <w:tblStylePr w:type="lastRow">
      <w:rPr>
        <w:b/>
        <w:color w:val="000000"/>
      </w:rPr>
      <w:tcPr>
        <w:tcBorders>
          <w:top w:val="single" w:color="7F7F7F" w:sz="4" w:space="0"/>
        </w:tcBorders>
      </w:tcPr>
    </w:tblStylePr>
    <w:tblStylePr w:type="firstCol">
      <w:rPr>
        <w:b/>
        <w:color w:val="000000"/>
      </w:rPr>
    </w:tblStylePr>
    <w:tblStylePr w:type="lastCol">
      <w:rPr>
        <w:b/>
        <w:color w:val="000000"/>
      </w:rPr>
    </w:tblStylePr>
    <w:tblStylePr w:type="band1Vert">
      <w:tcPr>
        <w:shd w:val="clear" w:color="BFBFBF" w:fill="BFBFBF"/>
      </w:tcPr>
    </w:tblStylePr>
    <w:tblStylePr w:type="band1Horz">
      <w:rPr>
        <w:rFonts w:ascii="Arial" w:hAnsi="Arial"/>
        <w:color w:val="000000"/>
        <w:sz w:val="22"/>
      </w:rPr>
      <w:tcPr>
        <w:shd w:val="clear" w:color="BFBFBF" w:fill="BFBFBF"/>
      </w:tcPr>
    </w:tblStylePr>
    <w:tblStylePr w:type="band2Horz">
      <w:rPr>
        <w:rFonts w:ascii="Arial" w:hAnsi="Arial"/>
        <w:color w:val="000000"/>
        <w:sz w:val="22"/>
      </w:rPr>
    </w:tblStylePr>
  </w:style>
  <w:style w:type="table" w:customStyle="1" w:styleId="146">
    <w:name w:val="List Table 6 Colorful - Accent 1"/>
    <w:basedOn w:val="44"/>
    <w:qFormat/>
    <w:uiPriority w:val="99"/>
    <w:tblPr>
      <w:tblBorders>
        <w:top w:val="single" w:color="4F81BD" w:sz="4" w:space="0"/>
        <w:bottom w:val="single" w:color="4F81BD" w:sz="4" w:space="0"/>
      </w:tblBorders>
    </w:tblPr>
    <w:tblStylePr w:type="firstRow">
      <w:rPr>
        <w:b/>
        <w:color w:val="2A4A71"/>
      </w:rPr>
      <w:tcPr>
        <w:tcBorders>
          <w:bottom w:val="single" w:color="4F81BD" w:sz="4" w:space="0"/>
        </w:tcBorders>
      </w:tcPr>
    </w:tblStylePr>
    <w:tblStylePr w:type="lastRow">
      <w:rPr>
        <w:b/>
        <w:color w:val="2A4A71"/>
      </w:rPr>
      <w:tcPr>
        <w:tcBorders>
          <w:top w:val="single" w:color="4F81BD" w:sz="4" w:space="0"/>
        </w:tcBorders>
      </w:tcPr>
    </w:tblStylePr>
    <w:tblStylePr w:type="firstCol">
      <w:rPr>
        <w:b/>
        <w:color w:val="2A4A71"/>
      </w:rPr>
    </w:tblStylePr>
    <w:tblStylePr w:type="lastCol">
      <w:rPr>
        <w:b/>
        <w:color w:val="2A4A71"/>
      </w:rPr>
    </w:tblStylePr>
    <w:tblStylePr w:type="band1Vert">
      <w:tcPr>
        <w:shd w:val="clear" w:color="D2DFEE" w:fill="D2DFEE"/>
      </w:tcPr>
    </w:tblStylePr>
    <w:tblStylePr w:type="band1Horz">
      <w:rPr>
        <w:rFonts w:ascii="Arial" w:hAnsi="Arial"/>
        <w:color w:val="2A4A71"/>
        <w:sz w:val="22"/>
      </w:rPr>
      <w:tcPr>
        <w:shd w:val="clear" w:color="D2DFEE" w:fill="D2DFEE"/>
      </w:tcPr>
    </w:tblStylePr>
    <w:tblStylePr w:type="band2Horz">
      <w:rPr>
        <w:rFonts w:ascii="Arial" w:hAnsi="Arial"/>
        <w:color w:val="2A4A71"/>
        <w:sz w:val="22"/>
      </w:rPr>
    </w:tblStylePr>
  </w:style>
  <w:style w:type="table" w:customStyle="1" w:styleId="147">
    <w:name w:val="List Table 6 Colorful - Accent 2"/>
    <w:basedOn w:val="44"/>
    <w:qFormat/>
    <w:uiPriority w:val="99"/>
    <w:tblPr>
      <w:tblBorders>
        <w:top w:val="single" w:color="D99695" w:sz="4" w:space="0"/>
        <w:bottom w:val="single" w:color="D99695" w:sz="4" w:space="0"/>
      </w:tblBorders>
    </w:tblPr>
    <w:tblStylePr w:type="firstRow">
      <w:rPr>
        <w:b/>
        <w:color w:val="D99695"/>
      </w:rPr>
      <w:tcPr>
        <w:tcBorders>
          <w:bottom w:val="single" w:color="D99695" w:sz="4" w:space="0"/>
        </w:tcBorders>
      </w:tcPr>
    </w:tblStylePr>
    <w:tblStylePr w:type="lastRow">
      <w:rPr>
        <w:b/>
        <w:color w:val="D99695"/>
      </w:rPr>
      <w:tcPr>
        <w:tcBorders>
          <w:top w:val="single" w:color="D99695" w:sz="4" w:space="0"/>
        </w:tcBorders>
      </w:tcPr>
    </w:tblStylePr>
    <w:tblStylePr w:type="firstCol">
      <w:rPr>
        <w:b/>
        <w:color w:val="D99695"/>
      </w:rPr>
    </w:tblStylePr>
    <w:tblStylePr w:type="lastCol">
      <w:rPr>
        <w:b/>
        <w:color w:val="D99695"/>
      </w:rPr>
    </w:tblStylePr>
    <w:tblStylePr w:type="band1Vert">
      <w:tcPr>
        <w:shd w:val="clear" w:color="EFD2D2" w:fill="EFD2D2"/>
      </w:tcPr>
    </w:tblStylePr>
    <w:tblStylePr w:type="band1Horz">
      <w:rPr>
        <w:rFonts w:ascii="Arial" w:hAnsi="Arial"/>
        <w:color w:val="D99695"/>
        <w:sz w:val="22"/>
      </w:rPr>
      <w:tcPr>
        <w:shd w:val="clear" w:color="EFD2D2" w:fill="EFD2D2"/>
      </w:tcPr>
    </w:tblStylePr>
    <w:tblStylePr w:type="band2Horz">
      <w:rPr>
        <w:rFonts w:ascii="Arial" w:hAnsi="Arial"/>
        <w:color w:val="D99695"/>
        <w:sz w:val="22"/>
      </w:rPr>
    </w:tblStylePr>
  </w:style>
  <w:style w:type="table" w:customStyle="1" w:styleId="148">
    <w:name w:val="List Table 6 Colorful - Accent 3"/>
    <w:basedOn w:val="44"/>
    <w:qFormat/>
    <w:uiPriority w:val="99"/>
    <w:tblPr>
      <w:tblBorders>
        <w:top w:val="single" w:color="C3D69B" w:sz="4" w:space="0"/>
        <w:bottom w:val="single" w:color="C3D69B" w:sz="4" w:space="0"/>
      </w:tblBorders>
    </w:tblPr>
    <w:tblStylePr w:type="firstRow">
      <w:rPr>
        <w:b/>
        <w:color w:val="C3D69B"/>
      </w:rPr>
      <w:tcPr>
        <w:tcBorders>
          <w:bottom w:val="single" w:color="C3D69B" w:sz="4" w:space="0"/>
        </w:tcBorders>
      </w:tcPr>
    </w:tblStylePr>
    <w:tblStylePr w:type="lastRow">
      <w:rPr>
        <w:b/>
        <w:color w:val="C3D69B"/>
      </w:rPr>
      <w:tcPr>
        <w:tcBorders>
          <w:top w:val="single" w:color="C3D69B" w:sz="4" w:space="0"/>
        </w:tcBorders>
      </w:tcPr>
    </w:tblStylePr>
    <w:tblStylePr w:type="firstCol">
      <w:rPr>
        <w:b/>
        <w:color w:val="C3D69B"/>
      </w:rPr>
    </w:tblStylePr>
    <w:tblStylePr w:type="lastCol">
      <w:rPr>
        <w:b/>
        <w:color w:val="C3D69B"/>
      </w:rPr>
    </w:tblStylePr>
    <w:tblStylePr w:type="band1Vert">
      <w:tcPr>
        <w:shd w:val="clear" w:color="E5EED5" w:fill="E5EED5"/>
      </w:tcPr>
    </w:tblStylePr>
    <w:tblStylePr w:type="band1Horz">
      <w:rPr>
        <w:rFonts w:ascii="Arial" w:hAnsi="Arial"/>
        <w:color w:val="C3D69B"/>
        <w:sz w:val="22"/>
      </w:rPr>
      <w:tcPr>
        <w:shd w:val="clear" w:color="E5EED5" w:fill="E5EED5"/>
      </w:tcPr>
    </w:tblStylePr>
    <w:tblStylePr w:type="band2Horz">
      <w:rPr>
        <w:rFonts w:ascii="Arial" w:hAnsi="Arial"/>
        <w:color w:val="C3D69B"/>
        <w:sz w:val="22"/>
      </w:rPr>
    </w:tblStylePr>
  </w:style>
  <w:style w:type="table" w:customStyle="1" w:styleId="149">
    <w:name w:val="List Table 6 Colorful - Accent 4"/>
    <w:basedOn w:val="44"/>
    <w:qFormat/>
    <w:uiPriority w:val="99"/>
    <w:tblPr>
      <w:tblBorders>
        <w:top w:val="single" w:color="B2A1C6" w:sz="4" w:space="0"/>
        <w:bottom w:val="single" w:color="B2A1C6" w:sz="4" w:space="0"/>
      </w:tblBorders>
    </w:tblPr>
    <w:tblStylePr w:type="firstRow">
      <w:rPr>
        <w:b/>
        <w:color w:val="B2A1C6"/>
      </w:rPr>
      <w:tcPr>
        <w:tcBorders>
          <w:bottom w:val="single" w:color="B2A1C6" w:sz="4" w:space="0"/>
        </w:tcBorders>
      </w:tcPr>
    </w:tblStylePr>
    <w:tblStylePr w:type="lastRow">
      <w:rPr>
        <w:b/>
        <w:color w:val="B2A1C6"/>
      </w:rPr>
      <w:tcPr>
        <w:tcBorders>
          <w:top w:val="single" w:color="B2A1C6" w:sz="4" w:space="0"/>
        </w:tcBorders>
      </w:tcPr>
    </w:tblStylePr>
    <w:tblStylePr w:type="firstCol">
      <w:rPr>
        <w:b/>
        <w:color w:val="B2A1C6"/>
      </w:rPr>
    </w:tblStylePr>
    <w:tblStylePr w:type="lastCol">
      <w:rPr>
        <w:b/>
        <w:color w:val="B2A1C6"/>
      </w:rPr>
    </w:tblStylePr>
    <w:tblStylePr w:type="band1Vert">
      <w:tcPr>
        <w:shd w:val="clear" w:color="DFD8E7" w:fill="DFD8E7"/>
      </w:tcPr>
    </w:tblStylePr>
    <w:tblStylePr w:type="band1Horz">
      <w:rPr>
        <w:rFonts w:ascii="Arial" w:hAnsi="Arial"/>
        <w:color w:val="B2A1C6"/>
        <w:sz w:val="22"/>
      </w:rPr>
      <w:tcPr>
        <w:shd w:val="clear" w:color="DFD8E7" w:fill="DFD8E7"/>
      </w:tcPr>
    </w:tblStylePr>
    <w:tblStylePr w:type="band2Horz">
      <w:rPr>
        <w:rFonts w:ascii="Arial" w:hAnsi="Arial"/>
        <w:color w:val="B2A1C6"/>
        <w:sz w:val="22"/>
      </w:rPr>
    </w:tblStylePr>
  </w:style>
  <w:style w:type="table" w:customStyle="1" w:styleId="150">
    <w:name w:val="List Table 6 Colorful - Accent 5"/>
    <w:basedOn w:val="44"/>
    <w:qFormat/>
    <w:uiPriority w:val="99"/>
    <w:tblPr>
      <w:tblBorders>
        <w:top w:val="single" w:color="92CCDC" w:sz="4" w:space="0"/>
        <w:bottom w:val="single" w:color="92CCDC" w:sz="4" w:space="0"/>
      </w:tblBorders>
    </w:tblPr>
    <w:tblStylePr w:type="firstRow">
      <w:rPr>
        <w:b/>
        <w:color w:val="92CCDC"/>
      </w:rPr>
      <w:tcPr>
        <w:tcBorders>
          <w:bottom w:val="single" w:color="92CCDC" w:sz="4" w:space="0"/>
        </w:tcBorders>
      </w:tcPr>
    </w:tblStylePr>
    <w:tblStylePr w:type="lastRow">
      <w:rPr>
        <w:b/>
        <w:color w:val="92CCDC"/>
      </w:rPr>
      <w:tcPr>
        <w:tcBorders>
          <w:top w:val="single" w:color="92CCDC" w:sz="4" w:space="0"/>
        </w:tcBorders>
      </w:tcPr>
    </w:tblStylePr>
    <w:tblStylePr w:type="firstCol">
      <w:rPr>
        <w:b/>
        <w:color w:val="92CCDC"/>
      </w:rPr>
    </w:tblStylePr>
    <w:tblStylePr w:type="lastCol">
      <w:rPr>
        <w:b/>
        <w:color w:val="92CCDC"/>
      </w:rPr>
    </w:tblStylePr>
    <w:tblStylePr w:type="band1Vert">
      <w:tcPr>
        <w:shd w:val="clear" w:color="D1EAF0" w:fill="D1EAF0"/>
      </w:tcPr>
    </w:tblStylePr>
    <w:tblStylePr w:type="band1Horz">
      <w:rPr>
        <w:rFonts w:ascii="Arial" w:hAnsi="Arial"/>
        <w:color w:val="92CCDC"/>
        <w:sz w:val="22"/>
      </w:rPr>
      <w:tcPr>
        <w:shd w:val="clear" w:color="D1EAF0" w:fill="D1EAF0"/>
      </w:tcPr>
    </w:tblStylePr>
    <w:tblStylePr w:type="band2Horz">
      <w:rPr>
        <w:rFonts w:ascii="Arial" w:hAnsi="Arial"/>
        <w:color w:val="92CCDC"/>
        <w:sz w:val="22"/>
      </w:rPr>
    </w:tblStylePr>
  </w:style>
  <w:style w:type="table" w:customStyle="1" w:styleId="151">
    <w:name w:val="List Table 6 Colorful - Accent 6"/>
    <w:basedOn w:val="44"/>
    <w:qFormat/>
    <w:uiPriority w:val="99"/>
    <w:tblPr>
      <w:tblBorders>
        <w:top w:val="single" w:color="FAC090" w:sz="4" w:space="0"/>
        <w:bottom w:val="single" w:color="FAC090" w:sz="4" w:space="0"/>
      </w:tblBorders>
    </w:tblPr>
    <w:tblStylePr w:type="firstRow">
      <w:rPr>
        <w:b/>
        <w:color w:val="FAC090"/>
      </w:rPr>
      <w:tcPr>
        <w:tcBorders>
          <w:bottom w:val="single" w:color="FAC090" w:sz="4" w:space="0"/>
        </w:tcBorders>
      </w:tcPr>
    </w:tblStylePr>
    <w:tblStylePr w:type="lastRow">
      <w:rPr>
        <w:b/>
        <w:color w:val="FAC090"/>
      </w:rPr>
      <w:tcPr>
        <w:tcBorders>
          <w:top w:val="single" w:color="FAC090" w:sz="4" w:space="0"/>
        </w:tcBorders>
      </w:tcPr>
    </w:tblStylePr>
    <w:tblStylePr w:type="firstCol">
      <w:rPr>
        <w:b/>
        <w:color w:val="FAC090"/>
      </w:rPr>
    </w:tblStylePr>
    <w:tblStylePr w:type="lastCol">
      <w:rPr>
        <w:b/>
        <w:color w:val="FAC090"/>
      </w:rPr>
    </w:tblStylePr>
    <w:tblStylePr w:type="band1Vert">
      <w:tcPr>
        <w:shd w:val="clear" w:color="FDE4D0" w:fill="FDE4D0"/>
      </w:tcPr>
    </w:tblStylePr>
    <w:tblStylePr w:type="band1Horz">
      <w:rPr>
        <w:rFonts w:ascii="Arial" w:hAnsi="Arial"/>
        <w:color w:val="FAC090"/>
        <w:sz w:val="22"/>
      </w:rPr>
      <w:tcPr>
        <w:shd w:val="clear" w:color="FDE4D0" w:fill="FDE4D0"/>
      </w:tcPr>
    </w:tblStylePr>
    <w:tblStylePr w:type="band2Horz">
      <w:rPr>
        <w:rFonts w:ascii="Arial" w:hAnsi="Arial"/>
        <w:color w:val="FAC090"/>
        <w:sz w:val="22"/>
      </w:rPr>
    </w:tblStylePr>
  </w:style>
  <w:style w:type="table" w:customStyle="1" w:styleId="152">
    <w:name w:val="清单表 7 彩色1"/>
    <w:basedOn w:val="44"/>
    <w:qFormat/>
    <w:uiPriority w:val="99"/>
    <w:tblPr>
      <w:tblBorders>
        <w:right w:val="single" w:color="7F7F7F" w:sz="4" w:space="0"/>
      </w:tblBorders>
    </w:tblPr>
    <w:tblStylePr w:type="firstRow">
      <w:rPr>
        <w:rFonts w:ascii="Arial" w:hAnsi="Arial"/>
        <w:i/>
        <w:color w:val="7F7F7F"/>
        <w:sz w:val="22"/>
      </w:rPr>
      <w:tcPr>
        <w:tcBorders>
          <w:top w:val="nil"/>
          <w:left w:val="nil"/>
          <w:bottom w:val="single" w:color="7F7F7F" w:sz="4" w:space="0"/>
          <w:right w:val="nil"/>
        </w:tcBorders>
        <w:shd w:val="clear" w:color="FFFFFF" w:fill="FFFFFF"/>
      </w:tcPr>
    </w:tblStylePr>
    <w:tblStylePr w:type="lastRow">
      <w:rPr>
        <w:rFonts w:ascii="Arial" w:hAnsi="Arial"/>
        <w:i/>
        <w:color w:val="7F7F7F"/>
        <w:sz w:val="22"/>
      </w:rPr>
      <w:tcPr>
        <w:tcBorders>
          <w:top w:val="single" w:color="7F7F7F" w:sz="4" w:space="0"/>
          <w:left w:val="nil"/>
          <w:bottom w:val="nil"/>
          <w:right w:val="nil"/>
        </w:tcBorders>
        <w:shd w:val="clear" w:color="FFFFFF" w:fill="FFFFFF"/>
      </w:tcPr>
    </w:tblStylePr>
    <w:tblStylePr w:type="firstCol">
      <w:pPr>
        <w:jc w:val="right"/>
      </w:pPr>
      <w:rPr>
        <w:rFonts w:ascii="Arial" w:hAnsi="Arial"/>
        <w:i/>
        <w:color w:val="7F7F7F"/>
        <w:sz w:val="22"/>
      </w:rPr>
      <w:tcPr>
        <w:tcBorders>
          <w:top w:val="nil"/>
          <w:left w:val="nil"/>
          <w:bottom w:val="nil"/>
          <w:right w:val="single" w:color="7F7F7F" w:sz="4" w:space="0"/>
        </w:tcBorders>
        <w:shd w:val="clear" w:color="FFFFFF" w:fill="auto"/>
      </w:tcPr>
    </w:tblStylePr>
    <w:tblStylePr w:type="lastCol">
      <w:rPr>
        <w:rFonts w:ascii="Arial" w:hAnsi="Arial"/>
        <w:i/>
        <w:color w:val="7F7F7F"/>
        <w:sz w:val="22"/>
      </w:rPr>
      <w:tcPr>
        <w:tcBorders>
          <w:top w:val="nil"/>
          <w:left w:val="single" w:color="7F7F7F" w:sz="4" w:space="0"/>
          <w:bottom w:val="nil"/>
          <w:right w:val="nil"/>
        </w:tcBorders>
        <w:shd w:val="clear" w:color="FFFFFF" w:fill="auto"/>
      </w:tcPr>
    </w:tblStylePr>
    <w:tblStylePr w:type="band1Vert">
      <w:tcPr>
        <w:shd w:val="clear" w:color="BFBFBF" w:fill="BFBFBF"/>
      </w:tcPr>
    </w:tblStylePr>
    <w:tblStylePr w:type="band1Horz">
      <w:rPr>
        <w:rFonts w:ascii="Arial" w:hAnsi="Arial"/>
        <w:color w:val="7F7F7F"/>
        <w:sz w:val="22"/>
      </w:rPr>
      <w:tcPr>
        <w:shd w:val="clear" w:color="BFBFBF" w:fill="BFBFBF"/>
      </w:tcPr>
    </w:tblStylePr>
    <w:tblStylePr w:type="band2Horz">
      <w:rPr>
        <w:rFonts w:ascii="Arial" w:hAnsi="Arial"/>
        <w:color w:val="7F7F7F"/>
        <w:sz w:val="22"/>
      </w:rPr>
    </w:tblStylePr>
  </w:style>
  <w:style w:type="table" w:customStyle="1" w:styleId="153">
    <w:name w:val="List Table 7 Colorful - Accent 1"/>
    <w:basedOn w:val="44"/>
    <w:qFormat/>
    <w:uiPriority w:val="99"/>
    <w:tblPr>
      <w:tblBorders>
        <w:right w:val="single" w:color="4F81BD" w:sz="4" w:space="0"/>
      </w:tblBorders>
    </w:tblPr>
    <w:tblStylePr w:type="firstRow">
      <w:rPr>
        <w:rFonts w:ascii="Arial" w:hAnsi="Arial"/>
        <w:i/>
        <w:color w:val="2A4A71"/>
        <w:sz w:val="22"/>
      </w:rPr>
      <w:tcPr>
        <w:tcBorders>
          <w:top w:val="nil"/>
          <w:left w:val="nil"/>
          <w:bottom w:val="single" w:color="4F81BD" w:sz="4" w:space="0"/>
          <w:right w:val="nil"/>
        </w:tcBorders>
        <w:shd w:val="clear" w:color="FFFFFF" w:fill="FFFFFF"/>
      </w:tcPr>
    </w:tblStylePr>
    <w:tblStylePr w:type="lastRow">
      <w:rPr>
        <w:rFonts w:ascii="Arial" w:hAnsi="Arial"/>
        <w:i/>
        <w:color w:val="2A4A71"/>
        <w:sz w:val="22"/>
      </w:rPr>
      <w:tcPr>
        <w:tcBorders>
          <w:top w:val="single" w:color="4F81BD" w:sz="4" w:space="0"/>
          <w:left w:val="nil"/>
          <w:bottom w:val="nil"/>
          <w:right w:val="nil"/>
        </w:tcBorders>
        <w:shd w:val="clear" w:color="FFFFFF" w:fill="FFFFFF"/>
      </w:tcPr>
    </w:tblStylePr>
    <w:tblStylePr w:type="firstCol">
      <w:pPr>
        <w:jc w:val="right"/>
      </w:pPr>
      <w:rPr>
        <w:rFonts w:ascii="Arial" w:hAnsi="Arial"/>
        <w:i/>
        <w:color w:val="2A4A71"/>
        <w:sz w:val="22"/>
      </w:rPr>
      <w:tcPr>
        <w:tcBorders>
          <w:top w:val="nil"/>
          <w:left w:val="nil"/>
          <w:bottom w:val="nil"/>
          <w:right w:val="single" w:color="4F81BD" w:sz="4" w:space="0"/>
        </w:tcBorders>
        <w:shd w:val="clear" w:color="FFFFFF" w:fill="auto"/>
      </w:tcPr>
    </w:tblStylePr>
    <w:tblStylePr w:type="lastCol">
      <w:rPr>
        <w:rFonts w:ascii="Arial" w:hAnsi="Arial"/>
        <w:i/>
        <w:color w:val="2A4A71"/>
        <w:sz w:val="22"/>
      </w:rPr>
      <w:tcPr>
        <w:tcBorders>
          <w:top w:val="nil"/>
          <w:left w:val="single" w:color="4F81BD" w:sz="4" w:space="0"/>
          <w:bottom w:val="nil"/>
          <w:right w:val="nil"/>
        </w:tcBorders>
        <w:shd w:val="clear" w:color="FFFFFF" w:fill="auto"/>
      </w:tcPr>
    </w:tblStylePr>
    <w:tblStylePr w:type="band1Vert">
      <w:tcPr>
        <w:shd w:val="clear" w:color="D2DFEE" w:fill="D2DFEE"/>
      </w:tcPr>
    </w:tblStylePr>
    <w:tblStylePr w:type="band1Horz">
      <w:rPr>
        <w:rFonts w:ascii="Arial" w:hAnsi="Arial"/>
        <w:color w:val="2A4A71"/>
        <w:sz w:val="22"/>
      </w:rPr>
      <w:tcPr>
        <w:shd w:val="clear" w:color="D2DFEE" w:fill="D2DFEE"/>
      </w:tcPr>
    </w:tblStylePr>
    <w:tblStylePr w:type="band2Horz">
      <w:rPr>
        <w:rFonts w:ascii="Arial" w:hAnsi="Arial"/>
        <w:color w:val="2A4A71"/>
        <w:sz w:val="22"/>
      </w:rPr>
    </w:tblStylePr>
  </w:style>
  <w:style w:type="table" w:customStyle="1" w:styleId="154">
    <w:name w:val="List Table 7 Colorful - Accent 2"/>
    <w:basedOn w:val="44"/>
    <w:qFormat/>
    <w:uiPriority w:val="99"/>
    <w:tblPr>
      <w:tblBorders>
        <w:right w:val="single" w:color="D99695" w:sz="4" w:space="0"/>
      </w:tblBorders>
    </w:tblPr>
    <w:tblStylePr w:type="firstRow">
      <w:rPr>
        <w:rFonts w:ascii="Arial" w:hAnsi="Arial"/>
        <w:i/>
        <w:color w:val="D99695"/>
        <w:sz w:val="22"/>
      </w:rPr>
      <w:tcPr>
        <w:tcBorders>
          <w:top w:val="nil"/>
          <w:left w:val="nil"/>
          <w:bottom w:val="single" w:color="D99695" w:sz="4" w:space="0"/>
          <w:right w:val="nil"/>
        </w:tcBorders>
        <w:shd w:val="clear" w:color="FFFFFF" w:fill="FFFFFF"/>
      </w:tcPr>
    </w:tblStylePr>
    <w:tblStylePr w:type="lastRow">
      <w:rPr>
        <w:rFonts w:ascii="Arial" w:hAnsi="Arial"/>
        <w:i/>
        <w:color w:val="D99695"/>
        <w:sz w:val="22"/>
      </w:rPr>
      <w:tcPr>
        <w:tcBorders>
          <w:top w:val="single" w:color="D99695" w:sz="4" w:space="0"/>
          <w:left w:val="nil"/>
          <w:bottom w:val="nil"/>
          <w:right w:val="nil"/>
        </w:tcBorders>
        <w:shd w:val="clear" w:color="FFFFFF" w:fill="FFFFFF"/>
      </w:tcPr>
    </w:tblStylePr>
    <w:tblStylePr w:type="firstCol">
      <w:pPr>
        <w:jc w:val="right"/>
      </w:pPr>
      <w:rPr>
        <w:rFonts w:ascii="Arial" w:hAnsi="Arial"/>
        <w:i/>
        <w:color w:val="D99695"/>
        <w:sz w:val="22"/>
      </w:rPr>
      <w:tcPr>
        <w:tcBorders>
          <w:top w:val="nil"/>
          <w:left w:val="nil"/>
          <w:bottom w:val="nil"/>
          <w:right w:val="single" w:color="D99695" w:sz="4" w:space="0"/>
        </w:tcBorders>
        <w:shd w:val="clear" w:color="FFFFFF" w:fill="auto"/>
      </w:tcPr>
    </w:tblStylePr>
    <w:tblStylePr w:type="lastCol">
      <w:rPr>
        <w:rFonts w:ascii="Arial" w:hAnsi="Arial"/>
        <w:i/>
        <w:color w:val="D99695"/>
        <w:sz w:val="22"/>
      </w:rPr>
      <w:tcPr>
        <w:tcBorders>
          <w:top w:val="nil"/>
          <w:left w:val="single" w:color="D99695" w:sz="4" w:space="0"/>
          <w:bottom w:val="nil"/>
          <w:right w:val="nil"/>
        </w:tcBorders>
        <w:shd w:val="clear" w:color="FFFFFF" w:fill="auto"/>
      </w:tcPr>
    </w:tblStylePr>
    <w:tblStylePr w:type="band1Vert">
      <w:tcPr>
        <w:shd w:val="clear" w:color="EFD2D2" w:fill="EFD2D2"/>
      </w:tcPr>
    </w:tblStylePr>
    <w:tblStylePr w:type="band1Horz">
      <w:rPr>
        <w:rFonts w:ascii="Arial" w:hAnsi="Arial"/>
        <w:color w:val="D99695"/>
        <w:sz w:val="22"/>
      </w:rPr>
      <w:tcPr>
        <w:shd w:val="clear" w:color="EFD2D2" w:fill="EFD2D2"/>
      </w:tcPr>
    </w:tblStylePr>
    <w:tblStylePr w:type="band2Horz">
      <w:rPr>
        <w:rFonts w:ascii="Arial" w:hAnsi="Arial"/>
        <w:color w:val="D99695"/>
        <w:sz w:val="22"/>
      </w:rPr>
    </w:tblStylePr>
  </w:style>
  <w:style w:type="table" w:customStyle="1" w:styleId="155">
    <w:name w:val="List Table 7 Colorful - Accent 3"/>
    <w:basedOn w:val="44"/>
    <w:qFormat/>
    <w:uiPriority w:val="99"/>
    <w:tblPr>
      <w:tblBorders>
        <w:right w:val="single" w:color="C3D69B" w:sz="4" w:space="0"/>
      </w:tblBorders>
    </w:tblPr>
    <w:tblStylePr w:type="firstRow">
      <w:rPr>
        <w:rFonts w:ascii="Arial" w:hAnsi="Arial"/>
        <w:i/>
        <w:color w:val="C3D69B"/>
        <w:sz w:val="22"/>
      </w:rPr>
      <w:tcPr>
        <w:tcBorders>
          <w:top w:val="nil"/>
          <w:left w:val="nil"/>
          <w:bottom w:val="single" w:color="C3D69B" w:sz="4" w:space="0"/>
          <w:right w:val="nil"/>
        </w:tcBorders>
        <w:shd w:val="clear" w:color="FFFFFF" w:fill="FFFFFF"/>
      </w:tcPr>
    </w:tblStylePr>
    <w:tblStylePr w:type="lastRow">
      <w:rPr>
        <w:rFonts w:ascii="Arial" w:hAnsi="Arial"/>
        <w:i/>
        <w:color w:val="C3D69B"/>
        <w:sz w:val="22"/>
      </w:rPr>
      <w:tcPr>
        <w:tcBorders>
          <w:top w:val="single" w:color="C3D69B" w:sz="4" w:space="0"/>
          <w:left w:val="nil"/>
          <w:bottom w:val="nil"/>
          <w:right w:val="nil"/>
        </w:tcBorders>
        <w:shd w:val="clear" w:color="FFFFFF" w:fill="FFFFFF"/>
      </w:tcPr>
    </w:tblStylePr>
    <w:tblStylePr w:type="firstCol">
      <w:pPr>
        <w:jc w:val="right"/>
      </w:pPr>
      <w:rPr>
        <w:rFonts w:ascii="Arial" w:hAnsi="Arial"/>
        <w:i/>
        <w:color w:val="C3D69B"/>
        <w:sz w:val="22"/>
      </w:rPr>
      <w:tcPr>
        <w:tcBorders>
          <w:top w:val="nil"/>
          <w:left w:val="nil"/>
          <w:bottom w:val="nil"/>
          <w:right w:val="single" w:color="C3D69B" w:sz="4" w:space="0"/>
        </w:tcBorders>
        <w:shd w:val="clear" w:color="FFFFFF" w:fill="auto"/>
      </w:tcPr>
    </w:tblStylePr>
    <w:tblStylePr w:type="lastCol">
      <w:rPr>
        <w:rFonts w:ascii="Arial" w:hAnsi="Arial"/>
        <w:i/>
        <w:color w:val="C3D69B"/>
        <w:sz w:val="22"/>
      </w:rPr>
      <w:tcPr>
        <w:tcBorders>
          <w:top w:val="nil"/>
          <w:left w:val="single" w:color="C3D69B" w:sz="4" w:space="0"/>
          <w:bottom w:val="nil"/>
          <w:right w:val="nil"/>
        </w:tcBorders>
        <w:shd w:val="clear" w:color="FFFFFF" w:fill="auto"/>
      </w:tcPr>
    </w:tblStylePr>
    <w:tblStylePr w:type="band1Vert">
      <w:tcPr>
        <w:shd w:val="clear" w:color="E5EED5" w:fill="E5EED5"/>
      </w:tcPr>
    </w:tblStylePr>
    <w:tblStylePr w:type="band1Horz">
      <w:rPr>
        <w:rFonts w:ascii="Arial" w:hAnsi="Arial"/>
        <w:color w:val="C3D69B"/>
        <w:sz w:val="22"/>
      </w:rPr>
      <w:tcPr>
        <w:shd w:val="clear" w:color="E5EED5" w:fill="E5EED5"/>
      </w:tcPr>
    </w:tblStylePr>
    <w:tblStylePr w:type="band2Horz">
      <w:rPr>
        <w:rFonts w:ascii="Arial" w:hAnsi="Arial"/>
        <w:color w:val="C3D69B"/>
        <w:sz w:val="22"/>
      </w:rPr>
    </w:tblStylePr>
  </w:style>
  <w:style w:type="table" w:customStyle="1" w:styleId="156">
    <w:name w:val="List Table 7 Colorful - Accent 4"/>
    <w:basedOn w:val="44"/>
    <w:qFormat/>
    <w:uiPriority w:val="99"/>
    <w:tblPr>
      <w:tblBorders>
        <w:right w:val="single" w:color="B2A1C6" w:sz="4" w:space="0"/>
      </w:tblBorders>
    </w:tblPr>
    <w:tblStylePr w:type="firstRow">
      <w:rPr>
        <w:rFonts w:ascii="Arial" w:hAnsi="Arial"/>
        <w:i/>
        <w:color w:val="B2A1C6"/>
        <w:sz w:val="22"/>
      </w:rPr>
      <w:tcPr>
        <w:tcBorders>
          <w:top w:val="nil"/>
          <w:left w:val="nil"/>
          <w:bottom w:val="single" w:color="B2A1C6" w:sz="4" w:space="0"/>
          <w:right w:val="nil"/>
        </w:tcBorders>
        <w:shd w:val="clear" w:color="FFFFFF" w:fill="FFFFFF"/>
      </w:tcPr>
    </w:tblStylePr>
    <w:tblStylePr w:type="lastRow">
      <w:rPr>
        <w:rFonts w:ascii="Arial" w:hAnsi="Arial"/>
        <w:i/>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DFD8E7" w:fill="DFD8E7"/>
      </w:tcPr>
    </w:tblStylePr>
    <w:tblStylePr w:type="band1Horz">
      <w:rPr>
        <w:rFonts w:ascii="Arial" w:hAnsi="Arial"/>
        <w:color w:val="B2A1C6"/>
        <w:sz w:val="22"/>
      </w:rPr>
      <w:tcPr>
        <w:shd w:val="clear" w:color="DFD8E7" w:fill="DFD8E7"/>
      </w:tcPr>
    </w:tblStylePr>
    <w:tblStylePr w:type="band2Horz">
      <w:rPr>
        <w:rFonts w:ascii="Arial" w:hAnsi="Arial"/>
        <w:color w:val="B2A1C6"/>
        <w:sz w:val="22"/>
      </w:rPr>
    </w:tblStylePr>
  </w:style>
  <w:style w:type="table" w:customStyle="1" w:styleId="157">
    <w:name w:val="List Table 7 Colorful - Accent 5"/>
    <w:basedOn w:val="44"/>
    <w:qFormat/>
    <w:uiPriority w:val="99"/>
    <w:tblPr>
      <w:tblBorders>
        <w:right w:val="single" w:color="92CCDC" w:sz="4" w:space="0"/>
      </w:tblBorders>
    </w:tblPr>
    <w:tblStylePr w:type="firstRow">
      <w:rPr>
        <w:rFonts w:ascii="Arial" w:hAnsi="Arial"/>
        <w:i/>
        <w:color w:val="92CCDC"/>
        <w:sz w:val="22"/>
      </w:rPr>
      <w:tcPr>
        <w:tcBorders>
          <w:top w:val="nil"/>
          <w:left w:val="nil"/>
          <w:bottom w:val="single" w:color="92CCDC" w:sz="4" w:space="0"/>
          <w:right w:val="nil"/>
        </w:tcBorders>
        <w:shd w:val="clear" w:color="FFFFFF" w:fill="FFFFFF"/>
      </w:tcPr>
    </w:tblStylePr>
    <w:tblStylePr w:type="lastRow">
      <w:rPr>
        <w:rFonts w:ascii="Arial" w:hAnsi="Arial"/>
        <w:i/>
        <w:color w:val="92CCDC"/>
        <w:sz w:val="22"/>
      </w:rPr>
      <w:tcPr>
        <w:tcBorders>
          <w:top w:val="single" w:color="92CCDC" w:sz="4" w:space="0"/>
          <w:left w:val="nil"/>
          <w:bottom w:val="nil"/>
          <w:right w:val="nil"/>
        </w:tcBorders>
        <w:shd w:val="clear" w:color="FFFFFF" w:fill="FFFFFF"/>
      </w:tcPr>
    </w:tblStylePr>
    <w:tblStylePr w:type="firstCol">
      <w:pPr>
        <w:jc w:val="right"/>
      </w:pPr>
      <w:rPr>
        <w:rFonts w:ascii="Arial" w:hAnsi="Arial"/>
        <w:i/>
        <w:color w:val="92CCDC"/>
        <w:sz w:val="22"/>
      </w:rPr>
      <w:tcPr>
        <w:tcBorders>
          <w:top w:val="nil"/>
          <w:left w:val="nil"/>
          <w:bottom w:val="nil"/>
          <w:right w:val="single" w:color="92CCDC" w:sz="4" w:space="0"/>
        </w:tcBorders>
        <w:shd w:val="clear" w:color="FFFFFF" w:fill="auto"/>
      </w:tcPr>
    </w:tblStylePr>
    <w:tblStylePr w:type="lastCol">
      <w:rPr>
        <w:rFonts w:ascii="Arial" w:hAnsi="Arial"/>
        <w:i/>
        <w:color w:val="92CCDC"/>
        <w:sz w:val="22"/>
      </w:rPr>
      <w:tcPr>
        <w:tcBorders>
          <w:top w:val="nil"/>
          <w:left w:val="single" w:color="92CCDC" w:sz="4" w:space="0"/>
          <w:bottom w:val="nil"/>
          <w:right w:val="nil"/>
        </w:tcBorders>
        <w:shd w:val="clear" w:color="FFFFFF" w:fill="auto"/>
      </w:tcPr>
    </w:tblStylePr>
    <w:tblStylePr w:type="band1Vert">
      <w:tcPr>
        <w:shd w:val="clear" w:color="D1EAF0" w:fill="D1EAF0"/>
      </w:tcPr>
    </w:tblStylePr>
    <w:tblStylePr w:type="band1Horz">
      <w:rPr>
        <w:rFonts w:ascii="Arial" w:hAnsi="Arial"/>
        <w:color w:val="92CCDC"/>
        <w:sz w:val="22"/>
      </w:rPr>
      <w:tcPr>
        <w:shd w:val="clear" w:color="D1EAF0" w:fill="D1EAF0"/>
      </w:tcPr>
    </w:tblStylePr>
    <w:tblStylePr w:type="band2Horz">
      <w:rPr>
        <w:rFonts w:ascii="Arial" w:hAnsi="Arial"/>
        <w:color w:val="92CCDC"/>
        <w:sz w:val="22"/>
      </w:rPr>
    </w:tblStylePr>
  </w:style>
  <w:style w:type="table" w:customStyle="1" w:styleId="158">
    <w:name w:val="List Table 7 Colorful - Accent 6"/>
    <w:basedOn w:val="44"/>
    <w:qFormat/>
    <w:uiPriority w:val="99"/>
    <w:tblPr>
      <w:tblBorders>
        <w:right w:val="single" w:color="FAC090" w:sz="4" w:space="0"/>
      </w:tblBorders>
    </w:tblPr>
    <w:tblStylePr w:type="firstRow">
      <w:rPr>
        <w:rFonts w:ascii="Arial" w:hAnsi="Arial"/>
        <w:i/>
        <w:color w:val="FAC090"/>
        <w:sz w:val="22"/>
      </w:rPr>
      <w:tcPr>
        <w:tcBorders>
          <w:top w:val="nil"/>
          <w:left w:val="nil"/>
          <w:bottom w:val="single" w:color="FAC090" w:sz="4" w:space="0"/>
          <w:right w:val="nil"/>
        </w:tcBorders>
        <w:shd w:val="clear" w:color="FFFFFF" w:fill="FFFFFF"/>
      </w:tcPr>
    </w:tblStylePr>
    <w:tblStylePr w:type="lastRow">
      <w:rPr>
        <w:rFonts w:ascii="Arial" w:hAnsi="Arial"/>
        <w:i/>
        <w:color w:val="FAC090"/>
        <w:sz w:val="22"/>
      </w:rPr>
      <w:tcPr>
        <w:tcBorders>
          <w:top w:val="single" w:color="FAC090" w:sz="4" w:space="0"/>
          <w:left w:val="nil"/>
          <w:bottom w:val="nil"/>
          <w:right w:val="nil"/>
        </w:tcBorders>
        <w:shd w:val="clear" w:color="FFFFFF" w:fill="FFFFFF"/>
      </w:tcPr>
    </w:tblStylePr>
    <w:tblStylePr w:type="firstCol">
      <w:pPr>
        <w:jc w:val="right"/>
      </w:pPr>
      <w:rPr>
        <w:rFonts w:ascii="Arial" w:hAnsi="Arial"/>
        <w:i/>
        <w:color w:val="FAC090"/>
        <w:sz w:val="22"/>
      </w:rPr>
      <w:tcPr>
        <w:tcBorders>
          <w:top w:val="nil"/>
          <w:left w:val="nil"/>
          <w:bottom w:val="nil"/>
          <w:right w:val="single" w:color="FAC090" w:sz="4" w:space="0"/>
        </w:tcBorders>
        <w:shd w:val="clear" w:color="FFFFFF" w:fill="auto"/>
      </w:tcPr>
    </w:tblStylePr>
    <w:tblStylePr w:type="lastCol">
      <w:rPr>
        <w:rFonts w:ascii="Arial" w:hAnsi="Arial"/>
        <w:i/>
        <w:color w:val="FAC090"/>
        <w:sz w:val="22"/>
      </w:rPr>
      <w:tcPr>
        <w:tcBorders>
          <w:top w:val="nil"/>
          <w:left w:val="single" w:color="FAC090" w:sz="4" w:space="0"/>
          <w:bottom w:val="nil"/>
          <w:right w:val="nil"/>
        </w:tcBorders>
        <w:shd w:val="clear" w:color="FFFFFF" w:fill="auto"/>
      </w:tcPr>
    </w:tblStylePr>
    <w:tblStylePr w:type="band1Vert">
      <w:tcPr>
        <w:shd w:val="clear" w:color="FDE4D0" w:fill="FDE4D0"/>
      </w:tcPr>
    </w:tblStylePr>
    <w:tblStylePr w:type="band1Horz">
      <w:rPr>
        <w:rFonts w:ascii="Arial" w:hAnsi="Arial"/>
        <w:color w:val="FAC090"/>
        <w:sz w:val="22"/>
      </w:rPr>
      <w:tcPr>
        <w:shd w:val="clear" w:color="FDE4D0" w:fill="FDE4D0"/>
      </w:tcPr>
    </w:tblStylePr>
    <w:tblStylePr w:type="band2Horz">
      <w:rPr>
        <w:rFonts w:ascii="Arial" w:hAnsi="Arial"/>
        <w:color w:val="FAC090"/>
        <w:sz w:val="22"/>
      </w:rPr>
    </w:tblStylePr>
  </w:style>
  <w:style w:type="table" w:customStyle="1" w:styleId="159">
    <w:name w:val="Lined - Accent"/>
    <w:basedOn w:val="44"/>
    <w:qFormat/>
    <w:uiPriority w:val="99"/>
    <w:rPr>
      <w:color w:val="404040"/>
    </w:rPr>
    <w:tblStylePr w:type="firstRow">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tblStylePr w:type="firstCol">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band1Vert">
      <w:rPr>
        <w:rFonts w:ascii="Arial" w:hAnsi="Arial"/>
        <w:color w:val="404040"/>
        <w:sz w:val="22"/>
      </w:rPr>
    </w:tblStylePr>
    <w:tblStylePr w:type="band2Vert">
      <w:rPr>
        <w:rFonts w:ascii="Arial" w:hAnsi="Arial"/>
        <w:color w:val="404040"/>
        <w:sz w:val="22"/>
      </w:rPr>
      <w:tcPr>
        <w:shd w:val="clear" w:color="F2F2F2" w:fill="F2F2F2"/>
      </w:tcPr>
    </w:tblStylePr>
    <w:tblStylePr w:type="band1Horz">
      <w:rPr>
        <w:rFonts w:ascii="Arial" w:hAnsi="Arial"/>
        <w:color w:val="404040"/>
        <w:sz w:val="22"/>
      </w:rPr>
    </w:tblStylePr>
    <w:tblStylePr w:type="band2Horz">
      <w:rPr>
        <w:rFonts w:ascii="Arial" w:hAnsi="Arial"/>
        <w:color w:val="404040"/>
        <w:sz w:val="22"/>
      </w:rPr>
      <w:tcPr>
        <w:shd w:val="clear" w:color="F2F2F2" w:fill="F2F2F2"/>
      </w:tcPr>
    </w:tblStylePr>
  </w:style>
  <w:style w:type="table" w:customStyle="1" w:styleId="160">
    <w:name w:val="Lined - Accent 1"/>
    <w:basedOn w:val="44"/>
    <w:qFormat/>
    <w:uiPriority w:val="99"/>
    <w:rPr>
      <w:color w:val="404040"/>
    </w:rPr>
    <w:tblStylePr w:type="firstRow">
      <w:rPr>
        <w:rFonts w:ascii="Arial" w:hAnsi="Arial"/>
        <w:color w:val="F2F2F2"/>
        <w:sz w:val="22"/>
      </w:rPr>
      <w:tcPr>
        <w:shd w:val="clear" w:color="5D8AC2" w:fill="5D8AC2"/>
      </w:tcPr>
    </w:tblStylePr>
    <w:tblStylePr w:type="lastRow">
      <w:rPr>
        <w:rFonts w:ascii="Arial" w:hAnsi="Arial"/>
        <w:color w:val="F2F2F2"/>
        <w:sz w:val="22"/>
      </w:rPr>
      <w:tcPr>
        <w:shd w:val="clear" w:color="5D8AC2" w:fill="5D8AC2"/>
      </w:tcPr>
    </w:tblStylePr>
    <w:tblStylePr w:type="firstCol">
      <w:rPr>
        <w:rFonts w:ascii="Arial" w:hAnsi="Arial"/>
        <w:color w:val="F2F2F2"/>
        <w:sz w:val="22"/>
      </w:rPr>
      <w:tcPr>
        <w:shd w:val="clear" w:color="5D8AC2" w:fill="5D8AC2"/>
      </w:tcPr>
    </w:tblStylePr>
    <w:tblStylePr w:type="lastCol">
      <w:rPr>
        <w:rFonts w:ascii="Arial" w:hAnsi="Arial"/>
        <w:color w:val="F2F2F2"/>
        <w:sz w:val="22"/>
      </w:rPr>
      <w:tcPr>
        <w:shd w:val="clear" w:color="5D8AC2" w:fill="5D8A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style>
  <w:style w:type="table" w:customStyle="1" w:styleId="161">
    <w:name w:val="Lined - Accent 2"/>
    <w:basedOn w:val="44"/>
    <w:qFormat/>
    <w:uiPriority w:val="99"/>
    <w:rPr>
      <w:color w:val="404040"/>
    </w:rPr>
    <w:tblStylePr w:type="firstRow">
      <w:rPr>
        <w:rFonts w:ascii="Arial" w:hAnsi="Arial"/>
        <w:color w:val="F2F2F2"/>
        <w:sz w:val="22"/>
      </w:rPr>
      <w:tcPr>
        <w:shd w:val="clear" w:color="D99695" w:fill="D99695"/>
      </w:tcPr>
    </w:tblStylePr>
    <w:tblStylePr w:type="lastRow">
      <w:rPr>
        <w:rFonts w:ascii="Arial" w:hAnsi="Arial"/>
        <w:color w:val="F2F2F2"/>
        <w:sz w:val="22"/>
      </w:rPr>
      <w:tcPr>
        <w:shd w:val="clear" w:color="D99695" w:fill="D99695"/>
      </w:tcPr>
    </w:tblStylePr>
    <w:tblStylePr w:type="firstCol">
      <w:rPr>
        <w:rFonts w:ascii="Arial" w:hAnsi="Arial"/>
        <w:color w:val="F2F2F2"/>
        <w:sz w:val="22"/>
      </w:rPr>
      <w:tcPr>
        <w:shd w:val="clear" w:color="D99695" w:fill="D99695"/>
      </w:tcPr>
    </w:tblStylePr>
    <w:tblStylePr w:type="lastCol">
      <w:rPr>
        <w:rFonts w:ascii="Arial" w:hAnsi="Arial"/>
        <w:color w:val="F2F2F2"/>
        <w:sz w:val="22"/>
      </w:rPr>
      <w:tcPr>
        <w:shd w:val="clear" w:color="D99695" w:fill="D996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style>
  <w:style w:type="table" w:customStyle="1" w:styleId="162">
    <w:name w:val="Lined - Accent 3"/>
    <w:basedOn w:val="44"/>
    <w:qFormat/>
    <w:uiPriority w:val="99"/>
    <w:rPr>
      <w:color w:val="404040"/>
    </w:rPr>
    <w:tblStylePr w:type="firstRow">
      <w:rPr>
        <w:rFonts w:ascii="Arial" w:hAnsi="Arial"/>
        <w:color w:val="F2F2F2"/>
        <w:sz w:val="22"/>
      </w:rPr>
      <w:tcPr>
        <w:shd w:val="clear" w:color="9ABB59" w:fill="9ABB59"/>
      </w:tcPr>
    </w:tblStylePr>
    <w:tblStylePr w:type="lastRow">
      <w:rPr>
        <w:rFonts w:ascii="Arial" w:hAnsi="Arial"/>
        <w:color w:val="F2F2F2"/>
        <w:sz w:val="22"/>
      </w:rPr>
      <w:tcPr>
        <w:shd w:val="clear" w:color="9ABB59" w:fill="9ABB59"/>
      </w:tcPr>
    </w:tblStylePr>
    <w:tblStylePr w:type="firstCol">
      <w:rPr>
        <w:rFonts w:ascii="Arial" w:hAnsi="Arial"/>
        <w:color w:val="F2F2F2"/>
        <w:sz w:val="22"/>
      </w:rPr>
      <w:tcPr>
        <w:shd w:val="clear" w:color="9ABB59" w:fill="9ABB59"/>
      </w:tcPr>
    </w:tblStylePr>
    <w:tblStylePr w:type="lastCol">
      <w:rPr>
        <w:rFonts w:ascii="Arial" w:hAnsi="Arial"/>
        <w:color w:val="F2F2F2"/>
        <w:sz w:val="22"/>
      </w:rPr>
      <w:tcPr>
        <w:shd w:val="clear" w:color="9ABB59" w:fill="9ABB59"/>
      </w:tcPr>
    </w:tblStylePr>
    <w:tblStylePr w:type="band1Vert">
      <w:rPr>
        <w:rFonts w:ascii="Arial" w:hAnsi="Arial"/>
        <w:color w:val="404040"/>
        <w:sz w:val="22"/>
      </w:rPr>
    </w:tblStylePr>
    <w:tblStylePr w:type="band2Vert">
      <w:rPr>
        <w:rFonts w:ascii="Arial" w:hAnsi="Arial"/>
        <w:color w:val="404040"/>
        <w:sz w:val="22"/>
      </w:rPr>
      <w:tcPr>
        <w:shd w:val="clear" w:color="EAF1DC" w:fill="EAF1DC"/>
      </w:tcPr>
    </w:tblStylePr>
    <w:tblStylePr w:type="band1Horz">
      <w:rPr>
        <w:rFonts w:ascii="Arial" w:hAnsi="Arial"/>
        <w:color w:val="404040"/>
        <w:sz w:val="22"/>
      </w:rPr>
    </w:tblStylePr>
    <w:tblStylePr w:type="band2Horz">
      <w:rPr>
        <w:rFonts w:ascii="Arial" w:hAnsi="Arial"/>
        <w:color w:val="404040"/>
        <w:sz w:val="22"/>
      </w:rPr>
      <w:tcPr>
        <w:shd w:val="clear" w:color="EAF1DC" w:fill="EAF1DC"/>
      </w:tcPr>
    </w:tblStylePr>
  </w:style>
  <w:style w:type="table" w:customStyle="1" w:styleId="163">
    <w:name w:val="Lined - Accent 4"/>
    <w:basedOn w:val="44"/>
    <w:qFormat/>
    <w:uiPriority w:val="99"/>
    <w:rPr>
      <w:color w:val="404040"/>
    </w:r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style>
  <w:style w:type="table" w:customStyle="1" w:styleId="164">
    <w:name w:val="Lined - Accent 5"/>
    <w:basedOn w:val="44"/>
    <w:qFormat/>
    <w:uiPriority w:val="99"/>
    <w:rPr>
      <w:color w:val="404040"/>
    </w:r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style>
  <w:style w:type="table" w:customStyle="1" w:styleId="165">
    <w:name w:val="Lined - Accent 6"/>
    <w:basedOn w:val="44"/>
    <w:qFormat/>
    <w:uiPriority w:val="99"/>
    <w:rPr>
      <w:color w:val="404040"/>
    </w:r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8" w:fill="FDE9D8"/>
      </w:tcPr>
    </w:tblStylePr>
    <w:tblStylePr w:type="band1Horz">
      <w:rPr>
        <w:rFonts w:ascii="Arial" w:hAnsi="Arial"/>
        <w:color w:val="404040"/>
        <w:sz w:val="22"/>
      </w:rPr>
    </w:tblStylePr>
    <w:tblStylePr w:type="band2Horz">
      <w:rPr>
        <w:rFonts w:ascii="Arial" w:hAnsi="Arial"/>
        <w:color w:val="404040"/>
        <w:sz w:val="22"/>
      </w:rPr>
      <w:tcPr>
        <w:shd w:val="clear" w:color="FDE9D8" w:fill="FDE9D8"/>
      </w:tcPr>
    </w:tblStylePr>
  </w:style>
  <w:style w:type="table" w:customStyle="1" w:styleId="166">
    <w:name w:val="Bordered &amp; Lined - Accent"/>
    <w:basedOn w:val="44"/>
    <w:qFormat/>
    <w:uiPriority w:val="99"/>
    <w:rPr>
      <w:color w:val="404040"/>
    </w:rPr>
    <w:tblPr>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firstRow">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tblStylePr w:type="firstCol">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band1Vert">
      <w:rPr>
        <w:rFonts w:ascii="Arial" w:hAnsi="Arial"/>
        <w:color w:val="404040"/>
        <w:sz w:val="22"/>
      </w:rPr>
    </w:tblStylePr>
    <w:tblStylePr w:type="band2Vert">
      <w:rPr>
        <w:rFonts w:ascii="Arial" w:hAnsi="Arial"/>
        <w:color w:val="404040"/>
        <w:sz w:val="22"/>
      </w:rPr>
      <w:tcPr>
        <w:shd w:val="clear" w:color="F2F2F2" w:fill="F2F2F2"/>
      </w:tcPr>
    </w:tblStylePr>
    <w:tblStylePr w:type="band1Horz">
      <w:rPr>
        <w:rFonts w:ascii="Arial" w:hAnsi="Arial"/>
        <w:color w:val="404040"/>
        <w:sz w:val="22"/>
      </w:rPr>
    </w:tblStylePr>
    <w:tblStylePr w:type="band2Horz">
      <w:rPr>
        <w:rFonts w:ascii="Arial" w:hAnsi="Arial"/>
        <w:color w:val="404040"/>
        <w:sz w:val="22"/>
      </w:rPr>
      <w:tcPr>
        <w:shd w:val="clear" w:color="F2F2F2" w:fill="F2F2F2"/>
      </w:tcPr>
    </w:tblStylePr>
  </w:style>
  <w:style w:type="table" w:customStyle="1" w:styleId="167">
    <w:name w:val="Bordered &amp; Lined - Accent 1"/>
    <w:basedOn w:val="44"/>
    <w:qFormat/>
    <w:uiPriority w:val="99"/>
    <w:rPr>
      <w:color w:val="404040"/>
    </w:rPr>
    <w:tblPr>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Pr>
    <w:tblStylePr w:type="firstRow">
      <w:rPr>
        <w:rFonts w:ascii="Arial" w:hAnsi="Arial"/>
        <w:color w:val="F2F2F2"/>
        <w:sz w:val="22"/>
      </w:rPr>
      <w:tcPr>
        <w:shd w:val="clear" w:color="5D8AC2" w:fill="5D8AC2"/>
      </w:tcPr>
    </w:tblStylePr>
    <w:tblStylePr w:type="lastRow">
      <w:rPr>
        <w:rFonts w:ascii="Arial" w:hAnsi="Arial"/>
        <w:color w:val="F2F2F2"/>
        <w:sz w:val="22"/>
      </w:rPr>
      <w:tcPr>
        <w:shd w:val="clear" w:color="5D8AC2" w:fill="5D8AC2"/>
      </w:tcPr>
    </w:tblStylePr>
    <w:tblStylePr w:type="firstCol">
      <w:rPr>
        <w:rFonts w:ascii="Arial" w:hAnsi="Arial"/>
        <w:color w:val="F2F2F2"/>
        <w:sz w:val="22"/>
      </w:rPr>
      <w:tcPr>
        <w:shd w:val="clear" w:color="5D8AC2" w:fill="5D8AC2"/>
      </w:tcPr>
    </w:tblStylePr>
    <w:tblStylePr w:type="lastCol">
      <w:rPr>
        <w:rFonts w:ascii="Arial" w:hAnsi="Arial"/>
        <w:color w:val="F2F2F2"/>
        <w:sz w:val="22"/>
      </w:rPr>
      <w:tcPr>
        <w:shd w:val="clear" w:color="5D8AC2" w:fill="5D8A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style>
  <w:style w:type="table" w:customStyle="1" w:styleId="168">
    <w:name w:val="Bordered &amp; Lined - Accent 2"/>
    <w:basedOn w:val="44"/>
    <w:qFormat/>
    <w:uiPriority w:val="99"/>
    <w:rPr>
      <w:color w:val="404040"/>
    </w:rPr>
    <w:tblPr>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Pr>
    <w:tblStylePr w:type="firstRow">
      <w:rPr>
        <w:rFonts w:ascii="Arial" w:hAnsi="Arial"/>
        <w:color w:val="F2F2F2"/>
        <w:sz w:val="22"/>
      </w:rPr>
      <w:tcPr>
        <w:shd w:val="clear" w:color="D99695" w:fill="D99695"/>
      </w:tcPr>
    </w:tblStylePr>
    <w:tblStylePr w:type="lastRow">
      <w:rPr>
        <w:rFonts w:ascii="Arial" w:hAnsi="Arial"/>
        <w:color w:val="F2F2F2"/>
        <w:sz w:val="22"/>
      </w:rPr>
      <w:tcPr>
        <w:shd w:val="clear" w:color="D99695" w:fill="D99695"/>
      </w:tcPr>
    </w:tblStylePr>
    <w:tblStylePr w:type="firstCol">
      <w:rPr>
        <w:rFonts w:ascii="Arial" w:hAnsi="Arial"/>
        <w:color w:val="F2F2F2"/>
        <w:sz w:val="22"/>
      </w:rPr>
      <w:tcPr>
        <w:shd w:val="clear" w:color="D99695" w:fill="D99695"/>
      </w:tcPr>
    </w:tblStylePr>
    <w:tblStylePr w:type="lastCol">
      <w:rPr>
        <w:rFonts w:ascii="Arial" w:hAnsi="Arial"/>
        <w:color w:val="F2F2F2"/>
        <w:sz w:val="22"/>
      </w:rPr>
      <w:tcPr>
        <w:shd w:val="clear" w:color="D99695" w:fill="D996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style>
  <w:style w:type="table" w:customStyle="1" w:styleId="169">
    <w:name w:val="Bordered &amp; Lined - Accent 3"/>
    <w:basedOn w:val="44"/>
    <w:qFormat/>
    <w:uiPriority w:val="99"/>
    <w:rPr>
      <w:color w:val="404040"/>
    </w:rPr>
    <w:tblPr>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Pr>
    <w:tblStylePr w:type="firstRow">
      <w:rPr>
        <w:rFonts w:ascii="Arial" w:hAnsi="Arial"/>
        <w:color w:val="F2F2F2"/>
        <w:sz w:val="22"/>
      </w:rPr>
      <w:tcPr>
        <w:shd w:val="clear" w:color="9ABB59" w:fill="9ABB59"/>
      </w:tcPr>
    </w:tblStylePr>
    <w:tblStylePr w:type="lastRow">
      <w:rPr>
        <w:rFonts w:ascii="Arial" w:hAnsi="Arial"/>
        <w:color w:val="F2F2F2"/>
        <w:sz w:val="22"/>
      </w:rPr>
      <w:tcPr>
        <w:shd w:val="clear" w:color="9ABB59" w:fill="9ABB59"/>
      </w:tcPr>
    </w:tblStylePr>
    <w:tblStylePr w:type="firstCol">
      <w:rPr>
        <w:rFonts w:ascii="Arial" w:hAnsi="Arial"/>
        <w:color w:val="F2F2F2"/>
        <w:sz w:val="22"/>
      </w:rPr>
      <w:tcPr>
        <w:shd w:val="clear" w:color="9ABB59" w:fill="9ABB59"/>
      </w:tcPr>
    </w:tblStylePr>
    <w:tblStylePr w:type="lastCol">
      <w:rPr>
        <w:rFonts w:ascii="Arial" w:hAnsi="Arial"/>
        <w:color w:val="F2F2F2"/>
        <w:sz w:val="22"/>
      </w:rPr>
      <w:tcPr>
        <w:shd w:val="clear" w:color="9ABB59" w:fill="9ABB59"/>
      </w:tcPr>
    </w:tblStylePr>
    <w:tblStylePr w:type="band1Vert">
      <w:rPr>
        <w:rFonts w:ascii="Arial" w:hAnsi="Arial"/>
        <w:color w:val="404040"/>
        <w:sz w:val="22"/>
      </w:rPr>
    </w:tblStylePr>
    <w:tblStylePr w:type="band2Vert">
      <w:rPr>
        <w:rFonts w:ascii="Arial" w:hAnsi="Arial"/>
        <w:color w:val="404040"/>
        <w:sz w:val="22"/>
      </w:rPr>
      <w:tcPr>
        <w:shd w:val="clear" w:color="EAF1DC" w:fill="EAF1DC"/>
      </w:tcPr>
    </w:tblStylePr>
    <w:tblStylePr w:type="band1Horz">
      <w:rPr>
        <w:rFonts w:ascii="Arial" w:hAnsi="Arial"/>
        <w:color w:val="404040"/>
        <w:sz w:val="22"/>
      </w:rPr>
    </w:tblStylePr>
    <w:tblStylePr w:type="band2Horz">
      <w:rPr>
        <w:rFonts w:ascii="Arial" w:hAnsi="Arial"/>
        <w:color w:val="404040"/>
        <w:sz w:val="22"/>
      </w:rPr>
      <w:tcPr>
        <w:shd w:val="clear" w:color="EAF1DC" w:fill="EAF1DC"/>
      </w:tcPr>
    </w:tblStylePr>
  </w:style>
  <w:style w:type="table" w:customStyle="1" w:styleId="170">
    <w:name w:val="Bordered &amp; Lined - Accent 4"/>
    <w:basedOn w:val="44"/>
    <w:qFormat/>
    <w:uiPriority w:val="99"/>
    <w:rPr>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style>
  <w:style w:type="table" w:customStyle="1" w:styleId="171">
    <w:name w:val="Bordered &amp; Lined - Accent 5"/>
    <w:basedOn w:val="44"/>
    <w:qFormat/>
    <w:uiPriority w:val="99"/>
    <w:rPr>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style>
  <w:style w:type="table" w:customStyle="1" w:styleId="172">
    <w:name w:val="Bordered &amp; Lined - Accent 6"/>
    <w:basedOn w:val="44"/>
    <w:qFormat/>
    <w:uiPriority w:val="99"/>
    <w:rPr>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8" w:fill="FDE9D8"/>
      </w:tcPr>
    </w:tblStylePr>
    <w:tblStylePr w:type="band1Horz">
      <w:rPr>
        <w:rFonts w:ascii="Arial" w:hAnsi="Arial"/>
        <w:color w:val="404040"/>
        <w:sz w:val="22"/>
      </w:rPr>
    </w:tblStylePr>
    <w:tblStylePr w:type="band2Horz">
      <w:rPr>
        <w:rFonts w:ascii="Arial" w:hAnsi="Arial"/>
        <w:color w:val="404040"/>
        <w:sz w:val="22"/>
      </w:rPr>
      <w:tcPr>
        <w:shd w:val="clear" w:color="FDE9D8" w:fill="FDE9D8"/>
      </w:tcPr>
    </w:tblStylePr>
  </w:style>
  <w:style w:type="table" w:customStyle="1" w:styleId="173">
    <w:name w:val="Bordered"/>
    <w:basedOn w:val="44"/>
    <w:qFormat/>
    <w:uiPriority w:val="99"/>
    <w:tblPr>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firstRow">
      <w:rPr>
        <w:rFonts w:ascii="Arial" w:hAnsi="Arial"/>
        <w:color w:val="404040"/>
        <w:sz w:val="22"/>
      </w:rPr>
      <w:tcPr>
        <w:tcBorders>
          <w:bottom w:val="single" w:color="7F7F7F" w:sz="12" w:space="0"/>
        </w:tcBorders>
      </w:tcPr>
    </w:tblStylePr>
    <w:tblStylePr w:type="lastRow">
      <w:rPr>
        <w:rFonts w:ascii="Arial" w:hAnsi="Arial"/>
        <w:color w:val="404040"/>
        <w:sz w:val="22"/>
      </w:rPr>
      <w:tcPr>
        <w:tcBorders>
          <w:top w:val="single" w:color="7F7F7F"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F7F7F" w:sz="12" w:space="0"/>
        </w:tcBorders>
      </w:tcPr>
    </w:tblStyle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style>
  <w:style w:type="table" w:customStyle="1" w:styleId="174">
    <w:name w:val="Bordered - Accent 1"/>
    <w:basedOn w:val="44"/>
    <w:qFormat/>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Pr>
    <w:tblStylePr w:type="firstRow">
      <w:rPr>
        <w:rFonts w:ascii="Arial" w:hAnsi="Arial"/>
        <w:color w:val="404040"/>
        <w:sz w:val="22"/>
      </w:rPr>
      <w:tcPr>
        <w:tcBorders>
          <w:bottom w:val="single" w:color="4F81BD" w:sz="12" w:space="0"/>
        </w:tcBorders>
      </w:tcPr>
    </w:tblStylePr>
    <w:tblStylePr w:type="lastRow">
      <w:rPr>
        <w:rFonts w:ascii="Arial" w:hAnsi="Arial"/>
        <w:color w:val="404040"/>
        <w:sz w:val="22"/>
      </w:rPr>
      <w:tcPr>
        <w:tcBorders>
          <w:top w:val="single" w:color="4F81BD"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sz="12" w:space="0"/>
        </w:tcBorders>
      </w:tcPr>
    </w:tblStylePr>
    <w:tblStylePr w:type="band1Horz">
      <w:rPr>
        <w:rFonts w:ascii="Arial" w:hAnsi="Arial"/>
        <w:color w:val="404040"/>
        <w:sz w:val="22"/>
      </w:rPr>
      <w:tcPr>
        <w:tcBorders>
          <w:top w:val="single" w:color="B7CBE4" w:sz="4" w:space="0"/>
          <w:left w:val="single" w:color="B7CBE4" w:sz="4" w:space="0"/>
          <w:bottom w:val="single" w:color="B7CBE4" w:sz="4" w:space="0"/>
          <w:right w:val="single" w:color="B7CBE4" w:sz="4" w:space="0"/>
        </w:tcBorders>
      </w:tcPr>
    </w:tblStylePr>
  </w:style>
  <w:style w:type="table" w:customStyle="1" w:styleId="175">
    <w:name w:val="Bordered - Accent 2"/>
    <w:basedOn w:val="44"/>
    <w:qFormat/>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Pr>
    <w:tblStylePr w:type="firstRow">
      <w:rPr>
        <w:rFonts w:ascii="Arial" w:hAnsi="Arial"/>
        <w:color w:val="404040"/>
        <w:sz w:val="22"/>
      </w:rPr>
      <w:tcPr>
        <w:tcBorders>
          <w:bottom w:val="single" w:color="D99695" w:sz="12" w:space="0"/>
        </w:tcBorders>
      </w:tcPr>
    </w:tblStylePr>
    <w:tblStylePr w:type="lastRow">
      <w:rPr>
        <w:rFonts w:ascii="Arial" w:hAnsi="Arial"/>
        <w:color w:val="404040"/>
        <w:sz w:val="22"/>
      </w:rPr>
      <w:tcPr>
        <w:tcBorders>
          <w:top w:val="single" w:color="D99695"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695" w:sz="12" w:space="0"/>
        </w:tcBorders>
      </w:tcPr>
    </w:tblStylePr>
    <w:tblStylePr w:type="band1Horz">
      <w:rPr>
        <w:rFonts w:ascii="Arial" w:hAnsi="Arial"/>
        <w:color w:val="404040"/>
        <w:sz w:val="22"/>
      </w:rPr>
      <w:tcPr>
        <w:tcBorders>
          <w:top w:val="single" w:color="E5B7B6" w:sz="4" w:space="0"/>
          <w:left w:val="single" w:color="E5B7B6" w:sz="4" w:space="0"/>
          <w:bottom w:val="single" w:color="E5B7B6" w:sz="4" w:space="0"/>
          <w:right w:val="single" w:color="E5B7B6" w:sz="4" w:space="0"/>
        </w:tcBorders>
      </w:tcPr>
    </w:tblStylePr>
  </w:style>
  <w:style w:type="table" w:customStyle="1" w:styleId="176">
    <w:name w:val="Bordered - Accent 3"/>
    <w:basedOn w:val="44"/>
    <w:qFormat/>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rFonts w:ascii="Arial" w:hAnsi="Arial"/>
        <w:color w:val="404040"/>
        <w:sz w:val="22"/>
      </w:rPr>
      <w:tcPr>
        <w:tcBorders>
          <w:bottom w:val="single" w:color="C3D69B" w:sz="12" w:space="0"/>
        </w:tcBorders>
      </w:tcPr>
    </w:tblStylePr>
    <w:tblStylePr w:type="lastRow">
      <w:rPr>
        <w:rFonts w:ascii="Arial" w:hAnsi="Arial"/>
        <w:color w:val="404040"/>
        <w:sz w:val="22"/>
      </w:rPr>
      <w:tcPr>
        <w:tcBorders>
          <w:top w:val="single" w:color="C3D69B"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B" w:sz="12" w:space="0"/>
        </w:tcBorders>
      </w:tcPr>
    </w:tblStylePr>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style>
  <w:style w:type="table" w:customStyle="1" w:styleId="177">
    <w:name w:val="Bordered - Accent 4"/>
    <w:basedOn w:val="44"/>
    <w:qFormat/>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rFonts w:ascii="Arial" w:hAnsi="Arial"/>
        <w:color w:val="404040"/>
        <w:sz w:val="22"/>
      </w:rPr>
      <w:tcPr>
        <w:tcBorders>
          <w:bottom w:val="single" w:color="B2A1C6" w:sz="12" w:space="0"/>
        </w:tcBorders>
      </w:tcPr>
    </w:tblStylePr>
    <w:tblStylePr w:type="lastRow">
      <w:rPr>
        <w:rFonts w:ascii="Arial" w:hAnsi="Arial"/>
        <w:color w:val="404040"/>
        <w:sz w:val="22"/>
      </w:rPr>
      <w:tcPr>
        <w:tcBorders>
          <w:top w:val="single" w:color="B2A1C6"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sz="12" w:space="0"/>
        </w:tcBorders>
      </w:tcPr>
    </w:tblStylePr>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style>
  <w:style w:type="table" w:customStyle="1" w:styleId="178">
    <w:name w:val="Bordered - Accent 5"/>
    <w:basedOn w:val="44"/>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Pr>
    <w:tblStylePr w:type="firstRow">
      <w:rPr>
        <w:rFonts w:ascii="Arial" w:hAnsi="Arial"/>
        <w:color w:val="404040"/>
        <w:sz w:val="22"/>
      </w:rPr>
      <w:tcPr>
        <w:tcBorders>
          <w:bottom w:val="single" w:color="92CCDC" w:sz="12" w:space="0"/>
        </w:tcBorders>
      </w:tcPr>
    </w:tblStylePr>
    <w:tblStylePr w:type="lastRow">
      <w:rPr>
        <w:rFonts w:ascii="Arial" w:hAnsi="Arial"/>
        <w:color w:val="404040"/>
        <w:sz w:val="22"/>
      </w:rPr>
      <w:tcPr>
        <w:tcBorders>
          <w:top w:val="single" w:color="92CCD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sz="12" w:space="0"/>
        </w:tcBorders>
      </w:tcPr>
    </w:tblStylePr>
    <w:tblStylePr w:type="band1Horz">
      <w:rPr>
        <w:rFonts w:ascii="Arial" w:hAnsi="Arial"/>
        <w:color w:val="404040"/>
        <w:sz w:val="22"/>
      </w:rPr>
      <w:tcPr>
        <w:tcBorders>
          <w:top w:val="single" w:color="B6DDE8" w:sz="4" w:space="0"/>
          <w:left w:val="single" w:color="B6DDE8" w:sz="4" w:space="0"/>
          <w:bottom w:val="single" w:color="B6DDE8" w:sz="4" w:space="0"/>
          <w:right w:val="single" w:color="B6DDE8" w:sz="4" w:space="0"/>
        </w:tcBorders>
      </w:tcPr>
    </w:tblStylePr>
  </w:style>
  <w:style w:type="table" w:customStyle="1" w:styleId="179">
    <w:name w:val="Bordered - Accent 6"/>
    <w:basedOn w:val="44"/>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rFonts w:ascii="Arial" w:hAnsi="Arial"/>
        <w:color w:val="404040"/>
        <w:sz w:val="22"/>
      </w:rPr>
      <w:tcPr>
        <w:tcBorders>
          <w:bottom w:val="single" w:color="FAC090" w:sz="12" w:space="0"/>
        </w:tcBorders>
      </w:tcPr>
    </w:tblStylePr>
    <w:tblStylePr w:type="lastRow">
      <w:rPr>
        <w:rFonts w:ascii="Arial" w:hAnsi="Arial"/>
        <w:color w:val="404040"/>
        <w:sz w:val="22"/>
      </w:rPr>
      <w:tcPr>
        <w:tcBorders>
          <w:top w:val="single" w:color="FAC09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sz="12" w:space="0"/>
        </w:tcBorders>
      </w:tcPr>
    </w:tblStylePr>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style>
  <w:style w:type="character" w:customStyle="1" w:styleId="180">
    <w:name w:val="标题 6 字符"/>
    <w:link w:val="7"/>
    <w:qFormat/>
    <w:uiPriority w:val="9"/>
    <w:rPr>
      <w:rFonts w:ascii="Arial" w:hAnsi="Arial" w:eastAsia="Arial" w:cs="Arial"/>
      <w:i/>
      <w:iCs/>
      <w:color w:val="595959"/>
    </w:rPr>
  </w:style>
  <w:style w:type="character" w:customStyle="1" w:styleId="181">
    <w:name w:val="标题 7 字符"/>
    <w:link w:val="8"/>
    <w:qFormat/>
    <w:uiPriority w:val="0"/>
    <w:rPr>
      <w:rFonts w:ascii="Arial" w:hAnsi="Arial" w:eastAsia="Arial" w:cs="Arial"/>
      <w:color w:val="595959"/>
    </w:rPr>
  </w:style>
  <w:style w:type="character" w:customStyle="1" w:styleId="182">
    <w:name w:val="标题 8 字符"/>
    <w:link w:val="9"/>
    <w:qFormat/>
    <w:uiPriority w:val="9"/>
    <w:rPr>
      <w:rFonts w:ascii="Arial" w:hAnsi="Arial" w:eastAsia="Arial" w:cs="Arial"/>
      <w:i/>
      <w:iCs/>
      <w:color w:val="272727"/>
    </w:rPr>
  </w:style>
  <w:style w:type="character" w:customStyle="1" w:styleId="183">
    <w:name w:val="标题 9 字符"/>
    <w:link w:val="10"/>
    <w:qFormat/>
    <w:uiPriority w:val="0"/>
    <w:rPr>
      <w:rFonts w:ascii="Arial" w:hAnsi="Arial" w:eastAsia="Arial" w:cs="Arial"/>
      <w:i/>
      <w:iCs/>
      <w:color w:val="272727"/>
    </w:rPr>
  </w:style>
  <w:style w:type="character" w:customStyle="1" w:styleId="184">
    <w:name w:val="副标题 字符"/>
    <w:link w:val="34"/>
    <w:qFormat/>
    <w:uiPriority w:val="11"/>
    <w:rPr>
      <w:color w:val="595959"/>
      <w:spacing w:val="15"/>
      <w:sz w:val="28"/>
      <w:szCs w:val="28"/>
    </w:rPr>
  </w:style>
  <w:style w:type="paragraph" w:styleId="185">
    <w:name w:val="Quote"/>
    <w:basedOn w:val="1"/>
    <w:next w:val="1"/>
    <w:link w:val="186"/>
    <w:qFormat/>
    <w:uiPriority w:val="29"/>
    <w:pPr>
      <w:spacing w:before="160"/>
      <w:jc w:val="center"/>
    </w:pPr>
    <w:rPr>
      <w:i/>
      <w:iCs/>
      <w:color w:val="404040"/>
    </w:rPr>
  </w:style>
  <w:style w:type="character" w:customStyle="1" w:styleId="186">
    <w:name w:val="引用 字符"/>
    <w:link w:val="185"/>
    <w:qFormat/>
    <w:uiPriority w:val="29"/>
    <w:rPr>
      <w:i/>
      <w:iCs/>
      <w:color w:val="404040"/>
    </w:rPr>
  </w:style>
  <w:style w:type="paragraph" w:styleId="187">
    <w:name w:val="List Paragraph"/>
    <w:basedOn w:val="1"/>
    <w:qFormat/>
    <w:uiPriority w:val="34"/>
    <w:pPr>
      <w:ind w:left="720"/>
      <w:contextualSpacing/>
    </w:pPr>
  </w:style>
  <w:style w:type="character" w:customStyle="1" w:styleId="188">
    <w:name w:val="明显强调1"/>
    <w:qFormat/>
    <w:uiPriority w:val="21"/>
    <w:rPr>
      <w:i/>
      <w:iCs/>
      <w:color w:val="365F91"/>
    </w:rPr>
  </w:style>
  <w:style w:type="paragraph" w:styleId="189">
    <w:name w:val="Intense Quote"/>
    <w:basedOn w:val="1"/>
    <w:next w:val="1"/>
    <w:link w:val="190"/>
    <w:qFormat/>
    <w:uiPriority w:val="30"/>
    <w:pPr>
      <w:pBdr>
        <w:top w:val="single" w:color="365F91" w:sz="4" w:space="10"/>
        <w:bottom w:val="single" w:color="365F91" w:sz="4" w:space="10"/>
      </w:pBdr>
      <w:spacing w:before="360" w:after="360"/>
      <w:ind w:left="864" w:right="864"/>
      <w:jc w:val="center"/>
    </w:pPr>
    <w:rPr>
      <w:i/>
      <w:iCs/>
      <w:color w:val="365F91"/>
    </w:rPr>
  </w:style>
  <w:style w:type="character" w:customStyle="1" w:styleId="190">
    <w:name w:val="明显引用 字符"/>
    <w:link w:val="189"/>
    <w:qFormat/>
    <w:uiPriority w:val="30"/>
    <w:rPr>
      <w:i/>
      <w:iCs/>
      <w:color w:val="365F91"/>
    </w:rPr>
  </w:style>
  <w:style w:type="character" w:customStyle="1" w:styleId="191">
    <w:name w:val="明显参考1"/>
    <w:qFormat/>
    <w:uiPriority w:val="32"/>
    <w:rPr>
      <w:b/>
      <w:bCs/>
      <w:smallCaps/>
      <w:color w:val="365F91"/>
      <w:spacing w:val="5"/>
    </w:rPr>
  </w:style>
  <w:style w:type="paragraph" w:styleId="192">
    <w:name w:val="No Spacing"/>
    <w:basedOn w:val="1"/>
    <w:qFormat/>
    <w:uiPriority w:val="0"/>
  </w:style>
  <w:style w:type="character" w:customStyle="1" w:styleId="193">
    <w:name w:val="不明显强调1"/>
    <w:qFormat/>
    <w:uiPriority w:val="19"/>
    <w:rPr>
      <w:i/>
      <w:iCs/>
      <w:color w:val="404040"/>
    </w:rPr>
  </w:style>
  <w:style w:type="character" w:customStyle="1" w:styleId="194">
    <w:name w:val="不明显参考1"/>
    <w:qFormat/>
    <w:uiPriority w:val="31"/>
    <w:rPr>
      <w:smallCaps/>
      <w:color w:val="5A5A5A"/>
    </w:rPr>
  </w:style>
  <w:style w:type="character" w:customStyle="1" w:styleId="195">
    <w:name w:val="书籍标题1"/>
    <w:qFormat/>
    <w:uiPriority w:val="33"/>
    <w:rPr>
      <w:b/>
      <w:bCs/>
      <w:i/>
      <w:iCs/>
      <w:spacing w:val="5"/>
    </w:rPr>
  </w:style>
  <w:style w:type="character" w:customStyle="1" w:styleId="196">
    <w:name w:val="尾注文本 字符"/>
    <w:link w:val="28"/>
    <w:semiHidden/>
    <w:qFormat/>
    <w:uiPriority w:val="99"/>
    <w:rPr>
      <w:sz w:val="20"/>
      <w:szCs w:val="20"/>
    </w:rPr>
  </w:style>
  <w:style w:type="character" w:styleId="197">
    <w:name w:val="Placeholder Text"/>
    <w:qFormat/>
    <w:uiPriority w:val="99"/>
    <w:rPr>
      <w:color w:val="666666"/>
    </w:rPr>
  </w:style>
  <w:style w:type="paragraph" w:customStyle="1" w:styleId="198">
    <w:name w:val="TOC 标题1"/>
    <w:unhideWhenUsed/>
    <w:uiPriority w:val="39"/>
    <w:rPr>
      <w:rFonts w:ascii="Times New Roman" w:hAnsi="Times New Roman" w:eastAsia="宋体" w:cs="Times New Roman"/>
      <w:lang w:val="en-US" w:eastAsia="zh-CN" w:bidi="ar-SA"/>
    </w:rPr>
  </w:style>
  <w:style w:type="paragraph" w:customStyle="1" w:styleId="199">
    <w:name w:val="标题 11"/>
    <w:basedOn w:val="1"/>
    <w:next w:val="1"/>
    <w:link w:val="211"/>
    <w:qFormat/>
    <w:uiPriority w:val="0"/>
    <w:pPr>
      <w:keepNext/>
      <w:keepLines/>
      <w:spacing w:before="340" w:after="330" w:line="578" w:lineRule="auto"/>
      <w:outlineLvl w:val="0"/>
    </w:pPr>
    <w:rPr>
      <w:b/>
      <w:bCs/>
      <w:sz w:val="44"/>
      <w:szCs w:val="44"/>
    </w:rPr>
  </w:style>
  <w:style w:type="paragraph" w:customStyle="1" w:styleId="200">
    <w:name w:val="标题 21"/>
    <w:basedOn w:val="1"/>
    <w:next w:val="1"/>
    <w:link w:val="212"/>
    <w:qFormat/>
    <w:uiPriority w:val="9"/>
    <w:pPr>
      <w:keepNext/>
      <w:keepLines/>
      <w:spacing w:before="260" w:after="260" w:line="416" w:lineRule="auto"/>
      <w:outlineLvl w:val="1"/>
    </w:pPr>
    <w:rPr>
      <w:rFonts w:ascii="Cambria" w:hAnsi="Cambria"/>
      <w:b/>
      <w:bCs/>
      <w:sz w:val="32"/>
      <w:szCs w:val="32"/>
    </w:rPr>
  </w:style>
  <w:style w:type="paragraph" w:customStyle="1" w:styleId="201">
    <w:name w:val="标题 31"/>
    <w:basedOn w:val="1"/>
    <w:next w:val="1"/>
    <w:link w:val="213"/>
    <w:qFormat/>
    <w:uiPriority w:val="0"/>
    <w:pPr>
      <w:keepNext/>
      <w:keepLines/>
      <w:spacing w:before="260" w:after="260" w:line="416" w:lineRule="auto"/>
      <w:outlineLvl w:val="2"/>
    </w:pPr>
    <w:rPr>
      <w:b/>
      <w:bCs/>
      <w:sz w:val="32"/>
      <w:szCs w:val="32"/>
    </w:rPr>
  </w:style>
  <w:style w:type="paragraph" w:customStyle="1" w:styleId="202">
    <w:name w:val="标题 41"/>
    <w:basedOn w:val="1"/>
    <w:next w:val="1"/>
    <w:link w:val="214"/>
    <w:qFormat/>
    <w:uiPriority w:val="9"/>
    <w:pPr>
      <w:keepNext/>
      <w:keepLines/>
      <w:spacing w:line="360" w:lineRule="auto"/>
      <w:outlineLvl w:val="3"/>
    </w:pPr>
    <w:rPr>
      <w:rFonts w:ascii="Arial" w:hAnsi="Arial"/>
      <w:b/>
      <w:bCs/>
      <w:sz w:val="28"/>
      <w:szCs w:val="28"/>
    </w:rPr>
  </w:style>
  <w:style w:type="paragraph" w:customStyle="1" w:styleId="203">
    <w:name w:val="标题 51"/>
    <w:basedOn w:val="1"/>
    <w:next w:val="204"/>
    <w:link w:val="215"/>
    <w:qFormat/>
    <w:uiPriority w:val="99"/>
    <w:pPr>
      <w:keepNext/>
      <w:keepLines/>
      <w:spacing w:before="280" w:after="290" w:line="376" w:lineRule="auto"/>
      <w:outlineLvl w:val="4"/>
    </w:pPr>
    <w:rPr>
      <w:b/>
      <w:bCs/>
      <w:sz w:val="28"/>
      <w:szCs w:val="28"/>
    </w:rPr>
  </w:style>
  <w:style w:type="paragraph" w:customStyle="1" w:styleId="204">
    <w:name w:val="正文缩进1"/>
    <w:basedOn w:val="1"/>
    <w:link w:val="216"/>
    <w:uiPriority w:val="99"/>
    <w:pPr>
      <w:ind w:firstLine="420"/>
    </w:pPr>
    <w:rPr>
      <w:szCs w:val="20"/>
    </w:rPr>
  </w:style>
  <w:style w:type="paragraph" w:customStyle="1" w:styleId="205">
    <w:name w:val="标题 61"/>
    <w:basedOn w:val="1"/>
    <w:next w:val="1"/>
    <w:link w:val="217"/>
    <w:qFormat/>
    <w:uiPriority w:val="9"/>
    <w:pPr>
      <w:keepNext/>
      <w:keepLines/>
      <w:spacing w:before="240" w:after="64" w:line="317" w:lineRule="auto"/>
      <w:outlineLvl w:val="5"/>
    </w:pPr>
    <w:rPr>
      <w:rFonts w:ascii="Cambria" w:hAnsi="Cambria"/>
      <w:b/>
      <w:bCs/>
      <w:sz w:val="24"/>
    </w:rPr>
  </w:style>
  <w:style w:type="paragraph" w:customStyle="1" w:styleId="206">
    <w:name w:val="标题 71"/>
    <w:basedOn w:val="1"/>
    <w:next w:val="1"/>
    <w:link w:val="218"/>
    <w:qFormat/>
    <w:uiPriority w:val="0"/>
    <w:pPr>
      <w:keepNext/>
      <w:keepLines/>
      <w:spacing w:before="240" w:after="64" w:line="317" w:lineRule="auto"/>
      <w:outlineLvl w:val="6"/>
    </w:pPr>
    <w:rPr>
      <w:b/>
      <w:bCs/>
      <w:sz w:val="24"/>
    </w:rPr>
  </w:style>
  <w:style w:type="paragraph" w:customStyle="1" w:styleId="207">
    <w:name w:val="标题 81"/>
    <w:basedOn w:val="1"/>
    <w:next w:val="1"/>
    <w:link w:val="219"/>
    <w:qFormat/>
    <w:uiPriority w:val="9"/>
    <w:pPr>
      <w:keepNext/>
      <w:keepLines/>
      <w:spacing w:before="240" w:after="64" w:line="320" w:lineRule="auto"/>
      <w:outlineLvl w:val="7"/>
    </w:pPr>
    <w:rPr>
      <w:rFonts w:ascii="等线 Light" w:hAnsi="等线 Light" w:eastAsia="等线 Light"/>
      <w:sz w:val="24"/>
    </w:rPr>
  </w:style>
  <w:style w:type="paragraph" w:customStyle="1" w:styleId="208">
    <w:name w:val="标题 91"/>
    <w:basedOn w:val="1"/>
    <w:next w:val="1"/>
    <w:link w:val="220"/>
    <w:qFormat/>
    <w:uiPriority w:val="0"/>
    <w:pPr>
      <w:keepNext/>
      <w:keepLines/>
      <w:spacing w:before="240" w:after="64" w:line="317" w:lineRule="auto"/>
      <w:outlineLvl w:val="8"/>
    </w:pPr>
    <w:rPr>
      <w:rFonts w:ascii="Cambria" w:hAnsi="Cambria"/>
      <w:sz w:val="20"/>
      <w:szCs w:val="21"/>
    </w:rPr>
  </w:style>
  <w:style w:type="character" w:customStyle="1" w:styleId="209">
    <w:name w:val="默认段落字体1"/>
    <w:unhideWhenUsed/>
    <w:uiPriority w:val="1"/>
  </w:style>
  <w:style w:type="table" w:customStyle="1" w:styleId="210">
    <w:name w:val="普通表格1"/>
    <w:unhideWhenUsed/>
    <w:qFormat/>
    <w:uiPriority w:val="99"/>
    <w:tblPr>
      <w:tblCellMar>
        <w:top w:w="0" w:type="dxa"/>
        <w:left w:w="108" w:type="dxa"/>
        <w:bottom w:w="0" w:type="dxa"/>
        <w:right w:w="108" w:type="dxa"/>
      </w:tblCellMar>
    </w:tblPr>
  </w:style>
  <w:style w:type="character" w:customStyle="1" w:styleId="211">
    <w:name w:val="标题 1 Char"/>
    <w:link w:val="199"/>
    <w:qFormat/>
    <w:uiPriority w:val="0"/>
    <w:rPr>
      <w:b/>
      <w:bCs/>
      <w:sz w:val="44"/>
      <w:szCs w:val="44"/>
    </w:rPr>
  </w:style>
  <w:style w:type="character" w:customStyle="1" w:styleId="212">
    <w:name w:val="标题 2 Char1"/>
    <w:link w:val="200"/>
    <w:uiPriority w:val="9"/>
    <w:rPr>
      <w:rFonts w:ascii="Cambria" w:hAnsi="Cambria" w:eastAsia="宋体" w:cs="Times New Roman"/>
      <w:b/>
      <w:bCs/>
      <w:sz w:val="32"/>
      <w:szCs w:val="32"/>
    </w:rPr>
  </w:style>
  <w:style w:type="character" w:customStyle="1" w:styleId="213">
    <w:name w:val="标题 3 Char"/>
    <w:link w:val="201"/>
    <w:qFormat/>
    <w:uiPriority w:val="0"/>
    <w:rPr>
      <w:b/>
      <w:bCs/>
      <w:sz w:val="32"/>
      <w:szCs w:val="32"/>
    </w:rPr>
  </w:style>
  <w:style w:type="character" w:customStyle="1" w:styleId="214">
    <w:name w:val="标题 4 Char"/>
    <w:link w:val="202"/>
    <w:uiPriority w:val="9"/>
    <w:rPr>
      <w:rFonts w:ascii="Arial" w:hAnsi="Arial"/>
      <w:b/>
      <w:bCs/>
      <w:sz w:val="28"/>
      <w:szCs w:val="28"/>
    </w:rPr>
  </w:style>
  <w:style w:type="character" w:customStyle="1" w:styleId="215">
    <w:name w:val="标题 5 Char"/>
    <w:link w:val="203"/>
    <w:uiPriority w:val="99"/>
    <w:rPr>
      <w:rFonts w:ascii="Times New Roman" w:hAnsi="Times New Roman"/>
      <w:b/>
      <w:bCs/>
      <w:sz w:val="28"/>
      <w:szCs w:val="28"/>
    </w:rPr>
  </w:style>
  <w:style w:type="character" w:customStyle="1" w:styleId="216">
    <w:name w:val="正文缩进 Char"/>
    <w:link w:val="204"/>
    <w:uiPriority w:val="99"/>
    <w:rPr>
      <w:sz w:val="21"/>
    </w:rPr>
  </w:style>
  <w:style w:type="character" w:customStyle="1" w:styleId="217">
    <w:name w:val="标题 6 Char"/>
    <w:link w:val="205"/>
    <w:uiPriority w:val="9"/>
    <w:rPr>
      <w:rFonts w:ascii="Cambria" w:hAnsi="Cambria"/>
      <w:b/>
      <w:bCs/>
      <w:sz w:val="24"/>
      <w:szCs w:val="24"/>
    </w:rPr>
  </w:style>
  <w:style w:type="character" w:customStyle="1" w:styleId="218">
    <w:name w:val="标题 7 Char"/>
    <w:link w:val="206"/>
    <w:uiPriority w:val="0"/>
    <w:rPr>
      <w:b/>
      <w:bCs/>
      <w:sz w:val="24"/>
      <w:szCs w:val="24"/>
    </w:rPr>
  </w:style>
  <w:style w:type="character" w:customStyle="1" w:styleId="219">
    <w:name w:val="标题 8 Char1"/>
    <w:link w:val="207"/>
    <w:semiHidden/>
    <w:uiPriority w:val="9"/>
    <w:rPr>
      <w:rFonts w:ascii="等线 Light" w:hAnsi="等线 Light" w:eastAsia="等线 Light" w:cs="Times New Roman"/>
      <w:sz w:val="24"/>
      <w:szCs w:val="24"/>
    </w:rPr>
  </w:style>
  <w:style w:type="character" w:customStyle="1" w:styleId="220">
    <w:name w:val="标题 9 Char"/>
    <w:link w:val="208"/>
    <w:uiPriority w:val="0"/>
    <w:rPr>
      <w:rFonts w:ascii="Cambria" w:hAnsi="Cambria"/>
      <w:szCs w:val="21"/>
    </w:rPr>
  </w:style>
  <w:style w:type="paragraph" w:customStyle="1" w:styleId="221">
    <w:name w:val="目录 71"/>
    <w:basedOn w:val="1"/>
    <w:next w:val="1"/>
    <w:qFormat/>
    <w:uiPriority w:val="39"/>
    <w:pPr>
      <w:ind w:left="2520"/>
    </w:pPr>
    <w:rPr>
      <w:rFonts w:ascii="Calibri" w:hAnsi="Calibri" w:cs="Calibri"/>
      <w:szCs w:val="21"/>
    </w:rPr>
  </w:style>
  <w:style w:type="paragraph" w:customStyle="1" w:styleId="222">
    <w:name w:val="列表编号1"/>
    <w:basedOn w:val="1"/>
    <w:uiPriority w:val="0"/>
    <w:pPr>
      <w:widowControl/>
      <w:tabs>
        <w:tab w:val="left" w:pos="454"/>
        <w:tab w:val="left" w:pos="720"/>
        <w:tab w:val="left" w:pos="840"/>
      </w:tabs>
      <w:spacing w:after="50"/>
      <w:ind w:left="454" w:hanging="284"/>
      <w:jc w:val="left"/>
    </w:pPr>
    <w:rPr>
      <w:sz w:val="24"/>
      <w:szCs w:val="20"/>
    </w:rPr>
  </w:style>
  <w:style w:type="paragraph" w:customStyle="1" w:styleId="223">
    <w:name w:val="题注1"/>
    <w:basedOn w:val="1"/>
    <w:next w:val="1"/>
    <w:qFormat/>
    <w:uiPriority w:val="99"/>
    <w:rPr>
      <w:rFonts w:ascii="Cambria" w:hAnsi="Cambria" w:eastAsia="黑体" w:cs="Cambria"/>
      <w:sz w:val="20"/>
      <w:szCs w:val="20"/>
    </w:rPr>
  </w:style>
  <w:style w:type="paragraph" w:customStyle="1" w:styleId="224">
    <w:name w:val="文档结构图1"/>
    <w:basedOn w:val="1"/>
    <w:link w:val="225"/>
    <w:qFormat/>
    <w:uiPriority w:val="0"/>
    <w:pPr>
      <w:shd w:val="clear" w:color="auto" w:fill="000080"/>
    </w:pPr>
    <w:rPr>
      <w:sz w:val="24"/>
      <w:shd w:val="clear" w:color="auto" w:fill="000080"/>
    </w:rPr>
  </w:style>
  <w:style w:type="character" w:customStyle="1" w:styleId="225">
    <w:name w:val="文档结构图 Char"/>
    <w:link w:val="224"/>
    <w:qFormat/>
    <w:uiPriority w:val="0"/>
    <w:rPr>
      <w:sz w:val="24"/>
      <w:szCs w:val="24"/>
      <w:shd w:val="clear" w:color="auto" w:fill="000080"/>
    </w:rPr>
  </w:style>
  <w:style w:type="paragraph" w:customStyle="1" w:styleId="226">
    <w:name w:val="批注文字1"/>
    <w:basedOn w:val="1"/>
    <w:link w:val="227"/>
    <w:uiPriority w:val="0"/>
    <w:pPr>
      <w:jc w:val="left"/>
    </w:pPr>
  </w:style>
  <w:style w:type="character" w:customStyle="1" w:styleId="227">
    <w:name w:val="批注文字 Char1"/>
    <w:link w:val="226"/>
    <w:uiPriority w:val="99"/>
    <w:rPr>
      <w:rFonts w:ascii="Times New Roman" w:hAnsi="Times New Roman"/>
      <w:sz w:val="21"/>
      <w:szCs w:val="24"/>
    </w:rPr>
  </w:style>
  <w:style w:type="paragraph" w:customStyle="1" w:styleId="228">
    <w:name w:val="正文文本 31"/>
    <w:basedOn w:val="1"/>
    <w:link w:val="229"/>
    <w:unhideWhenUsed/>
    <w:uiPriority w:val="99"/>
    <w:pPr>
      <w:spacing w:after="120"/>
    </w:pPr>
    <w:rPr>
      <w:sz w:val="16"/>
      <w:szCs w:val="16"/>
    </w:rPr>
  </w:style>
  <w:style w:type="character" w:customStyle="1" w:styleId="229">
    <w:name w:val="正文文本 3 Char"/>
    <w:link w:val="228"/>
    <w:semiHidden/>
    <w:uiPriority w:val="99"/>
    <w:rPr>
      <w:sz w:val="16"/>
      <w:szCs w:val="16"/>
    </w:rPr>
  </w:style>
  <w:style w:type="paragraph" w:customStyle="1" w:styleId="230">
    <w:name w:val="正文文本1"/>
    <w:basedOn w:val="1"/>
    <w:link w:val="231"/>
    <w:unhideWhenUsed/>
    <w:uiPriority w:val="99"/>
    <w:pPr>
      <w:spacing w:after="120"/>
    </w:pPr>
  </w:style>
  <w:style w:type="character" w:customStyle="1" w:styleId="231">
    <w:name w:val="正文文本 Char1"/>
    <w:link w:val="230"/>
    <w:uiPriority w:val="99"/>
    <w:rPr>
      <w:rFonts w:ascii="Times New Roman" w:hAnsi="Times New Roman"/>
      <w:sz w:val="21"/>
      <w:szCs w:val="24"/>
    </w:rPr>
  </w:style>
  <w:style w:type="paragraph" w:customStyle="1" w:styleId="232">
    <w:name w:val="正文文本缩进1"/>
    <w:basedOn w:val="1"/>
    <w:link w:val="233"/>
    <w:uiPriority w:val="99"/>
    <w:pPr>
      <w:ind w:firstLine="830"/>
    </w:pPr>
    <w:rPr>
      <w:rFonts w:ascii="仿宋_GB2312" w:eastAsia="仿宋_GB2312"/>
      <w:sz w:val="32"/>
      <w:szCs w:val="20"/>
    </w:rPr>
  </w:style>
  <w:style w:type="character" w:customStyle="1" w:styleId="233">
    <w:name w:val="正文文本缩进 Char"/>
    <w:link w:val="232"/>
    <w:uiPriority w:val="99"/>
    <w:rPr>
      <w:rFonts w:ascii="仿宋_GB2312" w:hAnsi="Times New Roman" w:eastAsia="仿宋_GB2312" w:cs="Times New Roman"/>
      <w:sz w:val="32"/>
      <w:szCs w:val="20"/>
    </w:rPr>
  </w:style>
  <w:style w:type="paragraph" w:customStyle="1" w:styleId="234">
    <w:name w:val="列表 21"/>
    <w:basedOn w:val="1"/>
    <w:unhideWhenUsed/>
    <w:uiPriority w:val="99"/>
    <w:pPr>
      <w:ind w:left="100" w:hanging="200"/>
      <w:contextualSpacing/>
    </w:pPr>
  </w:style>
  <w:style w:type="paragraph" w:customStyle="1" w:styleId="235">
    <w:name w:val="索引 41"/>
    <w:basedOn w:val="1"/>
    <w:next w:val="1"/>
    <w:semiHidden/>
    <w:uiPriority w:val="99"/>
    <w:pPr>
      <w:ind w:left="600"/>
    </w:pPr>
    <w:rPr>
      <w:szCs w:val="21"/>
    </w:rPr>
  </w:style>
  <w:style w:type="paragraph" w:customStyle="1" w:styleId="236">
    <w:name w:val="目录 51"/>
    <w:basedOn w:val="1"/>
    <w:next w:val="1"/>
    <w:qFormat/>
    <w:uiPriority w:val="39"/>
    <w:pPr>
      <w:ind w:left="1680"/>
    </w:pPr>
    <w:rPr>
      <w:rFonts w:ascii="Calibri" w:hAnsi="Calibri" w:cs="Calibri"/>
      <w:szCs w:val="21"/>
    </w:rPr>
  </w:style>
  <w:style w:type="paragraph" w:customStyle="1" w:styleId="237">
    <w:name w:val="目录 31"/>
    <w:basedOn w:val="1"/>
    <w:next w:val="1"/>
    <w:qFormat/>
    <w:uiPriority w:val="39"/>
    <w:pPr>
      <w:ind w:left="840"/>
    </w:pPr>
    <w:rPr>
      <w:szCs w:val="21"/>
    </w:rPr>
  </w:style>
  <w:style w:type="paragraph" w:customStyle="1" w:styleId="238">
    <w:name w:val="纯文本11"/>
    <w:basedOn w:val="1"/>
    <w:link w:val="239"/>
    <w:qFormat/>
    <w:uiPriority w:val="0"/>
    <w:rPr>
      <w:rFonts w:ascii="宋体" w:hAnsi="Courier New"/>
      <w:sz w:val="20"/>
      <w:szCs w:val="21"/>
    </w:rPr>
  </w:style>
  <w:style w:type="character" w:customStyle="1" w:styleId="239">
    <w:name w:val="纯文本 Char1"/>
    <w:link w:val="238"/>
    <w:qFormat/>
    <w:uiPriority w:val="99"/>
    <w:rPr>
      <w:rFonts w:ascii="宋体" w:hAnsi="Courier New" w:eastAsia="宋体" w:cs="Courier New"/>
      <w:szCs w:val="21"/>
    </w:rPr>
  </w:style>
  <w:style w:type="paragraph" w:customStyle="1" w:styleId="240">
    <w:name w:val="目录 81"/>
    <w:basedOn w:val="1"/>
    <w:next w:val="1"/>
    <w:qFormat/>
    <w:uiPriority w:val="39"/>
    <w:pPr>
      <w:ind w:left="2940"/>
    </w:pPr>
    <w:rPr>
      <w:rFonts w:ascii="Calibri" w:hAnsi="Calibri" w:cs="Calibri"/>
      <w:szCs w:val="21"/>
    </w:rPr>
  </w:style>
  <w:style w:type="paragraph" w:customStyle="1" w:styleId="241">
    <w:name w:val="日期1"/>
    <w:basedOn w:val="1"/>
    <w:next w:val="1"/>
    <w:link w:val="242"/>
    <w:unhideWhenUsed/>
    <w:uiPriority w:val="99"/>
    <w:pPr>
      <w:ind w:left="100"/>
    </w:pPr>
  </w:style>
  <w:style w:type="character" w:customStyle="1" w:styleId="242">
    <w:name w:val="日期 Char"/>
    <w:link w:val="241"/>
    <w:uiPriority w:val="99"/>
    <w:rPr>
      <w:rFonts w:ascii="Times New Roman" w:hAnsi="Times New Roman"/>
      <w:sz w:val="21"/>
      <w:szCs w:val="24"/>
    </w:rPr>
  </w:style>
  <w:style w:type="paragraph" w:customStyle="1" w:styleId="243">
    <w:name w:val="正文文本缩进 21"/>
    <w:basedOn w:val="1"/>
    <w:link w:val="244"/>
    <w:uiPriority w:val="99"/>
    <w:pPr>
      <w:spacing w:after="120" w:line="480" w:lineRule="auto"/>
      <w:ind w:left="420"/>
    </w:pPr>
    <w:rPr>
      <w:sz w:val="24"/>
    </w:rPr>
  </w:style>
  <w:style w:type="character" w:customStyle="1" w:styleId="244">
    <w:name w:val="正文文本缩进 2 Char"/>
    <w:link w:val="243"/>
    <w:qFormat/>
    <w:uiPriority w:val="99"/>
    <w:rPr>
      <w:sz w:val="24"/>
      <w:szCs w:val="24"/>
    </w:rPr>
  </w:style>
  <w:style w:type="paragraph" w:customStyle="1" w:styleId="245">
    <w:name w:val="批注框文本1"/>
    <w:basedOn w:val="1"/>
    <w:link w:val="246"/>
    <w:qFormat/>
    <w:uiPriority w:val="0"/>
    <w:rPr>
      <w:sz w:val="18"/>
      <w:szCs w:val="18"/>
    </w:rPr>
  </w:style>
  <w:style w:type="character" w:customStyle="1" w:styleId="246">
    <w:name w:val="批注框文本 Char"/>
    <w:link w:val="245"/>
    <w:qFormat/>
    <w:uiPriority w:val="0"/>
    <w:rPr>
      <w:sz w:val="18"/>
      <w:szCs w:val="18"/>
    </w:rPr>
  </w:style>
  <w:style w:type="paragraph" w:customStyle="1" w:styleId="247">
    <w:name w:val="页脚1"/>
    <w:basedOn w:val="1"/>
    <w:link w:val="248"/>
    <w:unhideWhenUsed/>
    <w:qFormat/>
    <w:uiPriority w:val="99"/>
    <w:pPr>
      <w:tabs>
        <w:tab w:val="center" w:pos="4153"/>
        <w:tab w:val="right" w:pos="8306"/>
      </w:tabs>
      <w:jc w:val="left"/>
    </w:pPr>
    <w:rPr>
      <w:sz w:val="18"/>
      <w:szCs w:val="18"/>
    </w:rPr>
  </w:style>
  <w:style w:type="character" w:customStyle="1" w:styleId="248">
    <w:name w:val="页脚 Char2"/>
    <w:link w:val="247"/>
    <w:qFormat/>
    <w:uiPriority w:val="99"/>
    <w:rPr>
      <w:sz w:val="18"/>
      <w:szCs w:val="18"/>
    </w:rPr>
  </w:style>
  <w:style w:type="paragraph" w:customStyle="1" w:styleId="249">
    <w:name w:val="页眉1"/>
    <w:basedOn w:val="1"/>
    <w:link w:val="250"/>
    <w:unhideWhenUsed/>
    <w:qFormat/>
    <w:uiPriority w:val="0"/>
    <w:pPr>
      <w:pBdr>
        <w:bottom w:val="single" w:color="000000" w:sz="6" w:space="1"/>
      </w:pBdr>
      <w:tabs>
        <w:tab w:val="center" w:pos="4153"/>
        <w:tab w:val="right" w:pos="8306"/>
      </w:tabs>
      <w:jc w:val="center"/>
    </w:pPr>
    <w:rPr>
      <w:sz w:val="18"/>
      <w:szCs w:val="18"/>
    </w:rPr>
  </w:style>
  <w:style w:type="character" w:customStyle="1" w:styleId="250">
    <w:name w:val="页眉 Char"/>
    <w:link w:val="249"/>
    <w:qFormat/>
    <w:uiPriority w:val="0"/>
    <w:rPr>
      <w:sz w:val="18"/>
      <w:szCs w:val="18"/>
    </w:rPr>
  </w:style>
  <w:style w:type="paragraph" w:customStyle="1" w:styleId="251">
    <w:name w:val="目录 11"/>
    <w:basedOn w:val="1"/>
    <w:next w:val="1"/>
    <w:unhideWhenUsed/>
    <w:uiPriority w:val="39"/>
  </w:style>
  <w:style w:type="paragraph" w:customStyle="1" w:styleId="252">
    <w:name w:val="目录 41"/>
    <w:basedOn w:val="1"/>
    <w:next w:val="1"/>
    <w:qFormat/>
    <w:uiPriority w:val="39"/>
    <w:pPr>
      <w:ind w:left="1260"/>
    </w:pPr>
    <w:rPr>
      <w:rFonts w:ascii="Calibri" w:hAnsi="Calibri" w:cs="Calibri"/>
      <w:szCs w:val="21"/>
    </w:rPr>
  </w:style>
  <w:style w:type="paragraph" w:customStyle="1" w:styleId="253">
    <w:name w:val="副标题1"/>
    <w:basedOn w:val="1"/>
    <w:next w:val="1"/>
    <w:link w:val="254"/>
    <w:qFormat/>
    <w:uiPriority w:val="11"/>
    <w:pPr>
      <w:spacing w:before="240" w:after="60" w:line="312" w:lineRule="auto"/>
      <w:jc w:val="center"/>
      <w:outlineLvl w:val="1"/>
    </w:pPr>
    <w:rPr>
      <w:rFonts w:ascii="Cambria" w:hAnsi="Cambria"/>
      <w:b/>
      <w:bCs/>
      <w:sz w:val="32"/>
      <w:szCs w:val="32"/>
    </w:rPr>
  </w:style>
  <w:style w:type="character" w:customStyle="1" w:styleId="254">
    <w:name w:val="副标题 Char"/>
    <w:link w:val="253"/>
    <w:uiPriority w:val="11"/>
    <w:rPr>
      <w:rFonts w:ascii="Cambria" w:hAnsi="Cambria"/>
      <w:b/>
      <w:bCs/>
      <w:sz w:val="32"/>
      <w:szCs w:val="32"/>
    </w:rPr>
  </w:style>
  <w:style w:type="paragraph" w:customStyle="1" w:styleId="255">
    <w:name w:val="脚注文本1"/>
    <w:basedOn w:val="1"/>
    <w:link w:val="256"/>
    <w:uiPriority w:val="0"/>
    <w:pPr>
      <w:spacing w:line="312" w:lineRule="atLeast"/>
      <w:jc w:val="left"/>
    </w:pPr>
    <w:rPr>
      <w:sz w:val="18"/>
      <w:szCs w:val="18"/>
    </w:rPr>
  </w:style>
  <w:style w:type="character" w:customStyle="1" w:styleId="256">
    <w:name w:val="脚注文本 Char1"/>
    <w:link w:val="255"/>
    <w:semiHidden/>
    <w:uiPriority w:val="0"/>
    <w:rPr>
      <w:sz w:val="18"/>
      <w:szCs w:val="18"/>
    </w:rPr>
  </w:style>
  <w:style w:type="paragraph" w:customStyle="1" w:styleId="257">
    <w:name w:val="目录 61"/>
    <w:basedOn w:val="1"/>
    <w:next w:val="1"/>
    <w:qFormat/>
    <w:uiPriority w:val="39"/>
    <w:pPr>
      <w:ind w:left="2100"/>
    </w:pPr>
    <w:rPr>
      <w:rFonts w:ascii="Calibri" w:hAnsi="Calibri" w:cs="Calibri"/>
      <w:szCs w:val="21"/>
    </w:rPr>
  </w:style>
  <w:style w:type="paragraph" w:customStyle="1" w:styleId="258">
    <w:name w:val="目录 21"/>
    <w:basedOn w:val="1"/>
    <w:next w:val="1"/>
    <w:unhideWhenUsed/>
    <w:qFormat/>
    <w:uiPriority w:val="39"/>
    <w:pPr>
      <w:tabs>
        <w:tab w:val="right" w:leader="dot" w:pos="8296"/>
      </w:tabs>
      <w:ind w:left="420"/>
    </w:pPr>
  </w:style>
  <w:style w:type="paragraph" w:customStyle="1" w:styleId="259">
    <w:name w:val="目录 91"/>
    <w:basedOn w:val="1"/>
    <w:next w:val="1"/>
    <w:qFormat/>
    <w:uiPriority w:val="39"/>
    <w:pPr>
      <w:ind w:left="3360"/>
    </w:pPr>
    <w:rPr>
      <w:rFonts w:ascii="Calibri" w:hAnsi="Calibri" w:cs="Calibri"/>
      <w:szCs w:val="21"/>
    </w:rPr>
  </w:style>
  <w:style w:type="paragraph" w:customStyle="1" w:styleId="260">
    <w:name w:val="HTML 预设格式1"/>
    <w:basedOn w:val="1"/>
    <w:link w:val="261"/>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sz w:val="24"/>
    </w:rPr>
  </w:style>
  <w:style w:type="character" w:customStyle="1" w:styleId="261">
    <w:name w:val="HTML 预设格式 Char"/>
    <w:link w:val="260"/>
    <w:uiPriority w:val="99"/>
    <w:rPr>
      <w:rFonts w:ascii="宋体" w:hAnsi="宋体"/>
      <w:sz w:val="24"/>
      <w:szCs w:val="24"/>
    </w:rPr>
  </w:style>
  <w:style w:type="paragraph" w:customStyle="1" w:styleId="262">
    <w:name w:val="普通(网站)1"/>
    <w:basedOn w:val="1"/>
    <w:unhideWhenUsed/>
    <w:uiPriority w:val="0"/>
    <w:rPr>
      <w:rFonts w:ascii="Calibri" w:hAnsi="Calibri"/>
      <w:sz w:val="24"/>
    </w:rPr>
  </w:style>
  <w:style w:type="paragraph" w:customStyle="1" w:styleId="263">
    <w:name w:val="标题1"/>
    <w:basedOn w:val="1"/>
    <w:next w:val="1"/>
    <w:link w:val="264"/>
    <w:qFormat/>
    <w:uiPriority w:val="0"/>
    <w:pPr>
      <w:spacing w:before="240" w:after="60"/>
      <w:jc w:val="center"/>
      <w:outlineLvl w:val="0"/>
    </w:pPr>
    <w:rPr>
      <w:rFonts w:ascii="Cambria" w:hAnsi="Cambria"/>
      <w:b/>
      <w:bCs/>
      <w:sz w:val="32"/>
      <w:szCs w:val="32"/>
    </w:rPr>
  </w:style>
  <w:style w:type="character" w:customStyle="1" w:styleId="264">
    <w:name w:val="标题 Char"/>
    <w:link w:val="263"/>
    <w:qFormat/>
    <w:uiPriority w:val="0"/>
    <w:rPr>
      <w:rFonts w:ascii="Cambria" w:hAnsi="Cambria"/>
      <w:b/>
      <w:bCs/>
      <w:sz w:val="32"/>
      <w:szCs w:val="32"/>
    </w:rPr>
  </w:style>
  <w:style w:type="paragraph" w:customStyle="1" w:styleId="265">
    <w:name w:val="批注主题1"/>
    <w:basedOn w:val="226"/>
    <w:next w:val="226"/>
    <w:link w:val="266"/>
    <w:uiPriority w:val="0"/>
    <w:rPr>
      <w:b/>
      <w:bCs/>
    </w:rPr>
  </w:style>
  <w:style w:type="character" w:customStyle="1" w:styleId="266">
    <w:name w:val="批注主题 Char"/>
    <w:link w:val="265"/>
    <w:uiPriority w:val="0"/>
    <w:rPr>
      <w:rFonts w:ascii="Times New Roman" w:hAnsi="Times New Roman"/>
      <w:b/>
      <w:bCs/>
      <w:sz w:val="21"/>
      <w:szCs w:val="24"/>
    </w:rPr>
  </w:style>
  <w:style w:type="table" w:customStyle="1" w:styleId="267">
    <w:name w:val="网格型1"/>
    <w:basedOn w:val="210"/>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68">
    <w:name w:val="要点1"/>
    <w:qFormat/>
    <w:uiPriority w:val="22"/>
    <w:rPr>
      <w:b/>
      <w:bCs/>
    </w:rPr>
  </w:style>
  <w:style w:type="character" w:customStyle="1" w:styleId="269">
    <w:name w:val="尾注引用1"/>
    <w:unhideWhenUsed/>
    <w:uiPriority w:val="99"/>
    <w:rPr>
      <w:vertAlign w:val="superscript"/>
    </w:rPr>
  </w:style>
  <w:style w:type="character" w:customStyle="1" w:styleId="270">
    <w:name w:val="页码1"/>
    <w:uiPriority w:val="99"/>
  </w:style>
  <w:style w:type="character" w:customStyle="1" w:styleId="271">
    <w:name w:val="已访问的超链接1"/>
    <w:qFormat/>
    <w:uiPriority w:val="99"/>
    <w:rPr>
      <w:color w:val="800080"/>
      <w:u w:val="single"/>
    </w:rPr>
  </w:style>
  <w:style w:type="character" w:customStyle="1" w:styleId="272">
    <w:name w:val="强调1"/>
    <w:qFormat/>
    <w:uiPriority w:val="99"/>
    <w:rPr>
      <w:i/>
      <w:iCs/>
    </w:rPr>
  </w:style>
  <w:style w:type="character" w:customStyle="1" w:styleId="273">
    <w:name w:val="超链接1"/>
    <w:unhideWhenUsed/>
    <w:uiPriority w:val="99"/>
    <w:rPr>
      <w:color w:val="0000FF"/>
      <w:u w:val="single"/>
    </w:rPr>
  </w:style>
  <w:style w:type="character" w:customStyle="1" w:styleId="274">
    <w:name w:val="批注引用1"/>
    <w:uiPriority w:val="0"/>
    <w:rPr>
      <w:sz w:val="21"/>
      <w:szCs w:val="21"/>
    </w:rPr>
  </w:style>
  <w:style w:type="character" w:customStyle="1" w:styleId="275">
    <w:name w:val="脚注引用1"/>
    <w:unhideWhenUsed/>
    <w:uiPriority w:val="0"/>
    <w:rPr>
      <w:vertAlign w:val="superscript"/>
    </w:rPr>
  </w:style>
  <w:style w:type="character" w:customStyle="1" w:styleId="276">
    <w:name w:val="标题 1 字符1"/>
    <w:qFormat/>
    <w:uiPriority w:val="0"/>
    <w:rPr>
      <w:b/>
      <w:bCs/>
      <w:sz w:val="44"/>
      <w:szCs w:val="44"/>
    </w:rPr>
  </w:style>
  <w:style w:type="character" w:customStyle="1" w:styleId="277">
    <w:name w:val="textcontents"/>
    <w:qFormat/>
    <w:uiPriority w:val="99"/>
  </w:style>
  <w:style w:type="character" w:customStyle="1" w:styleId="278">
    <w:name w:val="批注文字 Char"/>
    <w:qFormat/>
    <w:uiPriority w:val="0"/>
    <w:rPr>
      <w:rFonts w:ascii="Times New Roman" w:hAnsi="Times New Roman"/>
      <w:sz w:val="21"/>
      <w:szCs w:val="24"/>
    </w:rPr>
  </w:style>
  <w:style w:type="character" w:customStyle="1" w:styleId="279">
    <w:name w:val="纯文本 字符"/>
    <w:qFormat/>
    <w:uiPriority w:val="0"/>
    <w:rPr>
      <w:rFonts w:ascii="宋体" w:hAnsi="Courier New" w:eastAsia="宋体" w:cs="Courier New"/>
      <w:szCs w:val="21"/>
    </w:rPr>
  </w:style>
  <w:style w:type="character" w:customStyle="1" w:styleId="280">
    <w:name w:val="纯文本 Char"/>
    <w:qFormat/>
    <w:uiPriority w:val="0"/>
    <w:rPr>
      <w:rFonts w:ascii="宋体" w:hAnsi="Courier New" w:eastAsia="宋体" w:cs="Courier New"/>
      <w:szCs w:val="21"/>
    </w:rPr>
  </w:style>
  <w:style w:type="character" w:customStyle="1" w:styleId="281">
    <w:name w:val="纯文本 字符2"/>
    <w:qFormat/>
    <w:uiPriority w:val="0"/>
    <w:rPr>
      <w:rFonts w:ascii="宋体" w:hAnsi="Courier New" w:eastAsia="宋体" w:cs="Courier New"/>
      <w:szCs w:val="21"/>
    </w:rPr>
  </w:style>
  <w:style w:type="character" w:customStyle="1" w:styleId="282">
    <w:name w:val="批注文字 字符1"/>
    <w:qFormat/>
    <w:uiPriority w:val="0"/>
    <w:rPr>
      <w:rFonts w:ascii="Times New Roman" w:hAnsi="Times New Roman"/>
      <w:sz w:val="21"/>
      <w:szCs w:val="24"/>
    </w:rPr>
  </w:style>
  <w:style w:type="character" w:customStyle="1" w:styleId="283">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84">
    <w:name w:val="纯文本 字符1"/>
    <w:qFormat/>
    <w:uiPriority w:val="0"/>
    <w:rPr>
      <w:rFonts w:ascii="宋体" w:hAnsi="Courier New"/>
    </w:rPr>
  </w:style>
  <w:style w:type="character" w:customStyle="1" w:styleId="285">
    <w:name w:val="正文文本 Char"/>
    <w:uiPriority w:val="0"/>
    <w:rPr>
      <w:rFonts w:ascii="Times New Roman" w:hAnsi="Times New Roman"/>
      <w:sz w:val="21"/>
      <w:szCs w:val="24"/>
    </w:rPr>
  </w:style>
  <w:style w:type="character" w:customStyle="1" w:styleId="286">
    <w:name w:val="批注文字 字符"/>
    <w:uiPriority w:val="0"/>
    <w:rPr>
      <w:rFonts w:ascii="Times New Roman" w:hAnsi="Times New Roman"/>
      <w:sz w:val="21"/>
      <w:szCs w:val="24"/>
    </w:rPr>
  </w:style>
  <w:style w:type="character" w:customStyle="1" w:styleId="287">
    <w:name w:val="标题 2 Char"/>
    <w:qFormat/>
    <w:uiPriority w:val="0"/>
    <w:rPr>
      <w:rFonts w:ascii="Cambria" w:hAnsi="Cambria" w:eastAsia="宋体" w:cs="Times New Roman"/>
      <w:b/>
      <w:bCs/>
      <w:sz w:val="32"/>
      <w:szCs w:val="32"/>
    </w:rPr>
  </w:style>
  <w:style w:type="character" w:customStyle="1" w:styleId="288">
    <w:name w:val="标题 8 Char"/>
    <w:qFormat/>
    <w:uiPriority w:val="9"/>
    <w:rPr>
      <w:rFonts w:ascii="Arial" w:hAnsi="Arial" w:eastAsia="黑体"/>
      <w:sz w:val="24"/>
      <w:szCs w:val="24"/>
    </w:rPr>
  </w:style>
  <w:style w:type="character" w:customStyle="1" w:styleId="289">
    <w:name w:val="apple-style-span"/>
    <w:qFormat/>
    <w:uiPriority w:val="0"/>
  </w:style>
  <w:style w:type="paragraph" w:customStyle="1" w:styleId="290">
    <w:name w:val="默认段落字体 Para Char Char Char Char Char Char Char Char Char1 Char Char Char Char"/>
    <w:basedOn w:val="1"/>
    <w:qFormat/>
    <w:uiPriority w:val="0"/>
    <w:rPr>
      <w:rFonts w:ascii="Tahoma" w:hAnsi="Tahoma"/>
      <w:sz w:val="24"/>
      <w:szCs w:val="20"/>
    </w:rPr>
  </w:style>
  <w:style w:type="paragraph" w:customStyle="1" w:styleId="291">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92">
    <w:name w:val="列出段落"/>
    <w:basedOn w:val="1"/>
    <w:qFormat/>
    <w:uiPriority w:val="99"/>
    <w:pPr>
      <w:ind w:firstLine="420"/>
    </w:pPr>
  </w:style>
  <w:style w:type="paragraph" w:customStyle="1" w:styleId="293">
    <w:name w:val="Table Paragraph"/>
    <w:basedOn w:val="1"/>
    <w:qFormat/>
    <w:uiPriority w:val="1"/>
    <w:pPr>
      <w:jc w:val="left"/>
    </w:pPr>
    <w:rPr>
      <w:rFonts w:ascii="Calibri" w:hAnsi="Calibri"/>
      <w:sz w:val="22"/>
      <w:szCs w:val="22"/>
      <w:lang w:eastAsia="en-US"/>
    </w:rPr>
  </w:style>
  <w:style w:type="character" w:customStyle="1" w:styleId="294">
    <w:name w:val="正文文本 字符"/>
    <w:qFormat/>
    <w:uiPriority w:val="0"/>
    <w:rPr>
      <w:rFonts w:ascii="Times New Roman" w:hAnsi="Times New Roman"/>
      <w:sz w:val="21"/>
      <w:szCs w:val="24"/>
    </w:rPr>
  </w:style>
  <w:style w:type="character" w:customStyle="1" w:styleId="295">
    <w:name w:val="批注文字 Char2"/>
    <w:qFormat/>
    <w:uiPriority w:val="0"/>
    <w:rPr>
      <w:rFonts w:ascii="Times New Roman" w:hAnsi="Times New Roman"/>
      <w:sz w:val="21"/>
      <w:szCs w:val="24"/>
    </w:rPr>
  </w:style>
  <w:style w:type="character" w:customStyle="1" w:styleId="296">
    <w:name w:val="正文2 Char Char"/>
    <w:link w:val="297"/>
    <w:qFormat/>
    <w:uiPriority w:val="0"/>
    <w:rPr>
      <w:sz w:val="24"/>
    </w:rPr>
  </w:style>
  <w:style w:type="paragraph" w:customStyle="1" w:styleId="297">
    <w:name w:val="正文2"/>
    <w:basedOn w:val="1"/>
    <w:link w:val="296"/>
    <w:qFormat/>
    <w:uiPriority w:val="0"/>
    <w:pPr>
      <w:spacing w:before="156" w:line="360" w:lineRule="auto"/>
      <w:ind w:firstLine="510"/>
    </w:pPr>
    <w:rPr>
      <w:sz w:val="24"/>
      <w:szCs w:val="20"/>
    </w:rPr>
  </w:style>
  <w:style w:type="character" w:customStyle="1" w:styleId="298">
    <w:name w:val="批注文字 Char Char"/>
    <w:qFormat/>
    <w:uiPriority w:val="99"/>
    <w:rPr>
      <w:rFonts w:ascii="宋体" w:hAnsi="Times New Roman" w:eastAsia="宋体" w:cs="宋体"/>
      <w:sz w:val="20"/>
      <w:szCs w:val="20"/>
    </w:rPr>
  </w:style>
  <w:style w:type="character" w:customStyle="1" w:styleId="299">
    <w:name w:val="Heading 3 Char"/>
    <w:qFormat/>
    <w:uiPriority w:val="99"/>
    <w:rPr>
      <w:b/>
      <w:bCs/>
      <w:sz w:val="32"/>
      <w:szCs w:val="32"/>
    </w:rPr>
  </w:style>
  <w:style w:type="character" w:customStyle="1" w:styleId="300">
    <w:name w:val="Heading 2 Char"/>
    <w:qFormat/>
    <w:uiPriority w:val="99"/>
    <w:rPr>
      <w:rFonts w:ascii="Arial" w:hAnsi="Arial" w:eastAsia="黑体" w:cs="Arial"/>
      <w:b/>
      <w:bCs/>
      <w:sz w:val="32"/>
      <w:szCs w:val="32"/>
      <w:lang w:val="en-US" w:eastAsia="zh-CN"/>
    </w:rPr>
  </w:style>
  <w:style w:type="character" w:customStyle="1" w:styleId="301">
    <w:name w:val="Balloon Text Char"/>
    <w:qFormat/>
    <w:uiPriority w:val="99"/>
    <w:rPr>
      <w:sz w:val="18"/>
      <w:szCs w:val="18"/>
    </w:rPr>
  </w:style>
  <w:style w:type="character" w:customStyle="1" w:styleId="302">
    <w:name w:val="文档结构图 Char1"/>
    <w:qFormat/>
    <w:uiPriority w:val="99"/>
    <w:rPr>
      <w:rFonts w:ascii="宋体" w:hAnsi="Times New Roman" w:eastAsia="宋体" w:cs="宋体"/>
      <w:sz w:val="18"/>
      <w:szCs w:val="18"/>
    </w:rPr>
  </w:style>
  <w:style w:type="character" w:customStyle="1" w:styleId="303">
    <w:name w:val="Footnote Text Char"/>
    <w:qFormat/>
    <w:uiPriority w:val="99"/>
    <w:rPr>
      <w:rFonts w:eastAsia="宋体"/>
      <w:sz w:val="18"/>
      <w:szCs w:val="18"/>
      <w:lang w:val="en-US" w:eastAsia="zh-CN"/>
    </w:rPr>
  </w:style>
  <w:style w:type="character" w:customStyle="1" w:styleId="304">
    <w:name w:val="Char Char21"/>
    <w:qFormat/>
    <w:uiPriority w:val="99"/>
    <w:rPr>
      <w:rFonts w:ascii="Arial" w:hAnsi="Arial" w:eastAsia="黑体" w:cs="Arial"/>
      <w:b/>
      <w:bCs/>
      <w:sz w:val="32"/>
      <w:szCs w:val="32"/>
    </w:rPr>
  </w:style>
  <w:style w:type="character" w:customStyle="1" w:styleId="305">
    <w:name w:val="Body Text Indent Char"/>
    <w:qFormat/>
    <w:uiPriority w:val="99"/>
    <w:rPr>
      <w:rFonts w:ascii="宋体" w:hAnsi="宋体" w:eastAsia="宋体" w:cs="宋体"/>
      <w:sz w:val="21"/>
      <w:szCs w:val="21"/>
      <w:lang w:val="en-US" w:eastAsia="zh-CN"/>
    </w:rPr>
  </w:style>
  <w:style w:type="character" w:customStyle="1" w:styleId="306">
    <w:name w:val="不明显参考111"/>
    <w:qFormat/>
    <w:uiPriority w:val="31"/>
    <w:rPr>
      <w:smallCaps/>
      <w:color w:val="000000"/>
      <w:u w:val="single"/>
    </w:rPr>
  </w:style>
  <w:style w:type="character" w:customStyle="1" w:styleId="307">
    <w:name w:val="Heading 4 Char"/>
    <w:qFormat/>
    <w:uiPriority w:val="99"/>
    <w:rPr>
      <w:rFonts w:ascii="Arial" w:hAnsi="Arial" w:eastAsia="宋体" w:cs="Arial"/>
      <w:b/>
      <w:bCs/>
      <w:sz w:val="28"/>
      <w:szCs w:val="28"/>
      <w:lang w:val="en-US" w:eastAsia="zh-CN"/>
    </w:rPr>
  </w:style>
  <w:style w:type="character" w:customStyle="1" w:styleId="308">
    <w:name w:val="Char Char20"/>
    <w:qFormat/>
    <w:uiPriority w:val="99"/>
    <w:rPr>
      <w:rFonts w:ascii="Times New Roman" w:hAnsi="Times New Roman" w:eastAsia="宋体" w:cs="Times New Roman"/>
      <w:b/>
      <w:bCs/>
      <w:sz w:val="32"/>
      <w:szCs w:val="32"/>
    </w:rPr>
  </w:style>
  <w:style w:type="character" w:customStyle="1" w:styleId="309">
    <w:name w:val="Comment Subject Char"/>
    <w:qFormat/>
    <w:uiPriority w:val="99"/>
    <w:rPr>
      <w:b/>
      <w:bCs/>
      <w:sz w:val="24"/>
      <w:szCs w:val="24"/>
    </w:rPr>
  </w:style>
  <w:style w:type="character" w:customStyle="1" w:styleId="310">
    <w:name w:val="Heading 1 Char"/>
    <w:qFormat/>
    <w:uiPriority w:val="99"/>
    <w:rPr>
      <w:rFonts w:eastAsia="宋体"/>
      <w:b/>
      <w:bCs/>
      <w:sz w:val="44"/>
      <w:szCs w:val="44"/>
      <w:lang w:val="en-US" w:eastAsia="zh-CN"/>
    </w:rPr>
  </w:style>
  <w:style w:type="character" w:customStyle="1" w:styleId="311">
    <w:name w:val="批注框文本 Char1"/>
    <w:qFormat/>
    <w:uiPriority w:val="99"/>
    <w:rPr>
      <w:rFonts w:ascii="Times New Roman" w:hAnsi="Times New Roman" w:eastAsia="宋体" w:cs="Times New Roman"/>
      <w:sz w:val="18"/>
      <w:szCs w:val="18"/>
    </w:rPr>
  </w:style>
  <w:style w:type="character" w:customStyle="1" w:styleId="312">
    <w:name w:val="Char Char6"/>
    <w:qFormat/>
    <w:uiPriority w:val="99"/>
    <w:rPr>
      <w:rFonts w:eastAsia="宋体"/>
      <w:b/>
      <w:bCs/>
      <w:sz w:val="44"/>
      <w:szCs w:val="44"/>
      <w:lang w:val="en-US" w:eastAsia="zh-CN"/>
    </w:rPr>
  </w:style>
  <w:style w:type="character" w:customStyle="1" w:styleId="313">
    <w:name w:val="Char Char18"/>
    <w:qFormat/>
    <w:uiPriority w:val="99"/>
    <w:rPr>
      <w:rFonts w:ascii="Times New Roman" w:hAnsi="Times New Roman" w:eastAsia="宋体" w:cs="Times New Roman"/>
      <w:b/>
      <w:bCs/>
      <w:sz w:val="28"/>
      <w:szCs w:val="28"/>
    </w:rPr>
  </w:style>
  <w:style w:type="character" w:customStyle="1" w:styleId="314">
    <w:name w:val="Body Text Indent 2 Char"/>
    <w:qFormat/>
    <w:uiPriority w:val="99"/>
    <w:rPr>
      <w:rFonts w:eastAsia="宋体"/>
      <w:sz w:val="24"/>
      <w:szCs w:val="24"/>
      <w:lang w:val="en-US" w:eastAsia="zh-CN"/>
    </w:rPr>
  </w:style>
  <w:style w:type="character" w:customStyle="1" w:styleId="315">
    <w:name w:val="Comment Text Char1"/>
    <w:qFormat/>
    <w:uiPriority w:val="99"/>
    <w:rPr>
      <w:sz w:val="24"/>
      <w:szCs w:val="24"/>
    </w:rPr>
  </w:style>
  <w:style w:type="character" w:customStyle="1" w:styleId="316">
    <w:name w:val="标题5 Char Char"/>
    <w:link w:val="317"/>
    <w:qFormat/>
    <w:uiPriority w:val="99"/>
    <w:rPr>
      <w:rFonts w:ascii="Arial" w:hAnsi="Arial" w:cs="Arial"/>
      <w:b/>
      <w:bCs/>
      <w:sz w:val="32"/>
      <w:szCs w:val="32"/>
    </w:rPr>
  </w:style>
  <w:style w:type="paragraph" w:customStyle="1" w:styleId="317">
    <w:name w:val="标题5"/>
    <w:basedOn w:val="201"/>
    <w:link w:val="316"/>
    <w:qFormat/>
    <w:uiPriority w:val="99"/>
    <w:pPr>
      <w:spacing w:line="413" w:lineRule="auto"/>
    </w:pPr>
    <w:rPr>
      <w:rFonts w:ascii="Arial" w:hAnsi="Arial"/>
    </w:rPr>
  </w:style>
  <w:style w:type="character" w:customStyle="1" w:styleId="318">
    <w:name w:val="批注主题 Char1"/>
    <w:qFormat/>
    <w:uiPriority w:val="99"/>
    <w:rPr>
      <w:rFonts w:ascii="Times New Roman" w:hAnsi="Times New Roman" w:eastAsia="宋体" w:cs="Times New Roman"/>
      <w:b/>
      <w:bCs/>
      <w:sz w:val="24"/>
      <w:szCs w:val="24"/>
    </w:rPr>
  </w:style>
  <w:style w:type="character" w:customStyle="1" w:styleId="319">
    <w:name w:val="Char Char24"/>
    <w:qFormat/>
    <w:uiPriority w:val="99"/>
    <w:rPr>
      <w:rFonts w:eastAsia="宋体"/>
      <w:b/>
      <w:bCs/>
      <w:sz w:val="44"/>
      <w:szCs w:val="44"/>
      <w:lang w:val="en-US" w:eastAsia="zh-CN"/>
    </w:rPr>
  </w:style>
  <w:style w:type="character" w:customStyle="1" w:styleId="320">
    <w:name w:val="Footer Char"/>
    <w:qFormat/>
    <w:uiPriority w:val="99"/>
    <w:rPr>
      <w:rFonts w:eastAsia="宋体"/>
      <w:sz w:val="18"/>
      <w:szCs w:val="18"/>
      <w:lang w:val="en-US" w:eastAsia="zh-CN"/>
    </w:rPr>
  </w:style>
  <w:style w:type="character" w:customStyle="1" w:styleId="321">
    <w:name w:val="Char Char9"/>
    <w:qFormat/>
    <w:uiPriority w:val="99"/>
    <w:rPr>
      <w:rFonts w:eastAsia="宋体"/>
      <w:b/>
      <w:bCs/>
      <w:sz w:val="44"/>
      <w:szCs w:val="44"/>
      <w:lang w:val="en-US" w:eastAsia="zh-CN"/>
    </w:rPr>
  </w:style>
  <w:style w:type="character" w:customStyle="1" w:styleId="322">
    <w:name w:val="Heading 3 Char1"/>
    <w:qFormat/>
    <w:uiPriority w:val="99"/>
    <w:rPr>
      <w:rFonts w:eastAsia="宋体"/>
      <w:b/>
      <w:bCs/>
      <w:sz w:val="32"/>
      <w:szCs w:val="32"/>
      <w:lang w:val="en-US" w:eastAsia="zh-CN"/>
    </w:rPr>
  </w:style>
  <w:style w:type="character" w:customStyle="1" w:styleId="323">
    <w:name w:val="Document Map Char"/>
    <w:qFormat/>
    <w:uiPriority w:val="99"/>
    <w:rPr>
      <w:rFonts w:eastAsia="宋体"/>
      <w:sz w:val="24"/>
      <w:szCs w:val="24"/>
      <w:lang w:val="en-US" w:eastAsia="zh-CN"/>
    </w:rPr>
  </w:style>
  <w:style w:type="character" w:customStyle="1" w:styleId="324">
    <w:name w:val="标题 Char1"/>
    <w:qFormat/>
    <w:uiPriority w:val="99"/>
    <w:rPr>
      <w:rFonts w:ascii="Cambria" w:hAnsi="Cambria" w:eastAsia="宋体" w:cs="Cambria"/>
      <w:b/>
      <w:bCs/>
      <w:sz w:val="32"/>
      <w:szCs w:val="32"/>
    </w:rPr>
  </w:style>
  <w:style w:type="character" w:customStyle="1" w:styleId="325">
    <w:name w:val="Char Char22"/>
    <w:qFormat/>
    <w:uiPriority w:val="99"/>
    <w:rPr>
      <w:rFonts w:ascii="Times New Roman" w:hAnsi="Times New Roman" w:eastAsia="宋体" w:cs="Times New Roman"/>
      <w:b/>
      <w:bCs/>
      <w:sz w:val="44"/>
      <w:szCs w:val="44"/>
    </w:rPr>
  </w:style>
  <w:style w:type="character" w:customStyle="1" w:styleId="326">
    <w:name w:val="明显引用 Char"/>
    <w:link w:val="327"/>
    <w:qFormat/>
    <w:uiPriority w:val="99"/>
    <w:rPr>
      <w:b/>
      <w:bCs/>
      <w:i/>
      <w:iCs/>
      <w:color w:val="4F81BD"/>
    </w:rPr>
  </w:style>
  <w:style w:type="paragraph" w:customStyle="1" w:styleId="327">
    <w:name w:val="明显引用1"/>
    <w:basedOn w:val="1"/>
    <w:next w:val="1"/>
    <w:link w:val="326"/>
    <w:qFormat/>
    <w:uiPriority w:val="99"/>
    <w:pPr>
      <w:pBdr>
        <w:bottom w:val="single" w:color="4F81BD" w:sz="4" w:space="4"/>
      </w:pBdr>
      <w:spacing w:before="200" w:after="280"/>
      <w:ind w:left="936" w:right="936"/>
    </w:pPr>
    <w:rPr>
      <w:b/>
      <w:bCs/>
      <w:i/>
      <w:iCs/>
      <w:color w:val="4F81BD"/>
      <w:sz w:val="20"/>
      <w:szCs w:val="20"/>
    </w:rPr>
  </w:style>
  <w:style w:type="character" w:customStyle="1" w:styleId="328">
    <w:name w:val="标题4 Char Char"/>
    <w:link w:val="329"/>
    <w:qFormat/>
    <w:uiPriority w:val="99"/>
    <w:rPr>
      <w:rFonts w:ascii="Arial" w:hAnsi="Arial" w:cs="Arial"/>
      <w:b/>
      <w:bCs/>
      <w:sz w:val="32"/>
      <w:szCs w:val="32"/>
    </w:rPr>
  </w:style>
  <w:style w:type="paragraph" w:customStyle="1" w:styleId="329">
    <w:name w:val="标题4"/>
    <w:basedOn w:val="200"/>
    <w:next w:val="235"/>
    <w:link w:val="328"/>
    <w:qFormat/>
    <w:uiPriority w:val="99"/>
    <w:pPr>
      <w:spacing w:before="60" w:after="60" w:line="413" w:lineRule="auto"/>
    </w:pPr>
    <w:rPr>
      <w:rFonts w:ascii="Arial" w:hAnsi="Arial"/>
    </w:rPr>
  </w:style>
  <w:style w:type="character" w:customStyle="1" w:styleId="330">
    <w:name w:val="Header Char"/>
    <w:qFormat/>
    <w:uiPriority w:val="99"/>
    <w:rPr>
      <w:rFonts w:eastAsia="宋体"/>
      <w:sz w:val="18"/>
      <w:szCs w:val="18"/>
      <w:lang w:val="en-US" w:eastAsia="zh-CN"/>
    </w:rPr>
  </w:style>
  <w:style w:type="character" w:customStyle="1" w:styleId="331">
    <w:name w:val="明显引用 Char1"/>
    <w:qFormat/>
    <w:uiPriority w:val="99"/>
    <w:rPr>
      <w:rFonts w:ascii="Times New Roman" w:hAnsi="Times New Roman" w:eastAsia="宋体" w:cs="Times New Roman"/>
      <w:b/>
      <w:bCs/>
      <w:i/>
      <w:iCs/>
      <w:color w:val="4F81BD"/>
      <w:sz w:val="24"/>
      <w:szCs w:val="24"/>
    </w:rPr>
  </w:style>
  <w:style w:type="character" w:customStyle="1" w:styleId="332">
    <w:name w:val="Comment Text Char"/>
    <w:qFormat/>
    <w:uiPriority w:val="99"/>
    <w:rPr>
      <w:sz w:val="24"/>
      <w:szCs w:val="24"/>
    </w:rPr>
  </w:style>
  <w:style w:type="character" w:customStyle="1" w:styleId="333">
    <w:name w:val="明显参考111"/>
    <w:qFormat/>
    <w:uiPriority w:val="32"/>
    <w:rPr>
      <w:b/>
      <w:bCs/>
      <w:smallCaps/>
      <w:color w:val="000000"/>
      <w:spacing w:val="5"/>
      <w:u w:val="single"/>
    </w:rPr>
  </w:style>
  <w:style w:type="character" w:customStyle="1" w:styleId="334">
    <w:name w:val="明显强调111"/>
    <w:qFormat/>
    <w:uiPriority w:val="21"/>
    <w:rPr>
      <w:b/>
      <w:bCs/>
      <w:i/>
      <w:iCs/>
      <w:color w:val="4F81BD"/>
    </w:rPr>
  </w:style>
  <w:style w:type="character" w:customStyle="1" w:styleId="335">
    <w:name w:val="引用 Char1"/>
    <w:qFormat/>
    <w:uiPriority w:val="99"/>
    <w:rPr>
      <w:rFonts w:ascii="Times New Roman" w:hAnsi="Times New Roman" w:eastAsia="宋体" w:cs="Times New Roman"/>
      <w:i/>
      <w:iCs/>
      <w:color w:val="000000"/>
      <w:sz w:val="24"/>
      <w:szCs w:val="24"/>
    </w:rPr>
  </w:style>
  <w:style w:type="character" w:customStyle="1" w:styleId="336">
    <w:name w:val="引用 Char"/>
    <w:link w:val="337"/>
    <w:qFormat/>
    <w:uiPriority w:val="99"/>
    <w:rPr>
      <w:i/>
      <w:iCs/>
      <w:color w:val="000000"/>
    </w:rPr>
  </w:style>
  <w:style w:type="paragraph" w:customStyle="1" w:styleId="337">
    <w:name w:val="引用1"/>
    <w:basedOn w:val="1"/>
    <w:next w:val="1"/>
    <w:link w:val="336"/>
    <w:qFormat/>
    <w:uiPriority w:val="99"/>
    <w:rPr>
      <w:i/>
      <w:iCs/>
      <w:color w:val="000000"/>
      <w:sz w:val="20"/>
      <w:szCs w:val="20"/>
    </w:rPr>
  </w:style>
  <w:style w:type="character" w:customStyle="1" w:styleId="338">
    <w:name w:val="标题 Char2"/>
    <w:qFormat/>
    <w:uiPriority w:val="99"/>
    <w:rPr>
      <w:rFonts w:ascii="Cambria" w:hAnsi="Cambria" w:eastAsia="宋体" w:cs="Cambria"/>
      <w:b/>
      <w:bCs/>
      <w:sz w:val="32"/>
      <w:szCs w:val="32"/>
    </w:rPr>
  </w:style>
  <w:style w:type="character" w:customStyle="1" w:styleId="339">
    <w:name w:val="Char Char23"/>
    <w:qFormat/>
    <w:uiPriority w:val="99"/>
    <w:rPr>
      <w:rFonts w:eastAsia="宋体"/>
      <w:b/>
      <w:bCs/>
      <w:sz w:val="44"/>
      <w:szCs w:val="44"/>
      <w:lang w:val="en-US" w:eastAsia="zh-CN"/>
    </w:rPr>
  </w:style>
  <w:style w:type="character" w:customStyle="1" w:styleId="340">
    <w:name w:val="Plain Text Char"/>
    <w:qFormat/>
    <w:uiPriority w:val="99"/>
    <w:rPr>
      <w:rFonts w:ascii="宋体" w:hAnsi="Courier New" w:eastAsia="宋体" w:cs="宋体"/>
      <w:sz w:val="24"/>
      <w:szCs w:val="24"/>
    </w:rPr>
  </w:style>
  <w:style w:type="character" w:customStyle="1" w:styleId="341">
    <w:name w:val="Char Char91"/>
    <w:qFormat/>
    <w:uiPriority w:val="99"/>
    <w:rPr>
      <w:rFonts w:eastAsia="宋体"/>
      <w:b/>
      <w:bCs/>
      <w:sz w:val="44"/>
      <w:szCs w:val="44"/>
      <w:lang w:val="en-US" w:eastAsia="zh-CN"/>
    </w:rPr>
  </w:style>
  <w:style w:type="character" w:customStyle="1" w:styleId="342">
    <w:name w:val="Char Char181"/>
    <w:qFormat/>
    <w:uiPriority w:val="99"/>
    <w:rPr>
      <w:b/>
      <w:bCs/>
      <w:sz w:val="44"/>
      <w:szCs w:val="44"/>
    </w:rPr>
  </w:style>
  <w:style w:type="character" w:customStyle="1" w:styleId="343">
    <w:name w:val="Heading 5 Char"/>
    <w:qFormat/>
    <w:uiPriority w:val="99"/>
    <w:rPr>
      <w:rFonts w:eastAsia="宋体"/>
      <w:b/>
      <w:bCs/>
      <w:sz w:val="28"/>
      <w:szCs w:val="28"/>
      <w:lang w:val="en-US" w:eastAsia="zh-CN"/>
    </w:rPr>
  </w:style>
  <w:style w:type="character" w:customStyle="1" w:styleId="344">
    <w:name w:val="Char Char19"/>
    <w:qFormat/>
    <w:uiPriority w:val="99"/>
    <w:rPr>
      <w:rFonts w:ascii="Arial" w:hAnsi="Arial" w:eastAsia="宋体" w:cs="Arial"/>
      <w:b/>
      <w:bCs/>
      <w:sz w:val="28"/>
      <w:szCs w:val="28"/>
    </w:rPr>
  </w:style>
  <w:style w:type="character" w:customStyle="1" w:styleId="345">
    <w:name w:val="日期 Char1"/>
    <w:qFormat/>
    <w:uiPriority w:val="99"/>
    <w:rPr>
      <w:rFonts w:ascii="Times New Roman" w:hAnsi="Times New Roman" w:eastAsia="宋体" w:cs="Times New Roman"/>
      <w:sz w:val="24"/>
      <w:szCs w:val="24"/>
    </w:rPr>
  </w:style>
  <w:style w:type="character" w:customStyle="1" w:styleId="346">
    <w:name w:val="Date Char"/>
    <w:qFormat/>
    <w:uiPriority w:val="99"/>
    <w:rPr>
      <w:rFonts w:eastAsia="宋体"/>
      <w:sz w:val="24"/>
      <w:szCs w:val="24"/>
      <w:lang w:val="en-US" w:eastAsia="zh-CN"/>
    </w:rPr>
  </w:style>
  <w:style w:type="character" w:customStyle="1" w:styleId="347">
    <w:name w:val="Title Char"/>
    <w:qFormat/>
    <w:uiPriority w:val="99"/>
    <w:rPr>
      <w:rFonts w:ascii="Cambria" w:hAnsi="Cambria" w:cs="Cambria"/>
      <w:b/>
      <w:bCs/>
      <w:sz w:val="32"/>
      <w:szCs w:val="32"/>
    </w:rPr>
  </w:style>
  <w:style w:type="character" w:customStyle="1" w:styleId="348">
    <w:name w:val="书籍标题111"/>
    <w:qFormat/>
    <w:uiPriority w:val="33"/>
    <w:rPr>
      <w:b/>
      <w:bCs/>
      <w:smallCaps/>
      <w:spacing w:val="5"/>
    </w:rPr>
  </w:style>
  <w:style w:type="character" w:customStyle="1" w:styleId="349">
    <w:name w:val="不明显强调111"/>
    <w:qFormat/>
    <w:uiPriority w:val="19"/>
    <w:rPr>
      <w:i/>
      <w:iCs/>
      <w:color w:val="808080"/>
    </w:rPr>
  </w:style>
  <w:style w:type="paragraph" w:customStyle="1" w:styleId="350">
    <w:name w:val="样式1"/>
    <w:basedOn w:val="1"/>
    <w:next w:val="202"/>
    <w:qFormat/>
    <w:uiPriority w:val="99"/>
    <w:pPr>
      <w:spacing w:line="360" w:lineRule="auto"/>
      <w:ind w:firstLine="420"/>
    </w:pPr>
    <w:rPr>
      <w:rFonts w:ascii="宋体" w:hAnsi="宋体" w:cs="宋体"/>
      <w:szCs w:val="21"/>
    </w:rPr>
  </w:style>
  <w:style w:type="paragraph" w:customStyle="1" w:styleId="351">
    <w:name w:val="Default"/>
    <w:qFormat/>
    <w:uiPriority w:val="99"/>
    <w:pPr>
      <w:widowControl w:val="0"/>
    </w:pPr>
    <w:rPr>
      <w:rFonts w:ascii="Times New Roman" w:hAnsi="Times New Roman" w:eastAsia="宋体" w:cs="Times New Roman"/>
      <w:color w:val="000000"/>
      <w:sz w:val="24"/>
      <w:szCs w:val="24"/>
      <w:lang w:val="en-US" w:eastAsia="zh-CN" w:bidi="ar-SA"/>
    </w:rPr>
  </w:style>
  <w:style w:type="paragraph" w:customStyle="1" w:styleId="352">
    <w:name w:val="Char Char Char Char Char Char Char"/>
    <w:basedOn w:val="1"/>
    <w:qFormat/>
    <w:uiPriority w:val="99"/>
    <w:pPr>
      <w:widowControl/>
      <w:spacing w:after="160" w:line="240" w:lineRule="exact"/>
      <w:jc w:val="left"/>
    </w:pPr>
    <w:rPr>
      <w:szCs w:val="21"/>
    </w:rPr>
  </w:style>
  <w:style w:type="paragraph" w:customStyle="1" w:styleId="353">
    <w:name w:val="无间隔1"/>
    <w:qFormat/>
    <w:uiPriority w:val="99"/>
    <w:pPr>
      <w:widowControl w:val="0"/>
      <w:jc w:val="both"/>
    </w:pPr>
    <w:rPr>
      <w:rFonts w:ascii="Times New Roman" w:hAnsi="Times New Roman" w:eastAsia="宋体" w:cs="Times New Roman"/>
      <w:sz w:val="21"/>
      <w:szCs w:val="21"/>
      <w:lang w:val="en-US" w:eastAsia="zh-CN" w:bidi="ar-SA"/>
    </w:rPr>
  </w:style>
  <w:style w:type="paragraph" w:customStyle="1" w:styleId="354">
    <w:name w:val="正文_1"/>
    <w:qFormat/>
    <w:uiPriority w:val="99"/>
    <w:pPr>
      <w:widowControl w:val="0"/>
      <w:jc w:val="both"/>
    </w:pPr>
    <w:rPr>
      <w:rFonts w:ascii="Times New Roman" w:hAnsi="Times New Roman" w:eastAsia="宋体" w:cs="Times New Roman"/>
      <w:sz w:val="21"/>
      <w:szCs w:val="21"/>
      <w:lang w:val="en-US" w:eastAsia="zh-CN" w:bidi="ar-SA"/>
    </w:rPr>
  </w:style>
  <w:style w:type="paragraph" w:customStyle="1" w:styleId="355">
    <w:name w:val="TOC 标题111"/>
    <w:basedOn w:val="199"/>
    <w:next w:val="1"/>
    <w:qFormat/>
    <w:uiPriority w:val="39"/>
    <w:pPr>
      <w:spacing w:line="576" w:lineRule="auto"/>
      <w:outlineLvl w:val="9"/>
    </w:pPr>
    <w:rPr>
      <w:rFonts w:ascii="Calibri" w:hAnsi="Calibri" w:eastAsia="黑体" w:cs="Calibri"/>
      <w:lang w:val="zh-CN"/>
    </w:rPr>
  </w:style>
  <w:style w:type="paragraph" w:customStyle="1" w:styleId="356">
    <w:name w:val="空半行"/>
    <w:basedOn w:val="1"/>
    <w:qFormat/>
    <w:uiPriority w:val="99"/>
    <w:pPr>
      <w:spacing w:line="120" w:lineRule="exact"/>
    </w:pPr>
    <w:rPr>
      <w:rFonts w:eastAsia="仿宋_GB2312"/>
      <w:color w:val="FFFFFF"/>
      <w:sz w:val="30"/>
      <w:szCs w:val="30"/>
    </w:rPr>
  </w:style>
  <w:style w:type="paragraph" w:customStyle="1" w:styleId="357">
    <w:name w:val="p0"/>
    <w:basedOn w:val="1"/>
    <w:qFormat/>
    <w:uiPriority w:val="0"/>
    <w:pPr>
      <w:widowControl/>
    </w:pPr>
    <w:rPr>
      <w:rFonts w:ascii="Calibri" w:hAnsi="Calibri" w:cs="Calibri"/>
      <w:szCs w:val="21"/>
    </w:rPr>
  </w:style>
  <w:style w:type="paragraph" w:customStyle="1" w:styleId="358">
    <w:name w:val="Char"/>
    <w:basedOn w:val="1"/>
    <w:qFormat/>
    <w:uiPriority w:val="99"/>
    <w:pPr>
      <w:widowControl/>
      <w:spacing w:after="160" w:line="240" w:lineRule="exact"/>
      <w:jc w:val="left"/>
    </w:pPr>
    <w:rPr>
      <w:szCs w:val="21"/>
    </w:rPr>
  </w:style>
  <w:style w:type="paragraph" w:customStyle="1" w:styleId="359">
    <w:name w:val="1"/>
    <w:basedOn w:val="1"/>
    <w:next w:val="1"/>
    <w:qFormat/>
    <w:uiPriority w:val="99"/>
    <w:rPr>
      <w:szCs w:val="21"/>
    </w:rPr>
  </w:style>
  <w:style w:type="paragraph" w:customStyle="1" w:styleId="360">
    <w:name w:val="列出段落2"/>
    <w:basedOn w:val="1"/>
    <w:qFormat/>
    <w:uiPriority w:val="99"/>
    <w:pPr>
      <w:ind w:firstLine="420"/>
    </w:pPr>
    <w:rPr>
      <w:rFonts w:ascii="Calibri" w:hAnsi="Calibri" w:cs="Calibri"/>
      <w:szCs w:val="21"/>
    </w:rPr>
  </w:style>
  <w:style w:type="paragraph" w:customStyle="1" w:styleId="361">
    <w:name w:val="修订1"/>
    <w:qFormat/>
    <w:uiPriority w:val="99"/>
    <w:rPr>
      <w:rFonts w:ascii="Times New Roman" w:hAnsi="Times New Roman" w:eastAsia="宋体" w:cs="Times New Roman"/>
      <w:sz w:val="21"/>
      <w:szCs w:val="21"/>
      <w:lang w:val="en-US" w:eastAsia="zh-CN" w:bidi="ar-SA"/>
    </w:rPr>
  </w:style>
  <w:style w:type="paragraph" w:customStyle="1" w:styleId="362">
    <w:name w:val="无间隔11"/>
    <w:qFormat/>
    <w:uiPriority w:val="99"/>
    <w:pPr>
      <w:widowControl w:val="0"/>
      <w:jc w:val="both"/>
    </w:pPr>
    <w:rPr>
      <w:rFonts w:ascii="Times New Roman" w:hAnsi="Times New Roman" w:eastAsia="宋体" w:cs="Times New Roman"/>
      <w:sz w:val="21"/>
      <w:szCs w:val="21"/>
      <w:lang w:val="en-US" w:eastAsia="zh-CN" w:bidi="ar-SA"/>
    </w:rPr>
  </w:style>
  <w:style w:type="paragraph" w:customStyle="1" w:styleId="363">
    <w:name w:val="修订111"/>
    <w:qFormat/>
    <w:uiPriority w:val="99"/>
    <w:rPr>
      <w:rFonts w:ascii="Times New Roman" w:hAnsi="Times New Roman" w:eastAsia="宋体" w:cs="Times New Roman"/>
      <w:sz w:val="21"/>
      <w:szCs w:val="21"/>
      <w:lang w:val="en-US" w:eastAsia="zh-CN" w:bidi="ar-SA"/>
    </w:rPr>
  </w:style>
  <w:style w:type="paragraph" w:customStyle="1" w:styleId="364">
    <w:name w:val="样式 标题 2 + Times New Roman 四号 非加粗 段前: 5 磅 段后: 0 磅 行距: 固定值 20..."/>
    <w:basedOn w:val="200"/>
    <w:qFormat/>
    <w:uiPriority w:val="99"/>
    <w:pPr>
      <w:spacing w:before="100" w:after="0" w:line="400" w:lineRule="exact"/>
    </w:pPr>
    <w:rPr>
      <w:rFonts w:ascii="Times New Roman" w:hAnsi="Times New Roman" w:eastAsia="黑体"/>
      <w:b w:val="0"/>
      <w:bCs w:val="0"/>
      <w:sz w:val="28"/>
      <w:szCs w:val="28"/>
      <w:lang w:val="zh-CN"/>
    </w:rPr>
  </w:style>
  <w:style w:type="paragraph" w:customStyle="1" w:styleId="365">
    <w:name w:val="2-2ji"/>
    <w:basedOn w:val="200"/>
    <w:qFormat/>
    <w:uiPriority w:val="99"/>
    <w:pPr>
      <w:spacing w:before="0" w:after="0" w:line="360" w:lineRule="auto"/>
      <w:jc w:val="center"/>
    </w:pPr>
    <w:rPr>
      <w:rFonts w:ascii="宋体" w:hAnsi="宋体" w:cs="宋体"/>
      <w:sz w:val="36"/>
      <w:szCs w:val="36"/>
      <w:lang w:val="zh-CN"/>
    </w:rPr>
  </w:style>
  <w:style w:type="paragraph" w:customStyle="1" w:styleId="366">
    <w:name w:val="reader-word-layer"/>
    <w:basedOn w:val="1"/>
    <w:qFormat/>
    <w:uiPriority w:val="99"/>
    <w:pPr>
      <w:widowControl/>
      <w:spacing w:before="100" w:beforeAutospacing="1" w:after="100" w:afterAutospacing="1"/>
      <w:jc w:val="left"/>
    </w:pPr>
    <w:rPr>
      <w:rFonts w:ascii="宋体" w:hAnsi="宋体" w:cs="宋体"/>
      <w:sz w:val="24"/>
    </w:rPr>
  </w:style>
  <w:style w:type="paragraph" w:customStyle="1" w:styleId="367">
    <w:name w:val="flNote"/>
    <w:basedOn w:val="1"/>
    <w:qFormat/>
    <w:uiPriority w:val="99"/>
    <w:pPr>
      <w:spacing w:before="320" w:after="160" w:line="360" w:lineRule="atLeast"/>
      <w:jc w:val="center"/>
    </w:pPr>
    <w:rPr>
      <w:rFonts w:ascii="Arial" w:eastAsia="黑体" w:cs="Arial"/>
      <w:sz w:val="30"/>
      <w:szCs w:val="30"/>
    </w:rPr>
  </w:style>
  <w:style w:type="paragraph" w:customStyle="1" w:styleId="368">
    <w:name w:val="列出段落1"/>
    <w:basedOn w:val="1"/>
    <w:qFormat/>
    <w:uiPriority w:val="99"/>
    <w:pPr>
      <w:ind w:firstLine="420"/>
    </w:pPr>
    <w:rPr>
      <w:rFonts w:ascii="Calibri" w:hAnsi="Calibri" w:cs="Calibri"/>
      <w:szCs w:val="21"/>
    </w:rPr>
  </w:style>
  <w:style w:type="paragraph" w:customStyle="1" w:styleId="369">
    <w:name w:val="Char Char Char Char"/>
    <w:basedOn w:val="1"/>
    <w:qFormat/>
    <w:uiPriority w:val="99"/>
    <w:pPr>
      <w:widowControl/>
      <w:spacing w:line="500" w:lineRule="exact"/>
      <w:outlineLvl w:val="2"/>
    </w:pPr>
    <w:rPr>
      <w:rFonts w:ascii="黑体" w:hAnsi="Verdana" w:eastAsia="黑体" w:cs="黑体"/>
      <w:sz w:val="28"/>
      <w:szCs w:val="28"/>
      <w:lang w:eastAsia="en-US"/>
    </w:rPr>
  </w:style>
  <w:style w:type="paragraph" w:customStyle="1" w:styleId="370">
    <w:name w:val="Char1"/>
    <w:basedOn w:val="1"/>
    <w:qFormat/>
    <w:uiPriority w:val="99"/>
    <w:pPr>
      <w:widowControl/>
      <w:spacing w:after="160" w:line="240" w:lineRule="exact"/>
      <w:jc w:val="left"/>
    </w:pPr>
    <w:rPr>
      <w:szCs w:val="21"/>
    </w:rPr>
  </w:style>
  <w:style w:type="paragraph" w:customStyle="1" w:styleId="371">
    <w:name w:val="_Style 37"/>
    <w:basedOn w:val="1"/>
    <w:next w:val="1"/>
    <w:qFormat/>
    <w:uiPriority w:val="99"/>
    <w:rPr>
      <w:szCs w:val="21"/>
    </w:rPr>
  </w:style>
  <w:style w:type="paragraph" w:customStyle="1" w:styleId="372">
    <w:name w:val="样式 标题 3 + (中文) 黑体 小四 非加粗 段前: 7.8 磅 段后: 0 磅 行距: 固定值 20 磅"/>
    <w:basedOn w:val="201"/>
    <w:qFormat/>
    <w:uiPriority w:val="99"/>
    <w:pPr>
      <w:spacing w:before="0" w:after="0" w:line="400" w:lineRule="exact"/>
    </w:pPr>
    <w:rPr>
      <w:rFonts w:eastAsia="黑体"/>
      <w:b w:val="0"/>
      <w:bCs w:val="0"/>
      <w:lang w:val="zh-CN"/>
    </w:rPr>
  </w:style>
  <w:style w:type="paragraph" w:customStyle="1" w:styleId="373">
    <w:name w:val="无间隔2"/>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374">
    <w:name w:val="Body text|1"/>
    <w:basedOn w:val="1"/>
    <w:link w:val="375"/>
    <w:qFormat/>
    <w:uiPriority w:val="0"/>
    <w:pPr>
      <w:spacing w:line="360" w:lineRule="auto"/>
      <w:ind w:firstLine="400"/>
    </w:pPr>
    <w:rPr>
      <w:rFonts w:ascii="宋体" w:hAnsi="宋体" w:cs="宋体"/>
      <w:szCs w:val="20"/>
      <w:lang w:val="zh-CN" w:bidi="zh-CN"/>
    </w:rPr>
  </w:style>
  <w:style w:type="character" w:customStyle="1" w:styleId="375">
    <w:name w:val="Body text|1_"/>
    <w:link w:val="374"/>
    <w:qFormat/>
    <w:uiPriority w:val="0"/>
    <w:rPr>
      <w:rFonts w:ascii="宋体" w:hAnsi="宋体" w:cs="宋体"/>
      <w:sz w:val="21"/>
      <w:lang w:val="zh-CN" w:bidi="zh-CN"/>
    </w:rPr>
  </w:style>
  <w:style w:type="character" w:customStyle="1" w:styleId="376">
    <w:name w:val="Body text|3_"/>
    <w:link w:val="377"/>
    <w:qFormat/>
    <w:uiPriority w:val="0"/>
    <w:rPr>
      <w:rFonts w:ascii="宋体" w:hAnsi="宋体" w:cs="宋体"/>
      <w:lang w:val="zh-CN" w:bidi="zh-CN"/>
    </w:rPr>
  </w:style>
  <w:style w:type="paragraph" w:customStyle="1" w:styleId="377">
    <w:name w:val="Body text|3"/>
    <w:basedOn w:val="1"/>
    <w:link w:val="376"/>
    <w:qFormat/>
    <w:uiPriority w:val="0"/>
    <w:pPr>
      <w:spacing w:after="340"/>
      <w:jc w:val="left"/>
    </w:pPr>
    <w:rPr>
      <w:rFonts w:ascii="宋体" w:hAnsi="宋体" w:cs="宋体"/>
      <w:sz w:val="20"/>
      <w:szCs w:val="20"/>
      <w:lang w:val="zh-CN" w:bidi="zh-CN"/>
    </w:rPr>
  </w:style>
  <w:style w:type="character" w:customStyle="1" w:styleId="378">
    <w:name w:val="Other|1_"/>
    <w:link w:val="379"/>
    <w:qFormat/>
    <w:uiPriority w:val="0"/>
    <w:rPr>
      <w:rFonts w:ascii="宋体" w:hAnsi="宋体" w:cs="宋体"/>
      <w:lang w:val="zh-CN" w:bidi="zh-CN"/>
    </w:rPr>
  </w:style>
  <w:style w:type="paragraph" w:customStyle="1" w:styleId="379">
    <w:name w:val="Other|1"/>
    <w:basedOn w:val="1"/>
    <w:link w:val="378"/>
    <w:qFormat/>
    <w:uiPriority w:val="0"/>
    <w:pPr>
      <w:spacing w:line="360" w:lineRule="auto"/>
      <w:ind w:firstLine="400"/>
      <w:jc w:val="left"/>
    </w:pPr>
    <w:rPr>
      <w:rFonts w:ascii="宋体" w:hAnsi="宋体" w:cs="宋体"/>
      <w:sz w:val="20"/>
      <w:szCs w:val="20"/>
      <w:lang w:val="zh-CN" w:bidi="zh-CN"/>
    </w:rPr>
  </w:style>
  <w:style w:type="character" w:customStyle="1" w:styleId="380">
    <w:name w:val="Table of contents|1_"/>
    <w:link w:val="381"/>
    <w:qFormat/>
    <w:uiPriority w:val="0"/>
    <w:rPr>
      <w:rFonts w:ascii="宋体" w:hAnsi="宋体" w:cs="宋体"/>
      <w:lang w:val="zh-CN" w:bidi="zh-CN"/>
    </w:rPr>
  </w:style>
  <w:style w:type="paragraph" w:customStyle="1" w:styleId="381">
    <w:name w:val="Table of contents|1"/>
    <w:basedOn w:val="1"/>
    <w:link w:val="380"/>
    <w:qFormat/>
    <w:uiPriority w:val="0"/>
    <w:pPr>
      <w:spacing w:after="100"/>
      <w:ind w:firstLine="600"/>
      <w:jc w:val="left"/>
    </w:pPr>
    <w:rPr>
      <w:rFonts w:ascii="宋体" w:hAnsi="宋体" w:cs="宋体"/>
      <w:sz w:val="20"/>
      <w:szCs w:val="20"/>
      <w:lang w:val="zh-CN" w:bidi="zh-CN"/>
    </w:rPr>
  </w:style>
  <w:style w:type="character" w:customStyle="1" w:styleId="382">
    <w:name w:val="Header or footer|1_"/>
    <w:link w:val="383"/>
    <w:qFormat/>
    <w:uiPriority w:val="0"/>
    <w:rPr>
      <w:sz w:val="17"/>
      <w:szCs w:val="17"/>
      <w:lang w:val="zh-CN" w:bidi="zh-CN"/>
    </w:rPr>
  </w:style>
  <w:style w:type="paragraph" w:customStyle="1" w:styleId="383">
    <w:name w:val="Header or footer|1"/>
    <w:basedOn w:val="1"/>
    <w:link w:val="382"/>
    <w:qFormat/>
    <w:uiPriority w:val="0"/>
    <w:pPr>
      <w:jc w:val="center"/>
    </w:pPr>
    <w:rPr>
      <w:sz w:val="17"/>
      <w:szCs w:val="17"/>
      <w:lang w:val="zh-CN" w:bidi="zh-CN"/>
    </w:rPr>
  </w:style>
  <w:style w:type="character" w:customStyle="1" w:styleId="384">
    <w:name w:val="Heading #3|1_"/>
    <w:link w:val="385"/>
    <w:qFormat/>
    <w:uiPriority w:val="0"/>
    <w:rPr>
      <w:rFonts w:ascii="宋体" w:hAnsi="宋体" w:cs="宋体"/>
      <w:sz w:val="28"/>
      <w:szCs w:val="28"/>
      <w:lang w:val="zh-CN" w:bidi="zh-CN"/>
    </w:rPr>
  </w:style>
  <w:style w:type="paragraph" w:customStyle="1" w:styleId="385">
    <w:name w:val="Heading #3|1"/>
    <w:basedOn w:val="1"/>
    <w:link w:val="384"/>
    <w:qFormat/>
    <w:uiPriority w:val="0"/>
    <w:pPr>
      <w:spacing w:after="570"/>
      <w:jc w:val="center"/>
      <w:outlineLvl w:val="2"/>
    </w:pPr>
    <w:rPr>
      <w:rFonts w:ascii="宋体" w:hAnsi="宋体" w:cs="宋体"/>
      <w:sz w:val="28"/>
      <w:szCs w:val="28"/>
      <w:lang w:val="zh-CN" w:bidi="zh-CN"/>
    </w:rPr>
  </w:style>
  <w:style w:type="character" w:customStyle="1" w:styleId="386">
    <w:name w:val="Body text|7_"/>
    <w:link w:val="387"/>
    <w:qFormat/>
    <w:uiPriority w:val="0"/>
    <w:rPr>
      <w:rFonts w:ascii="Courier New" w:hAnsi="Courier New" w:eastAsia="Courier New" w:cs="Courier New"/>
      <w:b/>
      <w:bCs/>
      <w:sz w:val="8"/>
      <w:szCs w:val="8"/>
      <w:lang w:val="zh-CN"/>
    </w:rPr>
  </w:style>
  <w:style w:type="paragraph" w:customStyle="1" w:styleId="387">
    <w:name w:val="Body text|7"/>
    <w:basedOn w:val="1"/>
    <w:link w:val="386"/>
    <w:qFormat/>
    <w:uiPriority w:val="0"/>
    <w:pPr>
      <w:ind w:hanging="1760"/>
      <w:jc w:val="left"/>
    </w:pPr>
    <w:rPr>
      <w:rFonts w:ascii="Courier New" w:hAnsi="Courier New" w:eastAsia="Courier New"/>
      <w:b/>
      <w:bCs/>
      <w:sz w:val="8"/>
      <w:szCs w:val="8"/>
      <w:lang w:val="zh-CN"/>
    </w:rPr>
  </w:style>
  <w:style w:type="character" w:customStyle="1" w:styleId="388">
    <w:name w:val="Body text|4_"/>
    <w:link w:val="389"/>
    <w:qFormat/>
    <w:uiPriority w:val="0"/>
    <w:rPr>
      <w:rFonts w:ascii="宋体" w:hAnsi="宋体" w:cs="宋体"/>
      <w:b/>
      <w:bCs/>
      <w:sz w:val="17"/>
      <w:szCs w:val="17"/>
      <w:lang w:val="zh-CN" w:bidi="zh-CN"/>
    </w:rPr>
  </w:style>
  <w:style w:type="paragraph" w:customStyle="1" w:styleId="389">
    <w:name w:val="Body text|4"/>
    <w:basedOn w:val="1"/>
    <w:link w:val="388"/>
    <w:qFormat/>
    <w:uiPriority w:val="0"/>
    <w:pPr>
      <w:spacing w:line="281" w:lineRule="exact"/>
      <w:jc w:val="center"/>
    </w:pPr>
    <w:rPr>
      <w:rFonts w:ascii="宋体" w:hAnsi="宋体" w:cs="宋体"/>
      <w:b/>
      <w:bCs/>
      <w:sz w:val="17"/>
      <w:szCs w:val="17"/>
      <w:lang w:val="zh-CN" w:bidi="zh-CN"/>
    </w:rPr>
  </w:style>
  <w:style w:type="character" w:customStyle="1" w:styleId="390">
    <w:name w:val="Heading #4|1_"/>
    <w:link w:val="391"/>
    <w:qFormat/>
    <w:uiPriority w:val="0"/>
    <w:rPr>
      <w:rFonts w:ascii="宋体" w:hAnsi="宋体" w:cs="宋体"/>
      <w:lang w:val="zh-CN" w:bidi="zh-CN"/>
    </w:rPr>
  </w:style>
  <w:style w:type="paragraph" w:customStyle="1" w:styleId="391">
    <w:name w:val="Heading #4|1"/>
    <w:basedOn w:val="1"/>
    <w:link w:val="390"/>
    <w:qFormat/>
    <w:uiPriority w:val="0"/>
    <w:pPr>
      <w:spacing w:after="120"/>
      <w:jc w:val="left"/>
      <w:outlineLvl w:val="3"/>
    </w:pPr>
    <w:rPr>
      <w:rFonts w:ascii="宋体" w:hAnsi="宋体" w:cs="宋体"/>
      <w:sz w:val="20"/>
      <w:szCs w:val="20"/>
      <w:lang w:val="zh-CN" w:bidi="zh-CN"/>
    </w:rPr>
  </w:style>
  <w:style w:type="character" w:customStyle="1" w:styleId="392">
    <w:name w:val="Body text|5_"/>
    <w:link w:val="393"/>
    <w:qFormat/>
    <w:uiPriority w:val="0"/>
    <w:rPr>
      <w:rFonts w:ascii="宋体" w:hAnsi="宋体" w:cs="宋体"/>
      <w:sz w:val="52"/>
      <w:szCs w:val="52"/>
      <w:lang w:val="zh-CN" w:bidi="zh-CN"/>
    </w:rPr>
  </w:style>
  <w:style w:type="paragraph" w:customStyle="1" w:styleId="393">
    <w:name w:val="Body text|5"/>
    <w:basedOn w:val="1"/>
    <w:link w:val="392"/>
    <w:qFormat/>
    <w:uiPriority w:val="0"/>
    <w:pPr>
      <w:jc w:val="center"/>
    </w:pPr>
    <w:rPr>
      <w:rFonts w:ascii="宋体" w:hAnsi="宋体" w:cs="宋体"/>
      <w:sz w:val="52"/>
      <w:szCs w:val="52"/>
      <w:lang w:val="zh-CN" w:bidi="zh-CN"/>
    </w:rPr>
  </w:style>
  <w:style w:type="character" w:customStyle="1" w:styleId="394">
    <w:name w:val="Header or footer|2_"/>
    <w:link w:val="395"/>
    <w:qFormat/>
    <w:uiPriority w:val="0"/>
    <w:rPr>
      <w:lang w:val="zh-CN" w:bidi="zh-CN"/>
    </w:rPr>
  </w:style>
  <w:style w:type="paragraph" w:customStyle="1" w:styleId="395">
    <w:name w:val="Header or footer|2"/>
    <w:basedOn w:val="1"/>
    <w:link w:val="394"/>
    <w:qFormat/>
    <w:uiPriority w:val="0"/>
    <w:pPr>
      <w:jc w:val="left"/>
    </w:pPr>
    <w:rPr>
      <w:sz w:val="20"/>
      <w:szCs w:val="20"/>
      <w:lang w:val="zh-CN" w:bidi="zh-CN"/>
    </w:rPr>
  </w:style>
  <w:style w:type="character" w:customStyle="1" w:styleId="396">
    <w:name w:val="Heading #2|1_"/>
    <w:link w:val="397"/>
    <w:qFormat/>
    <w:uiPriority w:val="0"/>
    <w:rPr>
      <w:rFonts w:ascii="宋体" w:hAnsi="宋体" w:cs="宋体"/>
      <w:sz w:val="34"/>
      <w:szCs w:val="34"/>
      <w:lang w:val="zh-CN" w:bidi="zh-CN"/>
    </w:rPr>
  </w:style>
  <w:style w:type="paragraph" w:customStyle="1" w:styleId="397">
    <w:name w:val="Heading #2|1"/>
    <w:basedOn w:val="1"/>
    <w:link w:val="396"/>
    <w:qFormat/>
    <w:uiPriority w:val="0"/>
    <w:pPr>
      <w:spacing w:after="900"/>
      <w:jc w:val="center"/>
      <w:outlineLvl w:val="1"/>
    </w:pPr>
    <w:rPr>
      <w:rFonts w:ascii="宋体" w:hAnsi="宋体" w:cs="宋体"/>
      <w:sz w:val="34"/>
      <w:szCs w:val="34"/>
      <w:lang w:val="zh-CN" w:bidi="zh-CN"/>
    </w:rPr>
  </w:style>
  <w:style w:type="character" w:customStyle="1" w:styleId="398">
    <w:name w:val="Table caption|1_"/>
    <w:link w:val="399"/>
    <w:qFormat/>
    <w:uiPriority w:val="0"/>
    <w:rPr>
      <w:rFonts w:ascii="宋体" w:hAnsi="宋体" w:cs="宋体"/>
      <w:lang w:val="zh-CN" w:bidi="zh-CN"/>
    </w:rPr>
  </w:style>
  <w:style w:type="paragraph" w:customStyle="1" w:styleId="399">
    <w:name w:val="Table caption|1"/>
    <w:basedOn w:val="1"/>
    <w:link w:val="398"/>
    <w:qFormat/>
    <w:uiPriority w:val="0"/>
    <w:pPr>
      <w:jc w:val="left"/>
    </w:pPr>
    <w:rPr>
      <w:rFonts w:ascii="宋体" w:hAnsi="宋体" w:cs="宋体"/>
      <w:sz w:val="20"/>
      <w:szCs w:val="20"/>
      <w:lang w:val="zh-CN" w:bidi="zh-CN"/>
    </w:rPr>
  </w:style>
  <w:style w:type="character" w:customStyle="1" w:styleId="400">
    <w:name w:val="Body text|6_"/>
    <w:link w:val="401"/>
    <w:qFormat/>
    <w:uiPriority w:val="0"/>
    <w:rPr>
      <w:rFonts w:ascii="Arial" w:hAnsi="Arial" w:eastAsia="Arial" w:cs="Arial"/>
      <w:lang w:val="zh-CN"/>
    </w:rPr>
  </w:style>
  <w:style w:type="paragraph" w:customStyle="1" w:styleId="401">
    <w:name w:val="Body text|6"/>
    <w:basedOn w:val="1"/>
    <w:link w:val="400"/>
    <w:qFormat/>
    <w:uiPriority w:val="0"/>
    <w:pPr>
      <w:ind w:hanging="2220"/>
      <w:jc w:val="left"/>
    </w:pPr>
    <w:rPr>
      <w:rFonts w:ascii="Arial" w:hAnsi="Arial" w:eastAsia="Arial"/>
      <w:sz w:val="20"/>
      <w:szCs w:val="20"/>
      <w:lang w:val="zh-CN"/>
    </w:rPr>
  </w:style>
  <w:style w:type="character" w:customStyle="1" w:styleId="402">
    <w:name w:val="Heading #1|1_"/>
    <w:link w:val="403"/>
    <w:qFormat/>
    <w:uiPriority w:val="0"/>
    <w:rPr>
      <w:rFonts w:ascii="宋体" w:hAnsi="宋体" w:cs="宋体"/>
      <w:sz w:val="38"/>
      <w:szCs w:val="38"/>
      <w:lang w:val="zh-CN" w:bidi="zh-CN"/>
    </w:rPr>
  </w:style>
  <w:style w:type="paragraph" w:customStyle="1" w:styleId="403">
    <w:name w:val="Heading #1|1"/>
    <w:basedOn w:val="1"/>
    <w:link w:val="402"/>
    <w:qFormat/>
    <w:uiPriority w:val="0"/>
    <w:pPr>
      <w:spacing w:after="440" w:line="564" w:lineRule="exact"/>
      <w:jc w:val="center"/>
      <w:outlineLvl w:val="0"/>
    </w:pPr>
    <w:rPr>
      <w:rFonts w:ascii="宋体" w:hAnsi="宋体" w:cs="宋体"/>
      <w:sz w:val="38"/>
      <w:szCs w:val="38"/>
      <w:lang w:val="zh-CN" w:bidi="zh-CN"/>
    </w:rPr>
  </w:style>
  <w:style w:type="character" w:customStyle="1" w:styleId="404">
    <w:name w:val="Body text|2_"/>
    <w:link w:val="405"/>
    <w:qFormat/>
    <w:uiPriority w:val="0"/>
    <w:rPr>
      <w:sz w:val="21"/>
    </w:rPr>
  </w:style>
  <w:style w:type="paragraph" w:customStyle="1" w:styleId="405">
    <w:name w:val="Body text|2"/>
    <w:basedOn w:val="1"/>
    <w:link w:val="404"/>
    <w:qFormat/>
    <w:uiPriority w:val="0"/>
    <w:pPr>
      <w:spacing w:after="30"/>
      <w:ind w:firstLine="420"/>
      <w:jc w:val="left"/>
    </w:pPr>
    <w:rPr>
      <w:szCs w:val="20"/>
    </w:rPr>
  </w:style>
  <w:style w:type="character" w:customStyle="1" w:styleId="406">
    <w:name w:val="占位符文本1"/>
    <w:unhideWhenUsed/>
    <w:qFormat/>
    <w:uiPriority w:val="99"/>
    <w:rPr>
      <w:color w:val="808080"/>
    </w:rPr>
  </w:style>
  <w:style w:type="paragraph" w:customStyle="1" w:styleId="407">
    <w:name w:val="正正正正"/>
    <w:basedOn w:val="230"/>
    <w:qFormat/>
    <w:uiPriority w:val="1"/>
    <w:pPr>
      <w:tabs>
        <w:tab w:val="left" w:pos="2812"/>
        <w:tab w:val="left" w:pos="3986"/>
      </w:tabs>
      <w:spacing w:after="0" w:line="360" w:lineRule="exact"/>
      <w:ind w:firstLine="200"/>
    </w:pPr>
    <w:rPr>
      <w:rFonts w:ascii="Calibri" w:hAnsi="Calibri"/>
      <w:sz w:val="20"/>
      <w:szCs w:val="21"/>
      <w:lang w:eastAsia="en-US"/>
    </w:rPr>
  </w:style>
  <w:style w:type="paragraph" w:customStyle="1" w:styleId="408">
    <w:name w:val="_Style 1"/>
    <w:basedOn w:val="1"/>
    <w:qFormat/>
    <w:uiPriority w:val="99"/>
    <w:pPr>
      <w:ind w:firstLine="420"/>
      <w:jc w:val="left"/>
    </w:pPr>
    <w:rPr>
      <w:rFonts w:ascii="Times New Roman)" w:hAnsi="Times New Roman)" w:eastAsia="宋体正文"/>
      <w:color w:val="000000"/>
      <w:lang w:eastAsia="en-US" w:bidi="en-US"/>
    </w:rPr>
  </w:style>
  <w:style w:type="paragraph" w:customStyle="1" w:styleId="409">
    <w:name w:val="正文1"/>
    <w:basedOn w:val="1"/>
    <w:qFormat/>
    <w:uiPriority w:val="0"/>
    <w:pPr>
      <w:spacing w:line="360" w:lineRule="auto"/>
      <w:ind w:firstLine="200"/>
      <w:jc w:val="left"/>
    </w:pPr>
    <w:rPr>
      <w:rFonts w:ascii="Times New Roman)" w:hAnsi="Times New Roman)" w:eastAsia="宋体正文"/>
      <w:color w:val="000000"/>
      <w:sz w:val="24"/>
      <w:lang w:eastAsia="en-US" w:bidi="en-US"/>
    </w:rPr>
  </w:style>
  <w:style w:type="character" w:customStyle="1" w:styleId="410">
    <w:name w:val="脚注文本 Char"/>
    <w:semiHidden/>
    <w:qFormat/>
    <w:uiPriority w:val="0"/>
    <w:rPr>
      <w:sz w:val="18"/>
      <w:szCs w:val="18"/>
    </w:rPr>
  </w:style>
  <w:style w:type="character" w:customStyle="1" w:styleId="411">
    <w:name w:val="页脚 Char"/>
    <w:semiHidden/>
    <w:qFormat/>
    <w:uiPriority w:val="99"/>
    <w:rPr>
      <w:sz w:val="18"/>
      <w:szCs w:val="18"/>
    </w:rPr>
  </w:style>
  <w:style w:type="character" w:customStyle="1" w:styleId="412">
    <w:name w:val="页脚 Char1"/>
    <w:semiHidden/>
    <w:qFormat/>
    <w:uiPriority w:val="99"/>
    <w:rPr>
      <w:sz w:val="18"/>
      <w:szCs w:val="18"/>
    </w:rPr>
  </w:style>
  <w:style w:type="character" w:customStyle="1" w:styleId="413">
    <w:name w:val="未处理的提及1"/>
    <w:unhideWhenUsed/>
    <w:qFormat/>
    <w:uiPriority w:val="99"/>
    <w:rPr>
      <w:color w:val="605E5C"/>
      <w:shd w:val="clear" w:color="auto" w:fill="E1DFDD"/>
    </w:rPr>
  </w:style>
  <w:style w:type="paragraph" w:customStyle="1" w:styleId="414">
    <w:name w:val="纯文本1"/>
    <w:basedOn w:val="1"/>
    <w:qFormat/>
    <w:uiPriority w:val="0"/>
    <w:rPr>
      <w:rFonts w:ascii="宋体" w:hAnsi="Courier New"/>
      <w:sz w:val="20"/>
      <w:szCs w:val="21"/>
    </w:rPr>
  </w:style>
  <w:style w:type="character" w:customStyle="1" w:styleId="415">
    <w:name w:val="批注文字 字符2"/>
    <w:link w:val="16"/>
    <w:qFormat/>
    <w:uiPriority w:val="99"/>
    <w:rPr>
      <w:sz w:val="21"/>
      <w:szCs w:val="24"/>
    </w:rPr>
  </w:style>
  <w:style w:type="character" w:customStyle="1" w:styleId="416">
    <w:name w:val="批注主题 字符"/>
    <w:link w:val="43"/>
    <w:qFormat/>
    <w:uiPriority w:val="0"/>
    <w:rPr>
      <w:b/>
      <w:bCs/>
      <w:sz w:val="21"/>
      <w:szCs w:val="24"/>
    </w:rPr>
  </w:style>
  <w:style w:type="character" w:customStyle="1" w:styleId="417">
    <w:name w:val="标题 1 字符"/>
    <w:link w:val="2"/>
    <w:qFormat/>
    <w:uiPriority w:val="0"/>
    <w:rPr>
      <w:rFonts w:ascii="Arial" w:hAnsi="Arial" w:eastAsia="Arial" w:cs="Arial"/>
      <w:color w:val="365F91"/>
      <w:sz w:val="40"/>
      <w:szCs w:val="40"/>
    </w:rPr>
  </w:style>
  <w:style w:type="character" w:customStyle="1" w:styleId="418">
    <w:name w:val="标题 2 字符"/>
    <w:link w:val="3"/>
    <w:qFormat/>
    <w:uiPriority w:val="9"/>
    <w:rPr>
      <w:rFonts w:ascii="Arial" w:hAnsi="Arial" w:eastAsia="Arial" w:cs="Arial"/>
      <w:color w:val="365F91"/>
      <w:sz w:val="32"/>
      <w:szCs w:val="32"/>
    </w:rPr>
  </w:style>
  <w:style w:type="character" w:customStyle="1" w:styleId="419">
    <w:name w:val="标题 3 字符"/>
    <w:link w:val="4"/>
    <w:qFormat/>
    <w:uiPriority w:val="0"/>
    <w:rPr>
      <w:rFonts w:ascii="Arial" w:hAnsi="Arial" w:eastAsia="Arial" w:cs="Arial"/>
      <w:color w:val="365F91"/>
      <w:sz w:val="28"/>
      <w:szCs w:val="28"/>
    </w:rPr>
  </w:style>
  <w:style w:type="character" w:customStyle="1" w:styleId="420">
    <w:name w:val="标题 4 字符"/>
    <w:link w:val="5"/>
    <w:qFormat/>
    <w:uiPriority w:val="9"/>
    <w:rPr>
      <w:rFonts w:ascii="Arial" w:hAnsi="Arial" w:eastAsia="Arial" w:cs="Arial"/>
      <w:i/>
      <w:iCs/>
      <w:color w:val="365F91"/>
      <w:sz w:val="21"/>
      <w:szCs w:val="24"/>
    </w:rPr>
  </w:style>
  <w:style w:type="character" w:customStyle="1" w:styleId="421">
    <w:name w:val="标题 5 字符"/>
    <w:link w:val="6"/>
    <w:qFormat/>
    <w:uiPriority w:val="99"/>
    <w:rPr>
      <w:rFonts w:ascii="Arial" w:hAnsi="Arial" w:eastAsia="Arial" w:cs="Arial"/>
      <w:color w:val="365F91"/>
      <w:sz w:val="21"/>
      <w:szCs w:val="24"/>
    </w:rPr>
  </w:style>
  <w:style w:type="character" w:customStyle="1" w:styleId="422">
    <w:name w:val="文档结构图 字符"/>
    <w:basedOn w:val="46"/>
    <w:link w:val="15"/>
    <w:qFormat/>
    <w:uiPriority w:val="0"/>
    <w:rPr>
      <w:sz w:val="24"/>
      <w:szCs w:val="24"/>
      <w:shd w:val="clear" w:color="auto" w:fill="000080"/>
    </w:rPr>
  </w:style>
  <w:style w:type="character" w:customStyle="1" w:styleId="423">
    <w:name w:val="正文文本 3 字符"/>
    <w:basedOn w:val="46"/>
    <w:link w:val="17"/>
    <w:qFormat/>
    <w:uiPriority w:val="99"/>
    <w:rPr>
      <w:sz w:val="16"/>
      <w:szCs w:val="16"/>
      <w:lang w:eastAsia="en-US"/>
    </w:rPr>
  </w:style>
  <w:style w:type="character" w:customStyle="1" w:styleId="424">
    <w:name w:val="正文文本 字符1"/>
    <w:basedOn w:val="46"/>
    <w:link w:val="18"/>
    <w:qFormat/>
    <w:uiPriority w:val="99"/>
    <w:rPr>
      <w:sz w:val="21"/>
      <w:szCs w:val="24"/>
      <w:lang w:eastAsia="en-US"/>
    </w:rPr>
  </w:style>
  <w:style w:type="character" w:customStyle="1" w:styleId="425">
    <w:name w:val="正文文本缩进 字符"/>
    <w:basedOn w:val="46"/>
    <w:link w:val="19"/>
    <w:qFormat/>
    <w:uiPriority w:val="99"/>
    <w:rPr>
      <w:rFonts w:ascii="仿宋_GB2312" w:eastAsia="仿宋_GB2312"/>
      <w:sz w:val="32"/>
      <w:lang w:eastAsia="en-US"/>
    </w:rPr>
  </w:style>
  <w:style w:type="character" w:customStyle="1" w:styleId="426">
    <w:name w:val="纯文本 字符3"/>
    <w:basedOn w:val="46"/>
    <w:link w:val="24"/>
    <w:qFormat/>
    <w:uiPriority w:val="99"/>
    <w:rPr>
      <w:rFonts w:ascii="宋体" w:hAnsi="Courier New"/>
      <w:szCs w:val="21"/>
      <w:lang w:eastAsia="en-US"/>
    </w:rPr>
  </w:style>
  <w:style w:type="character" w:customStyle="1" w:styleId="427">
    <w:name w:val="日期 字符"/>
    <w:basedOn w:val="46"/>
    <w:link w:val="26"/>
    <w:qFormat/>
    <w:uiPriority w:val="99"/>
    <w:rPr>
      <w:sz w:val="21"/>
      <w:szCs w:val="24"/>
      <w:lang w:eastAsia="en-US"/>
    </w:rPr>
  </w:style>
  <w:style w:type="character" w:customStyle="1" w:styleId="428">
    <w:name w:val="正文文本缩进 2 字符"/>
    <w:basedOn w:val="46"/>
    <w:link w:val="27"/>
    <w:qFormat/>
    <w:uiPriority w:val="99"/>
    <w:rPr>
      <w:sz w:val="24"/>
      <w:szCs w:val="24"/>
    </w:rPr>
  </w:style>
  <w:style w:type="character" w:customStyle="1" w:styleId="429">
    <w:name w:val="批注框文本 字符"/>
    <w:basedOn w:val="46"/>
    <w:link w:val="29"/>
    <w:qFormat/>
    <w:uiPriority w:val="0"/>
    <w:rPr>
      <w:sz w:val="18"/>
      <w:szCs w:val="18"/>
      <w:lang w:eastAsia="en-US"/>
    </w:rPr>
  </w:style>
  <w:style w:type="character" w:customStyle="1" w:styleId="430">
    <w:name w:val="页脚 字符"/>
    <w:link w:val="30"/>
    <w:qFormat/>
    <w:uiPriority w:val="99"/>
    <w:rPr>
      <w:sz w:val="21"/>
      <w:szCs w:val="24"/>
    </w:rPr>
  </w:style>
  <w:style w:type="character" w:customStyle="1" w:styleId="431">
    <w:name w:val="页眉 字符"/>
    <w:link w:val="31"/>
    <w:qFormat/>
    <w:uiPriority w:val="0"/>
    <w:rPr>
      <w:sz w:val="21"/>
      <w:szCs w:val="24"/>
    </w:rPr>
  </w:style>
  <w:style w:type="character" w:customStyle="1" w:styleId="432">
    <w:name w:val="脚注文本 字符"/>
    <w:link w:val="35"/>
    <w:qFormat/>
    <w:uiPriority w:val="0"/>
  </w:style>
  <w:style w:type="character" w:customStyle="1" w:styleId="433">
    <w:name w:val="HTML 预设格式 字符"/>
    <w:basedOn w:val="46"/>
    <w:link w:val="40"/>
    <w:qFormat/>
    <w:uiPriority w:val="99"/>
    <w:rPr>
      <w:rFonts w:ascii="宋体" w:hAnsi="宋体"/>
      <w:sz w:val="24"/>
      <w:szCs w:val="24"/>
    </w:rPr>
  </w:style>
  <w:style w:type="character" w:customStyle="1" w:styleId="434">
    <w:name w:val="标题 字符"/>
    <w:link w:val="42"/>
    <w:qFormat/>
    <w:uiPriority w:val="0"/>
    <w:rPr>
      <w:rFonts w:ascii="Arial" w:hAnsi="Arial" w:eastAsia="Arial" w:cs="Arial"/>
      <w:spacing w:val="-10"/>
      <w:sz w:val="56"/>
      <w:szCs w:val="56"/>
    </w:rPr>
  </w:style>
  <w:style w:type="character" w:customStyle="1" w:styleId="435">
    <w:name w:val="Quote Char"/>
    <w:qFormat/>
    <w:uiPriority w:val="29"/>
    <w:rPr>
      <w:i/>
      <w:iCs/>
      <w:color w:val="404040"/>
    </w:rPr>
  </w:style>
  <w:style w:type="character" w:customStyle="1" w:styleId="436">
    <w:name w:val="Intense Quote Char"/>
    <w:qFormat/>
    <w:uiPriority w:val="30"/>
    <w:rPr>
      <w:i/>
      <w:iCs/>
      <w:color w:val="365F91"/>
    </w:rPr>
  </w:style>
  <w:style w:type="character" w:customStyle="1" w:styleId="437">
    <w:name w:val="Endnote Text Char"/>
    <w:semiHidden/>
    <w:qFormat/>
    <w:uiPriority w:val="99"/>
    <w:rPr>
      <w:sz w:val="20"/>
      <w:szCs w:val="20"/>
    </w:rPr>
  </w:style>
  <w:style w:type="character" w:customStyle="1" w:styleId="438">
    <w:name w:val="Heading 6 Char"/>
    <w:qFormat/>
    <w:uiPriority w:val="9"/>
    <w:rPr>
      <w:rFonts w:ascii="Arial" w:hAnsi="Arial" w:eastAsia="Arial" w:cs="Arial"/>
      <w:i/>
      <w:iCs/>
      <w:color w:val="595959"/>
    </w:rPr>
  </w:style>
  <w:style w:type="character" w:customStyle="1" w:styleId="439">
    <w:name w:val="Heading 7 Char"/>
    <w:qFormat/>
    <w:uiPriority w:val="9"/>
    <w:rPr>
      <w:rFonts w:ascii="Arial" w:hAnsi="Arial" w:eastAsia="Arial" w:cs="Arial"/>
      <w:color w:val="595959"/>
    </w:rPr>
  </w:style>
  <w:style w:type="character" w:customStyle="1" w:styleId="440">
    <w:name w:val="Heading 8 Char"/>
    <w:qFormat/>
    <w:uiPriority w:val="9"/>
    <w:rPr>
      <w:rFonts w:ascii="Arial" w:hAnsi="Arial" w:eastAsia="Arial" w:cs="Arial"/>
      <w:i/>
      <w:iCs/>
      <w:color w:val="272727"/>
    </w:rPr>
  </w:style>
  <w:style w:type="character" w:customStyle="1" w:styleId="441">
    <w:name w:val="Heading 9 Char"/>
    <w:qFormat/>
    <w:uiPriority w:val="9"/>
    <w:rPr>
      <w:rFonts w:ascii="Arial" w:hAnsi="Arial" w:eastAsia="Arial" w:cs="Arial"/>
      <w:i/>
      <w:iCs/>
      <w:color w:val="272727"/>
    </w:rPr>
  </w:style>
  <w:style w:type="character" w:customStyle="1" w:styleId="442">
    <w:name w:val="Subtitle Char"/>
    <w:qFormat/>
    <w:uiPriority w:val="11"/>
    <w:rPr>
      <w:color w:val="595959"/>
      <w:spacing w:val="15"/>
      <w:sz w:val="28"/>
      <w:szCs w:val="28"/>
    </w:rPr>
  </w:style>
  <w:style w:type="character" w:customStyle="1" w:styleId="443">
    <w:name w:val="正文缩进 字符"/>
    <w:link w:val="13"/>
    <w:qFormat/>
    <w:uiPriority w:val="99"/>
    <w:rPr>
      <w:sz w:val="21"/>
      <w:lang w:eastAsia="en-US"/>
    </w:rPr>
  </w:style>
  <w:style w:type="character" w:customStyle="1" w:styleId="444">
    <w:name w:val="不明显参考11"/>
    <w:qFormat/>
    <w:uiPriority w:val="99"/>
    <w:rPr>
      <w:smallCaps/>
      <w:color w:val="000000"/>
      <w:u w:val="single"/>
    </w:rPr>
  </w:style>
  <w:style w:type="character" w:customStyle="1" w:styleId="445">
    <w:name w:val="明显参考11"/>
    <w:qFormat/>
    <w:uiPriority w:val="99"/>
    <w:rPr>
      <w:b/>
      <w:bCs/>
      <w:smallCaps/>
      <w:color w:val="000000"/>
      <w:spacing w:val="5"/>
      <w:u w:val="single"/>
    </w:rPr>
  </w:style>
  <w:style w:type="character" w:customStyle="1" w:styleId="446">
    <w:name w:val="明显强调11"/>
    <w:qFormat/>
    <w:uiPriority w:val="99"/>
    <w:rPr>
      <w:b/>
      <w:bCs/>
      <w:i/>
      <w:iCs/>
      <w:color w:val="4F81BD"/>
    </w:rPr>
  </w:style>
  <w:style w:type="character" w:customStyle="1" w:styleId="447">
    <w:name w:val="书籍标题11"/>
    <w:qFormat/>
    <w:uiPriority w:val="99"/>
    <w:rPr>
      <w:b/>
      <w:bCs/>
      <w:smallCaps/>
      <w:spacing w:val="5"/>
    </w:rPr>
  </w:style>
  <w:style w:type="character" w:customStyle="1" w:styleId="448">
    <w:name w:val="不明显强调11"/>
    <w:qFormat/>
    <w:uiPriority w:val="99"/>
    <w:rPr>
      <w:i/>
      <w:iCs/>
      <w:color w:val="808080"/>
    </w:rPr>
  </w:style>
  <w:style w:type="paragraph" w:customStyle="1" w:styleId="449">
    <w:name w:val="TOC 标题11"/>
    <w:basedOn w:val="2"/>
    <w:next w:val="1"/>
    <w:qFormat/>
    <w:uiPriority w:val="99"/>
    <w:pPr>
      <w:spacing w:before="340" w:after="330" w:line="576" w:lineRule="auto"/>
      <w:outlineLvl w:val="9"/>
    </w:pPr>
    <w:rPr>
      <w:rFonts w:ascii="Calibri" w:hAnsi="Calibri" w:eastAsia="黑体" w:cs="Calibri"/>
      <w:b/>
      <w:bCs/>
      <w:color w:val="auto"/>
      <w:sz w:val="44"/>
      <w:szCs w:val="44"/>
      <w:lang w:val="zh-CN"/>
    </w:rPr>
  </w:style>
  <w:style w:type="paragraph" w:customStyle="1" w:styleId="450">
    <w:name w:val="修订11"/>
    <w:qFormat/>
    <w:uiPriority w:val="99"/>
    <w:rPr>
      <w:rFonts w:ascii="Times New Roman" w:hAnsi="Times New Roman" w:eastAsia="宋体" w:cs="Times New Roman"/>
      <w:sz w:val="21"/>
      <w:szCs w:val="21"/>
      <w:lang w:val="en-US" w:eastAsia="zh-CN" w:bidi="ar-SA"/>
    </w:rPr>
  </w:style>
  <w:style w:type="character" w:customStyle="1" w:styleId="451">
    <w:name w:val="纯文本 Char3"/>
    <w:qFormat/>
    <w:uiPriority w:val="0"/>
    <w:rPr>
      <w:rFonts w:ascii="宋体" w:hAnsi="Courier New" w:eastAsia="宋体" w:cs="Courier New"/>
      <w:szCs w:val="21"/>
    </w:rPr>
  </w:style>
  <w:style w:type="character" w:customStyle="1" w:styleId="452">
    <w:name w:val="正文文本 (2) + 间距 0 pt2"/>
    <w:qFormat/>
    <w:uiPriority w:val="0"/>
    <w:rPr>
      <w:rFonts w:ascii="MingLiU" w:hAnsi="MingLiU" w:eastAsia="MingLiU" w:cs="MingLiU"/>
      <w:color w:val="000000"/>
      <w:spacing w:val="0"/>
      <w:position w:val="0"/>
      <w:sz w:val="22"/>
      <w:szCs w:val="22"/>
      <w:u w:val="none"/>
      <w:shd w:val="clear" w:color="auto" w:fill="FFFFFF"/>
      <w:lang w:val="zh-CN" w:eastAsia="zh-CN" w:bidi="zh-CN"/>
    </w:rPr>
  </w:style>
  <w:style w:type="paragraph" w:customStyle="1" w:styleId="453">
    <w:name w:val="正文文本 (2)4"/>
    <w:basedOn w:val="1"/>
    <w:qFormat/>
    <w:uiPriority w:val="0"/>
    <w:pPr>
      <w:shd w:val="clear" w:color="auto" w:fill="FFFFFF"/>
      <w:spacing w:before="300" w:line="439" w:lineRule="exact"/>
    </w:pPr>
    <w:rPr>
      <w:rFonts w:ascii="MingLiU" w:hAnsi="MingLiU" w:eastAsia="MingLiU"/>
      <w:spacing w:val="20"/>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a0ddaf57-8291-4834-8cc4-eab6f09c0c6d</errorID>
      <errorWord>：/</errorWord>
      <group>L1_Punc</group>
      <groupName>标点问题</groupName>
      <ability>L2_Punc</ability>
      <abilityName>标点符号检查</abilityName>
      <candidateList>
        <item>：</item>
      </candidateList>
      <explain/>
      <paraID>1182E6F9</paraID>
      <start>8</start>
      <end>10</end>
      <status>unmodified</status>
      <modifiedWord/>
      <trackRevisions>false</trackRevisions>
    </reviewItem>
    <reviewItem>
      <errorID>0038bbf5-fe36-481b-a751-8340f4349601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5A9449FD</paraID>
      <start>104</start>
      <end>105</end>
      <status>unmodified</status>
      <modifiedWord/>
      <trackRevisions>false</trackRevisions>
    </reviewItem>
    <reviewItem>
      <errorID>4cefe04d-86ad-406f-94b5-b1495e135f14</errorID>
      <errorWord>(</errorWord>
      <group>L1_Format</group>
      <groupName>格式问题</groupName>
      <ability>L2_HalfPunc</ability>
      <abilityName>全半角检查</abilityName>
      <candidateList>
        <item>（</item>
      </candidateList>
      <explain>文本全半角错误。</explain>
      <paraID>5A9449FD</paraID>
      <start>116</start>
      <end>117</end>
      <status>unmodified</status>
      <modifiedWord/>
      <trackRevisions>false</trackRevisions>
    </reviewItem>
    <reviewItem>
      <errorID>a4cb1f02-d7c1-4911-892b-e2db17512ada</errorID>
      <errorWord>)</errorWord>
      <group>L1_Format</group>
      <groupName>格式问题</groupName>
      <ability>L2_HalfPunc</ability>
      <abilityName>全半角检查</abilityName>
      <candidateList>
        <item>）</item>
      </candidateList>
      <explain>文本全半角错误。</explain>
      <paraID>5A9449FD</paraID>
      <start>120</start>
      <end>121</end>
      <status>unmodified</status>
      <modifiedWord/>
      <trackRevisions>false</trackRevisions>
    </reviewItem>
    <reviewItem>
      <errorID>8c922d81-3e8f-442b-98d9-ca90cad606a5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5A9449FD</paraID>
      <start>141</start>
      <end>142</end>
      <status>unmodified</status>
      <modifiedWord/>
      <trackRevisions>false</trackRevisions>
    </reviewItem>
    <reviewItem>
      <errorID>d0dfdfd4-f34e-4407-b5cc-268b1bcc39c6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5A9449FD</paraID>
      <start>166</start>
      <end>167</end>
      <status>unmodified</status>
      <modifiedWord/>
      <trackRevisions>false</trackRevisions>
    </reviewItem>
    <reviewItem>
      <errorID>a41e4e03-70c3-4eb0-a88e-7dac3445d4bd</errorID>
      <errorWord>(</errorWord>
      <group>L1_Format</group>
      <groupName>格式问题</groupName>
      <ability>L2_HalfPunc</ability>
      <abilityName>全半角检查</abilityName>
      <candidateList>
        <item>（</item>
      </candidateList>
      <explain>文本全半角错误。</explain>
      <paraID>5A9449FD</paraID>
      <start>178</start>
      <end>179</end>
      <status>unmodified</status>
      <modifiedWord/>
      <trackRevisions>false</trackRevisions>
    </reviewItem>
    <reviewItem>
      <errorID>cf3b1abc-5a8a-4363-aad0-fb3ad0c50afc</errorID>
      <errorWord>)</errorWord>
      <group>L1_Format</group>
      <groupName>格式问题</groupName>
      <ability>L2_HalfPunc</ability>
      <abilityName>全半角检查</abilityName>
      <candidateList>
        <item>）</item>
      </candidateList>
      <explain>文本全半角错误。</explain>
      <paraID>5A9449FD</paraID>
      <start>182</start>
      <end>183</end>
      <status>unmodified</status>
      <modifiedWord/>
      <trackRevisions>false</trackRevisions>
    </reviewItem>
    <reviewItem>
      <errorID>7e0a2670-52f8-473f-9332-b7d0e05a1188</errorID>
      <errorWord>日至2026年</errorWord>
      <group>L1_Word</group>
      <groupName>字词问题</groupName>
      <ability>L2_Typo</ability>
      <abilityName>字词错误</abilityName>
      <candidateList>
        <item>日起至2026年</item>
      </candidateList>
      <explain/>
      <paraID> B5AFF0F</paraID>
      <start>11</start>
      <end>18</end>
      <status>unmodified</status>
      <modifiedWord/>
      <trackRevisions>false</trackRevisions>
    </reviewItem>
    <reviewItem>
      <errorID>4ae5db7d-f277-4924-a39e-b35adf844cd8</errorID>
      <errorWord>-</errorWord>
      <group>L1_Format</group>
      <groupName>格式问题</groupName>
      <ability>L2_HalfPunc</ability>
      <abilityName>全半角检查</abilityName>
      <candidateList>
        <item>－</item>
      </candidateList>
      <explain>文本全半角错误。</explain>
      <paraID>7361115C</paraID>
      <start>82</start>
      <end>83</end>
      <status>unmodified</status>
      <modifiedWord/>
      <trackRevisions>false</trackRevisions>
    </reviewItem>
    <reviewItem>
      <errorID>e2baaa02-3dd8-43f8-a3b8-3e65a886e53c</errorID>
      <errorWord>-</errorWord>
      <group>L1_Format</group>
      <groupName>格式问题</groupName>
      <ability>L2_HalfPunc</ability>
      <abilityName>全半角检查</abilityName>
      <candidateList>
        <item>－</item>
      </candidateList>
      <explain>文本全半角错误。</explain>
      <paraID>7361115C</paraID>
      <start>101</start>
      <end>102</end>
      <status>unmodified</status>
      <modifiedWord/>
      <trackRevisions>false</trackRevisions>
    </reviewItem>
    <reviewItem>
      <errorID>02bbd119-329c-477c-aaeb-73166705d2e0</errorID>
      <errorWord> </errorWord>
      <group>L1_Punc</group>
      <groupName>标点问题</groupName>
      <ability>L2_Punc</ability>
      <abilityName>标点符号检查</abilityName>
      <candidateList>
        <item/>
      </candidateList>
      <explain>此处空格冗余，建议删除。</explain>
      <paraID> 6EEC9A0</paraID>
      <start>19</start>
      <end>20</end>
      <status>unmodified</status>
      <modifiedWord/>
      <trackRevisions>false</trackRevisions>
    </reviewItem>
    <reviewItem>
      <errorID>5626a363-3b25-4a22-857e-e6f0bc36c18b</errorID>
      <errorWord> </errorWord>
      <group>L1_Punc</group>
      <groupName>标点问题</groupName>
      <ability>L2_Punc</ability>
      <abilityName>标点符号检查</abilityName>
      <candidateList>
        <item/>
      </candidateList>
      <explain>此处空格冗余，建议删除。</explain>
      <paraID>2E30ABF5</paraID>
      <start>19</start>
      <end>20</end>
      <status>unmodified</status>
      <modifiedWord/>
      <trackRevisions>false</trackRevisions>
    </reviewItem>
    <reviewItem>
      <errorID>f18790bf-fe55-4672-8ae2-5d80d27945a3</errorID>
      <errorWord>后在</errorWord>
      <group>L1_Word</group>
      <groupName>字词问题</groupName>
      <ability>L2_Typo</ability>
      <abilityName>字词错误</abilityName>
      <candidateList>
        <item>，于</item>
      </candidateList>
      <explain/>
      <paraID>1F32475F</paraID>
      <start>147</start>
      <end>149</end>
      <status>unmodified</status>
      <modifiedWord/>
      <trackRevisions>false</trackRevisions>
    </reviewItem>
    <reviewItem>
      <errorID>e4c08ff6-353e-40ff-8b7b-67b750887836</errorID>
      <errorWord>，</errorWord>
      <group>L1_Punc</group>
      <groupName>标点问题</groupName>
      <ability>L2_Punc</ability>
      <abilityName>标点符号检查</abilityName>
      <candidateList>
        <item>。</item>
      </candidateList>
      <explain/>
      <paraID>1F32475F</paraID>
      <start>202</start>
      <end>203</end>
      <status>unmodified</status>
      <modifiedWord/>
      <trackRevisions>false</trackRevisions>
    </reviewItem>
    <reviewItem>
      <errorID>bab362c0-6452-42de-9904-3e8d114ea751</errorID>
      <errorWord>-</errorWord>
      <group>L1_Format</group>
      <groupName>格式问题</groupName>
      <ability>L2_HalfPunc</ability>
      <abilityName>全半角检查</abilityName>
      <candidateList>
        <item>－</item>
      </candidateList>
      <explain>文本全半角错误。</explain>
      <paraID>1F32475F</paraID>
      <start>269</start>
      <end>270</end>
      <status>unmodified</status>
      <modifiedWord/>
      <trackRevisions>false</trackRevisions>
    </reviewItem>
    <reviewItem>
      <errorID>0c061187-975e-4c38-838e-e97deedba750</errorID>
      <errorWord>-</errorWord>
      <group>L1_Format</group>
      <groupName>格式问题</groupName>
      <ability>L2_HalfPunc</ability>
      <abilityName>全半角检查</abilityName>
      <candidateList>
        <item>－</item>
      </candidateList>
      <explain>文本全半角错误。</explain>
      <paraID>1F32475F</paraID>
      <start>274</start>
      <end>275</end>
      <status>unmodified</status>
      <modifiedWord/>
      <trackRevisions>false</trackRevisions>
    </reviewItem>
    <reviewItem>
      <errorID>59d53f2c-e4c1-4284-8d76-69d89d45b5a9</errorID>
      <errorWord>-</errorWord>
      <group>L1_Format</group>
      <groupName>格式问题</groupName>
      <ability>L2_HalfPunc</ability>
      <abilityName>全半角检查</abilityName>
      <candidateList>
        <item>－</item>
      </candidateList>
      <explain>文本全半角错误。</explain>
      <paraID>1F32475F</paraID>
      <start>279</start>
      <end>280</end>
      <status>unmodified</status>
      <modifiedWord/>
      <trackRevisions>false</trackRevisions>
    </reviewItem>
    <reviewItem>
      <errorID>6ef7dfe5-7d1c-4281-b7c2-a319e3ffede9</errorID>
      <errorWord>-</errorWord>
      <group>L1_Format</group>
      <groupName>格式问题</groupName>
      <ability>L2_HalfPunc</ability>
      <abilityName>全半角检查</abilityName>
      <candidateList>
        <item>－</item>
      </candidateList>
      <explain>文本全半角错误。</explain>
      <paraID>1F32475F</paraID>
      <start>284</start>
      <end>285</end>
      <status>unmodified</status>
      <modifiedWord/>
      <trackRevisions>false</trackRevisions>
    </reviewItem>
    <reviewItem>
      <errorID>3acbd674-d2a2-4fb8-8195-e0f81eb5a02f</errorID>
      <errorWord>，</errorWord>
      <group>L1_Punc</group>
      <groupName>标点问题</groupName>
      <ability>L2_Punc</ability>
      <abilityName>标点符号检查</abilityName>
      <candidateList>
        <item>。</item>
      </candidateList>
      <explain/>
      <paraID>3FD59A33</paraID>
      <start>41</start>
      <end>42</end>
      <status>unmodified</status>
      <modifiedWord/>
      <trackRevisions>false</trackRevisions>
    </reviewItem>
    <reviewItem>
      <errorID>1d1dd805-5d6e-44ee-ba7a-970bad4e17a1</errorID>
      <errorWord>（</errorWord>
      <group>L1_Punc</group>
      <groupName>标点问题</groupName>
      <ability>L2_Punc</ability>
      <abilityName>标点符号检查</abilityName>
      <candidateList>
        <item>。（</item>
      </candidateList>
      <explain/>
      <paraID>3FD59A33</paraID>
      <start>86</start>
      <end>87</end>
      <status>unmodified</status>
      <modifiedWord/>
      <trackRevisions>false</trackRevisions>
    </reviewItem>
    <reviewItem>
      <errorID>372017a8-279a-4234-af5d-05944479073c</errorID>
      <errorWord>-</errorWord>
      <group>L1_Format</group>
      <groupName>格式问题</groupName>
      <ability>L2_HalfPunc</ability>
      <abilityName>全半角检查</abilityName>
      <candidateList>
        <item>－</item>
      </candidateList>
      <explain>文本全半角错误。</explain>
      <paraID>3FD59A33</paraID>
      <start>112</start>
      <end>113</end>
      <status>unmodified</status>
      <modifiedWord/>
      <trackRevisions>false</trackRevisions>
    </reviewItem>
    <reviewItem>
      <errorID>5c44232b-0e46-4e34-a122-15f7c68fa96c</errorID>
      <errorWord>或者</errorWord>
      <group>L1_Punc</group>
      <groupName>标点问题</groupName>
      <ability>L2_Punc</ability>
      <abilityName>标点符号检查</abilityName>
      <candidateList>
        <item>，或者</item>
      </candidateList>
      <explain/>
      <paraID>3FD59A33</paraID>
      <start>118</start>
      <end>120</end>
      <status>unmodified</status>
      <modifiedWord/>
      <trackRevisions>false</trackRevisions>
    </reviewItem>
    <reviewItem>
      <errorID>ed7b359b-4095-4077-a275-c274f7b2f579</errorID>
      <errorWord>中</errorWord>
      <group>L1_Word</group>
      <groupName>字词问题</groupName>
      <ability>L2_Typo</ability>
      <abilityName>字词错误</abilityName>
      <candidateList>
        <item>，</item>
      </candidateList>
      <explain/>
      <paraID>3FD59A33</paraID>
      <start>152</start>
      <end>153</end>
      <status>unmodified</status>
      <modifiedWord/>
      <trackRevisions>false</trackRevisions>
    </reviewItem>
    <reviewItem>
      <errorID>505a892c-88f2-4c53-8b17-dffd83e04029</errorID>
      <errorWord>）。</errorWord>
      <group>L1_Punc</group>
      <groupName>标点问题</groupName>
      <ability>L2_Punc</ability>
      <abilityName>标点符号检查</abilityName>
      <candidateList>
        <item>。）</item>
      </candidateList>
      <explain/>
      <paraID>3FD59A33</paraID>
      <start>220</start>
      <end>222</end>
      <status>unmodified</status>
      <modifiedWord/>
      <trackRevisions>false</trackRevisions>
    </reviewItem>
    <reviewItem>
      <errorID>d642fae1-a10c-4e06-9c6a-174cac2f4457</errorID>
      <errorWord>操作合</errorWord>
      <group>L1_Word</group>
      <groupName>字词问题</groupName>
      <ability>L2_Typo</ability>
      <abilityName>字词错误</abilityName>
      <candidateList>
        <item>操作台</item>
      </candidateList>
      <explain/>
      <paraID>4680F0D1</paraID>
      <start>9</start>
      <end>12</end>
      <status>unmodified</status>
      <modifiedWord/>
      <trackRevisions>false</trackRevisions>
    </reviewItem>
    <reviewItem>
      <errorID>b1025282-facf-4963-954f-dae5e494f5d6</errorID>
      <errorWord>，</errorWord>
      <group>L1_Word</group>
      <groupName>字词问题</groupName>
      <ability>L2_Typo</ability>
      <abilityName>字词错误</abilityName>
      <candidateList>
        <item>，在</item>
      </candidateList>
      <explain/>
      <paraID>4680F0D1</paraID>
      <start>120</start>
      <end>121</end>
      <status>unmodified</status>
      <modifiedWord/>
      <trackRevisions>false</trackRevisions>
    </reviewItem>
    <reviewItem>
      <errorID>c1191f35-3c92-45ed-8030-5603a3144b19</errorID>
      <errorWord>具备有</errorWord>
      <group>L1_Word</group>
      <groupName>字词问题</groupName>
      <ability>L2_Typo</ability>
      <abilityName>字词错误</abilityName>
      <candidateList>
        <item>具备</item>
      </candidateList>
      <explain/>
      <paraID> 1323BAF</paraID>
      <start>9</start>
      <end>12</end>
      <status>unmodified</status>
      <modifiedWord/>
      <trackRevisions>false</trackRevisions>
    </reviewItem>
    <reviewItem>
      <errorID>bf7c8cde-9bdd-464e-80f8-fd54d87d344b</errorID>
      <errorWord>登录</errorWord>
      <group>L1_Word</group>
      <groupName>字词问题</groupName>
      <ability>L2_Typo</ability>
      <abilityName>字词错误</abilityName>
      <candidateList>
        <item>上登录</item>
      </candidateList>
      <explain/>
      <paraID> 1323BAF</paraID>
      <start>33</start>
      <end>35</end>
      <status>unmodified</status>
      <modifiedWord/>
      <trackRevisions>false</trackRevisions>
    </reviewItem>
    <reviewItem>
      <errorID>561834b7-4bb7-4bb6-a412-1e50e591d793</errorID>
      <errorWord>:</errorWord>
      <group>L1_Format</group>
      <groupName>格式问题</groupName>
      <ability>L2_HalfPunc</ability>
      <abilityName>全半角检查</abilityName>
      <candidateList>
        <item>：</item>
      </candidateList>
      <explain>文本全半角错误。</explain>
      <paraID>527E7D02</paraID>
      <start>9</start>
      <end>10</end>
      <status>unmodified</status>
      <modifiedWord/>
      <trackRevisions>false</trackRevisions>
    </reviewItem>
    <reviewItem>
      <errorID>f8112b30-ab5f-4224-8448-1e7af6ddfea7</errorID>
      <errorWord>）证书</errorWord>
      <group>L1_Grammar</group>
      <groupName>语法问题</groupName>
      <ability>L2_Grammar</ability>
      <abilityName>语法错误</abilityName>
      <candidateList>
        <item>）</item>
      </candidateList>
      <explain/>
      <paraID>4408E9AA</paraID>
      <start>23</start>
      <end>26</end>
      <status>unmodified</status>
      <modifiedWord/>
      <trackRevisions>false</trackRevisions>
    </reviewItem>
    <reviewItem>
      <errorID>78de49bc-be70-459f-bbf8-17704a2c717a</errorID>
      <errorWord>，</errorWord>
      <group>L1_Word</group>
      <groupName>字词问题</groupName>
      <ability>L2_Typo</ability>
      <abilityName>字词错误</abilityName>
      <candidateList>
        <item>，在</item>
      </candidateList>
      <explain/>
      <paraID>62D44E6E</paraID>
      <start>49</start>
      <end>50</end>
      <status>unmodified</status>
      <modifiedWord/>
      <trackRevisions>false</trackRevisions>
    </reviewItem>
    <reviewItem>
      <errorID>ee3fbb7e-efa5-46b1-a5f8-9558165e4b80</errorID>
      <errorWord>包括了</errorWord>
      <group>L1_Word</group>
      <groupName>字词问题</groupName>
      <ability>L2_Typo</ability>
      <abilityName>字词错误</abilityName>
      <candidateList>
        <item>包括</item>
      </candidateList>
      <explain/>
      <paraID>6D9CF0F9</paraID>
      <start>15</start>
      <end>18</end>
      <status>unmodified</status>
      <modifiedWord/>
      <trackRevisions>false</trackRevisions>
    </reviewItem>
    <reviewItem>
      <errorID>ed41b651-952c-4772-9de8-2167e90cf074</errorID>
      <errorWord>“竞争性磋商公告”</errorWord>
      <group>L1_Punc</group>
      <groupName>标点问题</groupName>
      <ability>L2_Punc</ability>
      <abilityName>标点符号检查</abilityName>
      <candidateList>
        <item>《竞争性磋商公告》</item>
      </candidateList>
      <explain/>
      <paraID>71D97496</paraID>
      <start>12</start>
      <end>21</end>
      <status>unmodified</status>
      <modifiedWord/>
      <trackRevisions>false</trackRevisions>
    </reviewItem>
    <reviewItem>
      <errorID>adb3f277-cfee-4959-a76e-6a2730c64dbf</errorID>
      <errorWord>，</errorWord>
      <group>L1_Word</group>
      <groupName>字词问题</groupName>
      <ability>L2_Typo</ability>
      <abilityName>字词错误</abilityName>
      <candidateList>
        <item>，使</item>
      </candidateList>
      <explain/>
      <paraID> 4936539</paraID>
      <start>32</start>
      <end>33</end>
      <status>unmodified</status>
      <modifiedWord/>
      <trackRevisions>false</trackRevisions>
    </reviewItem>
    <reviewItem>
      <errorID>96ff7ce4-7b7b-4222-bee3-f6ca7eabab2b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12DC424C</paraID>
      <start>15</start>
      <end>18</end>
      <status>unmodified</status>
      <modifiedWord/>
      <trackRevisions>false</trackRevisions>
    </reviewItem>
    <reviewItem>
      <errorID>77e99275-36b6-4d44-afa6-115c7bb8f3fe</errorID>
      <errorWord>规定依据</errorWord>
      <group>L1_Grammar</group>
      <groupName>语法问题</groupName>
      <ability>L2_Grammar</ability>
      <abilityName>语法错误</abilityName>
      <candidateList>
        <item>依据</item>
      </candidateList>
      <explain/>
      <paraID>457737E8</paraID>
      <start>22</start>
      <end>26</end>
      <status>unmodified</status>
      <modifiedWord/>
      <trackRevisions>false</trackRevisions>
    </reviewItem>
    <reviewItem>
      <errorID>7a1201d1-a223-4a26-84be-71e3de29dda4</errorID>
      <errorWord>法律、法规</errorWord>
      <group>L1_Word</group>
      <groupName>字词问题</groupName>
      <ability>L2_Typo</ability>
      <abilityName>字词错误</abilityName>
      <candidateList>
        <item>法律法规</item>
      </candidateList>
      <explain/>
      <paraID>3FE9B0AE</paraID>
      <start>38</start>
      <end>43</end>
      <status>unmodified</status>
      <modifiedWord/>
      <trackRevisions>false</trackRevisions>
    </reviewItem>
    <reviewItem>
      <errorID>152bcf38-39d9-4a12-a722-f8d251ef7eaf</errorID>
      <errorWord>，</errorWord>
      <group>L1_Punc</group>
      <groupName>标点问题</groupName>
      <ability>L2_Punc</ability>
      <abilityName>标点符号检查</abilityName>
      <candidateList>
        <item>。</item>
      </candidateList>
      <explain/>
      <paraID> 2EEC8B9</paraID>
      <start>63</start>
      <end>64</end>
      <status>unmodified</status>
      <modifiedWord/>
      <trackRevisions>false</trackRevisions>
    </reviewItem>
    <reviewItem>
      <errorID>650b835e-a5ca-4f80-806f-0f93b9b0de86</errorID>
      <errorWord>1%-2%</errorWord>
      <group>L1_Knowledge</group>
      <groupName>知识性问题</groupName>
      <ability>L2_Knowledge</ability>
      <abilityName>其他知识</abilityName>
      <candidateList>
        <item>1%—2%</item>
      </candidateList>
      <explain>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4CAD495B</paraID>
      <start>158</start>
      <end>163</end>
      <status>unmodified</status>
      <modifiedWord/>
      <trackRevisions>false</trackRevisions>
    </reviewItem>
    <reviewItem>
      <errorID>79693c28-c5d6-466e-8ff3-9a8cc8b12f67</errorID>
      <errorWord>，</errorWord>
      <group>L1_Punc</group>
      <groupName>标点问题</groupName>
      <ability>L2_Punc</ability>
      <abilityName>标点符号检查</abilityName>
      <candidateList>
        <item>；</item>
      </candidateList>
      <explain/>
      <paraID>79A0712E</paraID>
      <start>108</start>
      <end>109</end>
      <status>unmodified</status>
      <modifiedWord/>
      <trackRevisions>false</trackRevisions>
    </reviewItem>
    <reviewItem>
      <errorID>c2034411-0574-4db5-93cf-1064f9722ab0</errorID>
      <errorWord>必须</errorWord>
      <group>L1_Punc</group>
      <groupName>标点问题</groupName>
      <ability>L2_Punc</ability>
      <abilityName>标点符号检查</abilityName>
      <candidateList>
        <item>，必须</item>
      </candidateList>
      <explain/>
      <paraID>79A0712E</paraID>
      <start>127</start>
      <end>129</end>
      <status>unmodified</status>
      <modifiedWord/>
      <trackRevisions>false</trackRevisions>
    </reviewItem>
    <reviewItem>
      <errorID>66cffc9e-fbc7-4ace-9cde-5fa8b25ed801</errorID>
      <errorWord>规定</errorWord>
      <group>L1_Word</group>
      <groupName>字词问题</groupName>
      <ability>L2_Typo</ability>
      <abilityName>字词错误</abilityName>
      <candidateList>
        <item>的规定</item>
      </candidateList>
      <explain/>
      <paraID>616A46E9</paraID>
      <start>58</start>
      <end>60</end>
      <status>unmodified</status>
      <modifiedWord/>
      <trackRevisions>false</trackRevisions>
    </reviewItem>
    <reviewItem>
      <errorID>8162fe2d-b60f-427f-bc97-f648e7dff115</errorID>
      <errorWord>如供应商</errorWord>
      <group>L1_Word</group>
      <groupName>字词问题</groupName>
      <ability>L2_Typo</ability>
      <abilityName>字词错误</abilityName>
      <candidateList>
        <item>供应商如</item>
      </candidateList>
      <explain/>
      <paraID> DA95861</paraID>
      <start>18</start>
      <end>22</end>
      <status>unmodified</status>
      <modifiedWord/>
      <trackRevisions>false</trackRevisions>
    </reviewItem>
    <reviewItem>
      <errorID>79cb72e1-0de0-455b-a11a-d70f65359468</errorID>
      <errorWord>疑问的，如</errorWord>
      <group>L1_Grammar</group>
      <groupName>语法问题</groupName>
      <ability>L2_Grammar</ability>
      <abilityName>语法错误</abilityName>
      <candidateList>
        <item>疑问，</item>
      </candidateList>
      <explain/>
      <paraID> DA95861</paraID>
      <start>28</start>
      <end>33</end>
      <status>unmodified</status>
      <modifiedWord/>
      <trackRevisions>false</trackRevisions>
    </reviewItem>
    <reviewItem>
      <errorID>f016caa4-bec1-4e74-8f9d-c282b236ab3d</errorID>
      <errorWord>供应商</errorWord>
      <group>L1_Grammar</group>
      <groupName>语法问题</groupName>
      <ability>L2_Grammar</ability>
      <abilityName>语法错误</abilityName>
      <candidateList>
        <item>应</item>
      </candidateList>
      <explain/>
      <paraID> DA95861</paraID>
      <start>48</start>
      <end>51</end>
      <status>unmodified</status>
      <modifiedWord/>
      <trackRevisions>false</trackRevisions>
    </reviewItem>
    <reviewItem>
      <errorID>8b8975bb-7d48-4975-9f44-53fad28c2b60</errorID>
      <errorWord>“供应商须知前附表”</errorWord>
      <group>L1_Punc</group>
      <groupName>标点问题</groupName>
      <ability>L2_Punc</ability>
      <abilityName>标点符号检查</abilityName>
      <candidateList>
        <item>《供应商须知前附表》</item>
      </candidateList>
      <explain/>
      <paraID>408DD819</paraID>
      <start>15</start>
      <end>25</end>
      <status>unmodified</status>
      <modifiedWord/>
      <trackRevisions>false</trackRevisions>
    </reviewItem>
    <reviewItem>
      <errorID>36363dac-f485-44ab-a435-2feff1cf715d</errorID>
      <errorWord>“供应商须知前附表”</errorWord>
      <group>L1_Punc</group>
      <groupName>标点问题</groupName>
      <ability>L2_Punc</ability>
      <abilityName>标点符号检查</abilityName>
      <candidateList>
        <item>《供应商须知前附表》</item>
      </candidateList>
      <explain/>
      <paraID>62346EAE</paraID>
      <start>13</start>
      <end>23</end>
      <status>unmodified</status>
      <modifiedWord/>
      <trackRevisions>false</trackRevisions>
    </reviewItem>
    <reviewItem>
      <errorID>affc62ef-3002-4d87-b26b-8f04e3a3fc8b</errorID>
      <errorWord>“供应商须知前附表”</errorWord>
      <group>L1_Punc</group>
      <groupName>标点问题</groupName>
      <ability>L2_Punc</ability>
      <abilityName>标点符号检查</abilityName>
      <candidateList>
        <item>《供应商须知前附表》</item>
      </candidateList>
      <explain/>
      <paraID>7ADE6E6B</paraID>
      <start>15</start>
      <end>25</end>
      <status>unmodified</status>
      <modifiedWord/>
      <trackRevisions>false</trackRevisions>
    </reviewItem>
    <reviewItem>
      <errorID>1fbfc7f8-609d-4896-b299-df0064d202d3</errorID>
      <errorWord>分</errorWord>
      <group>L1_Word</group>
      <groupName>字词问题</groupName>
      <ability>L2_Typo</ability>
      <abilityName>字词错误</abilityName>
      <candidateList>
        <item>分为</item>
      </candidateList>
      <explain/>
      <paraID>54AB016C</paraID>
      <start>8</start>
      <end>9</end>
      <status>unmodified</status>
      <modifiedWord/>
      <trackRevisions>false</trackRevisions>
    </reviewItem>
    <reviewItem>
      <errorID>620c1a25-1fcb-43a0-9853-cf7fde9a9225</errorID>
      <errorWord> </errorWord>
      <group>L1_Punc</group>
      <groupName>标点问题</groupName>
      <ability>L2_Punc</ability>
      <abilityName>标点符号检查</abilityName>
      <candidateList>
        <item/>
      </candidateList>
      <explain>此处空格冗余，建议删除。</explain>
      <paraID>1502FEFD</paraID>
      <start>15</start>
      <end>16</end>
      <status>unmodified</status>
      <modifiedWord/>
      <trackRevisions>false</trackRevisions>
    </reviewItem>
    <reviewItem>
      <errorID>0f3eb5a7-3ae2-49cd-b574-2826495b380d</errorID>
      <errorWord>总额</errorWord>
      <group>L1_Word</group>
      <groupName>字词问题</groupName>
      <ability>L2_Typo</ability>
      <abilityName>字词错误</abilityName>
      <candidateList>
        <item>总</item>
      </candidateList>
      <explain/>
      <paraID>1502FEFD</paraID>
      <start>76</start>
      <end>78</end>
      <status>unmodified</status>
      <modifiedWord/>
      <trackRevisions>false</trackRevisions>
    </reviewItem>
    <reviewItem>
      <errorID>33bc1fcb-d62b-4309-95a9-ba384b71fb8c</errorID>
      <errorWord>金额报价</errorWord>
      <group>L1_Grammar</group>
      <groupName>语法问题</groupName>
      <ability>L2_Grammar</ability>
      <abilityName>语法错误</abilityName>
      <candidateList>
        <item>金额</item>
      </candidateList>
      <explain/>
      <paraID>2F28A2AC</paraID>
      <start>47</start>
      <end>51</end>
      <status>unmodified</status>
      <modifiedWord/>
      <trackRevisions>false</trackRevisions>
    </reviewItem>
    <reviewItem>
      <errorID>830c0f40-f0d0-4984-90f6-eeee149198de</errorID>
      <errorWord>清单</errorWord>
      <group>L1_Grammar</group>
      <groupName>语法问题</groupName>
      <ability>L2_Grammar</ability>
      <abilityName>语法错误</abilityName>
      <candidateList>
        <item>固化清单</item>
      </candidateList>
      <explain/>
      <paraID>5C7391B6</paraID>
      <start>35</start>
      <end>37</end>
      <status>unmodified</status>
      <modifiedWord/>
      <trackRevisions>false</trackRevisions>
    </reviewItem>
    <reviewItem>
      <errorID>ca75d7ee-21a9-4913-a693-d35965b154e5</errorID>
      <errorWord>和</errorWord>
      <group>L1_Word</group>
      <groupName>字词问题</groupName>
      <ability>L2_Typo</ability>
      <abilityName>字词错误</abilityName>
      <candidateList>
        <item>、</item>
      </candidateList>
      <explain/>
      <paraID>32E325E6</paraID>
      <start>63</start>
      <end>64</end>
      <status>unmodified</status>
      <modifiedWord/>
      <trackRevisions>false</trackRevisions>
    </reviewItem>
    <reviewItem>
      <errorID>2a646db0-6228-4da1-884d-948ab35884a7</errorID>
      <errorWord>和</errorWord>
      <group>L1_Word</group>
      <groupName>字词问题</groupName>
      <ability>L2_Typo</ability>
      <abilityName>字词错误</abilityName>
      <candidateList>
        <item>以及</item>
      </candidateList>
      <explain/>
      <paraID>32E325E6</paraID>
      <start>66</start>
      <end>67</end>
      <status>unmodified</status>
      <modifiedWord/>
      <trackRevisions>false</trackRevisions>
    </reviewItem>
    <reviewItem>
      <errorID>32688dcb-ced4-404c-a98e-51f13a0be0f5</errorID>
      <errorWord>操作合</errorWord>
      <group>L1_Word</group>
      <groupName>字词问题</groupName>
      <ability>L2_Typo</ability>
      <abilityName>字词错误</abilityName>
      <candidateList>
        <item>操作台</item>
      </candidateList>
      <explain/>
      <paraID> E066E3F</paraID>
      <start>9</start>
      <end>12</end>
      <status>unmodified</status>
      <modifiedWord/>
      <trackRevisions>false</trackRevisions>
    </reviewItem>
    <reviewItem>
      <errorID>01860896-3d99-491f-b710-cc96837ad387</errorID>
      <errorWord>接受</errorWord>
      <group>L1_Word</group>
      <groupName>字词问题</groupName>
      <ability>L2_Typo</ability>
      <abilityName>字词错误</abilityName>
      <candidateList>
        <item>接收</item>
      </candidateList>
      <explain>存在发音相同字词的误用。</explain>
      <paraID>1C76D761</paraID>
      <start>51</start>
      <end>53</end>
      <status>unmodified</status>
      <modifiedWord/>
      <trackRevisions>false</trackRevisions>
    </reviewItem>
    <reviewItem>
      <errorID>c94cd21f-d507-42ed-8074-85a1321e9ce7</errorID>
      <errorWord>，</errorWord>
      <group>L1_Word</group>
      <groupName>字词问题</groupName>
      <ability>L2_Typo</ability>
      <abilityName>字词错误</abilityName>
      <candidateList>
        <item>，在</item>
      </candidateList>
      <explain/>
      <paraID> A068CBB</paraID>
      <start>36</start>
      <end>37</end>
      <status>unmodified</status>
      <modifiedWord/>
      <trackRevisions>false</trackRevisions>
    </reviewItem>
    <reviewItem>
      <errorID>232f01ee-883a-4de3-bc83-c26604ce8c8b</errorID>
      <errorWord>间</errorWord>
      <group>L1_Word</group>
      <groupName>字词问题</groupName>
      <ability>L2_Typo</ability>
      <abilityName>字词错误</abilityName>
      <candidateList>
        <item>间之</item>
      </candidateList>
      <explain/>
      <paraID>263EBF25</paraID>
      <start>14</start>
      <end>15</end>
      <status>unmodified</status>
      <modifiedWord/>
      <trackRevisions>false</trackRevisions>
    </reviewItem>
    <reviewItem>
      <errorID>b4ff0940-3997-4451-9cbc-c003dc2d1e59</errorID>
      <errorWord>抽（选）取</errorWord>
      <group>L1_Grammar</group>
      <groupName>语法问题</groupName>
      <ability>L2_Grammar</ability>
      <abilityName>语法错误</abilityName>
      <candidateList>
        <item>抽取</item>
      </candidateList>
      <explain/>
      <paraID>54A6D4DC</paraID>
      <start>23</start>
      <end>28</end>
      <status>unmodified</status>
      <modifiedWord/>
      <trackRevisions>false</trackRevisions>
    </reviewItem>
    <reviewItem>
      <errorID>5aaedf24-c40e-482a-a845-e34091e4f654</errorID>
      <errorWord>按</errorWord>
      <group>L1_Word</group>
      <groupName>字词问题</groupName>
      <ability>L2_Typo</ability>
      <abilityName>字词错误</abilityName>
      <candidateList>
        <item>在</item>
      </candidateList>
      <explain/>
      <paraID> 97ED3E7</paraID>
      <start>148</start>
      <end>149</end>
      <status>unmodified</status>
      <modifiedWord/>
      <trackRevisions>false</trackRevisions>
    </reviewItem>
    <reviewItem>
      <errorID>79bd5012-0c7d-49d6-95fd-1f31b54816b3</errorID>
      <errorWord>原则做出结论</errorWord>
      <group>L1_Word</group>
      <groupName>字词问题</groupName>
      <ability>L2_Typo</ability>
      <abilityName>字词错误</abilityName>
      <candidateList>
        <item>原则作出结论</item>
      </candidateList>
      <explain/>
      <paraID> B86674C</paraID>
      <start>62</start>
      <end>68</end>
      <status>unmodified</status>
      <modifiedWord/>
      <trackRevisions>false</trackRevisions>
    </reviewItem>
    <reviewItem>
      <errorID>106c7ca0-de03-43d8-9209-46d262090715</errorID>
      <errorWord>人承担相应</errorWord>
      <group>L1_Grammar</group>
      <groupName>语法问题</groupName>
      <ability>L2_Grammar</ability>
      <abilityName>语法错误</abilityName>
      <candidateList>
        <item>人</item>
      </candidateList>
      <explain/>
      <paraID>3FC654EC</paraID>
      <start>140</start>
      <end>145</end>
      <status>unmodified</status>
      <modifiedWord/>
      <trackRevisions>false</trackRevisions>
    </reviewItem>
    <reviewItem>
      <errorID>b4a35497-e983-451c-aca9-e46b44e6ee57</errorID>
      <errorWord>供应商</errorWord>
      <group>L1_Word</group>
      <groupName>字词问题</groupName>
      <ability>L2_Typo</ability>
      <abilityName>字词错误</abilityName>
      <candidateList>
        <item> 供应商</item>
      </candidateList>
      <explain/>
      <paraID>2090CD25</paraID>
      <start>4</start>
      <end>7</end>
      <status>unmodified</status>
      <modifiedWord/>
      <trackRevisions>false</trackRevisions>
    </reviewItem>
    <reviewItem>
      <errorID>1df2fba8-2e72-4b2a-a93f-f757629b85e2</errorID>
      <errorWord>采购</errorWord>
      <group>L1_Word</group>
      <groupName>字词问题</groupName>
      <ability>L2_Typo</ability>
      <abilityName>字词错误</abilityName>
      <candidateList>
        <item> 采购</item>
      </candidateList>
      <explain/>
      <paraID>5814BC94</paraID>
      <start>4</start>
      <end>6</end>
      <status>unmodified</status>
      <modifiedWord/>
      <trackRevisions>false</trackRevisions>
    </reviewItem>
    <reviewItem>
      <errorID>bd852557-977a-4d21-b884-095d43cbbe80</errorID>
      <errorWord>质疑</errorWord>
      <group>L1_Word</group>
      <groupName>字词问题</groupName>
      <ability>L2_Typo</ability>
      <abilityName>字词错误</abilityName>
      <candidateList>
        <item> 质疑</item>
      </candidateList>
      <explain/>
      <paraID>784068A3</paraID>
      <start>4</start>
      <end>6</end>
      <status>unmodified</status>
      <modifiedWord/>
      <trackRevisions>false</trackRevisions>
    </reviewItem>
    <reviewItem>
      <errorID>0ae18f7e-c9aa-47a8-b415-a2805b8a207c</errorID>
      <errorWord>其他</errorWord>
      <group>L1_Word</group>
      <groupName>字词问题</groupName>
      <ability>L2_Typo</ability>
      <abilityName>字词错误</abilityName>
      <candidateList>
        <item> 其他</item>
      </candidateList>
      <explain/>
      <paraID>7D5D6656</paraID>
      <start>3</start>
      <end>5</end>
      <status>unmodified</status>
      <modifiedWord/>
      <trackRevisions>false</trackRevisions>
    </reviewItem>
    <reviewItem>
      <errorID>2e56be31-882b-4823-9e6a-656f4d0baa68</errorID>
      <errorWord>代理</errorWord>
      <group>L1_Word</group>
      <groupName>字词问题</groupName>
      <ability>L2_Typo</ability>
      <abilityName>字词错误</abilityName>
      <candidateList>
        <item> 代理</item>
      </candidateList>
      <explain/>
      <paraID>525E554B</paraID>
      <start>4</start>
      <end>6</end>
      <status>unmodified</status>
      <modifiedWord/>
      <trackRevisions>false</trackRevisions>
    </reviewItem>
    <reviewItem>
      <errorID>4f498ce8-7271-4811-8c57-241d8b26dfac</errorID>
      <errorWord>需要</errorWord>
      <group>L1_Word</group>
      <groupName>字词问题</groupName>
      <ability>L2_Typo</ability>
      <abilityName>字词错误</abilityName>
      <candidateList>
        <item> 需要</item>
      </candidateList>
      <explain/>
      <paraID>144D9A0F</paraID>
      <start>3</start>
      <end>5</end>
      <status>unmodified</status>
      <modifiedWord/>
      <trackRevisions>false</trackRevisions>
    </reviewItem>
    <reviewItem>
      <errorID>da54efb9-307d-4808-926e-a95272c2374a</errorID>
      <errorWord>本</errorWord>
      <group>L1_Word</group>
      <groupName>字词问题</groupName>
      <ability>L2_Typo</ability>
      <abilityName>字词错误</abilityName>
      <candidateList>
        <item> 本</item>
      </candidateList>
      <explain/>
      <paraID>63349B9B</paraID>
      <start>4</start>
      <end>5</end>
      <status>unmodified</status>
      <modifiedWord/>
      <trackRevisions>false</trackRevisions>
    </reviewItem>
    <reviewItem>
      <errorID>ae33622e-80fb-445e-881e-76bf004d4b8f</errorID>
      <errorWord> </errorWord>
      <group>L1_Punc</group>
      <groupName>标点问题</groupName>
      <ability>L2_Punc</ability>
      <abilityName>标点符号检查</abilityName>
      <candidateList>
        <item/>
      </candidateList>
      <explain>此处空格冗余，建议删除。</explain>
      <paraID>17AFE985</paraID>
      <start>0</start>
      <end>1</end>
      <status>unmodified</status>
      <modifiedWord/>
      <trackRevisions>false</trackRevisions>
    </reviewItem>
    <reviewItem>
      <errorID>2ed6b7ef-91d6-4577-bc39-147e17fefc78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19911289</paraID>
      <start>41</start>
      <end>42</end>
      <status>unmodified</status>
      <modifiedWord/>
      <trackRevisions>false</trackRevisions>
    </reviewItem>
    <reviewItem>
      <errorID>d73cd8ba-acd7-4a70-90e0-12504fe1cf6c</errorID>
      <errorWord>(</errorWord>
      <group>L1_Format</group>
      <groupName>格式问题</groupName>
      <ability>L2_HalfPunc</ability>
      <abilityName>全半角检查</abilityName>
      <candidateList>
        <item>（</item>
      </candidateList>
      <explain>文本全半角错误。</explain>
      <paraID>19911289</paraID>
      <start>53</start>
      <end>54</end>
      <status>unmodified</status>
      <modifiedWord/>
      <trackRevisions>false</trackRevisions>
    </reviewItem>
    <reviewItem>
      <errorID>acba557a-5070-40d9-9865-ccb706ea63b9</errorID>
      <errorWord>)</errorWord>
      <group>L1_Format</group>
      <groupName>格式问题</groupName>
      <ability>L2_HalfPunc</ability>
      <abilityName>全半角检查</abilityName>
      <candidateList>
        <item>）</item>
      </candidateList>
      <explain>文本全半角错误。</explain>
      <paraID>19911289</paraID>
      <start>57</start>
      <end>58</end>
      <status>unmodified</status>
      <modifiedWord/>
      <trackRevisions>false</trackRevisions>
    </reviewItem>
    <reviewItem>
      <errorID>efeda07d-500a-4756-9ac3-f832dce034b1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19911289</paraID>
      <start>78</start>
      <end>79</end>
      <status>unmodified</status>
      <modifiedWord/>
      <trackRevisions>false</trackRevisions>
    </reviewItem>
    <reviewItem>
      <errorID>f1e35a6c-bd4e-4e18-902b-b2f14a25c948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19911289</paraID>
      <start>103</start>
      <end>104</end>
      <status>unmodified</status>
      <modifiedWord/>
      <trackRevisions>false</trackRevisions>
    </reviewItem>
    <reviewItem>
      <errorID>4d145453-a0e2-4e45-83d0-7294a6dbe2e6</errorID>
      <errorWord>(</errorWord>
      <group>L1_Format</group>
      <groupName>格式问题</groupName>
      <ability>L2_HalfPunc</ability>
      <abilityName>全半角检查</abilityName>
      <candidateList>
        <item>（</item>
      </candidateList>
      <explain>文本全半角错误。</explain>
      <paraID>19911289</paraID>
      <start>115</start>
      <end>116</end>
      <status>unmodified</status>
      <modifiedWord/>
      <trackRevisions>false</trackRevisions>
    </reviewItem>
    <reviewItem>
      <errorID>8b12235e-9cd8-464d-a26c-5d475b52d952</errorID>
      <errorWord>)</errorWord>
      <group>L1_Format</group>
      <groupName>格式问题</groupName>
      <ability>L2_HalfPunc</ability>
      <abilityName>全半角检查</abilityName>
      <candidateList>
        <item>）</item>
      </candidateList>
      <explain>文本全半角错误。</explain>
      <paraID>19911289</paraID>
      <start>119</start>
      <end>120</end>
      <status>unmodified</status>
      <modifiedWord/>
      <trackRevisions>false</trackRevisions>
    </reviewItem>
    <reviewItem>
      <errorID>28877b28-0b63-4eb4-8e25-46d170e95098</errorID>
      <errorWord>(无息)</errorWord>
      <group>L1_Punc</group>
      <groupName>标点问题</groupName>
      <ability>L2_Punc</ability>
      <abilityName>标点符号检查</abilityName>
      <candidateList>
        <item>（无息）</item>
      </candidateList>
      <explain/>
      <paraID>28673BFC</paraID>
      <start>171</start>
      <end>175</end>
      <status>unmodified</status>
      <modifiedWord/>
      <trackRevisions>false</trackRevisions>
    </reviewItem>
    <reviewItem>
      <errorID>f8f13d9e-b658-45bb-82f1-9cdaefc19d1a</errorID>
      <errorWord>国家有关的规定</errorWord>
      <group>L1_Word</group>
      <groupName>字词问题</groupName>
      <ability>L2_Typo</ability>
      <abilityName>字词错误</abilityName>
      <candidateList>
        <item>国家有关规定</item>
      </candidateList>
      <explain/>
      <paraID> 3A90715</paraID>
      <start>20</start>
      <end>27</end>
      <status>unmodified</status>
      <modifiedWord/>
      <trackRevisions>false</trackRevisions>
    </reviewItem>
    <reviewItem>
      <errorID>6325e8da-782d-4082-b231-f86976be1763</errorID>
      <errorWord> </errorWord>
      <group>L1_Punc</group>
      <groupName>标点问题</groupName>
      <ability>L2_Punc</ability>
      <abilityName>标点符号检查</abilityName>
      <candidateList>
        <item/>
      </candidateList>
      <explain>此处空格冗余，建议删除。</explain>
      <paraID> 10AAAD8</paraID>
      <start>0</start>
      <end>1</end>
      <status>unmodified</status>
      <modifiedWord/>
      <trackRevisions>false</trackRevisions>
    </reviewItem>
    <reviewItem>
      <errorID>d12630f2-52ed-4133-acc2-b309ebfc6641</errorID>
      <errorWord>，</errorWord>
      <group>L1_Punc</group>
      <groupName>标点问题</groupName>
      <ability>L2_Punc</ability>
      <abilityName>标点符号检查</abilityName>
      <candidateList>
        <item>。</item>
      </candidateList>
      <explain/>
      <paraID>36B0705D</paraID>
      <start>83</start>
      <end>84</end>
      <status>unmodified</status>
      <modifiedWord/>
      <trackRevisions>false</trackRevisions>
    </reviewItem>
    <reviewItem>
      <errorID>060e0588-5ada-4ffc-96fb-84ca114d7b4f</errorID>
      <errorWord>供应商的</errorWord>
      <group>L1_Grammar</group>
      <groupName>语法问题</groupName>
      <ability>L2_Grammar</ability>
      <abilityName>语法错误</abilityName>
      <candidateList>
        <item>，其</item>
      </candidateList>
      <explain/>
      <paraID>36B0705D</paraID>
      <start>107</start>
      <end>111</end>
      <status>unmodified</status>
      <modifiedWord/>
      <trackRevisions>false</trackRevisions>
    </reviewItem>
    <reviewItem>
      <errorID>dbe7bc62-9fcf-4b3e-b24a-e19b7d5c4120</errorID>
      <errorWord>启动</errorWord>
      <group>L1_Word</group>
      <groupName>字词问题</groupName>
      <ability>L2_Typo</ability>
      <abilityName>字词错误</abilityName>
      <candidateList>
        <item>在启动</item>
      </candidateList>
      <explain/>
      <paraID>3B56C04E</paraID>
      <start>36</start>
      <end>38</end>
      <status>unmodified</status>
      <modifiedWord/>
      <trackRevisions>false</trackRevisions>
    </reviewItem>
    <reviewItem>
      <errorID>2506c3dd-9612-46af-b3d5-152872b91dcc</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5A98526B</paraID>
      <start>19</start>
      <end>21</end>
      <status>unmodified</status>
      <modifiedWord/>
      <trackRevisions>false</trackRevisions>
    </reviewItem>
    <reviewItem>
      <errorID>47d5308c-7f54-4eb8-aa85-de21340dde0f</errorID>
      <errorWord>-</errorWord>
      <group>L1_Format</group>
      <groupName>格式问题</groupName>
      <ability>L2_HalfPunc</ability>
      <abilityName>全半角检查</abilityName>
      <candidateList>
        <item>－</item>
      </candidateList>
      <explain>文本全半角错误。</explain>
      <paraID>55738D2E</paraID>
      <start>20</start>
      <end>21</end>
      <status>unmodified</status>
      <modifiedWord/>
      <trackRevisions>false</trackRevisions>
    </reviewItem>
    <reviewItem>
      <errorID>d4472b6b-83fe-4dd8-8a30-c69ddd405ab6</errorID>
      <errorWord>将被</errorWord>
      <group>L1_Word</group>
      <groupName>字词问题</groupName>
      <ability>L2_Typo</ability>
      <abilityName>字词错误</abilityName>
      <candidateList>
        <item>将</item>
      </candidateList>
      <explain/>
      <paraID>76BAF2BD</paraID>
      <start>16</start>
      <end>18</end>
      <status>unmodified</status>
      <modifiedWord/>
      <trackRevisions>false</trackRevisions>
    </reviewItem>
    <reviewItem>
      <errorID>08939ea0-c61f-4559-86b7-98f00e6f673b</errorID>
      <errorWord>无效处理</errorWord>
      <group>L1_Grammar</group>
      <groupName>语法问题</groupName>
      <ability>L2_Grammar</ability>
      <abilityName>语法错误</abilityName>
      <candidateList>
        <item>无效</item>
      </candidateList>
      <explain/>
      <paraID>76BAF2BD</paraID>
      <start>24</start>
      <end>28</end>
      <status>unmodified</status>
      <modifiedWord/>
      <trackRevisions>false</trackRevisions>
    </reviewItem>
    <reviewItem>
      <errorID>5981af3b-6824-470f-8fa0-85724a12c064</errorID>
      <errorWord>无效的</errorWord>
      <group>L1_Word</group>
      <groupName>字词问题</groupName>
      <ability>L2_Typo</ability>
      <abilityName>字词错误</abilityName>
      <candidateList>
        <item>无效</item>
      </candidateList>
      <explain/>
      <paraID>28FA6DA8</paraID>
      <start>10</start>
      <end>13</end>
      <status>unmodified</status>
      <modifiedWord/>
      <trackRevisions>false</trackRevisions>
    </reviewItem>
    <reviewItem>
      <errorID>53a861d4-afe9-4b70-893e-d7d97e690572</errorID>
      <errorWord>保证金的</errorWord>
      <group>L1_Word</group>
      <groupName>字词问题</groupName>
      <ability>L2_Typo</ability>
      <abilityName>字词错误</abilityName>
      <candidateList>
        <item>保证金</item>
      </candidateList>
      <explain/>
      <paraID>28FA6DA8</paraID>
      <start>29</start>
      <end>33</end>
      <status>unmodified</status>
      <modifiedWord/>
      <trackRevisions>false</trackRevisions>
    </reviewItem>
    <reviewItem>
      <errorID>c57ec99c-3d49-457c-adc0-72d6b4fc3992</errorID>
      <errorWord> </errorWord>
      <group>L1_Punc</group>
      <groupName>标点问题</groupName>
      <ability>L2_Punc</ability>
      <abilityName>标点符号检查</abilityName>
      <candidateList>
        <item/>
      </candidateList>
      <explain>此处空格冗余，建议删除。</explain>
      <paraID>58469345</paraID>
      <start>29</start>
      <end>30</end>
      <status>unmodified</status>
      <modifiedWord/>
      <trackRevisions>false</trackRevisions>
    </reviewItem>
    <reviewItem>
      <errorID>2ceec4a7-00c8-465a-9fa8-e5690be61a97</errorID>
      <errorWord> </errorWord>
      <group>L1_Punc</group>
      <groupName>标点问题</groupName>
      <ability>L2_Punc</ability>
      <abilityName>标点符号检查</abilityName>
      <candidateList>
        <item/>
      </candidateList>
      <explain>此处空格冗余，建议删除。</explain>
      <paraID>58469345</paraID>
      <start>91</start>
      <end>92</end>
      <status>unmodified</status>
      <modifiedWord/>
      <trackRevisions>false</trackRevisions>
    </reviewItem>
    <reviewItem>
      <errorID>a013001e-7f07-4803-b7c7-7dc88100e491</errorID>
      <errorWord>的规定</errorWord>
      <group>L1_Grammar</group>
      <groupName>语法问题</groupName>
      <ability>L2_Grammar</ability>
      <abilityName>语法错误</abilityName>
      <candidateList>
        <item>，</item>
      </candidateList>
      <explain/>
      <paraID>58469345</paraID>
      <start>115</start>
      <end>118</end>
      <status>unmodified</status>
      <modifiedWord/>
      <trackRevisions>false</trackRevisions>
    </reviewItem>
    <reviewItem>
      <errorID>a9fd60af-09f3-45a2-8c80-d2c807831558</errorID>
      <errorWord>无效的</errorWord>
      <group>L1_Word</group>
      <groupName>字词问题</groupName>
      <ability>L2_Typo</ability>
      <abilityName>字词错误</abilityName>
      <candidateList>
        <item>无效</item>
      </candidateList>
      <explain/>
      <paraID>58469345</paraID>
      <start>129</start>
      <end>132</end>
      <status>unmodified</status>
      <modifiedWord/>
      <trackRevisions>false</trackRevisions>
    </reviewItem>
    <reviewItem>
      <errorID>87fc6819-9a42-4574-8ebc-89bf43362f25</errorID>
      <errorWord>法律、法规</errorWord>
      <group>L1_Word</group>
      <groupName>字词问题</groupName>
      <ability>L2_Typo</ability>
      <abilityName>字词错误</abilityName>
      <candidateList>
        <item>法律法规</item>
      </candidateList>
      <explain/>
      <paraID>61241FF9</paraID>
      <start>3</start>
      <end>8</end>
      <status>unmodified</status>
      <modifiedWord/>
      <trackRevisions>false</trackRevisions>
    </reviewItem>
    <reviewItem>
      <errorID>39856de9-b219-4da1-97b3-b36c14e57fff</errorID>
      <errorWord>存在有</errorWord>
      <group>L1_Word</group>
      <groupName>字词问题</groupName>
      <ability>L2_Typo</ability>
      <abilityName>字词错误</abilityName>
      <candidateList>
        <item>存在</item>
      </candidateList>
      <explain/>
      <paraID>7EF7CA08</paraID>
      <start>79</start>
      <end>82</end>
      <status>unmodified</status>
      <modifiedWord/>
      <trackRevisions>false</trackRevisions>
    </reviewItem>
    <reviewItem>
      <errorID>ba8e2dcc-4836-4dea-8afa-e22539b17ac8</errorID>
      <errorWord>报价的</errorWord>
      <group>L1_Word</group>
      <groupName>字词问题</groupName>
      <ability>L2_Typo</ability>
      <abilityName>字词错误</abilityName>
      <candidateList>
        <item>报价</item>
      </candidateList>
      <explain/>
      <paraID>7EF7CA08</paraID>
      <start>88</start>
      <end>91</end>
      <status>unmodified</status>
      <modifiedWord/>
      <trackRevisions>false</trackRevisions>
    </reviewItem>
    <reviewItem>
      <errorID>fd7109d5-603a-431d-b3bc-9f3b4bf78148</errorID>
      <errorWord>删减的</errorWord>
      <group>L1_Word</group>
      <groupName>字词问题</groupName>
      <ability>L2_Typo</ability>
      <abilityName>字词错误</abilityName>
      <candidateList>
        <item>删减</item>
      </candidateList>
      <explain/>
      <paraID> E0CFF42</paraID>
      <start>34</start>
      <end>37</end>
      <status>unmodified</status>
      <modifiedWord/>
      <trackRevisions>false</trackRevisions>
    </reviewItem>
    <reviewItem>
      <errorID>094b5bdd-b6bc-4848-8b8e-e3f515986e99</errorID>
      <errorWord>修改的</errorWord>
      <group>L1_Word</group>
      <groupName>字词问题</groupName>
      <ability>L2_Typo</ability>
      <abilityName>字词错误</abilityName>
      <candidateList>
        <item>修改</item>
      </candidateList>
      <explain/>
      <paraID> E0CFF42</paraID>
      <start>90</start>
      <end>93</end>
      <status>unmodified</status>
      <modifiedWord/>
      <trackRevisions>false</trackRevisions>
    </reviewItem>
    <reviewItem>
      <errorID>dd1f4dcc-ad81-4716-8e96-69d1a97c64d4</errorID>
      <errorWord>响应</errorWord>
      <group>L1_Grammar</group>
      <groupName>语法问题</groupName>
      <ability>L2_Grammar</ability>
      <abilityName>语法错误</abilityName>
      <candidateList>
        <item>，其响应</item>
      </candidateList>
      <explain/>
      <paraID>16D2550C</paraID>
      <start>28</start>
      <end>30</end>
      <status>unmodified</status>
      <modifiedWord/>
      <trackRevisions>false</trackRevisions>
    </reviewItem>
    <reviewItem>
      <errorID>c3506b55-8adf-447b-bdd1-0e7b467d7bc3</errorID>
      <errorWord>，</errorWord>
      <group>L1_Punc</group>
      <groupName>标点问题</groupName>
      <ability>L2_Punc</ability>
      <abilityName>标点符号检查</abilityName>
      <candidateList>
        <item>。</item>
      </candidateList>
      <explain/>
      <paraID>70058191</paraID>
      <start>72</start>
      <end>73</end>
      <status>unmodified</status>
      <modifiedWord/>
      <trackRevisions>false</trackRevisions>
    </reviewItem>
    <reviewItem>
      <errorID>5699fdef-2fe1-4fd6-bbce-023c7fb907ad</errorID>
      <errorWord>视同</errorWord>
      <group>L1_Punc</group>
      <groupName>标点问题</groupName>
      <ability>L2_Punc</ability>
      <abilityName>标点符号检查</abilityName>
      <candidateList>
        <item>，视同</item>
      </candidateList>
      <explain/>
      <paraID>70058191</paraID>
      <start>85</start>
      <end>87</end>
      <status>unmodified</status>
      <modifiedWord/>
      <trackRevisions>false</trackRevisions>
    </reviewItem>
    <reviewItem>
      <errorID>b5d07932-9fdd-4952-ac06-d74ddffc4747</errorID>
      <errorWord>一致的</errorWord>
      <group>L1_Word</group>
      <groupName>字词问题</groupName>
      <ability>L2_Typo</ability>
      <abilityName>字词错误</abilityName>
      <candidateList>
        <item>一致</item>
      </candidateList>
      <explain/>
      <paraID>500328A2</paraID>
      <start>142</start>
      <end>145</end>
      <status>unmodified</status>
      <modifiedWord/>
      <trackRevisions>false</trackRevisions>
    </reviewItem>
    <reviewItem>
      <errorID>6284aa49-0a38-44b2-b433-b06a9c88b5da</errorID>
      <errorWord>做</errorWord>
      <group>L1_Word</group>
      <groupName>字词问题</groupName>
      <ability>L2_Typo</ability>
      <abilityName>字词错误</abilityName>
      <candidateList>
        <item>作</item>
      </candidateList>
      <explain/>
      <paraID>500328A2</paraID>
      <start>175</start>
      <end>176</end>
      <status>unmodified</status>
      <modifiedWord/>
      <trackRevisions>false</trackRevisions>
    </reviewItem>
    <reviewItem>
      <errorID>d26c4ed6-7344-43fa-878a-b23ea89f2b41</errorID>
      <errorWord>确认的</errorWord>
      <group>L1_Word</group>
      <groupName>字词问题</groupName>
      <ability>L2_Typo</ability>
      <abilityName>字词错误</abilityName>
      <candidateList>
        <item>确认</item>
      </candidateList>
      <explain/>
      <paraID>349C2194</paraID>
      <start>7</start>
      <end>10</end>
      <status>unmodified</status>
      <modifiedWord/>
      <trackRevisions>false</trackRevisions>
    </reviewItem>
    <reviewItem>
      <errorID>1cf1ba7f-8a63-490f-8932-67abf58004ef</errorID>
      <errorWord>限价的</errorWord>
      <group>L1_Word</group>
      <groupName>字词问题</groupName>
      <ability>L2_Typo</ability>
      <abilityName>字词错误</abilityName>
      <candidateList>
        <item>限价</item>
      </candidateList>
      <explain/>
      <paraID>60AFEF84</paraID>
      <start>50</start>
      <end>53</end>
      <status>unmodified</status>
      <modifiedWord/>
      <trackRevisions>false</trackRevisions>
    </reviewItem>
    <reviewItem>
      <errorID>a8f1abd2-2865-4376-a807-75c819215506</errorID>
      <errorWord>限价的</errorWord>
      <group>L1_Word</group>
      <groupName>字词问题</groupName>
      <ability>L2_Typo</ability>
      <abilityName>字词错误</abilityName>
      <candidateList>
        <item>限价</item>
      </candidateList>
      <explain/>
      <paraID>33430CE7</paraID>
      <start>46</start>
      <end>49</end>
      <status>unmodified</status>
      <modifiedWord/>
      <trackRevisions>false</trackRevisions>
    </reviewItem>
    <reviewItem>
      <errorID>00fc9ced-8e93-4b1e-8200-43f82d7af75a</errorID>
      <errorWord>，</errorWord>
      <group>L1_Word</group>
      <groupName>字词问题</groupName>
      <ability>L2_Typo</ability>
      <abilityName>字词错误</abilityName>
      <candidateList>
        <item>，并</item>
      </candidateList>
      <explain/>
      <paraID>529DBF9C</paraID>
      <start>63</start>
      <end>64</end>
      <status>unmodified</status>
      <modifiedWord/>
      <trackRevisions>false</trackRevisions>
    </reviewItem>
    <reviewItem>
      <errorID>994f31a8-336c-4448-974a-c716904f0d06</errorID>
      <errorWord>时</errorWord>
      <group>L1_Grammar</group>
      <groupName>语法问题</groupName>
      <ability>L2_Grammar</ability>
      <abilityName>语法错误</abilityName>
      <candidateList>
        <item>的情况时</item>
      </candidateList>
      <explain/>
      <paraID>5306BFCF</paraID>
      <start>31</start>
      <end>32</end>
      <status>unmodified</status>
      <modifiedWord/>
      <trackRevisions>false</trackRevisions>
    </reviewItem>
    <reviewItem>
      <errorID>a82cb996-7b9e-452b-81b7-139b77c24b26</errorID>
      <errorWord>且</errorWord>
      <group>L1_Word</group>
      <groupName>字词问题</groupName>
      <ability>L2_Typo</ability>
      <abilityName>字词错误</abilityName>
      <candidateList>
        <item>和</item>
      </candidateList>
      <explain/>
      <paraID>60323BFB</paraID>
      <start>141</start>
      <end>142</end>
      <status>unmodified</status>
      <modifiedWord/>
      <trackRevisions>false</trackRevisions>
    </reviewItem>
    <reviewItem>
      <errorID>9f0ec877-0ac8-4f09-8262-d6bca95ea68b</errorID>
      <errorWord>总额</errorWord>
      <group>L1_Word</group>
      <groupName>字词问题</groupName>
      <ability>L2_Typo</ability>
      <abilityName>字词错误</abilityName>
      <candidateList>
        <item>总</item>
      </candidateList>
      <explain/>
      <paraID>41B0EE20</paraID>
      <start>53</start>
      <end>55</end>
      <status>unmodified</status>
      <modifiedWord/>
      <trackRevisions>false</trackRevisions>
    </reviewItem>
    <reviewItem>
      <errorID>50b4a178-11a7-4d71-a755-840088b9499b</errorID>
      <errorWord>费</errorWord>
      <group>L1_Word</group>
      <groupName>字词问题</groupName>
      <ability>L2_Typo</ability>
      <abilityName>字词错误</abilityName>
      <candidateList>
        <item>费用</item>
      </candidateList>
      <explain/>
      <paraID>69BDB56A</paraID>
      <start>26</start>
      <end>27</end>
      <status>unmodified</status>
      <modifiedWord/>
      <trackRevisions>false</trackRevisions>
    </reviewItem>
    <reviewItem>
      <errorID>78627d13-6eea-423e-aa8a-5944393d4d74</errorID>
      <errorWord>股东大会</errorWord>
      <group>L1_Word</group>
      <groupName>字词问题</groupName>
      <ability>L2_Typo</ability>
      <abilityName>字词错误</abilityName>
      <candidateList>
        <item>股东会</item>
      </candidateList>
      <explain/>
      <paraID>6E339C9A</paraID>
      <start>113</start>
      <end>117</end>
      <status>unmodified</status>
      <modifiedWord/>
      <trackRevisions>false</trackRevisions>
    </reviewItem>
    <reviewItem>
      <errorID>4fbd8bd0-515b-4d0f-9b95-2f71a417757a</errorID>
      <errorWord>者</errorWord>
      <group>L1_Word</group>
      <groupName>字词问题</groupName>
      <ability>L2_Typo</ability>
      <abilityName>字词错误</abilityName>
      <candidateList>
        <item>者加</item>
      </candidateList>
      <explain/>
      <paraID>26663C86</paraID>
      <start>29</start>
      <end>30</end>
      <status>unmodified</status>
      <modifiedWord/>
      <trackRevisions>false</trackRevisions>
    </reviewItem>
    <reviewItem>
      <errorID>fce30dd1-12be-4b87-a836-5e77334bac2c</errorID>
      <errorWord>位</errorWord>
      <group>L1_Word</group>
      <groupName>字词问题</groupName>
      <ability>L2_Typo</ability>
      <abilityName>字词错误</abilityName>
      <candidateList>
        <item>位公</item>
      </candidateList>
      <explain/>
      <paraID>26663C86</paraID>
      <start>32</start>
      <end>33</end>
      <status>unmodified</status>
      <modifiedWord/>
      <trackRevisions>false</trackRevisions>
    </reviewItem>
    <reviewItem>
      <errorID>89bd2576-b9d5-40fb-a4f3-04db30060b7e</errorID>
      <errorWord>:</errorWord>
      <group>L1_Format</group>
      <groupName>格式问题</groupName>
      <ability>L2_HalfPunc</ability>
      <abilityName>全半角检查</abilityName>
      <candidateList>
        <item>：</item>
      </candidateList>
      <explain>文本全半角错误。</explain>
      <paraID>380C567E</paraID>
      <start>1</start>
      <end>2</end>
      <status>unmodified</status>
      <modifiedWord/>
      <trackRevisions>false</trackRevisions>
    </reviewItem>
    <reviewItem>
      <errorID>17319549-c025-40ae-a74e-973efb35a436</errorID>
      <errorWord>《</errorWord>
      <group>L1_Punc</group>
      <groupName>标点问题</groupName>
      <ability>L2_Punc</ability>
      <abilityName>标点符号检查</abilityName>
      <candidateList/>
      <explain>同一形式括号套用。</explain>
      <paraID>5C29B7DC</paraID>
      <start>34</start>
      <end>35</end>
      <status>unmodified</status>
      <modifiedWord/>
      <trackRevisions>false</trackRevisions>
    </reviewItem>
    <reviewItem>
      <errorID>1e8cd8db-43db-4401-9196-5ca18f5c85d4</errorID>
      <errorWord>》</errorWord>
      <group>L1_Punc</group>
      <groupName>标点问题</groupName>
      <ability>L2_Punc</ability>
      <abilityName>标点符号检查</abilityName>
      <candidateList/>
      <explain>同一形式括号套用。</explain>
      <paraID>5C29B7DC</paraID>
      <start>47</start>
      <end>48</end>
      <status>unmodified</status>
      <modifiedWord/>
      <trackRevisions>false</trackRevisions>
    </reviewItem>
    <reviewItem>
      <errorID>8ac9bd54-7ce1-4a96-811b-47e8298d59d9</errorID>
      <errorWord>,</errorWord>
      <group>L1_Format</group>
      <groupName>格式问题</groupName>
      <ability>L2_HalfPunc</ability>
      <abilityName>全半角检查</abilityName>
      <candidateList>
        <item>，</item>
      </candidateList>
      <explain>文本全半角错误。</explain>
      <paraID>7A200D15</paraID>
      <start>56</start>
      <end>57</end>
      <status>unmodified</status>
      <modifiedWord/>
      <trackRevisions>false</trackRevisions>
    </reviewItem>
    <reviewItem>
      <errorID>8f3f45b1-a13d-4e10-a416-dab0ff6619a3</errorID>
      <errorWord>税</errorWord>
      <group>L1_Word</group>
      <groupName>字词问题</groupName>
      <ability>L2_Typo</ability>
      <abilityName>字词错误</abilityName>
      <candidateList>
        <item>税务</item>
      </candidateList>
      <explain/>
      <paraID>601DC518</paraID>
      <start>4</start>
      <end>5</end>
      <status>unmodified</status>
      <modifiedWord/>
      <trackRevisions>false</trackRevisions>
    </reviewItem>
    <reviewItem>
      <errorID>01070caa-64c4-452d-88bb-6ca3effb1e58</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155E8736</paraID>
      <start>53</start>
      <end>57</end>
      <status>unmodified</status>
      <modifiedWord/>
      <trackRevisions>false</trackRevisions>
    </reviewItem>
    <reviewItem>
      <errorID>795425c1-0d45-4fb2-a410-c67bfae67b54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3C5ECC1E</paraID>
      <start>0</start>
      <end>2</end>
      <status>unmodified</status>
      <modifiedWord/>
      <trackRevisions>false</trackRevisions>
    </reviewItem>
    <reviewItem>
      <errorID>efb2c416-7d4b-4ecf-9044-76765f5841c7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CDCEB6F</paraID>
      <start>0</start>
      <end>2</end>
      <status>unmodified</status>
      <modifiedWord/>
      <trackRevisions>false</trackRevisions>
    </reviewItem>
    <reviewItem>
      <errorID>f70165a7-8e0e-424d-967d-bc7591910c59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1BCB91FD</paraID>
      <start>0</start>
      <end>2</end>
      <status>unmodified</status>
      <modifiedWord/>
      <trackRevisions>false</trackRevisions>
    </reviewItem>
    <reviewItem>
      <errorID>06c547fd-0888-4fb7-8d26-a1044f06b364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5199B260</paraID>
      <start>0</start>
      <end>2</end>
      <status>unmodified</status>
      <modifiedWord/>
      <trackRevisions>false</trackRevisions>
    </reviewItem>
    <reviewItem>
      <errorID>6d7e0927-adf7-4c2e-9223-fd6901c87a0a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251484A</paraID>
      <start>0</start>
      <end>2</end>
      <status>unmodified</status>
      <modifiedWord/>
      <trackRevisions>false</trackRevisions>
    </reviewItem>
    <reviewItem>
      <errorID>b8c91afd-c6e2-4d30-8dae-a2bea9dda682</errorID>
      <errorWord>通用</errorWord>
      <group>L1_Word</group>
      <groupName>字词问题</groupName>
      <ability>L2_Typo</ability>
      <abilityName>字词错误</abilityName>
      <candidateList>
        <item>适用</item>
      </candidateList>
      <explain>〈形〉适合使用：这套耕作方法，在我们这个地区也完全～。</explain>
      <paraID>630E3A49</paraID>
      <start>36</start>
      <end>38</end>
      <status>unmodified</status>
      <modifiedWord/>
      <trackRevisions>false</trackRevisions>
    </reviewItem>
    <reviewItem>
      <errorID>d482db5e-1151-4dba-a771-b56561901b2a</errorID>
      <errorWord>语言文字</errorWord>
      <group>L1_Word</group>
      <groupName>字词问题</groupName>
      <ability>L2_Typo</ability>
      <abilityName>字词错误</abilityName>
      <candidateList>
        <item>言文字</item>
      </candidateList>
      <explain/>
      <paraID>386BBC78</paraID>
      <start>11</start>
      <end>15</end>
      <status>unmodified</status>
      <modifiedWord/>
      <trackRevisions>false</trackRevisions>
    </reviewItem>
    <reviewItem>
      <errorID>8a0006f4-f127-4d4e-84c0-0470d4395298</errorID>
      <errorWord>国家的</errorWord>
      <group>L1_Word</group>
      <groupName>字词问题</groupName>
      <ability>L2_Typo</ability>
      <abilityName>字词错误</abilityName>
      <candidateList>
        <item>国家</item>
      </candidateList>
      <explain/>
      <paraID>1BE51C79</paraID>
      <start>9</start>
      <end>12</end>
      <status>unmodified</status>
      <modifiedWord/>
      <trackRevisions>false</trackRevisions>
    </reviewItem>
    <reviewItem>
      <errorID>f0fa9987-9969-4929-be4c-1b0022388663</errorID>
      <errorWord>座标</errorWord>
      <group>L1_Word</group>
      <groupName>字词问题</groupName>
      <ability>L2_Typo</ability>
      <abilityName>字词错误</abilityName>
      <candidateList>
        <item>坐标</item>
      </candidateList>
      <explain>〈名〉能够确定一个点在空间的位置的一个或一组数，叫做这个点的坐标。通常由这个点到垂直相交的若干条固定的直线的距离来表示。这些直线叫做坐标轴。坐标轴的数目在平面上为2，在空间里为3。</explain>
      <paraID>7CF690D1</paraID>
      <start>11</start>
      <end>13</end>
      <status>unmodified</status>
      <modifiedWord/>
      <trackRevisions>false</trackRevisions>
    </reviewItem>
    <reviewItem>
      <errorID>dcdc843b-0089-4ef0-9f12-6994d96b231f</errorID>
      <errorWord>古树名木的保护</errorWord>
      <group>L1_Political</group>
      <groupName>政治性问题</groupName>
      <ability>L2_Keyword</ability>
      <abilityName>固定表述</abilityName>
      <candidateList>
        <item>古树名木保护</item>
      </candidateList>
      <explain>词汇“古树名木保护”在特定场景下为固定表述形式，请确认此处的“古树名木的保护”是否存在不当。</explain>
      <paraID>51795611</paraID>
      <start>40</start>
      <end>47</end>
      <status>unmodified</status>
      <modifiedWord/>
      <trackRevisions>false</trackRevisions>
    </reviewItem>
    <reviewItem>
      <errorID>d1c07d50-7037-4b14-a205-28709d38677f</errorID>
      <errorWord>古树名木的保护</errorWord>
      <group>L1_Political</group>
      <groupName>政治性问题</groupName>
      <ability>L2_Keyword</ability>
      <abilityName>固定表述</abilityName>
      <candidateList>
        <item>古树名木保护</item>
      </candidateList>
      <explain>词汇“古树名木保护”在特定场景下为固定表述形式，请确认此处的“古树名木的保护”是否存在不当。</explain>
      <paraID>4AA13FF9</paraID>
      <start>43</start>
      <end>50</end>
      <status>unmodified</status>
      <modifiedWord/>
      <trackRevisions>false</trackRevisions>
    </reviewItem>
    <reviewItem>
      <errorID>ab7e41dd-c684-4500-899f-66e04b80811a</errorID>
      <errorWord>工程师的</errorWord>
      <group>L1_Word</group>
      <groupName>字词问题</groupName>
      <ability>L2_Typo</ability>
      <abilityName>字词错误</abilityName>
      <candidateList>
        <item>工程师</item>
      </candidateList>
      <explain/>
      <paraID>58A311B7</paraID>
      <start>21</start>
      <end>25</end>
      <status>unmodified</status>
      <modifiedWord/>
      <trackRevisions>false</trackRevisions>
    </reviewItem>
    <reviewItem>
      <errorID>dbb8c1dd-5922-40da-bb93-b3ba22422732</errorID>
      <errorWord>，</errorWord>
      <group>L1_Word</group>
      <groupName>字词问题</groupName>
      <ability>L2_Typo</ability>
      <abilityName>字词错误</abilityName>
      <candidateList>
        <item>，由</item>
      </candidateList>
      <explain/>
      <paraID>38321393</paraID>
      <start>104</start>
      <end>105</end>
      <status>unmodified</status>
      <modifiedWord/>
      <trackRevisions>false</trackRevisions>
    </reviewItem>
    <reviewItem>
      <errorID>5ce4e3a1-fbdb-4d7f-937b-0aef3b982893</errorID>
      <errorWord>人</errorWord>
      <group>L1_Word</group>
      <groupName>字词问题</groupName>
      <ability>L2_Typo</ability>
      <abilityName>字词错误</abilityName>
      <candidateList>
        <item>人和</item>
      </candidateList>
      <explain/>
      <paraID>1554FA58</paraID>
      <start>56</start>
      <end>57</end>
      <status>unmodified</status>
      <modifiedWord/>
      <trackRevisions>false</trackRevisions>
    </reviewItem>
    <reviewItem>
      <errorID>ab3f92e9-1f44-45cd-ab59-ae2fa4dd7e8b</errorID>
      <errorWord>下</errorWord>
      <group>L1_Word</group>
      <groupName>字词问题</groupName>
      <ability>L2_Typo</ability>
      <abilityName>字词错误</abilityName>
      <candidateList>
        <item>下简</item>
      </candidateList>
      <explain/>
      <paraID>5660643B</paraID>
      <start>62</start>
      <end>63</end>
      <status>unmodified</status>
      <modifiedWord/>
      <trackRevisions>false</trackRevisions>
    </reviewItem>
    <reviewItem>
      <errorID>5f482fa7-7279-41f0-af42-1deac296aea2</errorID>
      <errorWord>，</errorWord>
      <group>L1_Word</group>
      <groupName>字词问题</groupName>
      <ability>L2_Typo</ability>
      <abilityName>字词错误</abilityName>
      <candidateList>
        <item>，由</item>
      </candidateList>
      <explain/>
      <paraID>3F4D3F72</paraID>
      <start>50</start>
      <end>51</end>
      <status>unmodified</status>
      <modifiedWord/>
      <trackRevisions>false</trackRevisions>
    </reviewItem>
    <reviewItem>
      <errorID>82b1a0af-2325-45c7-bf3f-2d5fe9179695</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76FB0752</paraID>
      <start>21</start>
      <end>24</end>
      <status>unmodified</status>
      <modifiedWord/>
      <trackRevisions>false</trackRevisions>
    </reviewItem>
    <reviewItem>
      <errorID>27ce2d96-5399-4dea-a775-353d79596eeb</errorID>
      <errorWord>３</errorWord>
      <group>L1_Format</group>
      <groupName>格式问题</groupName>
      <ability>L2_HalfPunc</ability>
      <abilityName>全半角检查</abilityName>
      <candidateList>
        <item>3</item>
      </candidateList>
      <explain>文本全半角错误。</explain>
      <paraID>352D7785</paraID>
      <start>52</start>
      <end>53</end>
      <status>unmodified</status>
      <modifiedWord/>
      <trackRevisions>false</trackRevisions>
    </reviewItem>
    <reviewItem>
      <errorID>c645d0c2-dae4-4ace-8328-4c9a94a873da</errorID>
      <errorWord>违约责任，赔偿</errorWord>
      <group>L1_Word</group>
      <groupName>字词问题</groupName>
      <ability>L2_Typo</ability>
      <abilityName>字词错误</abilityName>
      <candidateList>
        <item>违约责任，并赔偿</item>
      </candidateList>
      <explain/>
      <paraID>154E0758</paraID>
      <start>6</start>
      <end>13</end>
      <status>unmodified</status>
      <modifiedWord/>
      <trackRevisions>false</trackRevisions>
    </reviewItem>
    <reviewItem>
      <errorID>c291ef29-c1e7-4ed7-b0ad-67b758023f59</errorID>
      <errorWord>违约责任，赔偿</errorWord>
      <group>L1_Word</group>
      <groupName>字词问题</groupName>
      <ability>L2_Typo</ability>
      <abilityName>字词错误</abilityName>
      <candidateList>
        <item>违约责任，并赔偿</item>
      </candidateList>
      <explain/>
      <paraID>7BF176CE</paraID>
      <start>6</start>
      <end>13</end>
      <status>unmodified</status>
      <modifiedWord/>
      <trackRevisions>false</trackRevisions>
    </reviewItem>
    <reviewItem>
      <errorID>24c35b4c-217a-48f0-9316-bd474447258f</errorID>
      <errorWord>数额可</errorWord>
      <group>L1_Word</group>
      <groupName>字词问题</groupName>
      <ability>L2_Typo</ability>
      <abilityName>字词错误</abilityName>
      <candidateList>
        <item>数额</item>
      </candidateList>
      <explain/>
      <paraID>7BF176CE</paraID>
      <start>65</start>
      <end>68</end>
      <status>unmodified</status>
      <modifiedWord/>
      <trackRevisions>false</trackRevisions>
    </reviewItem>
    <reviewItem>
      <errorID>67fb0c1a-1f7d-40d7-8fc9-6fbeddfb1ff4</errorID>
      <errorWord>完</errorWord>
      <group>L1_Word</group>
      <groupName>字词问题</groupName>
      <ability>L2_Typo</ability>
      <abilityName>字词错误</abilityName>
      <candidateList>
        <item>完成</item>
      </candidateList>
      <explain>〈动〉按照预期的目的结束；做成：～任务｜～作业｜计划完得成。</explain>
      <paraID>269B4253</paraID>
      <start>44</start>
      <end>45</end>
      <status>unmodified</status>
      <modifiedWord/>
      <trackRevisions>false</trackRevisions>
    </reviewItem>
    <reviewItem>
      <errorID>1aa52569-e729-414b-a002-7de05fcfda29</errorID>
      <errorWord>，</errorWord>
      <group>L1_Word</group>
      <groupName>字词问题</groupName>
      <ability>L2_Typo</ability>
      <abilityName>字词错误</abilityName>
      <candidateList>
        <item>，以</item>
      </candidateList>
      <explain/>
      <paraID>607D0A07</paraID>
      <start>97</start>
      <end>98</end>
      <status>unmodified</status>
      <modifiedWord/>
      <trackRevisions>false</trackRevisions>
    </reviewItem>
    <reviewItem>
      <errorID>0c86552a-f7c0-4cb7-b70e-3e6fecdb3c3e</errorID>
      <errorWord>不可抗事件</errorWord>
      <group>L1_Word</group>
      <groupName>字词问题</groupName>
      <ability>L2_Typo</ability>
      <abilityName>字词错误</abilityName>
      <candidateList>
        <item>不可抗力事件</item>
      </candidateList>
      <explain/>
      <paraID>607D0A07</paraID>
      <start>111</start>
      <end>116</end>
      <status>unmodified</status>
      <modifiedWord/>
      <trackRevisions>false</trackRevisions>
    </reviewItem>
    <reviewItem>
      <errorID>85e49a27-caa7-484c-aa07-d13f4222b089</errorID>
      <errorWord>工</errorWord>
      <group>L1_Word</group>
      <groupName>字词问题</groupName>
      <ability>L2_Typo</ability>
      <abilityName>字词错误</abilityName>
      <candidateList>
        <item>工现</item>
      </candidateList>
      <explain/>
      <paraID>2AD7A375</paraID>
      <start>22</start>
      <end>23</end>
      <status>unmodified</status>
      <modifiedWord/>
      <trackRevisions>false</trackRevisions>
    </reviewItem>
    <reviewItem>
      <errorID>2a4f66f6-cb5d-44f3-b890-c22d7cf8bccd</errorID>
      <errorWord>人事</errorWord>
      <group>L1_Word</group>
      <groupName>字词问题</groupName>
      <ability>L2_Typo</ability>
      <abilityName>字词错误</abilityName>
      <candidateList>
        <item>从事</item>
      </candidateList>
      <explain/>
      <paraID>5BA61876</paraID>
      <start>12</start>
      <end>14</end>
      <status>unmodified</status>
      <modifiedWord/>
      <trackRevisions>false</trackRevisions>
    </reviewItem>
    <reviewItem>
      <errorID>57aca07a-3eea-4677-9a85-a8d8d6cbe1de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E3EC0D</paraID>
      <start>0</start>
      <end>2</end>
      <status>unmodified</status>
      <modifiedWord/>
      <trackRevisions>false</trackRevisions>
    </reviewItem>
    <reviewItem>
      <errorID>01c2febb-576a-4399-96b0-8123dbc7db23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48AF54BB</paraID>
      <start>0</start>
      <end>2</end>
      <status>unmodified</status>
      <modifiedWord/>
      <trackRevisions>false</trackRevisions>
    </reviewItem>
    <reviewItem>
      <errorID>fea45016-1997-46a5-a403-aa5b38113c79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68E7227B</paraID>
      <start>0</start>
      <end>2</end>
      <status>unmodified</status>
      <modifiedWord/>
      <trackRevisions>false</trackRevisions>
    </reviewItem>
    <reviewItem>
      <errorID>d1be1338-667d-4e46-8679-f2fb22941366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FAAD1AE</paraID>
      <start>0</start>
      <end>2</end>
      <status>unmodified</status>
      <modifiedWord/>
      <trackRevisions>false</trackRevisions>
    </reviewItem>
    <reviewItem>
      <errorID>5f99fc4f-601e-4f95-b62f-b92be686dc20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96D7FF9</paraID>
      <start>0</start>
      <end>2</end>
      <status>unmodified</status>
      <modifiedWord/>
      <trackRevisions>false</trackRevisions>
    </reviewItem>
    <reviewItem>
      <errorID>3ea4a2d6-ee0b-4a2b-a497-cc5fc1aafdd4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47F4316C</paraID>
      <start>0</start>
      <end>2</end>
      <status>unmodified</status>
      <modifiedWord/>
      <trackRevisions>false</trackRevisions>
    </reviewItem>
    <reviewItem>
      <errorID>09d61279-21e4-481f-bbe3-e7e3524daab7</errorID>
      <errorWord>(l)</errorWord>
      <group>L1_Format</group>
      <groupName>格式问题</groupName>
      <ability>L2_Ordinal</ability>
      <abilityName>序号格式</abilityName>
      <candidateList>
        <item>（l）</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B730C6E</paraID>
      <start>0</start>
      <end>3</end>
      <status>unmodified</status>
      <modifiedWord/>
      <trackRevisions>false</trackRevisions>
    </reviewItem>
    <reviewItem>
      <errorID>fc417837-60ec-4619-8145-5ab75a3f9c87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46E0461B</paraID>
      <start>0</start>
      <end>3</end>
      <status>unmodified</status>
      <modifiedWord/>
      <trackRevisions>false</trackRevisions>
    </reviewItem>
    <reviewItem>
      <errorID>e06afdd4-b886-455e-87f7-c307fb0eb818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4ED89D</paraID>
      <start>0</start>
      <end>3</end>
      <status>unmodified</status>
      <modifiedWord/>
      <trackRevisions>false</trackRevisions>
    </reviewItem>
    <reviewItem>
      <errorID>605ba5f3-e31b-41a4-a80e-98f4d8ea71bc</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4ED89D</paraID>
      <start>3</start>
      <end>4</end>
      <status>unmodified</status>
      <modifiedWord/>
      <trackRevisions>false</trackRevisions>
    </reviewItem>
    <reviewItem>
      <errorID>4a79575c-7750-4a90-94c3-01dba1fbbaf0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1C68E03B</paraID>
      <start>0</start>
      <end>3</end>
      <status>unmodified</status>
      <modifiedWord/>
      <trackRevisions>false</trackRevisions>
    </reviewItem>
    <reviewItem>
      <errorID>801c530f-1d05-4653-b6ba-115deda8c110</errorID>
      <errorWord>座标</errorWord>
      <group>L1_Word</group>
      <groupName>字词问题</groupName>
      <ability>L2_Typo</ability>
      <abilityName>字词错误</abilityName>
      <candidateList>
        <item>坐标</item>
      </candidateList>
      <explain>〈名〉能够确定一个点在空间的位置的一个或一组数，叫做这个点的坐标。通常由这个点到垂直相交的若干条固定的直线的距离来表示。这些直线叫做坐标轴。坐标轴的数目在平面上为2，在空间里为3。</explain>
      <paraID>1C68E03B</paraID>
      <start>7</start>
      <end>9</end>
      <status>unmodified</status>
      <modifiedWord/>
      <trackRevisions>false</trackRevisions>
    </reviewItem>
    <reviewItem>
      <errorID>c53225e1-d230-4354-b7a2-d0d4b5b36836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162B71AA</paraID>
      <start>0</start>
      <end>3</end>
      <status>unmodified</status>
      <modifiedWord/>
      <trackRevisions>false</trackRevisions>
    </reviewItem>
    <reviewItem>
      <errorID>6304823a-6076-46de-9ed3-0aa802777f9c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2E05F49</paraID>
      <start>0</start>
      <end>3</end>
      <status>unmodified</status>
      <modifiedWord/>
      <trackRevisions>false</trackRevisions>
    </reviewItem>
    <reviewItem>
      <errorID>2b0b61d4-b129-4f0e-9d1a-add902426211</errorID>
      <errorWord>(</errorWord>
      <group>L1_Format</group>
      <groupName>格式问题</groupName>
      <ability>L2_HalfPunc</ability>
      <abilityName>全半角检查</abilityName>
      <candidateList>
        <item>（</item>
      </candidateList>
      <explain>文本全半角错误。</explain>
      <paraID> 2E05F49</paraID>
      <start>27</start>
      <end>28</end>
      <status>unmodified</status>
      <modifiedWord/>
      <trackRevisions>false</trackRevisions>
    </reviewItem>
    <reviewItem>
      <errorID>1c444628-2ec9-4132-9fb8-6c6e1728d0aa</errorID>
      <errorWord>)</errorWord>
      <group>L1_Format</group>
      <groupName>格式问题</groupName>
      <ability>L2_HalfPunc</ability>
      <abilityName>全半角检查</abilityName>
      <candidateList>
        <item>）</item>
      </candidateList>
      <explain>文本全半角错误。</explain>
      <paraID> 2E05F49</paraID>
      <start>35</start>
      <end>36</end>
      <status>unmodified</status>
      <modifiedWord/>
      <trackRevisions>false</trackRevisions>
    </reviewItem>
    <reviewItem>
      <errorID>742dc8ba-aea5-4654-be9a-86339a7e19ea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1D41B51A</paraID>
      <start>0</start>
      <end>3</end>
      <status>unmodified</status>
      <modifiedWord/>
      <trackRevisions>false</trackRevisions>
    </reviewItem>
    <reviewItem>
      <errorID>62dba8b0-dafb-43eb-a1e5-dc0a1d6902d1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74F46B18</paraID>
      <start>0</start>
      <end>2</end>
      <status>unmodified</status>
      <modifiedWord/>
      <trackRevisions>false</trackRevisions>
    </reviewItem>
    <reviewItem>
      <errorID>02077976-d668-4cd6-8b65-dfa8a93fa3f1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166B2138</paraID>
      <start>0</start>
      <end>3</end>
      <status>unmodified</status>
      <modifiedWord/>
      <trackRevisions>false</trackRevisions>
    </reviewItem>
    <reviewItem>
      <errorID>5e05b72a-0902-444b-8829-611046b6cbb2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42CF02FC</paraID>
      <start>0</start>
      <end>3</end>
      <status>unmodified</status>
      <modifiedWord/>
      <trackRevisions>false</trackRevisions>
    </reviewItem>
    <reviewItem>
      <errorID>19c00334-5e07-48c4-a3c3-debe6c4d846d</errorID>
      <errorWord>*</errorWord>
      <group>L1_Punc</group>
      <groupName>标点问题</groupName>
      <ability>L2_Punc</ability>
      <abilityName>标点符号检查</abilityName>
      <candidateList/>
      <explain/>
      <paraID>551E75D1</paraID>
      <start>0</start>
      <end>1</end>
      <status>unmodified</status>
      <modifiedWord/>
      <trackRevisions>false</trackRevisions>
    </reviewItem>
    <reviewItem>
      <errorID>32e81b7b-62a4-4146-b761-4ad47dd59b78</errorID>
      <errorWord>)</errorWord>
      <group>L1_Format</group>
      <groupName>格式问题</groupName>
      <ability>L2_HalfPunc</ability>
      <abilityName>全半角检查</abilityName>
      <candidateList>
        <item>）</item>
      </candidateList>
      <explain>文本全半角错误。</explain>
      <paraID>551E75D1</paraID>
      <start>3</start>
      <end>4</end>
      <status>unmodified</status>
      <modifiedWord/>
      <trackRevisions>false</trackRevisions>
    </reviewItem>
    <reviewItem>
      <errorID>f212391a-bcb0-4c7c-9920-b149b05225e1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6088576E</paraID>
      <start>0</start>
      <end>3</end>
      <status>unmodified</status>
      <modifiedWord/>
      <trackRevisions>false</trackRevisions>
    </reviewItem>
    <reviewItem>
      <errorID>5b1e2bd1-587a-4c16-8b3f-dfcc47484944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7EF7DB4F</paraID>
      <start>0</start>
      <end>3</end>
      <status>unmodified</status>
      <modifiedWord/>
      <trackRevisions>false</trackRevisions>
    </reviewItem>
    <reviewItem>
      <errorID>7b5007d3-27eb-4ec7-8dc4-11db7d715241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B4234B1</paraID>
      <start>0</start>
      <end>3</end>
      <status>unmodified</status>
      <modifiedWord/>
      <trackRevisions>false</trackRevisions>
    </reviewItem>
    <reviewItem>
      <errorID>f2d2ff5a-209f-44e5-92c6-e7fd128b92e5</errorID>
      <errorWord>*</errorWord>
      <group>L1_Punc</group>
      <groupName>标点问题</groupName>
      <ability>L2_Punc</ability>
      <abilityName>标点符号检查</abilityName>
      <candidateList/>
      <explain/>
      <paraID>3197F806</paraID>
      <start>0</start>
      <end>1</end>
      <status>unmodified</status>
      <modifiedWord/>
      <trackRevisions>false</trackRevisions>
    </reviewItem>
    <reviewItem>
      <errorID>21b7ca2f-89a9-4316-bd74-684f535df14e</errorID>
      <errorWord>)</errorWord>
      <group>L1_Format</group>
      <groupName>格式问题</groupName>
      <ability>L2_HalfPunc</ability>
      <abilityName>全半角检查</abilityName>
      <candidateList>
        <item>）</item>
      </candidateList>
      <explain>文本全半角错误。</explain>
      <paraID>3197F806</paraID>
      <start>3</start>
      <end>4</end>
      <status>unmodified</status>
      <modifiedWord/>
      <trackRevisions>false</trackRevisions>
    </reviewItem>
    <reviewItem>
      <errorID>e0636113-687c-44e3-8d65-d6a64ad002b1</errorID>
      <errorWord>(</errorWord>
      <group>L1_Format</group>
      <groupName>格式问题</groupName>
      <ability>L2_HalfPunc</ability>
      <abilityName>全半角检查</abilityName>
      <candidateList>
        <item>（</item>
      </candidateList>
      <explain>文本全半角错误。</explain>
      <paraID>3197F806</paraID>
      <start>24</start>
      <end>25</end>
      <status>unmodified</status>
      <modifiedWord/>
      <trackRevisions>false</trackRevisions>
    </reviewItem>
    <reviewItem>
      <errorID>70b666b9-02d5-4773-94a1-47d526181e32</errorID>
      <errorWord>)</errorWord>
      <group>L1_Format</group>
      <groupName>格式问题</groupName>
      <ability>L2_HalfPunc</ability>
      <abilityName>全半角检查</abilityName>
      <candidateList>
        <item>）</item>
      </candidateList>
      <explain>文本全半角错误。</explain>
      <paraID>3197F806</paraID>
      <start>32</start>
      <end>33</end>
      <status>unmodified</status>
      <modifiedWord/>
      <trackRevisions>false</trackRevisions>
    </reviewItem>
    <reviewItem>
      <errorID>53c42829-e905-4fdb-b537-03d42376e47c</errorID>
      <errorWord>*</errorWord>
      <group>L1_Punc</group>
      <groupName>标点问题</groupName>
      <ability>L2_Punc</ability>
      <abilityName>标点符号检查</abilityName>
      <candidateList/>
      <explain/>
      <paraID>7CD5BA74</paraID>
      <start>1</start>
      <end>2</end>
      <status>unmodified</status>
      <modifiedWord/>
      <trackRevisions>false</trackRevisions>
    </reviewItem>
    <reviewItem>
      <errorID>c3249ab5-53d1-48e7-b18a-9e7a87b5984e</errorID>
      <errorWord>)</errorWord>
      <group>L1_Format</group>
      <groupName>格式问题</groupName>
      <ability>L2_HalfPunc</ability>
      <abilityName>全半角检查</abilityName>
      <candidateList>
        <item>）</item>
      </candidateList>
      <explain>文本全半角错误。</explain>
      <paraID>7CD5BA74</paraID>
      <start>4</start>
      <end>5</end>
      <status>unmodified</status>
      <modifiedWord/>
      <trackRevisions>false</trackRevisions>
    </reviewItem>
    <reviewItem>
      <errorID>b8211197-b0db-454d-a0f9-55398a1b84e2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59931B74</paraID>
      <start>1</start>
      <end>4</end>
      <status>unmodified</status>
      <modifiedWord/>
      <trackRevisions>false</trackRevisions>
    </reviewItem>
    <reviewItem>
      <errorID>a408bf73-831c-4ed4-80cf-e0ddb5f620e1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2F1A5178</paraID>
      <start>0</start>
      <end>2</end>
      <status>unmodified</status>
      <modifiedWord/>
      <trackRevisions>false</trackRevisions>
    </reviewItem>
    <reviewItem>
      <errorID>adc6ec72-a833-4045-83cd-37970810af6c</errorID>
      <errorWord>(</errorWord>
      <group>L1_Format</group>
      <groupName>格式问题</groupName>
      <ability>L2_HalfPunc</ability>
      <abilityName>全半角检查</abilityName>
      <candidateList>
        <item>（</item>
      </candidateList>
      <explain>文本全半角错误。</explain>
      <paraID>5CA014B9</paraID>
      <start>14</start>
      <end>15</end>
      <status>unmodified</status>
      <modifiedWord/>
      <trackRevisions>false</trackRevisions>
    </reviewItem>
    <reviewItem>
      <errorID>51889ec6-ae41-4eb9-aa29-da9c2b281956</errorID>
      <errorWord>)</errorWord>
      <group>L1_Format</group>
      <groupName>格式问题</groupName>
      <ability>L2_HalfPunc</ability>
      <abilityName>全半角检查</abilityName>
      <candidateList>
        <item>）</item>
      </candidateList>
      <explain>文本全半角错误。</explain>
      <paraID>5CA014B9</paraID>
      <start>19</start>
      <end>20</end>
      <status>unmodified</status>
      <modifiedWord/>
      <trackRevisions>false</trackRevisions>
    </reviewItem>
    <reviewItem>
      <errorID>4cc1e859-8e44-4f5d-a243-781b6571ff83</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151910CB</paraID>
      <start>0</start>
      <end>3</end>
      <status>unmodified</status>
      <modifiedWord/>
      <trackRevisions>false</trackRevisions>
    </reviewItem>
    <reviewItem>
      <errorID>e8bc4208-a4ce-4143-922c-692476dff1e4</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40ADFBD8</paraID>
      <start>0</start>
      <end>3</end>
      <status>unmodified</status>
      <modifiedWord/>
      <trackRevisions>false</trackRevisions>
    </reviewItem>
    <reviewItem>
      <errorID>568131af-f1fc-4826-83ca-ed6392c543e6</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68F86FB4</paraID>
      <start>0</start>
      <end>3</end>
      <status>unmodified</status>
      <modifiedWord/>
      <trackRevisions>false</trackRevisions>
    </reviewItem>
    <reviewItem>
      <errorID>77a7df62-e4e4-4a05-9210-0e6007c5978b</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1B92B8BF</paraID>
      <start>0</start>
      <end>3</end>
      <status>unmodified</status>
      <modifiedWord/>
      <trackRevisions>false</trackRevisions>
    </reviewItem>
    <reviewItem>
      <errorID>fe594544-514d-4d0b-99df-548826e58358</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182F8B93</paraID>
      <start>0</start>
      <end>3</end>
      <status>unmodified</status>
      <modifiedWord/>
      <trackRevisions>false</trackRevisions>
    </reviewItem>
    <reviewItem>
      <errorID>e7b64933-6daf-412d-bdab-d6364a24a45f</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5CA51847</paraID>
      <start>0</start>
      <end>3</end>
      <status>unmodified</status>
      <modifiedWord/>
      <trackRevisions>false</trackRevisions>
    </reviewItem>
    <reviewItem>
      <errorID>361139b7-0349-49d9-ae29-3a9c48d2b972</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2B7FA6BE</paraID>
      <start>0</start>
      <end>3</end>
      <status>unmodified</status>
      <modifiedWord/>
      <trackRevisions>false</trackRevisions>
    </reviewItem>
    <reviewItem>
      <errorID>a7f705a3-f56c-4f98-9314-88e02942cd9e</errorID>
      <errorWord>*</errorWord>
      <group>L1_Punc</group>
      <groupName>标点问题</groupName>
      <ability>L2_Punc</ability>
      <abilityName>标点符号检查</abilityName>
      <candidateList/>
      <explain/>
      <paraID>448B5128</paraID>
      <start>0</start>
      <end>1</end>
      <status>unmodified</status>
      <modifiedWord/>
      <trackRevisions>false</trackRevisions>
    </reviewItem>
    <reviewItem>
      <errorID>e7bc3ab3-540a-4de6-b4dd-f7791cdead0c</errorID>
      <errorWord>(</errorWord>
      <group>L1_Format</group>
      <groupName>格式问题</groupName>
      <ability>L2_HalfPunc</ability>
      <abilityName>全半角检查</abilityName>
      <candidateList>
        <item>（</item>
      </candidateList>
      <explain>文本全半角错误。</explain>
      <paraID>7609C91A</paraID>
      <start>172</start>
      <end>173</end>
      <status>unmodified</status>
      <modifiedWord/>
      <trackRevisions>false</trackRevisions>
    </reviewItem>
    <reviewItem>
      <errorID>12cadd0d-25c6-4e13-bd01-8c3c2e66f90d</errorID>
      <errorWord>)</errorWord>
      <group>L1_Format</group>
      <groupName>格式问题</groupName>
      <ability>L2_HalfPunc</ability>
      <abilityName>全半角检查</abilityName>
      <candidateList>
        <item>）</item>
      </candidateList>
      <explain>文本全半角错误。</explain>
      <paraID>7609C91A</paraID>
      <start>175</start>
      <end>176</end>
      <status>unmodified</status>
      <modifiedWord/>
      <trackRevisions>false</trackRevisions>
    </reviewItem>
    <reviewItem>
      <errorID>95caf645-6e08-428c-b068-7fcb5afb7bab</errorID>
      <errorWord>*</errorWord>
      <group>L1_Punc</group>
      <groupName>标点问题</groupName>
      <ability>L2_Punc</ability>
      <abilityName>标点符号检查</abilityName>
      <candidateList/>
      <explain/>
      <paraID>351DD2D9</paraID>
      <start>0</start>
      <end>1</end>
      <status>unmodified</status>
      <modifiedWord/>
      <trackRevisions>false</trackRevisions>
    </reviewItem>
    <reviewItem>
      <errorID>dc0a5455-bed9-4c4b-9dae-9ebec64e857b</errorID>
      <errorWord>,</errorWord>
      <group>L1_Format</group>
      <groupName>格式问题</groupName>
      <ability>L2_HalfPunc</ability>
      <abilityName>全半角检查</abilityName>
      <candidateList>
        <item>，</item>
      </candidateList>
      <explain>文本全半角错误。</explain>
      <paraID>430409C1</paraID>
      <start>30</start>
      <end>31</end>
      <status>unmodified</status>
      <modifiedWord/>
      <trackRevisions>false</trackRevisions>
    </reviewItem>
    <reviewItem>
      <errorID>c4114ccf-dc0a-415e-88f2-b2f8009e30cb</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2EE19893</paraID>
      <start>0</start>
      <end>3</end>
      <status>unmodified</status>
      <modifiedWord/>
      <trackRevisions>false</trackRevisions>
    </reviewItem>
    <reviewItem>
      <errorID>2ce3b4e5-5bc1-4fdd-a9e5-94a33d2d3dfe</errorID>
      <errorWord>*</errorWord>
      <group>L1_Punc</group>
      <groupName>标点问题</groupName>
      <ability>L2_Punc</ability>
      <abilityName>标点符号检查</abilityName>
      <candidateList/>
      <explain/>
      <paraID>1B7E68EB</paraID>
      <start>0</start>
      <end>1</end>
      <status>unmodified</status>
      <modifiedWord/>
      <trackRevisions>false</trackRevisions>
    </reviewItem>
    <reviewItem>
      <errorID>897948e9-5a53-4511-92f4-6a911c28ade6</errorID>
      <errorWord>发生有</errorWord>
      <group>L1_Word</group>
      <groupName>字词问题</groupName>
      <ability>L2_Typo</ability>
      <abilityName>字词错误</abilityName>
      <candidateList>
        <item>发生</item>
      </candidateList>
      <explain>〈动〉❶原来没有的事出现了；产生：～变化｜～事故｜～关系。❷卵子受精后逐渐生长。</explain>
      <paraID>1D7DDF45</paraID>
      <start>33</start>
      <end>36</end>
      <status>unmodified</status>
      <modifiedWord/>
      <trackRevisions>false</trackRevisions>
    </reviewItem>
    <reviewItem>
      <errorID>027f7305-5b87-4d29-99fc-214940deda67</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5F330B61</paraID>
      <start>0</start>
      <end>3</end>
      <status>unmodified</status>
      <modifiedWord/>
      <trackRevisions>false</trackRevisions>
    </reviewItem>
    <reviewItem>
      <errorID>0aa1fa64-3260-4945-82ed-545dae75bba0</errorID>
      <errorWord>*</errorWord>
      <group>L1_Punc</group>
      <groupName>标点问题</groupName>
      <ability>L2_Punc</ability>
      <abilityName>标点符号检查</abilityName>
      <candidateList/>
      <explain/>
      <paraID>390BC941</paraID>
      <start>0</start>
      <end>1</end>
      <status>unmodified</status>
      <modifiedWord/>
      <trackRevisions>false</trackRevisions>
    </reviewItem>
    <reviewItem>
      <errorID>6c8bbd82-3c8d-4ab0-950e-2f05c033da28</errorID>
      <errorWord>*</errorWord>
      <group>L1_Punc</group>
      <groupName>标点问题</groupName>
      <ability>L2_Punc</ability>
      <abilityName>标点符号检查</abilityName>
      <candidateList/>
      <explain/>
      <paraID>76493F0A</paraID>
      <start>0</start>
      <end>1</end>
      <status>unmodified</status>
      <modifiedWord/>
      <trackRevisions>false</trackRevisions>
    </reviewItem>
    <reviewItem>
      <errorID>fc23b53c-a5a9-4712-a6cd-cfb29b1e4023</errorID>
      <errorWord>37、</errorWord>
      <group>L1_Format</group>
      <groupName>格式问题</groupName>
      <ability>L2_Ordinal</ability>
      <abilityName>序号格式</abilityName>
      <candidateList>
        <item>37.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55A69421</paraID>
      <start>0</start>
      <end>3</end>
      <status>unmodified</status>
      <modifiedWord/>
      <trackRevisions>false</trackRevisions>
    </reviewItem>
    <reviewItem>
      <errorID>2201a910-467e-46f4-a904-cc4be9f258d4</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5EE4496D</paraID>
      <start>0</start>
      <end>3</end>
      <status>unmodified</status>
      <modifiedWord/>
      <trackRevisions>false</trackRevisions>
    </reviewItem>
    <reviewItem>
      <errorID>f7b4fc44-997a-41fb-ae13-f272a8ce20dd</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38EE77F6</paraID>
      <start>0</start>
      <end>3</end>
      <status>unmodified</status>
      <modifiedWord/>
      <trackRevisions>false</trackRevisions>
    </reviewItem>
    <reviewItem>
      <errorID>804d6c88-5618-4fe2-acc6-7ebdea3ca1a1</errorID>
      <errorWord>38、</errorWord>
      <group>L1_Format</group>
      <groupName>格式问题</groupName>
      <ability>L2_Ordinal</ability>
      <abilityName>序号格式</abilityName>
      <candidateList>
        <item>38.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3683F328</paraID>
      <start>0</start>
      <end>3</end>
      <status>unmodified</status>
      <modifiedWord/>
      <trackRevisions>false</trackRevisions>
    </reviewItem>
    <reviewItem>
      <errorID>013c6323-9fd8-4cc8-ba27-7790795ee2de</errorID>
      <errorWord>39、</errorWord>
      <group>L1_Format</group>
      <groupName>格式问题</groupName>
      <ability>L2_Ordinal</ability>
      <abilityName>序号格式</abilityName>
      <candidateList>
        <item>39.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46EDFF41</paraID>
      <start>0</start>
      <end>3</end>
      <status>unmodified</status>
      <modifiedWord/>
      <trackRevisions>false</trackRevisions>
    </reviewItem>
    <reviewItem>
      <errorID>a23002c1-0b5b-4d42-af10-1cc94826c8a0</errorID>
      <errorWord>:</errorWord>
      <group>L1_Format</group>
      <groupName>格式问题</groupName>
      <ability>L2_HalfPunc</ability>
      <abilityName>全半角检查</abilityName>
      <candidateList>
        <item>：</item>
      </candidateList>
      <explain>文本全半角错误。</explain>
      <paraID>704871CC</paraID>
      <start>15</start>
      <end>16</end>
      <status>unmodified</status>
      <modifiedWord/>
      <trackRevisions>false</trackRevisions>
    </reviewItem>
    <reviewItem>
      <errorID>a9a01a76-5d8f-481e-9a8b-f2ede5c560dc</errorID>
      <errorWord>40、</errorWord>
      <group>L1_Format</group>
      <groupName>格式问题</groupName>
      <ability>L2_Ordinal</ability>
      <abilityName>序号格式</abilityName>
      <candidateList>
        <item>40.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77DA3504</paraID>
      <start>0</start>
      <end>3</end>
      <status>unmodified</status>
      <modifiedWord/>
      <trackRevisions>false</trackRevisions>
    </reviewItem>
    <reviewItem>
      <errorID>0d0d65e5-fdcb-4f49-8d1f-d41b30fc327d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35DE957B</paraID>
      <start>0</start>
      <end>3</end>
      <status>unmodified</status>
      <modifiedWord/>
      <trackRevisions>false</trackRevisions>
    </reviewItem>
    <reviewItem>
      <errorID>563d1546-c2d4-4bf8-beaa-62ffabd71d17</errorID>
      <errorWord>:</errorWord>
      <group>L1_Format</group>
      <groupName>格式问题</groupName>
      <ability>L2_HalfPunc</ability>
      <abilityName>全半角检查</abilityName>
      <candidateList>
        <item>：</item>
      </candidateList>
      <explain>文本全半角错误。</explain>
      <paraID>35DE957B</paraID>
      <start>10</start>
      <end>11</end>
      <status>unmodified</status>
      <modifiedWord/>
      <trackRevisions>false</trackRevisions>
    </reviewItem>
    <reviewItem>
      <errorID>66dd1b82-f214-43d5-a7cc-c910438cf0b9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6210A164</paraID>
      <start>0</start>
      <end>3</end>
      <status>unmodified</status>
      <modifiedWord/>
      <trackRevisions>false</trackRevisions>
    </reviewItem>
    <reviewItem>
      <errorID>4be82f98-0699-4371-a30a-e98dd2792a3e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780EDB6A</paraID>
      <start>0</start>
      <end>3</end>
      <status>unmodified</status>
      <modifiedWord/>
      <trackRevisions>false</trackRevisions>
    </reviewItem>
    <reviewItem>
      <errorID>17a80ff7-ee5f-4dbd-b095-bb5c6478b4cd</errorID>
      <errorWord>41、</errorWord>
      <group>L1_Format</group>
      <groupName>格式问题</groupName>
      <ability>L2_Ordinal</ability>
      <abilityName>序号格式</abilityName>
      <candidateList>
        <item>41.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51057A72</paraID>
      <start>0</start>
      <end>3</end>
      <status>unmodified</status>
      <modifiedWord/>
      <trackRevisions>false</trackRevisions>
    </reviewItem>
    <reviewItem>
      <errorID>23fc0b06-52e6-4165-9b23-00f2820b5824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2F7D807E</paraID>
      <start>0</start>
      <end>3</end>
      <status>unmodified</status>
      <modifiedWord/>
      <trackRevisions>false</trackRevisions>
    </reviewItem>
    <reviewItem>
      <errorID>91f12544-6352-4582-8b12-bb519b43e974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54C49642</paraID>
      <start>0</start>
      <end>3</end>
      <status>unmodified</status>
      <modifiedWord/>
      <trackRevisions>false</trackRevisions>
    </reviewItem>
    <reviewItem>
      <errorID>a264b616-dfe4-4869-b75a-df0ba8e4c7ca</errorID>
      <errorWord>46、</errorWord>
      <group>L1_Format</group>
      <groupName>格式问题</groupName>
      <ability>L2_Ordinal</ability>
      <abilityName>序号格式</abilityName>
      <candidateList>
        <item>46.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5F196716</paraID>
      <start>0</start>
      <end>3</end>
      <status>unmodified</status>
      <modifiedWord/>
      <trackRevisions>false</trackRevisions>
    </reviewItem>
    <reviewItem>
      <errorID>7eefd088-8a80-4336-96ff-6b91cc0b7c86</errorID>
      <errorWord>47、</errorWord>
      <group>L1_Format</group>
      <groupName>格式问题</groupName>
      <ability>L2_Ordinal</ability>
      <abilityName>序号格式</abilityName>
      <candidateList>
        <item>47.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1473ECE8</paraID>
      <start>0</start>
      <end>3</end>
      <status>unmodified</status>
      <modifiedWord/>
      <trackRevisions>false</trackRevisions>
    </reviewItem>
    <reviewItem>
      <errorID>e1020c7b-a3cc-4f61-b773-42d2ceada1f8</errorID>
      <errorWord>法律、法规</errorWord>
      <group>L1_Word</group>
      <groupName>字词问题</groupName>
      <ability>L2_Typo</ability>
      <abilityName>字词错误</abilityName>
      <candidateList>
        <item>法律法规</item>
      </candidateList>
      <explain/>
      <paraID> 800911E</paraID>
      <start>176</start>
      <end>181</end>
      <status>unmodified</status>
      <modifiedWord/>
      <trackRevisions>false</trackRevisions>
    </reviewItem>
    <reviewItem>
      <errorID>e755ecff-956b-482c-8268-009b36bea68a</errorID>
      <errorWord>法律、法规</errorWord>
      <group>L1_Word</group>
      <groupName>字词问题</groupName>
      <ability>L2_Typo</ability>
      <abilityName>字词错误</abilityName>
      <candidateList>
        <item>法律法规</item>
      </candidateList>
      <explain/>
      <paraID> 800911E</paraID>
      <start>249</start>
      <end>254</end>
      <status>unmodified</status>
      <modifiedWord/>
      <trackRevisions>false</trackRevisions>
    </reviewItem>
    <reviewItem>
      <errorID>ec140f1f-638b-478a-93f3-99f63822bf82</errorID>
      <errorWord>处予罚款</errorWord>
      <group>L1_Word</group>
      <groupName>字词问题</groupName>
      <ability>L2_Typo</ability>
      <abilityName>字词错误</abilityName>
      <candidateList>
        <item>处以罚款</item>
      </candidateList>
      <explain/>
      <paraID>1251AFF3</paraID>
      <start>48</start>
      <end>52</end>
      <status>unmodified</status>
      <modifiedWord/>
      <trackRevisions>false</trackRevisions>
    </reviewItem>
    <reviewItem>
      <errorID>2f118134-c626-4935-9899-167fa9499a0b</errorID>
      <errorWord>交纳</errorWord>
      <group>L1_Word</group>
      <groupName>字词问题</groupName>
      <ability>L2_Typo</ability>
      <abilityName>字词错误</abilityName>
      <candidateList>
        <item>缴纳</item>
      </candidateList>
      <explain>〈动〉交纳：～税款。</explain>
      <paraID>1874749C</paraID>
      <start>44</start>
      <end>46</end>
      <status>unmodified</status>
      <modifiedWord/>
      <trackRevisions>false</trackRevisions>
    </reviewItem>
    <reviewItem>
      <errorID>1936eeee-b026-470d-bdd9-8c35a14357e3</errorID>
      <errorWord>：/</errorWord>
      <group>L1_Punc</group>
      <groupName>标点问题</groupName>
      <ability>L2_Punc</ability>
      <abilityName>标点符号检查</abilityName>
      <candidateList>
        <item>：</item>
      </candidateList>
      <explain/>
      <paraID>408FB1C5</paraID>
      <start>24</start>
      <end>26</end>
      <status>unmodified</status>
      <modifiedWord/>
      <trackRevisions>false</trackRevisions>
    </reviewItem>
    <reviewItem>
      <errorID>f19143f4-c591-42de-bf4d-16401ff7555d</errorID>
      <errorWord>：/</errorWord>
      <group>L1_Punc</group>
      <groupName>标点问题</groupName>
      <ability>L2_Punc</ability>
      <abilityName>标点符号检查</abilityName>
      <candidateList>
        <item>：</item>
      </candidateList>
      <explain/>
      <paraID>3441BDC1</paraID>
      <start>26</start>
      <end>28</end>
      <status>unmodified</status>
      <modifiedWord/>
      <trackRevisions>false</trackRevisions>
    </reviewItem>
    <reviewItem>
      <errorID>65f06687-72ff-461e-861a-c0ea9fc32639</errorID>
      <errorWord>：/</errorWord>
      <group>L1_Punc</group>
      <groupName>标点问题</groupName>
      <ability>L2_Punc</ability>
      <abilityName>标点符号检查</abilityName>
      <candidateList>
        <item>：</item>
      </candidateList>
      <explain/>
      <paraID>6854ADB1</paraID>
      <start>27</start>
      <end>29</end>
      <status>unmodified</status>
      <modifiedWord/>
      <trackRevisions>false</trackRevisions>
    </reviewItem>
    <reviewItem>
      <errorID>7aa215c1-1cfc-44b8-809d-4a09a267b484</errorID>
      <errorWord>：/</errorWord>
      <group>L1_Punc</group>
      <groupName>标点问题</groupName>
      <ability>L2_Punc</ability>
      <abilityName>标点符号检查</abilityName>
      <candidateList>
        <item>：</item>
      </candidateList>
      <explain/>
      <paraID>6854ADB1</paraID>
      <start>60</start>
      <end>62</end>
      <status>unmodified</status>
      <modifiedWord/>
      <trackRevisions>false</trackRevisions>
    </reviewItem>
    <reviewItem>
      <errorID>f6f2ef93-73fe-45ab-b30f-cf2e4b7f9c16</errorID>
      <errorWord>：/</errorWord>
      <group>L1_Punc</group>
      <groupName>标点问题</groupName>
      <ability>L2_Punc</ability>
      <abilityName>标点符号检查</abilityName>
      <candidateList>
        <item>：</item>
      </candidateList>
      <explain/>
      <paraID>18202750</paraID>
      <start>7</start>
      <end>9</end>
      <status>unmodified</status>
      <modifiedWord/>
      <trackRevisions>false</trackRevisions>
    </reviewItem>
    <reviewItem>
      <errorID>3c5eb339-e3f5-4c45-a1ba-69e0411c4ac1</errorID>
      <errorWord>：/</errorWord>
      <group>L1_Punc</group>
      <groupName>标点问题</groupName>
      <ability>L2_Punc</ability>
      <abilityName>标点符号检查</abilityName>
      <candidateList>
        <item>：</item>
      </candidateList>
      <explain/>
      <paraID>4E2AD2A1</paraID>
      <start>9</start>
      <end>11</end>
      <status>unmodified</status>
      <modifiedWord/>
      <trackRevisions>false</trackRevisions>
    </reviewItem>
    <reviewItem>
      <errorID>2ca81297-7776-4579-882f-adc3ea52a43e</errorID>
      <errorWord>：/</errorWord>
      <group>L1_Punc</group>
      <groupName>标点问题</groupName>
      <ability>L2_Punc</ability>
      <abilityName>标点符号检查</abilityName>
      <candidateList>
        <item>：</item>
      </candidateList>
      <explain/>
      <paraID>4B86708D</paraID>
      <start>10</start>
      <end>12</end>
      <status>unmodified</status>
      <modifiedWord/>
      <trackRevisions>false</trackRevisions>
    </reviewItem>
    <reviewItem>
      <errorID>b39892fd-ba31-45ba-978a-506346842ad8</errorID>
      <errorWord>：/</errorWord>
      <group>L1_Punc</group>
      <groupName>标点问题</groupName>
      <ability>L2_Punc</ability>
      <abilityName>标点符号检查</abilityName>
      <candidateList>
        <item>：</item>
      </candidateList>
      <explain/>
      <paraID>2E6456DC</paraID>
      <start>27</start>
      <end>29</end>
      <status>unmodified</status>
      <modifiedWord/>
      <trackRevisions>false</trackRevisions>
    </reviewItem>
    <reviewItem>
      <errorID>ed57dc11-bdab-4314-aade-dab22cb40e8f</errorID>
      <errorWord>：/</errorWord>
      <group>L1_Punc</group>
      <groupName>标点问题</groupName>
      <ability>L2_Punc</ability>
      <abilityName>标点符号检查</abilityName>
      <candidateList>
        <item>：</item>
      </candidateList>
      <explain/>
      <paraID>12C35683</paraID>
      <start>12</start>
      <end>14</end>
      <status>unmodified</status>
      <modifiedWord/>
      <trackRevisions>false</trackRevisions>
    </reviewItem>
    <reviewItem>
      <errorID>413119e6-7c5c-4c04-8041-bfd8d3c65514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1BE4F596</paraID>
      <start>0</start>
      <end>2</end>
      <status>unmodified</status>
      <modifiedWord/>
      <trackRevisions>false</trackRevisions>
    </reviewItem>
    <reviewItem>
      <errorID>e2f8fd25-659f-423c-af17-1f160311a8f2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3B5A96D5</paraID>
      <start>0</start>
      <end>2</end>
      <status>unmodified</status>
      <modifiedWord/>
      <trackRevisions>false</trackRevisions>
    </reviewItem>
    <reviewItem>
      <errorID>3f6b08c1-c916-4ad3-b6f9-1ccb9454cccc</errorID>
      <errorWord>及期</errorWord>
      <group>L1_Word</group>
      <groupName>字词问题</groupName>
      <ability>L2_Typo</ability>
      <abilityName>字词错误</abilityName>
      <candidateList>
        <item>及其</item>
      </candidateList>
      <explain>存在发音相同字词的误用。</explain>
      <paraID>27013226</paraID>
      <start>6</start>
      <end>8</end>
      <status>unmodified</status>
      <modifiedWord/>
      <trackRevisions>false</trackRevisions>
    </reviewItem>
    <reviewItem>
      <errorID>57d0915e-a77d-4485-a4f5-af621e9edb93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1E99E597</paraID>
      <start>0</start>
      <end>2</end>
      <status>unmodified</status>
      <modifiedWord/>
      <trackRevisions>false</trackRevisions>
    </reviewItem>
    <reviewItem>
      <errorID>d3103be2-b649-4257-a489-7355c90862d9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5B06F73</paraID>
      <start>0</start>
      <end>2</end>
      <status>unmodified</status>
      <modifiedWord/>
      <trackRevisions>false</trackRevisions>
    </reviewItem>
    <reviewItem>
      <errorID>f1aa7735-ada2-4ac8-9fd5-c5dbb55de34f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56C36BFA</paraID>
      <start>0</start>
      <end>2</end>
      <status>unmodified</status>
      <modifiedWord/>
      <trackRevisions>false</trackRevisions>
    </reviewItem>
    <reviewItem>
      <errorID>c7277d0d-d120-4b60-9191-0e01028233c2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493D8602</paraID>
      <start>0</start>
      <end>2</end>
      <status>unmodified</status>
      <modifiedWord/>
      <trackRevisions>false</trackRevisions>
    </reviewItem>
    <reviewItem>
      <errorID>8ccb0f56-4fc5-4857-a1a0-4e2e64d006aa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4136E9CE</paraID>
      <start>20</start>
      <end>23</end>
      <status>unmodified</status>
      <modifiedWord/>
      <trackRevisions>false</trackRevisions>
    </reviewItem>
    <reviewItem>
      <errorID>0b3c094e-5921-49f1-b736-605493baaecd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4136E9CE</paraID>
      <start>68</start>
      <end>71</end>
      <status>unmodified</status>
      <modifiedWord/>
      <trackRevisions>false</trackRevisions>
    </reviewItem>
    <reviewItem>
      <errorID>9bc6712b-312f-4bb0-a023-81394cccf431</errorID>
      <errorWord>的</errorWord>
      <group>L1_Word</group>
      <groupName>字词问题</groupName>
      <ability>L2_Typo</ability>
      <abilityName>字词错误</abilityName>
      <candidateList>
        <item>的农</item>
      </candidateList>
      <explain/>
      <paraID>331E327B</paraID>
      <start>39</start>
      <end>40</end>
      <status>unmodified</status>
      <modifiedWord/>
      <trackRevisions>false</trackRevisions>
    </reviewItem>
    <reviewItem>
      <errorID>09ed418f-6e3f-45cb-8f5a-ec95faa66db1</errorID>
      <errorWord>之外，还应配备有足够</errorWord>
      <group>L1_Word</group>
      <groupName>字词问题</groupName>
      <ability>L2_Typo</ability>
      <abilityName>字词错误</abilityName>
      <candidateList>
        <item>之外，还应配备足够</item>
      </candidateList>
      <explain/>
      <paraID>210804D2</paraID>
      <start>20</start>
      <end>30</end>
      <status>unmodified</status>
      <modifiedWord/>
      <trackRevisions>false</trackRevisions>
    </reviewItem>
    <reviewItem>
      <errorID>1a5eb330-73d2-4a1c-b59b-78d246698c5f</errorID>
      <errorWord>．</errorWord>
      <group>L1_Format</group>
      <groupName>格式问题</groupName>
      <ability>L2_HalfPunc</ability>
      <abilityName>全半角检查</abilityName>
      <candidateList>
        <item>。</item>
      </candidateList>
      <explain>文本全半角错误。</explain>
      <paraID>4B4BB1A7</paraID>
      <start>107</start>
      <end>108</end>
      <status>unmodified</status>
      <modifiedWord/>
      <trackRevisions>false</trackRevisions>
    </reviewItem>
    <reviewItem>
      <errorID>921d99bc-3c2a-4bff-a34e-12e6249a8f5e</errorID>
      <errorWord>肆份</errorWord>
      <group>L1_Word</group>
      <groupName>字词问题</groupName>
      <ability>L2_Typo</ability>
      <abilityName>字词错误</abilityName>
      <candidateList>
        <item>四份</item>
      </candidateList>
      <explain>存在发音相同字词的误用。</explain>
      <paraID>19C6539B</paraID>
      <start>9</start>
      <end>11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55FC3A-56E2-45B9-B4C8-C6889243D740}">
  <ds:schemaRefs/>
</ds:datastoreItem>
</file>

<file path=docProps/app.xml><?xml version="1.0" encoding="utf-8"?>
<Properties xmlns="http://schemas.openxmlformats.org/officeDocument/2006/extended-properties" xmlns:vt="http://schemas.openxmlformats.org/officeDocument/2006/docPropsVTypes">
  <Template>Normal.dotm</Template>
  <Company>广西云龙招</Company>
  <Pages>122</Pages>
  <Words>29266</Words>
  <Characters>30641</Characters>
  <Lines>626</Lines>
  <Paragraphs>176</Paragraphs>
  <TotalTime>350</TotalTime>
  <ScaleCrop>false</ScaleCrop>
  <LinksUpToDate>false</LinksUpToDate>
  <CharactersWithSpaces>30890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2026-07-03T01:35:00Z</dcterms:created>
  <dc:creator>唐</dc:creator>
  <cp:lastModifiedBy>海</cp:lastModifiedBy>
  <dcterms:modified xsi:type="dcterms:W3CDTF">2026-07-03T08:54:52Z</dcterms:modified>
  <dc:title>竞争性谈判</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eyJoZGlkIjoiNTkwNzA1YzI2YmE4YzNkMWEyMjVlNTcyZmVkYTFkZDEiLCJ1c2VySWQiOiIzNzc0ODg2ODgifQ==</vt:lpwstr>
  </property>
  <property fmtid="{D5CDD505-2E9C-101B-9397-08002B2CF9AE}" pid="3" name="KSOProductBuildVer">
    <vt:lpwstr>2052-12.1.0.26375</vt:lpwstr>
  </property>
  <property fmtid="{D5CDD505-2E9C-101B-9397-08002B2CF9AE}" pid="4" name="ICV">
    <vt:lpwstr>CC9AD3F334754481B61B4D3FD9214E3F_12</vt:lpwstr>
  </property>
</Properties>
</file>